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7DD3C">
      <w:pPr>
        <w:rPr>
          <w:color w:val="auto"/>
          <w:sz w:val="36"/>
          <w:szCs w:val="36"/>
          <w:highlight w:val="none"/>
        </w:rPr>
      </w:pPr>
      <w:r>
        <w:rPr>
          <w:color w:val="auto"/>
          <w:sz w:val="36"/>
          <w:szCs w:val="36"/>
          <w:highlight w:val="none"/>
        </w:rPr>
        <w:drawing>
          <wp:inline distT="0" distB="0" distL="0" distR="0">
            <wp:extent cx="885190" cy="86296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885190" cy="862965"/>
                    </a:xfrm>
                    <a:prstGeom prst="rect">
                      <a:avLst/>
                    </a:prstGeom>
                    <a:noFill/>
                    <a:ln w="9525">
                      <a:noFill/>
                      <a:miter lim="800000"/>
                      <a:headEnd/>
                      <a:tailEnd/>
                    </a:ln>
                  </pic:spPr>
                </pic:pic>
              </a:graphicData>
            </a:graphic>
          </wp:inline>
        </w:drawing>
      </w:r>
    </w:p>
    <w:p w14:paraId="614D4193">
      <w:pPr>
        <w:rPr>
          <w:color w:val="auto"/>
          <w:sz w:val="36"/>
          <w:szCs w:val="36"/>
          <w:highlight w:val="none"/>
        </w:rPr>
      </w:pPr>
    </w:p>
    <w:p w14:paraId="71CE305C">
      <w:pPr>
        <w:rPr>
          <w:color w:val="auto"/>
          <w:sz w:val="36"/>
          <w:szCs w:val="36"/>
          <w:highlight w:val="none"/>
        </w:rPr>
      </w:pPr>
    </w:p>
    <w:p w14:paraId="0B23BBB1">
      <w:pPr>
        <w:rPr>
          <w:color w:val="auto"/>
          <w:sz w:val="36"/>
          <w:szCs w:val="36"/>
          <w:highlight w:val="none"/>
        </w:rPr>
      </w:pPr>
    </w:p>
    <w:p w14:paraId="15948395">
      <w:pPr>
        <w:rPr>
          <w:color w:val="auto"/>
          <w:sz w:val="36"/>
          <w:szCs w:val="36"/>
          <w:highlight w:val="none"/>
        </w:rPr>
      </w:pPr>
    </w:p>
    <w:p w14:paraId="5074B363">
      <w:pPr>
        <w:adjustRightInd w:val="0"/>
        <w:snapToGrid w:val="0"/>
        <w:jc w:val="center"/>
        <w:outlineLvl w:val="0"/>
        <w:rPr>
          <w:bCs/>
          <w:color w:val="auto"/>
          <w:sz w:val="72"/>
          <w:szCs w:val="72"/>
          <w:highlight w:val="none"/>
        </w:rPr>
      </w:pPr>
      <w:bookmarkStart w:id="0" w:name="_Toc12094"/>
      <w:bookmarkStart w:id="1" w:name="_Toc12364"/>
      <w:bookmarkStart w:id="2" w:name="_Toc163580975"/>
      <w:bookmarkStart w:id="56" w:name="_GoBack"/>
      <w:r>
        <w:rPr>
          <w:rFonts w:hAnsi="宋体"/>
          <w:bCs/>
          <w:color w:val="auto"/>
          <w:sz w:val="72"/>
          <w:szCs w:val="72"/>
          <w:highlight w:val="none"/>
        </w:rPr>
        <w:t>建设项目环境影响报告表</w:t>
      </w:r>
      <w:bookmarkEnd w:id="0"/>
      <w:bookmarkEnd w:id="1"/>
      <w:bookmarkEnd w:id="2"/>
    </w:p>
    <w:bookmarkEnd w:id="56"/>
    <w:p w14:paraId="6E7E8399">
      <w:pPr>
        <w:adjustRightInd w:val="0"/>
        <w:snapToGrid w:val="0"/>
        <w:spacing w:beforeLines="80"/>
        <w:jc w:val="center"/>
        <w:rPr>
          <w:bCs/>
          <w:color w:val="auto"/>
          <w:sz w:val="48"/>
          <w:szCs w:val="48"/>
          <w:highlight w:val="none"/>
        </w:rPr>
      </w:pPr>
      <w:r>
        <w:rPr>
          <w:rFonts w:hAnsi="宋体"/>
          <w:bCs/>
          <w:color w:val="auto"/>
          <w:sz w:val="48"/>
          <w:szCs w:val="48"/>
          <w:highlight w:val="none"/>
        </w:rPr>
        <w:t>（污染影响类）</w:t>
      </w:r>
    </w:p>
    <w:p w14:paraId="1A8594E1">
      <w:pPr>
        <w:adjustRightInd w:val="0"/>
        <w:snapToGrid w:val="0"/>
        <w:spacing w:line="288" w:lineRule="auto"/>
        <w:jc w:val="center"/>
        <w:outlineLvl w:val="0"/>
        <w:rPr>
          <w:color w:val="auto"/>
          <w:kern w:val="44"/>
          <w:sz w:val="44"/>
          <w:szCs w:val="44"/>
          <w:highlight w:val="none"/>
        </w:rPr>
      </w:pPr>
    </w:p>
    <w:p w14:paraId="3CEFE5CA">
      <w:pPr>
        <w:ind w:firstLine="1040"/>
        <w:rPr>
          <w:color w:val="auto"/>
          <w:sz w:val="44"/>
          <w:szCs w:val="44"/>
          <w:highlight w:val="none"/>
        </w:rPr>
      </w:pPr>
    </w:p>
    <w:p w14:paraId="1B2105B0">
      <w:pPr>
        <w:ind w:firstLine="1040"/>
        <w:rPr>
          <w:color w:val="auto"/>
          <w:sz w:val="44"/>
          <w:szCs w:val="44"/>
          <w:highlight w:val="none"/>
        </w:rPr>
      </w:pPr>
    </w:p>
    <w:p w14:paraId="3C881787">
      <w:pPr>
        <w:ind w:firstLine="1040"/>
        <w:rPr>
          <w:color w:val="auto"/>
          <w:sz w:val="44"/>
          <w:szCs w:val="44"/>
          <w:highlight w:val="none"/>
        </w:rPr>
      </w:pPr>
    </w:p>
    <w:p w14:paraId="0A9B60AD">
      <w:pPr>
        <w:adjustRightInd w:val="0"/>
        <w:snapToGrid w:val="0"/>
        <w:spacing w:line="288" w:lineRule="auto"/>
        <w:ind w:left="2160" w:hanging="2160" w:hangingChars="600"/>
        <w:jc w:val="left"/>
        <w:rPr>
          <w:rFonts w:hint="eastAsia" w:eastAsiaTheme="minorEastAsia"/>
          <w:color w:val="auto"/>
          <w:sz w:val="36"/>
          <w:szCs w:val="36"/>
          <w:highlight w:val="none"/>
          <w:u w:val="single"/>
          <w:lang w:eastAsia="zh-CN"/>
        </w:rPr>
      </w:pPr>
      <w:r>
        <w:rPr>
          <w:rFonts w:hAnsi="宋体"/>
          <w:color w:val="auto"/>
          <w:sz w:val="36"/>
          <w:szCs w:val="36"/>
          <w:highlight w:val="none"/>
        </w:rPr>
        <w:t>项目名称：</w:t>
      </w:r>
      <w:r>
        <w:rPr>
          <w:rFonts w:hint="eastAsia" w:hAnsi="宋体"/>
          <w:color w:val="auto"/>
          <w:sz w:val="36"/>
          <w:szCs w:val="36"/>
          <w:highlight w:val="none"/>
          <w:u w:val="single"/>
          <w:lang w:eastAsia="zh-CN"/>
        </w:rPr>
        <w:t>淮安奥凯精密工业有限公司智能整机设备项目</w:t>
      </w:r>
    </w:p>
    <w:p w14:paraId="6A0CFF6D">
      <w:pPr>
        <w:adjustRightInd w:val="0"/>
        <w:snapToGrid w:val="0"/>
        <w:spacing w:line="288" w:lineRule="auto"/>
        <w:jc w:val="left"/>
        <w:rPr>
          <w:color w:val="auto"/>
          <w:sz w:val="36"/>
          <w:szCs w:val="36"/>
          <w:highlight w:val="none"/>
          <w:u w:val="single"/>
        </w:rPr>
      </w:pPr>
      <w:r>
        <w:rPr>
          <w:rFonts w:hAnsi="宋体"/>
          <w:color w:val="auto"/>
          <w:sz w:val="36"/>
          <w:szCs w:val="36"/>
          <w:highlight w:val="none"/>
        </w:rPr>
        <w:t>建设单位（盖章）：</w:t>
      </w:r>
      <w:r>
        <w:rPr>
          <w:rFonts w:hint="eastAsia" w:hAnsi="宋体"/>
          <w:color w:val="auto"/>
          <w:sz w:val="36"/>
          <w:szCs w:val="36"/>
          <w:highlight w:val="none"/>
          <w:u w:val="single"/>
          <w:lang w:eastAsia="zh-CN"/>
        </w:rPr>
        <w:t>淮安奥凯精密工业有限公司</w:t>
      </w:r>
      <w:r>
        <w:rPr>
          <w:rFonts w:hint="eastAsia" w:hAnsi="宋体"/>
          <w:color w:val="auto"/>
          <w:sz w:val="36"/>
          <w:szCs w:val="36"/>
          <w:highlight w:val="none"/>
          <w:u w:val="single"/>
        </w:rPr>
        <w:t xml:space="preserve">   </w:t>
      </w:r>
    </w:p>
    <w:p w14:paraId="20DEFC1E">
      <w:pPr>
        <w:adjustRightInd w:val="0"/>
        <w:snapToGrid w:val="0"/>
        <w:spacing w:line="288" w:lineRule="auto"/>
        <w:jc w:val="left"/>
        <w:rPr>
          <w:color w:val="auto"/>
          <w:sz w:val="36"/>
          <w:szCs w:val="36"/>
          <w:highlight w:val="none"/>
          <w:u w:val="single"/>
        </w:rPr>
      </w:pPr>
      <w:r>
        <w:rPr>
          <w:rFonts w:hAnsi="宋体"/>
          <w:color w:val="auto"/>
          <w:sz w:val="36"/>
          <w:szCs w:val="36"/>
          <w:highlight w:val="none"/>
        </w:rPr>
        <w:t>编制日期：</w:t>
      </w:r>
      <w:r>
        <w:rPr>
          <w:color w:val="auto"/>
          <w:sz w:val="36"/>
          <w:szCs w:val="36"/>
          <w:highlight w:val="none"/>
          <w:u w:val="single"/>
        </w:rPr>
        <w:t xml:space="preserve">          202</w:t>
      </w:r>
      <w:r>
        <w:rPr>
          <w:rFonts w:hint="eastAsia"/>
          <w:color w:val="auto"/>
          <w:sz w:val="36"/>
          <w:szCs w:val="36"/>
          <w:highlight w:val="none"/>
          <w:u w:val="single"/>
          <w:lang w:val="en-US" w:eastAsia="zh-CN"/>
        </w:rPr>
        <w:t>5</w:t>
      </w:r>
      <w:r>
        <w:rPr>
          <w:rFonts w:hAnsi="宋体"/>
          <w:color w:val="auto"/>
          <w:sz w:val="36"/>
          <w:szCs w:val="36"/>
          <w:highlight w:val="none"/>
          <w:u w:val="single"/>
        </w:rPr>
        <w:t>年</w:t>
      </w:r>
      <w:r>
        <w:rPr>
          <w:rFonts w:hint="eastAsia" w:hAnsi="宋体"/>
          <w:color w:val="auto"/>
          <w:sz w:val="36"/>
          <w:szCs w:val="36"/>
          <w:highlight w:val="none"/>
          <w:u w:val="single"/>
          <w:lang w:val="en-US" w:eastAsia="zh-CN"/>
        </w:rPr>
        <w:t>9</w:t>
      </w:r>
      <w:r>
        <w:rPr>
          <w:rFonts w:hAnsi="宋体"/>
          <w:color w:val="auto"/>
          <w:sz w:val="36"/>
          <w:szCs w:val="36"/>
          <w:highlight w:val="none"/>
          <w:u w:val="single"/>
        </w:rPr>
        <w:t>月</w:t>
      </w:r>
      <w:r>
        <w:rPr>
          <w:rFonts w:hint="eastAsia" w:hAnsi="宋体"/>
          <w:color w:val="auto"/>
          <w:sz w:val="36"/>
          <w:szCs w:val="36"/>
          <w:highlight w:val="none"/>
          <w:u w:val="single"/>
        </w:rPr>
        <w:t xml:space="preserve">              </w:t>
      </w:r>
    </w:p>
    <w:p w14:paraId="57B57DDE">
      <w:pPr>
        <w:adjustRightInd w:val="0"/>
        <w:snapToGrid w:val="0"/>
        <w:spacing w:line="288" w:lineRule="auto"/>
        <w:ind w:firstLine="1040"/>
        <w:jc w:val="left"/>
        <w:rPr>
          <w:color w:val="auto"/>
          <w:sz w:val="36"/>
          <w:szCs w:val="36"/>
          <w:highlight w:val="none"/>
          <w:u w:val="single"/>
        </w:rPr>
      </w:pPr>
      <w:bookmarkStart w:id="3" w:name="_Hlk57884087"/>
    </w:p>
    <w:p w14:paraId="006D94CF">
      <w:pPr>
        <w:adjustRightInd w:val="0"/>
        <w:snapToGrid w:val="0"/>
        <w:spacing w:line="288" w:lineRule="auto"/>
        <w:ind w:firstLine="1040"/>
        <w:rPr>
          <w:color w:val="auto"/>
          <w:sz w:val="36"/>
          <w:szCs w:val="36"/>
          <w:highlight w:val="none"/>
        </w:rPr>
      </w:pPr>
    </w:p>
    <w:p w14:paraId="29D8DC47">
      <w:pPr>
        <w:adjustRightInd w:val="0"/>
        <w:snapToGrid w:val="0"/>
        <w:spacing w:line="288" w:lineRule="auto"/>
        <w:ind w:firstLine="1040"/>
        <w:rPr>
          <w:color w:val="auto"/>
          <w:sz w:val="36"/>
          <w:szCs w:val="36"/>
          <w:highlight w:val="none"/>
        </w:rPr>
      </w:pPr>
    </w:p>
    <w:p w14:paraId="00EA7BA3">
      <w:pPr>
        <w:adjustRightInd w:val="0"/>
        <w:snapToGrid w:val="0"/>
        <w:spacing w:line="288" w:lineRule="auto"/>
        <w:ind w:firstLine="1040"/>
        <w:rPr>
          <w:color w:val="auto"/>
          <w:sz w:val="36"/>
          <w:szCs w:val="36"/>
          <w:highlight w:val="none"/>
        </w:rPr>
      </w:pPr>
    </w:p>
    <w:bookmarkEnd w:id="3"/>
    <w:p w14:paraId="4E7C4D5C">
      <w:pPr>
        <w:adjustRightInd w:val="0"/>
        <w:snapToGrid w:val="0"/>
        <w:spacing w:line="288" w:lineRule="auto"/>
        <w:jc w:val="center"/>
        <w:rPr>
          <w:rFonts w:hAnsi="宋体"/>
          <w:color w:val="auto"/>
          <w:sz w:val="36"/>
          <w:szCs w:val="36"/>
          <w:highlight w:val="none"/>
        </w:rPr>
      </w:pPr>
      <w:r>
        <w:rPr>
          <w:rFonts w:hAnsi="宋体"/>
          <w:color w:val="auto"/>
          <w:sz w:val="36"/>
          <w:szCs w:val="36"/>
          <w:highlight w:val="none"/>
        </w:rPr>
        <w:t>中华人民共和国生态环境部制</w:t>
      </w:r>
    </w:p>
    <w:p w14:paraId="10F51FD9">
      <w:pPr>
        <w:pStyle w:val="100"/>
        <w:framePr w:wrap="around"/>
        <w:ind w:firstLine="480"/>
        <w:rPr>
          <w:color w:val="auto"/>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21F785AE">
      <w:pPr>
        <w:framePr w:wrap="around" w:vAnchor="margin" w:hAnchor="text" w:y="1"/>
        <w:rPr>
          <w:color w:val="auto"/>
          <w:highlight w:val="none"/>
        </w:rPr>
      </w:pPr>
    </w:p>
    <w:p w14:paraId="530C4A28">
      <w:pPr>
        <w:pStyle w:val="59"/>
        <w:tabs>
          <w:tab w:val="right" w:leader="dot" w:pos="8834"/>
        </w:tabs>
        <w:spacing w:line="360" w:lineRule="auto"/>
        <w:jc w:val="center"/>
        <w:rPr>
          <w:rFonts w:ascii="Times New Roman" w:hAnsi="Times New Roman" w:eastAsia="宋体" w:cs="Times New Roman"/>
          <w:color w:val="auto"/>
          <w:sz w:val="30"/>
          <w:szCs w:val="30"/>
          <w:highlight w:val="none"/>
        </w:rPr>
      </w:pPr>
    </w:p>
    <w:p w14:paraId="334B46EF">
      <w:pPr>
        <w:pStyle w:val="59"/>
        <w:tabs>
          <w:tab w:val="right" w:leader="dot" w:pos="8834"/>
        </w:tabs>
        <w:spacing w:line="360" w:lineRule="auto"/>
        <w:jc w:val="center"/>
        <w:rPr>
          <w:rFonts w:ascii="Times New Roman" w:hAnsi="Times New Roman" w:eastAsia="宋体" w:cs="Times New Roman"/>
          <w:color w:val="auto"/>
          <w:sz w:val="30"/>
          <w:szCs w:val="30"/>
          <w:highlight w:val="none"/>
        </w:rPr>
      </w:pPr>
      <w:r>
        <w:rPr>
          <w:rFonts w:ascii="Times New Roman" w:hAnsi="Times New Roman" w:eastAsia="宋体" w:cs="Times New Roman"/>
          <w:color w:val="auto"/>
          <w:sz w:val="30"/>
          <w:szCs w:val="30"/>
          <w:highlight w:val="none"/>
        </w:rPr>
        <w:t>目录</w:t>
      </w:r>
    </w:p>
    <w:p w14:paraId="023AB7E6">
      <w:pPr>
        <w:pStyle w:val="59"/>
        <w:tabs>
          <w:tab w:val="right" w:leader="dot" w:pos="8844"/>
        </w:tabs>
      </w:pPr>
      <w:r>
        <w:rPr>
          <w:rFonts w:eastAsia="宋体"/>
          <w:b w:val="0"/>
          <w:color w:val="auto"/>
          <w:highlight w:val="none"/>
        </w:rPr>
        <w:fldChar w:fldCharType="begin"/>
      </w:r>
      <w:r>
        <w:rPr>
          <w:rFonts w:eastAsia="宋体"/>
          <w:b w:val="0"/>
          <w:color w:val="auto"/>
          <w:highlight w:val="none"/>
        </w:rPr>
        <w:instrText xml:space="preserve"> TOC \o "1-1" \u </w:instrText>
      </w:r>
      <w:r>
        <w:rPr>
          <w:rFonts w:eastAsia="宋体"/>
          <w:b w:val="0"/>
          <w:color w:val="auto"/>
          <w:highlight w:val="none"/>
        </w:rPr>
        <w:fldChar w:fldCharType="separate"/>
      </w:r>
      <w:r>
        <w:rPr>
          <w:rFonts w:hAnsi="宋体"/>
          <w:bCs/>
          <w:color w:val="auto"/>
          <w:szCs w:val="72"/>
          <w:highlight w:val="none"/>
        </w:rPr>
        <w:t>建设项目环境影响报告表</w:t>
      </w:r>
      <w:r>
        <w:tab/>
      </w:r>
      <w:r>
        <w:fldChar w:fldCharType="begin"/>
      </w:r>
      <w:r>
        <w:instrText xml:space="preserve"> PAGEREF _Toc12364 \h </w:instrText>
      </w:r>
      <w:r>
        <w:fldChar w:fldCharType="separate"/>
      </w:r>
      <w:r>
        <w:t>1</w:t>
      </w:r>
      <w:r>
        <w:fldChar w:fldCharType="end"/>
      </w:r>
    </w:p>
    <w:p w14:paraId="53673794">
      <w:pPr>
        <w:pStyle w:val="59"/>
        <w:tabs>
          <w:tab w:val="right" w:leader="dot" w:pos="8844"/>
        </w:tabs>
      </w:pPr>
      <w:r>
        <w:rPr>
          <w:color w:val="auto"/>
          <w:highlight w:val="none"/>
        </w:rPr>
        <w:t>一、建设项目基本情况</w:t>
      </w:r>
      <w:r>
        <w:tab/>
      </w:r>
      <w:r>
        <w:fldChar w:fldCharType="begin"/>
      </w:r>
      <w:r>
        <w:instrText xml:space="preserve"> PAGEREF _Toc8143 \h </w:instrText>
      </w:r>
      <w:r>
        <w:fldChar w:fldCharType="separate"/>
      </w:r>
      <w:r>
        <w:t>1</w:t>
      </w:r>
      <w:r>
        <w:fldChar w:fldCharType="end"/>
      </w:r>
    </w:p>
    <w:p w14:paraId="681C51C2">
      <w:pPr>
        <w:pStyle w:val="59"/>
        <w:tabs>
          <w:tab w:val="right" w:leader="dot" w:pos="8844"/>
        </w:tabs>
      </w:pPr>
      <w:r>
        <w:rPr>
          <w:snapToGrid w:val="0"/>
          <w:color w:val="auto"/>
          <w:highlight w:val="none"/>
        </w:rPr>
        <w:t>二、建设项目工程分析</w:t>
      </w:r>
      <w:r>
        <w:tab/>
      </w:r>
      <w:r>
        <w:fldChar w:fldCharType="begin"/>
      </w:r>
      <w:r>
        <w:instrText xml:space="preserve"> PAGEREF _Toc25140 \h </w:instrText>
      </w:r>
      <w:r>
        <w:fldChar w:fldCharType="separate"/>
      </w:r>
      <w:r>
        <w:t>36</w:t>
      </w:r>
      <w:r>
        <w:fldChar w:fldCharType="end"/>
      </w:r>
    </w:p>
    <w:p w14:paraId="2EE837F5">
      <w:pPr>
        <w:pStyle w:val="59"/>
        <w:tabs>
          <w:tab w:val="right" w:leader="dot" w:pos="8844"/>
        </w:tabs>
        <w:rPr>
          <w:rFonts w:hint="default" w:eastAsiaTheme="minorEastAsia"/>
          <w:lang w:val="en-US" w:eastAsia="zh-CN"/>
        </w:rPr>
      </w:pPr>
      <w:r>
        <w:rPr>
          <w:snapToGrid w:val="0"/>
          <w:color w:val="auto"/>
          <w:highlight w:val="none"/>
        </w:rPr>
        <w:t>三、区域环境质量现状、环境保护目标及评价标准</w:t>
      </w:r>
      <w:r>
        <w:tab/>
      </w:r>
      <w:r>
        <w:rPr>
          <w:rFonts w:hint="eastAsia"/>
          <w:lang w:val="en-US" w:eastAsia="zh-CN"/>
        </w:rPr>
        <w:t>50</w:t>
      </w:r>
    </w:p>
    <w:p w14:paraId="316A2FE4">
      <w:pPr>
        <w:pStyle w:val="59"/>
        <w:tabs>
          <w:tab w:val="right" w:leader="dot" w:pos="8844"/>
        </w:tabs>
      </w:pPr>
      <w:r>
        <w:rPr>
          <w:snapToGrid w:val="0"/>
          <w:color w:val="auto"/>
          <w:highlight w:val="none"/>
        </w:rPr>
        <w:t>四、主要环境影响和保护措施</w:t>
      </w:r>
      <w:r>
        <w:tab/>
      </w:r>
      <w:r>
        <w:fldChar w:fldCharType="begin"/>
      </w:r>
      <w:r>
        <w:instrText xml:space="preserve"> PAGEREF _Toc12470 \h </w:instrText>
      </w:r>
      <w:r>
        <w:fldChar w:fldCharType="separate"/>
      </w:r>
      <w:r>
        <w:t>57</w:t>
      </w:r>
      <w:r>
        <w:fldChar w:fldCharType="end"/>
      </w:r>
    </w:p>
    <w:p w14:paraId="41D09571">
      <w:pPr>
        <w:pStyle w:val="59"/>
        <w:tabs>
          <w:tab w:val="right" w:leader="dot" w:pos="8844"/>
        </w:tabs>
      </w:pPr>
      <w:r>
        <w:rPr>
          <w:snapToGrid w:val="0"/>
          <w:color w:val="auto"/>
          <w:highlight w:val="none"/>
        </w:rPr>
        <w:t>五、环境保护措施监督检查清单</w:t>
      </w:r>
      <w:r>
        <w:tab/>
      </w:r>
      <w:r>
        <w:fldChar w:fldCharType="begin"/>
      </w:r>
      <w:r>
        <w:instrText xml:space="preserve"> PAGEREF _Toc10252 \h </w:instrText>
      </w:r>
      <w:r>
        <w:fldChar w:fldCharType="separate"/>
      </w:r>
      <w:r>
        <w:t>102</w:t>
      </w:r>
      <w:r>
        <w:fldChar w:fldCharType="end"/>
      </w:r>
    </w:p>
    <w:p w14:paraId="2921ECD6">
      <w:pPr>
        <w:pStyle w:val="59"/>
        <w:tabs>
          <w:tab w:val="right" w:leader="dot" w:pos="8844"/>
        </w:tabs>
      </w:pPr>
      <w:r>
        <w:rPr>
          <w:snapToGrid w:val="0"/>
          <w:color w:val="auto"/>
          <w:highlight w:val="none"/>
        </w:rPr>
        <w:t>六、结论</w:t>
      </w:r>
      <w:r>
        <w:tab/>
      </w:r>
      <w:r>
        <w:fldChar w:fldCharType="begin"/>
      </w:r>
      <w:r>
        <w:instrText xml:space="preserve"> PAGEREF _Toc13759 \h </w:instrText>
      </w:r>
      <w:r>
        <w:fldChar w:fldCharType="separate"/>
      </w:r>
      <w:r>
        <w:t>104</w:t>
      </w:r>
      <w:r>
        <w:fldChar w:fldCharType="end"/>
      </w:r>
    </w:p>
    <w:p w14:paraId="79B705AD">
      <w:pPr>
        <w:pStyle w:val="59"/>
        <w:tabs>
          <w:tab w:val="right" w:leader="dot" w:pos="8844"/>
        </w:tabs>
      </w:pPr>
      <w:r>
        <w:rPr>
          <w:bCs/>
          <w:snapToGrid w:val="0"/>
          <w:color w:val="auto"/>
          <w:highlight w:val="none"/>
        </w:rPr>
        <w:t>附表</w:t>
      </w:r>
      <w:r>
        <w:tab/>
      </w:r>
      <w:r>
        <w:fldChar w:fldCharType="begin"/>
      </w:r>
      <w:r>
        <w:instrText xml:space="preserve"> PAGEREF _Toc9634 \h </w:instrText>
      </w:r>
      <w:r>
        <w:fldChar w:fldCharType="separate"/>
      </w:r>
      <w:r>
        <w:t>105</w:t>
      </w:r>
      <w:r>
        <w:fldChar w:fldCharType="end"/>
      </w:r>
    </w:p>
    <w:p w14:paraId="28BC6089">
      <w:pPr>
        <w:pStyle w:val="59"/>
        <w:tabs>
          <w:tab w:val="right" w:leader="dot" w:pos="8844"/>
        </w:tabs>
      </w:pPr>
      <w:r>
        <w:rPr>
          <w:snapToGrid w:val="0"/>
          <w:color w:val="auto"/>
          <w:szCs w:val="30"/>
          <w:highlight w:val="none"/>
        </w:rPr>
        <w:t>建设项目污染物排放量汇总表</w:t>
      </w:r>
      <w:r>
        <w:tab/>
      </w:r>
      <w:r>
        <w:fldChar w:fldCharType="begin"/>
      </w:r>
      <w:r>
        <w:instrText xml:space="preserve"> PAGEREF _Toc12086 \h </w:instrText>
      </w:r>
      <w:r>
        <w:fldChar w:fldCharType="separate"/>
      </w:r>
      <w:r>
        <w:t>105</w:t>
      </w:r>
      <w:r>
        <w:fldChar w:fldCharType="end"/>
      </w:r>
    </w:p>
    <w:p w14:paraId="6AF5E8D6">
      <w:pPr>
        <w:adjustRightInd w:val="0"/>
        <w:snapToGrid w:val="0"/>
        <w:spacing w:line="360" w:lineRule="auto"/>
        <w:jc w:val="left"/>
        <w:rPr>
          <w:b/>
          <w:bCs/>
          <w:color w:val="auto"/>
          <w:sz w:val="28"/>
          <w:szCs w:val="28"/>
          <w:highlight w:val="none"/>
        </w:rPr>
      </w:pPr>
      <w:r>
        <w:rPr>
          <w:rFonts w:eastAsia="宋体"/>
          <w:color w:val="auto"/>
          <w:kern w:val="0"/>
          <w:highlight w:val="none"/>
        </w:rPr>
        <w:fldChar w:fldCharType="end"/>
      </w:r>
    </w:p>
    <w:p w14:paraId="0855D505">
      <w:pPr>
        <w:adjustRightInd w:val="0"/>
        <w:snapToGrid w:val="0"/>
        <w:spacing w:line="360" w:lineRule="auto"/>
        <w:jc w:val="left"/>
        <w:rPr>
          <w:b/>
          <w:bCs/>
          <w:color w:val="auto"/>
          <w:sz w:val="28"/>
          <w:szCs w:val="28"/>
          <w:highlight w:val="none"/>
        </w:rPr>
      </w:pPr>
    </w:p>
    <w:p w14:paraId="27EF98E1">
      <w:pPr>
        <w:adjustRightInd w:val="0"/>
        <w:snapToGrid w:val="0"/>
        <w:spacing w:line="360" w:lineRule="auto"/>
        <w:jc w:val="left"/>
        <w:rPr>
          <w:b/>
          <w:bCs/>
          <w:color w:val="auto"/>
          <w:sz w:val="28"/>
          <w:szCs w:val="28"/>
          <w:highlight w:val="none"/>
        </w:rPr>
      </w:pPr>
    </w:p>
    <w:p w14:paraId="3C6339B3">
      <w:pPr>
        <w:adjustRightInd w:val="0"/>
        <w:snapToGrid w:val="0"/>
        <w:spacing w:line="360" w:lineRule="auto"/>
        <w:jc w:val="left"/>
        <w:rPr>
          <w:b/>
          <w:bCs/>
          <w:color w:val="auto"/>
          <w:sz w:val="28"/>
          <w:szCs w:val="28"/>
          <w:highlight w:val="none"/>
        </w:rPr>
      </w:pPr>
    </w:p>
    <w:p w14:paraId="3130D5A2">
      <w:pPr>
        <w:adjustRightInd w:val="0"/>
        <w:snapToGrid w:val="0"/>
        <w:spacing w:line="360" w:lineRule="auto"/>
        <w:jc w:val="left"/>
        <w:rPr>
          <w:b/>
          <w:bCs/>
          <w:color w:val="auto"/>
          <w:sz w:val="28"/>
          <w:szCs w:val="28"/>
          <w:highlight w:val="none"/>
        </w:rPr>
      </w:pPr>
    </w:p>
    <w:p w14:paraId="37583316">
      <w:pPr>
        <w:adjustRightInd w:val="0"/>
        <w:snapToGrid w:val="0"/>
        <w:spacing w:line="360" w:lineRule="auto"/>
        <w:jc w:val="left"/>
        <w:rPr>
          <w:b/>
          <w:bCs/>
          <w:color w:val="auto"/>
          <w:sz w:val="28"/>
          <w:szCs w:val="28"/>
          <w:highlight w:val="none"/>
        </w:rPr>
      </w:pPr>
    </w:p>
    <w:p w14:paraId="3AB7B362">
      <w:pPr>
        <w:adjustRightInd w:val="0"/>
        <w:snapToGrid w:val="0"/>
        <w:spacing w:line="360" w:lineRule="auto"/>
        <w:jc w:val="left"/>
        <w:rPr>
          <w:b/>
          <w:bCs/>
          <w:color w:val="auto"/>
          <w:sz w:val="28"/>
          <w:szCs w:val="28"/>
          <w:highlight w:val="none"/>
        </w:rPr>
      </w:pPr>
    </w:p>
    <w:p w14:paraId="4236D47D">
      <w:pPr>
        <w:adjustRightInd w:val="0"/>
        <w:snapToGrid w:val="0"/>
        <w:spacing w:line="360" w:lineRule="auto"/>
        <w:jc w:val="left"/>
        <w:rPr>
          <w:b/>
          <w:bCs/>
          <w:color w:val="auto"/>
          <w:sz w:val="28"/>
          <w:szCs w:val="28"/>
          <w:highlight w:val="none"/>
        </w:rPr>
      </w:pPr>
    </w:p>
    <w:p w14:paraId="377A60E8">
      <w:pPr>
        <w:adjustRightInd w:val="0"/>
        <w:snapToGrid w:val="0"/>
        <w:spacing w:line="360" w:lineRule="auto"/>
        <w:jc w:val="left"/>
        <w:rPr>
          <w:b/>
          <w:bCs/>
          <w:color w:val="auto"/>
          <w:sz w:val="28"/>
          <w:szCs w:val="28"/>
          <w:highlight w:val="none"/>
        </w:rPr>
      </w:pPr>
    </w:p>
    <w:p w14:paraId="10C31B19">
      <w:pPr>
        <w:adjustRightInd w:val="0"/>
        <w:snapToGrid w:val="0"/>
        <w:spacing w:line="360" w:lineRule="auto"/>
        <w:jc w:val="left"/>
        <w:rPr>
          <w:b/>
          <w:bCs/>
          <w:color w:val="auto"/>
          <w:sz w:val="28"/>
          <w:szCs w:val="28"/>
          <w:highlight w:val="none"/>
        </w:rPr>
      </w:pPr>
    </w:p>
    <w:p w14:paraId="5E9D5B4A">
      <w:pPr>
        <w:adjustRightInd w:val="0"/>
        <w:snapToGrid w:val="0"/>
        <w:spacing w:line="360" w:lineRule="auto"/>
        <w:jc w:val="left"/>
        <w:rPr>
          <w:b/>
          <w:bCs/>
          <w:color w:val="auto"/>
          <w:sz w:val="28"/>
          <w:szCs w:val="28"/>
          <w:highlight w:val="none"/>
        </w:rPr>
      </w:pPr>
    </w:p>
    <w:p w14:paraId="0D9AF8B0">
      <w:pPr>
        <w:adjustRightInd w:val="0"/>
        <w:snapToGrid w:val="0"/>
        <w:spacing w:line="360" w:lineRule="auto"/>
        <w:jc w:val="left"/>
        <w:rPr>
          <w:b/>
          <w:bCs/>
          <w:color w:val="auto"/>
          <w:sz w:val="28"/>
          <w:szCs w:val="28"/>
          <w:highlight w:val="none"/>
        </w:rPr>
      </w:pPr>
    </w:p>
    <w:p w14:paraId="54C99E0B">
      <w:pPr>
        <w:adjustRightInd w:val="0"/>
        <w:snapToGrid w:val="0"/>
        <w:spacing w:line="360" w:lineRule="auto"/>
        <w:jc w:val="left"/>
        <w:rPr>
          <w:b/>
          <w:bCs/>
          <w:color w:val="auto"/>
          <w:sz w:val="28"/>
          <w:szCs w:val="28"/>
          <w:highlight w:val="none"/>
        </w:rPr>
      </w:pPr>
    </w:p>
    <w:p w14:paraId="5FDE875D">
      <w:pPr>
        <w:adjustRightInd w:val="0"/>
        <w:snapToGrid w:val="0"/>
        <w:spacing w:line="360" w:lineRule="auto"/>
        <w:jc w:val="left"/>
        <w:rPr>
          <w:b/>
          <w:bCs/>
          <w:color w:val="auto"/>
          <w:sz w:val="28"/>
          <w:szCs w:val="28"/>
          <w:highlight w:val="none"/>
        </w:rPr>
      </w:pPr>
    </w:p>
    <w:p w14:paraId="6E1733AC">
      <w:pPr>
        <w:adjustRightInd w:val="0"/>
        <w:snapToGrid w:val="0"/>
        <w:spacing w:line="360" w:lineRule="auto"/>
        <w:jc w:val="left"/>
        <w:rPr>
          <w:b/>
          <w:bCs/>
          <w:color w:val="auto"/>
          <w:sz w:val="28"/>
          <w:szCs w:val="28"/>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38F4B59">
      <w:pPr>
        <w:rPr>
          <w:color w:val="auto"/>
          <w:highlight w:val="none"/>
        </w:rPr>
      </w:pPr>
    </w:p>
    <w:p w14:paraId="1B06C3C4">
      <w:pPr>
        <w:pStyle w:val="100"/>
        <w:framePr w:wrap="around"/>
        <w:ind w:firstLine="480"/>
        <w:rPr>
          <w:color w:val="auto"/>
          <w:highlight w:val="none"/>
        </w:rPr>
      </w:pPr>
    </w:p>
    <w:p w14:paraId="7A735823">
      <w:pPr>
        <w:adjustRightInd w:val="0"/>
        <w:snapToGrid w:val="0"/>
        <w:spacing w:line="360" w:lineRule="auto"/>
        <w:jc w:val="left"/>
        <w:rPr>
          <w:b/>
          <w:bCs/>
          <w:color w:val="auto"/>
          <w:sz w:val="28"/>
          <w:szCs w:val="28"/>
          <w:highlight w:val="none"/>
        </w:rPr>
      </w:pPr>
      <w:r>
        <w:rPr>
          <w:rFonts w:hint="eastAsia"/>
          <w:b/>
          <w:bCs/>
          <w:color w:val="auto"/>
          <w:sz w:val="28"/>
          <w:szCs w:val="28"/>
          <w:highlight w:val="none"/>
        </w:rPr>
        <w:t>附件</w:t>
      </w:r>
    </w:p>
    <w:p w14:paraId="27FF0D2C">
      <w:pPr>
        <w:adjustRightInd w:val="0"/>
        <w:snapToGrid w:val="0"/>
        <w:spacing w:line="360" w:lineRule="auto"/>
        <w:jc w:val="left"/>
        <w:rPr>
          <w:color w:val="auto"/>
          <w:sz w:val="24"/>
          <w:highlight w:val="none"/>
        </w:rPr>
      </w:pPr>
      <w:r>
        <w:rPr>
          <w:rFonts w:hint="eastAsia"/>
          <w:color w:val="auto"/>
          <w:sz w:val="24"/>
          <w:highlight w:val="none"/>
        </w:rPr>
        <w:t>附件1备案证</w:t>
      </w:r>
    </w:p>
    <w:p w14:paraId="125C0EC3">
      <w:pPr>
        <w:adjustRightInd w:val="0"/>
        <w:snapToGrid w:val="0"/>
        <w:spacing w:line="360" w:lineRule="auto"/>
        <w:jc w:val="left"/>
        <w:rPr>
          <w:color w:val="auto"/>
          <w:sz w:val="24"/>
          <w:highlight w:val="none"/>
        </w:rPr>
      </w:pPr>
      <w:r>
        <w:rPr>
          <w:rFonts w:hint="eastAsia"/>
          <w:color w:val="auto"/>
          <w:sz w:val="24"/>
          <w:highlight w:val="none"/>
        </w:rPr>
        <w:t>附件2营业执照</w:t>
      </w:r>
    </w:p>
    <w:p w14:paraId="421EBA5A">
      <w:pPr>
        <w:adjustRightInd w:val="0"/>
        <w:snapToGrid w:val="0"/>
        <w:spacing w:line="360" w:lineRule="auto"/>
        <w:jc w:val="left"/>
        <w:rPr>
          <w:color w:val="auto"/>
          <w:sz w:val="24"/>
          <w:highlight w:val="none"/>
        </w:rPr>
      </w:pPr>
      <w:r>
        <w:rPr>
          <w:rFonts w:hint="eastAsia"/>
          <w:color w:val="auto"/>
          <w:sz w:val="24"/>
          <w:highlight w:val="none"/>
        </w:rPr>
        <w:t>附件3法人身份证</w:t>
      </w:r>
    </w:p>
    <w:p w14:paraId="3079D85E">
      <w:pPr>
        <w:adjustRightInd w:val="0"/>
        <w:snapToGrid w:val="0"/>
        <w:spacing w:line="360" w:lineRule="auto"/>
        <w:jc w:val="left"/>
        <w:rPr>
          <w:color w:val="auto"/>
          <w:sz w:val="24"/>
          <w:highlight w:val="none"/>
        </w:rPr>
      </w:pPr>
      <w:r>
        <w:rPr>
          <w:rFonts w:hint="eastAsia"/>
          <w:color w:val="auto"/>
          <w:sz w:val="24"/>
          <w:highlight w:val="none"/>
        </w:rPr>
        <w:t>附件4</w:t>
      </w:r>
      <w:r>
        <w:rPr>
          <w:rFonts w:hint="eastAsia"/>
          <w:color w:val="auto"/>
          <w:sz w:val="24"/>
          <w:highlight w:val="none"/>
          <w:lang w:eastAsia="zh-CN"/>
        </w:rPr>
        <w:t>国有建设用地使用权出让</w:t>
      </w:r>
      <w:r>
        <w:rPr>
          <w:rFonts w:hint="eastAsia"/>
          <w:color w:val="auto"/>
          <w:sz w:val="24"/>
          <w:highlight w:val="none"/>
        </w:rPr>
        <w:t>合同</w:t>
      </w:r>
    </w:p>
    <w:p w14:paraId="34FD91A2">
      <w:pPr>
        <w:adjustRightInd w:val="0"/>
        <w:snapToGrid w:val="0"/>
        <w:spacing w:line="360" w:lineRule="auto"/>
        <w:jc w:val="left"/>
        <w:rPr>
          <w:color w:val="auto"/>
          <w:sz w:val="24"/>
          <w:highlight w:val="none"/>
        </w:rPr>
      </w:pPr>
      <w:r>
        <w:rPr>
          <w:rFonts w:hint="eastAsia"/>
          <w:color w:val="auto"/>
          <w:sz w:val="24"/>
          <w:highlight w:val="none"/>
        </w:rPr>
        <w:t>附件5</w:t>
      </w:r>
      <w:r>
        <w:rPr>
          <w:rFonts w:hint="eastAsia"/>
          <w:color w:val="auto"/>
          <w:sz w:val="24"/>
          <w:highlight w:val="none"/>
          <w:lang w:val="en-US" w:eastAsia="zh-CN"/>
        </w:rPr>
        <w:t>委托书</w:t>
      </w:r>
    </w:p>
    <w:p w14:paraId="15A79701">
      <w:pPr>
        <w:adjustRightInd w:val="0"/>
        <w:snapToGrid w:val="0"/>
        <w:spacing w:line="360" w:lineRule="auto"/>
        <w:jc w:val="left"/>
        <w:rPr>
          <w:color w:val="auto"/>
          <w:sz w:val="24"/>
          <w:highlight w:val="none"/>
        </w:rPr>
      </w:pPr>
      <w:r>
        <w:rPr>
          <w:rFonts w:hint="eastAsia"/>
          <w:color w:val="auto"/>
          <w:sz w:val="24"/>
          <w:highlight w:val="none"/>
        </w:rPr>
        <w:t>附件</w:t>
      </w:r>
      <w:r>
        <w:rPr>
          <w:rFonts w:hint="eastAsia"/>
          <w:color w:val="auto"/>
          <w:sz w:val="24"/>
          <w:highlight w:val="none"/>
          <w:lang w:val="en-US" w:eastAsia="zh-CN"/>
        </w:rPr>
        <w:t>6</w:t>
      </w:r>
      <w:r>
        <w:rPr>
          <w:rFonts w:hint="eastAsia"/>
          <w:color w:val="auto"/>
          <w:sz w:val="24"/>
          <w:highlight w:val="none"/>
        </w:rPr>
        <w:t>建设单位承诺书</w:t>
      </w:r>
    </w:p>
    <w:p w14:paraId="33DC34F3">
      <w:pPr>
        <w:adjustRightInd w:val="0"/>
        <w:snapToGrid w:val="0"/>
        <w:spacing w:line="360" w:lineRule="auto"/>
        <w:jc w:val="left"/>
        <w:rPr>
          <w:color w:val="auto"/>
          <w:sz w:val="24"/>
          <w:highlight w:val="none"/>
        </w:rPr>
      </w:pPr>
      <w:r>
        <w:rPr>
          <w:rFonts w:hint="eastAsia"/>
          <w:color w:val="auto"/>
          <w:sz w:val="24"/>
          <w:highlight w:val="none"/>
        </w:rPr>
        <w:t>附件</w:t>
      </w:r>
      <w:r>
        <w:rPr>
          <w:rFonts w:hint="eastAsia"/>
          <w:color w:val="auto"/>
          <w:sz w:val="24"/>
          <w:highlight w:val="none"/>
          <w:lang w:val="en-US" w:eastAsia="zh-CN"/>
        </w:rPr>
        <w:t>7</w:t>
      </w:r>
      <w:r>
        <w:rPr>
          <w:rFonts w:hint="eastAsia"/>
          <w:color w:val="auto"/>
          <w:sz w:val="24"/>
          <w:highlight w:val="none"/>
        </w:rPr>
        <w:t>建设项目环境影响评价文件报批申请书</w:t>
      </w:r>
    </w:p>
    <w:p w14:paraId="29A752CD">
      <w:pPr>
        <w:adjustRightInd w:val="0"/>
        <w:snapToGrid w:val="0"/>
        <w:spacing w:line="360" w:lineRule="auto"/>
        <w:jc w:val="left"/>
        <w:rPr>
          <w:color w:val="auto"/>
          <w:sz w:val="24"/>
          <w:highlight w:val="none"/>
        </w:rPr>
      </w:pPr>
      <w:r>
        <w:rPr>
          <w:rFonts w:hint="eastAsia"/>
          <w:color w:val="auto"/>
          <w:sz w:val="24"/>
          <w:highlight w:val="none"/>
        </w:rPr>
        <w:t>附件</w:t>
      </w:r>
      <w:r>
        <w:rPr>
          <w:rFonts w:hint="eastAsia"/>
          <w:color w:val="auto"/>
          <w:sz w:val="24"/>
          <w:highlight w:val="none"/>
          <w:lang w:val="en-US" w:eastAsia="zh-CN"/>
        </w:rPr>
        <w:t>8</w:t>
      </w:r>
      <w:r>
        <w:rPr>
          <w:rFonts w:hint="eastAsia"/>
          <w:color w:val="auto"/>
          <w:sz w:val="24"/>
          <w:highlight w:val="none"/>
        </w:rPr>
        <w:t>政府信息公开删除内容申请表</w:t>
      </w:r>
    </w:p>
    <w:p w14:paraId="076E2AEB">
      <w:pPr>
        <w:adjustRightInd w:val="0"/>
        <w:snapToGrid w:val="0"/>
        <w:spacing w:line="360" w:lineRule="auto"/>
        <w:jc w:val="left"/>
        <w:rPr>
          <w:color w:val="auto"/>
          <w:sz w:val="24"/>
          <w:highlight w:val="none"/>
        </w:rPr>
      </w:pPr>
      <w:r>
        <w:rPr>
          <w:rFonts w:hint="eastAsia"/>
          <w:color w:val="auto"/>
          <w:sz w:val="24"/>
          <w:highlight w:val="none"/>
        </w:rPr>
        <w:t>附件</w:t>
      </w:r>
      <w:r>
        <w:rPr>
          <w:rFonts w:hint="eastAsia"/>
          <w:color w:val="auto"/>
          <w:sz w:val="24"/>
          <w:highlight w:val="none"/>
          <w:lang w:val="en-US" w:eastAsia="zh-CN"/>
        </w:rPr>
        <w:t>9</w:t>
      </w:r>
      <w:r>
        <w:rPr>
          <w:rFonts w:hint="eastAsia"/>
          <w:color w:val="auto"/>
          <w:sz w:val="24"/>
          <w:highlight w:val="none"/>
        </w:rPr>
        <w:t xml:space="preserve"> MSDS</w:t>
      </w:r>
    </w:p>
    <w:p w14:paraId="4CB24605">
      <w:pPr>
        <w:adjustRightInd w:val="0"/>
        <w:snapToGrid w:val="0"/>
        <w:spacing w:line="360" w:lineRule="auto"/>
        <w:jc w:val="left"/>
        <w:rPr>
          <w:color w:val="auto"/>
          <w:sz w:val="24"/>
          <w:highlight w:val="none"/>
        </w:rPr>
      </w:pPr>
      <w:r>
        <w:rPr>
          <w:rFonts w:hint="eastAsia"/>
          <w:color w:val="auto"/>
          <w:sz w:val="24"/>
          <w:highlight w:val="none"/>
          <w:lang w:val="en-US" w:eastAsia="zh-CN"/>
        </w:rPr>
        <w:t xml:space="preserve">附件10 </w:t>
      </w:r>
      <w:r>
        <w:rPr>
          <w:rFonts w:hint="eastAsia"/>
          <w:color w:val="auto"/>
          <w:sz w:val="24"/>
          <w:highlight w:val="none"/>
        </w:rPr>
        <w:t>生态环境分区管控综合查询报告</w:t>
      </w:r>
    </w:p>
    <w:p w14:paraId="7D6BE1A1">
      <w:pPr>
        <w:pStyle w:val="100"/>
        <w:framePr w:wrap="around"/>
        <w:ind w:firstLine="480"/>
        <w:rPr>
          <w:color w:val="auto"/>
          <w:highlight w:val="none"/>
        </w:rPr>
      </w:pPr>
    </w:p>
    <w:p w14:paraId="242951D1">
      <w:pPr>
        <w:adjustRightInd w:val="0"/>
        <w:snapToGrid w:val="0"/>
        <w:spacing w:line="360" w:lineRule="auto"/>
        <w:jc w:val="left"/>
        <w:rPr>
          <w:rFonts w:hint="eastAsia"/>
          <w:color w:val="auto"/>
          <w:sz w:val="24"/>
          <w:highlight w:val="none"/>
          <w:lang w:val="en-US" w:eastAsia="zh-CN"/>
        </w:rPr>
      </w:pPr>
      <w:r>
        <w:rPr>
          <w:rFonts w:hint="eastAsia"/>
          <w:color w:val="auto"/>
          <w:sz w:val="24"/>
          <w:highlight w:val="none"/>
          <w:lang w:val="en-US" w:eastAsia="zh-CN"/>
        </w:rPr>
        <w:t>附件11 公示截图</w:t>
      </w:r>
    </w:p>
    <w:p w14:paraId="3536DF51">
      <w:pPr>
        <w:adjustRightInd w:val="0"/>
        <w:snapToGrid w:val="0"/>
        <w:spacing w:line="360" w:lineRule="auto"/>
        <w:jc w:val="left"/>
        <w:rPr>
          <w:rFonts w:hint="default"/>
          <w:color w:val="auto"/>
          <w:sz w:val="24"/>
          <w:highlight w:val="none"/>
          <w:lang w:val="en-US" w:eastAsia="zh-CN"/>
        </w:rPr>
      </w:pPr>
      <w:r>
        <w:rPr>
          <w:rFonts w:hint="default"/>
          <w:color w:val="auto"/>
          <w:sz w:val="24"/>
          <w:highlight w:val="none"/>
          <w:lang w:val="en-US" w:eastAsia="zh-CN"/>
        </w:rPr>
        <w:t>附件1</w:t>
      </w:r>
      <w:r>
        <w:rPr>
          <w:rFonts w:hint="eastAsia"/>
          <w:color w:val="auto"/>
          <w:sz w:val="24"/>
          <w:highlight w:val="none"/>
          <w:lang w:val="en-US" w:eastAsia="zh-CN"/>
        </w:rPr>
        <w:t>2</w:t>
      </w:r>
      <w:r>
        <w:rPr>
          <w:rFonts w:hint="default"/>
          <w:color w:val="auto"/>
          <w:sz w:val="24"/>
          <w:highlight w:val="none"/>
          <w:lang w:val="en-US" w:eastAsia="zh-CN"/>
        </w:rPr>
        <w:t xml:space="preserve"> 建设项目现场</w:t>
      </w:r>
      <w:r>
        <w:rPr>
          <w:rFonts w:hint="eastAsia"/>
          <w:color w:val="auto"/>
          <w:sz w:val="24"/>
          <w:highlight w:val="none"/>
          <w:lang w:val="en-US" w:eastAsia="zh-CN"/>
        </w:rPr>
        <w:t>检查</w:t>
      </w:r>
      <w:r>
        <w:rPr>
          <w:rFonts w:hint="default"/>
          <w:color w:val="auto"/>
          <w:sz w:val="24"/>
          <w:highlight w:val="none"/>
          <w:lang w:val="en-US" w:eastAsia="zh-CN"/>
        </w:rPr>
        <w:t>记录</w:t>
      </w:r>
    </w:p>
    <w:p w14:paraId="21AB90D4">
      <w:pPr>
        <w:framePr w:wrap="around" w:vAnchor="margin" w:hAnchor="text" w:y="1"/>
        <w:adjustRightInd w:val="0"/>
        <w:snapToGrid w:val="0"/>
        <w:spacing w:line="360" w:lineRule="auto"/>
        <w:jc w:val="left"/>
        <w:rPr>
          <w:rFonts w:hint="eastAsia"/>
          <w:color w:val="auto"/>
          <w:sz w:val="24"/>
          <w:highlight w:val="none"/>
        </w:rPr>
      </w:pPr>
    </w:p>
    <w:p w14:paraId="0A4A20BF">
      <w:pPr>
        <w:rPr>
          <w:color w:val="auto"/>
          <w:highlight w:val="none"/>
        </w:rPr>
      </w:pPr>
    </w:p>
    <w:p w14:paraId="595293E8">
      <w:pPr>
        <w:pStyle w:val="100"/>
        <w:framePr w:wrap="around"/>
        <w:ind w:firstLine="480"/>
        <w:rPr>
          <w:color w:val="auto"/>
          <w:highlight w:val="none"/>
        </w:rPr>
      </w:pPr>
    </w:p>
    <w:p w14:paraId="01F1CE77">
      <w:pPr>
        <w:adjustRightInd w:val="0"/>
        <w:snapToGrid w:val="0"/>
        <w:spacing w:line="360" w:lineRule="auto"/>
        <w:jc w:val="left"/>
        <w:rPr>
          <w:color w:val="auto"/>
          <w:sz w:val="24"/>
          <w:highlight w:val="none"/>
        </w:rPr>
      </w:pPr>
    </w:p>
    <w:p w14:paraId="6D2C3FF3">
      <w:pPr>
        <w:adjustRightInd w:val="0"/>
        <w:snapToGrid w:val="0"/>
        <w:spacing w:line="360" w:lineRule="auto"/>
        <w:jc w:val="left"/>
        <w:rPr>
          <w:b/>
          <w:bCs/>
          <w:color w:val="auto"/>
          <w:sz w:val="28"/>
          <w:szCs w:val="28"/>
          <w:highlight w:val="none"/>
        </w:rPr>
      </w:pPr>
      <w:r>
        <w:rPr>
          <w:rFonts w:hint="eastAsia"/>
          <w:b/>
          <w:bCs/>
          <w:color w:val="auto"/>
          <w:sz w:val="28"/>
          <w:szCs w:val="28"/>
          <w:highlight w:val="none"/>
        </w:rPr>
        <w:t>附图</w:t>
      </w:r>
    </w:p>
    <w:p w14:paraId="3774555B">
      <w:pPr>
        <w:adjustRightInd w:val="0"/>
        <w:snapToGrid w:val="0"/>
        <w:spacing w:line="360" w:lineRule="auto"/>
        <w:jc w:val="left"/>
        <w:rPr>
          <w:color w:val="auto"/>
          <w:sz w:val="24"/>
          <w:highlight w:val="none"/>
        </w:rPr>
      </w:pPr>
      <w:r>
        <w:rPr>
          <w:rFonts w:hint="eastAsia"/>
          <w:color w:val="auto"/>
          <w:sz w:val="24"/>
          <w:highlight w:val="none"/>
        </w:rPr>
        <w:t>附图</w:t>
      </w:r>
      <w:r>
        <w:rPr>
          <w:color w:val="auto"/>
          <w:sz w:val="24"/>
          <w:highlight w:val="none"/>
        </w:rPr>
        <w:t>1</w:t>
      </w:r>
      <w:r>
        <w:rPr>
          <w:rFonts w:hint="eastAsia"/>
          <w:color w:val="auto"/>
          <w:sz w:val="24"/>
          <w:highlight w:val="none"/>
        </w:rPr>
        <w:t>建设项目与江苏省生态保护红线位置关系图</w:t>
      </w:r>
    </w:p>
    <w:p w14:paraId="6BE6E145">
      <w:pPr>
        <w:adjustRightInd w:val="0"/>
        <w:snapToGrid w:val="0"/>
        <w:spacing w:line="360" w:lineRule="auto"/>
        <w:jc w:val="left"/>
        <w:rPr>
          <w:color w:val="auto"/>
          <w:sz w:val="24"/>
          <w:highlight w:val="none"/>
        </w:rPr>
      </w:pPr>
      <w:r>
        <w:rPr>
          <w:rFonts w:hint="eastAsia"/>
          <w:color w:val="auto"/>
          <w:sz w:val="24"/>
          <w:highlight w:val="none"/>
        </w:rPr>
        <w:t>附图2建设项目与江苏省生态空间管控区域位置关系图</w:t>
      </w:r>
    </w:p>
    <w:p w14:paraId="4ADCB7FB">
      <w:pPr>
        <w:adjustRightInd w:val="0"/>
        <w:snapToGrid w:val="0"/>
        <w:spacing w:line="360" w:lineRule="auto"/>
        <w:jc w:val="left"/>
        <w:rPr>
          <w:color w:val="auto"/>
          <w:sz w:val="24"/>
          <w:highlight w:val="none"/>
        </w:rPr>
      </w:pPr>
      <w:r>
        <w:rPr>
          <w:rFonts w:hint="eastAsia"/>
          <w:color w:val="auto"/>
          <w:sz w:val="24"/>
          <w:highlight w:val="none"/>
        </w:rPr>
        <w:t>附图3建设项目与淮安市环境单元位置关系图</w:t>
      </w:r>
    </w:p>
    <w:p w14:paraId="4CC71ED7">
      <w:pPr>
        <w:adjustRightInd w:val="0"/>
        <w:snapToGrid w:val="0"/>
        <w:spacing w:line="360" w:lineRule="auto"/>
        <w:jc w:val="left"/>
        <w:rPr>
          <w:color w:val="auto"/>
          <w:sz w:val="24"/>
          <w:highlight w:val="none"/>
        </w:rPr>
      </w:pPr>
      <w:r>
        <w:rPr>
          <w:rFonts w:hint="eastAsia"/>
          <w:color w:val="auto"/>
          <w:sz w:val="24"/>
          <w:highlight w:val="none"/>
        </w:rPr>
        <w:t>附图4建设项目地理位置</w:t>
      </w:r>
    </w:p>
    <w:p w14:paraId="6A5C8B26">
      <w:pPr>
        <w:adjustRightInd w:val="0"/>
        <w:snapToGrid w:val="0"/>
        <w:spacing w:line="360" w:lineRule="auto"/>
        <w:jc w:val="left"/>
        <w:rPr>
          <w:color w:val="auto"/>
          <w:sz w:val="24"/>
          <w:highlight w:val="none"/>
        </w:rPr>
      </w:pPr>
      <w:r>
        <w:rPr>
          <w:rFonts w:hint="eastAsia"/>
          <w:color w:val="auto"/>
          <w:sz w:val="24"/>
          <w:highlight w:val="none"/>
        </w:rPr>
        <w:t>附图5建设项目周边状况图</w:t>
      </w:r>
    </w:p>
    <w:p w14:paraId="5E7E246D">
      <w:pPr>
        <w:adjustRightInd w:val="0"/>
        <w:snapToGrid w:val="0"/>
        <w:spacing w:line="360" w:lineRule="auto"/>
        <w:jc w:val="left"/>
        <w:rPr>
          <w:rFonts w:hint="eastAsia"/>
          <w:color w:val="auto"/>
          <w:sz w:val="24"/>
          <w:highlight w:val="none"/>
        </w:rPr>
      </w:pPr>
      <w:r>
        <w:rPr>
          <w:rFonts w:hint="eastAsia"/>
          <w:color w:val="auto"/>
          <w:sz w:val="24"/>
          <w:highlight w:val="none"/>
        </w:rPr>
        <w:t>附图6建设项目</w:t>
      </w:r>
      <w:r>
        <w:rPr>
          <w:rFonts w:hint="eastAsia"/>
          <w:color w:val="auto"/>
          <w:sz w:val="24"/>
          <w:highlight w:val="none"/>
          <w:lang w:val="en-US" w:eastAsia="zh-CN"/>
        </w:rPr>
        <w:t>厂区</w:t>
      </w:r>
      <w:r>
        <w:rPr>
          <w:rFonts w:hint="eastAsia"/>
          <w:color w:val="auto"/>
          <w:sz w:val="24"/>
          <w:highlight w:val="none"/>
        </w:rPr>
        <w:t>平面布置图</w:t>
      </w:r>
    </w:p>
    <w:p w14:paraId="66DA0467">
      <w:pPr>
        <w:adjustRightInd w:val="0"/>
        <w:snapToGrid w:val="0"/>
        <w:spacing w:line="360" w:lineRule="auto"/>
        <w:jc w:val="left"/>
        <w:rPr>
          <w:color w:val="auto"/>
          <w:sz w:val="24"/>
          <w:highlight w:val="none"/>
        </w:rPr>
      </w:pPr>
      <w:r>
        <w:rPr>
          <w:rFonts w:hint="eastAsia"/>
          <w:color w:val="auto"/>
          <w:sz w:val="24"/>
          <w:highlight w:val="none"/>
        </w:rPr>
        <w:t>附图</w:t>
      </w:r>
      <w:r>
        <w:rPr>
          <w:rFonts w:hint="eastAsia"/>
          <w:color w:val="auto"/>
          <w:sz w:val="24"/>
          <w:highlight w:val="none"/>
          <w:lang w:val="en-US" w:eastAsia="zh-CN"/>
        </w:rPr>
        <w:t>7</w:t>
      </w:r>
      <w:r>
        <w:rPr>
          <w:rFonts w:hint="eastAsia"/>
          <w:color w:val="auto"/>
          <w:sz w:val="24"/>
          <w:highlight w:val="none"/>
        </w:rPr>
        <w:t>建设项目生产车间平面布置图</w:t>
      </w:r>
    </w:p>
    <w:p w14:paraId="0567C09F">
      <w:pPr>
        <w:pStyle w:val="100"/>
        <w:framePr w:wrap="around"/>
        <w:ind w:firstLine="480"/>
        <w:rPr>
          <w:color w:val="auto"/>
          <w:highlight w:val="none"/>
        </w:rPr>
      </w:pPr>
    </w:p>
    <w:p w14:paraId="38641369">
      <w:pPr>
        <w:rPr>
          <w:color w:val="auto"/>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58D7199">
      <w:pPr>
        <w:pStyle w:val="81"/>
        <w:rPr>
          <w:color w:val="auto"/>
          <w:highlight w:val="none"/>
        </w:rPr>
      </w:pPr>
      <w:bookmarkStart w:id="4" w:name="_Toc8143"/>
      <w:bookmarkStart w:id="5" w:name="_Toc8954"/>
      <w:r>
        <w:rPr>
          <w:color w:val="auto"/>
          <w:highlight w:val="none"/>
        </w:rPr>
        <w:t>一、建设项目基本情况</w:t>
      </w:r>
      <w:bookmarkEnd w:id="4"/>
      <w:bookmarkEnd w:id="5"/>
    </w:p>
    <w:tbl>
      <w:tblPr>
        <w:tblStyle w:val="8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1"/>
        <w:gridCol w:w="2751"/>
        <w:gridCol w:w="1717"/>
        <w:gridCol w:w="2922"/>
      </w:tblGrid>
      <w:tr w14:paraId="4CDFBC35">
        <w:trPr>
          <w:trHeight w:val="454" w:hRule="atLeast"/>
        </w:trPr>
        <w:tc>
          <w:tcPr>
            <w:tcW w:w="1481" w:type="dxa"/>
            <w:tcMar>
              <w:top w:w="16" w:type="dxa"/>
              <w:left w:w="16" w:type="dxa"/>
              <w:right w:w="16" w:type="dxa"/>
            </w:tcMar>
            <w:vAlign w:val="center"/>
          </w:tcPr>
          <w:p w14:paraId="46F3EB42">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建设项目名称</w:t>
            </w:r>
          </w:p>
        </w:tc>
        <w:tc>
          <w:tcPr>
            <w:tcW w:w="7390" w:type="dxa"/>
            <w:gridSpan w:val="3"/>
            <w:vAlign w:val="center"/>
          </w:tcPr>
          <w:p w14:paraId="5827674B">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 w:val="24"/>
                <w:highlight w:val="none"/>
                <w:lang w:eastAsia="zh-CN"/>
              </w:rPr>
            </w:pPr>
            <w:r>
              <w:rPr>
                <w:rFonts w:hint="eastAsia" w:hAnsi="宋体"/>
                <w:color w:val="auto"/>
                <w:sz w:val="24"/>
                <w:highlight w:val="none"/>
                <w:lang w:eastAsia="zh-CN"/>
              </w:rPr>
              <w:t>淮安奥凯精密工业有限公司智能整机设备项目</w:t>
            </w:r>
          </w:p>
        </w:tc>
      </w:tr>
      <w:tr w14:paraId="4179BA49">
        <w:trPr>
          <w:trHeight w:val="454" w:hRule="atLeast"/>
        </w:trPr>
        <w:tc>
          <w:tcPr>
            <w:tcW w:w="1481" w:type="dxa"/>
            <w:tcMar>
              <w:top w:w="16" w:type="dxa"/>
              <w:left w:w="16" w:type="dxa"/>
              <w:right w:w="16" w:type="dxa"/>
            </w:tcMar>
            <w:vAlign w:val="center"/>
          </w:tcPr>
          <w:p w14:paraId="445719ED">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项目代码</w:t>
            </w:r>
          </w:p>
        </w:tc>
        <w:tc>
          <w:tcPr>
            <w:tcW w:w="7390" w:type="dxa"/>
            <w:gridSpan w:val="3"/>
            <w:vAlign w:val="center"/>
          </w:tcPr>
          <w:p w14:paraId="4A4396B5">
            <w:pPr>
              <w:keepNext w:val="0"/>
              <w:keepLines w:val="0"/>
              <w:widowControl/>
              <w:suppressLineNumbers w:val="0"/>
              <w:spacing w:before="0" w:beforeAutospacing="0" w:after="0" w:afterAutospacing="0"/>
              <w:ind w:left="0" w:right="0"/>
              <w:jc w:val="center"/>
              <w:rPr>
                <w:color w:val="auto"/>
                <w:sz w:val="24"/>
                <w:highlight w:val="none"/>
              </w:rPr>
            </w:pPr>
            <w:r>
              <w:rPr>
                <w:rFonts w:hint="eastAsia"/>
                <w:color w:val="auto"/>
                <w:sz w:val="24"/>
                <w:highlight w:val="none"/>
              </w:rPr>
              <w:t>2406-320860-89-01-398061</w:t>
            </w:r>
          </w:p>
        </w:tc>
      </w:tr>
      <w:tr w14:paraId="2E58DCD5">
        <w:trPr>
          <w:trHeight w:val="454" w:hRule="atLeast"/>
        </w:trPr>
        <w:tc>
          <w:tcPr>
            <w:tcW w:w="1481" w:type="dxa"/>
            <w:tcMar>
              <w:top w:w="16" w:type="dxa"/>
              <w:left w:w="16" w:type="dxa"/>
              <w:right w:w="16" w:type="dxa"/>
            </w:tcMar>
            <w:vAlign w:val="center"/>
          </w:tcPr>
          <w:p w14:paraId="0BE3BD70">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建设单位联系人</w:t>
            </w:r>
          </w:p>
        </w:tc>
        <w:tc>
          <w:tcPr>
            <w:tcW w:w="2751" w:type="dxa"/>
            <w:vAlign w:val="center"/>
          </w:tcPr>
          <w:p w14:paraId="574709F7">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lang w:val="en-US"/>
              </w:rPr>
            </w:pPr>
            <w:r>
              <w:rPr>
                <w:rFonts w:hint="eastAsia" w:ascii="宋体" w:hAnsi="宋体"/>
                <w:color w:val="auto"/>
                <w:sz w:val="24"/>
                <w:highlight w:val="none"/>
                <w:lang w:val="en-US" w:eastAsia="zh-CN"/>
              </w:rPr>
              <w:t>陆**</w:t>
            </w:r>
          </w:p>
        </w:tc>
        <w:tc>
          <w:tcPr>
            <w:tcW w:w="1717" w:type="dxa"/>
            <w:vAlign w:val="center"/>
          </w:tcPr>
          <w:p w14:paraId="3757D892">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联系方式</w:t>
            </w:r>
          </w:p>
        </w:tc>
        <w:tc>
          <w:tcPr>
            <w:tcW w:w="2922" w:type="dxa"/>
            <w:vAlign w:val="center"/>
          </w:tcPr>
          <w:p w14:paraId="782EF902">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int="default" w:ascii="Times New Roman" w:hAnsi="Times New Roman" w:cs="Times New Roman"/>
                <w:color w:val="auto"/>
                <w:sz w:val="24"/>
                <w:highlight w:val="none"/>
                <w:lang w:val="en-US" w:eastAsia="zh-CN"/>
              </w:rPr>
              <w:t>177</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0922</w:t>
            </w:r>
          </w:p>
        </w:tc>
      </w:tr>
      <w:tr w14:paraId="64192854">
        <w:trPr>
          <w:trHeight w:val="454" w:hRule="atLeast"/>
        </w:trPr>
        <w:tc>
          <w:tcPr>
            <w:tcW w:w="1481" w:type="dxa"/>
            <w:tcMar>
              <w:top w:w="16" w:type="dxa"/>
              <w:left w:w="16" w:type="dxa"/>
              <w:right w:w="16" w:type="dxa"/>
            </w:tcMar>
            <w:vAlign w:val="center"/>
          </w:tcPr>
          <w:p w14:paraId="2402256E">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建设地点</w:t>
            </w:r>
          </w:p>
        </w:tc>
        <w:tc>
          <w:tcPr>
            <w:tcW w:w="7390" w:type="dxa"/>
            <w:gridSpan w:val="3"/>
            <w:vAlign w:val="center"/>
          </w:tcPr>
          <w:p w14:paraId="1BC7192B">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 w:val="24"/>
                <w:highlight w:val="none"/>
                <w:lang w:eastAsia="zh-CN"/>
              </w:rPr>
            </w:pPr>
            <w:r>
              <w:rPr>
                <w:rFonts w:hint="eastAsia" w:hAnsi="宋体"/>
                <w:color w:val="auto"/>
                <w:sz w:val="24"/>
                <w:highlight w:val="none"/>
                <w:lang w:eastAsia="zh-CN"/>
              </w:rPr>
              <w:t>江苏省淮安市涟水县经济开发区模架产业园北侧、科佳五轴机床东侧</w:t>
            </w:r>
          </w:p>
        </w:tc>
      </w:tr>
      <w:tr w14:paraId="34B262D8">
        <w:trPr>
          <w:trHeight w:val="454" w:hRule="atLeast"/>
        </w:trPr>
        <w:tc>
          <w:tcPr>
            <w:tcW w:w="1481" w:type="dxa"/>
            <w:tcMar>
              <w:top w:w="16" w:type="dxa"/>
              <w:left w:w="16" w:type="dxa"/>
              <w:right w:w="16" w:type="dxa"/>
            </w:tcMar>
            <w:vAlign w:val="center"/>
          </w:tcPr>
          <w:p w14:paraId="6E047DE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地理坐标</w:t>
            </w:r>
          </w:p>
        </w:tc>
        <w:tc>
          <w:tcPr>
            <w:tcW w:w="7390" w:type="dxa"/>
            <w:gridSpan w:val="3"/>
            <w:vAlign w:val="center"/>
          </w:tcPr>
          <w:p w14:paraId="45C86935">
            <w:pPr>
              <w:keepNext w:val="0"/>
              <w:keepLines w:val="0"/>
              <w:suppressLineNumbers w:val="0"/>
              <w:spacing w:before="0" w:beforeAutospacing="0" w:after="0" w:afterAutospacing="0"/>
              <w:ind w:left="0" w:right="0"/>
              <w:jc w:val="center"/>
              <w:rPr>
                <w:color w:val="auto"/>
                <w:sz w:val="24"/>
                <w:highlight w:val="none"/>
              </w:rPr>
            </w:pPr>
            <w:r>
              <w:rPr>
                <w:rFonts w:hAnsi="宋体"/>
                <w:color w:val="auto"/>
                <w:sz w:val="24"/>
                <w:highlight w:val="none"/>
              </w:rPr>
              <w:t>（</w:t>
            </w:r>
            <w:r>
              <w:rPr>
                <w:color w:val="auto"/>
                <w:sz w:val="24"/>
                <w:highlight w:val="none"/>
              </w:rPr>
              <w:t>E119</w:t>
            </w:r>
            <w:r>
              <w:rPr>
                <w:rFonts w:hAnsi="宋体"/>
                <w:color w:val="auto"/>
                <w:sz w:val="24"/>
                <w:highlight w:val="none"/>
              </w:rPr>
              <w:t>度</w:t>
            </w:r>
            <w:r>
              <w:rPr>
                <w:rFonts w:hint="eastAsia"/>
                <w:color w:val="auto"/>
                <w:sz w:val="24"/>
                <w:highlight w:val="none"/>
                <w:lang w:val="en-US" w:eastAsia="zh-CN"/>
              </w:rPr>
              <w:t>15</w:t>
            </w:r>
            <w:r>
              <w:rPr>
                <w:rFonts w:hAnsi="宋体"/>
                <w:color w:val="auto"/>
                <w:sz w:val="24"/>
                <w:highlight w:val="none"/>
              </w:rPr>
              <w:t>分</w:t>
            </w:r>
            <w:r>
              <w:rPr>
                <w:rFonts w:hint="eastAsia"/>
                <w:color w:val="auto"/>
                <w:sz w:val="24"/>
                <w:highlight w:val="none"/>
                <w:lang w:val="en-US" w:eastAsia="zh-CN"/>
              </w:rPr>
              <w:t>11.494</w:t>
            </w:r>
            <w:r>
              <w:rPr>
                <w:rFonts w:hAnsi="宋体"/>
                <w:color w:val="auto"/>
                <w:sz w:val="24"/>
                <w:highlight w:val="none"/>
              </w:rPr>
              <w:t>秒，</w:t>
            </w:r>
            <w:r>
              <w:rPr>
                <w:color w:val="auto"/>
                <w:sz w:val="24"/>
                <w:highlight w:val="none"/>
              </w:rPr>
              <w:t>N33</w:t>
            </w:r>
            <w:r>
              <w:rPr>
                <w:rFonts w:hAnsi="宋体"/>
                <w:color w:val="auto"/>
                <w:sz w:val="24"/>
                <w:highlight w:val="none"/>
              </w:rPr>
              <w:t>度</w:t>
            </w:r>
            <w:r>
              <w:rPr>
                <w:color w:val="auto"/>
                <w:sz w:val="24"/>
                <w:highlight w:val="none"/>
              </w:rPr>
              <w:t>4</w:t>
            </w:r>
            <w:r>
              <w:rPr>
                <w:rFonts w:hint="eastAsia"/>
                <w:color w:val="auto"/>
                <w:sz w:val="24"/>
                <w:highlight w:val="none"/>
                <w:lang w:val="en-US" w:eastAsia="zh-CN"/>
              </w:rPr>
              <w:t>9</w:t>
            </w:r>
            <w:r>
              <w:rPr>
                <w:rFonts w:hAnsi="宋体"/>
                <w:color w:val="auto"/>
                <w:sz w:val="24"/>
                <w:highlight w:val="none"/>
              </w:rPr>
              <w:t>分</w:t>
            </w:r>
            <w:r>
              <w:rPr>
                <w:rFonts w:hint="eastAsia"/>
                <w:color w:val="auto"/>
                <w:sz w:val="24"/>
                <w:highlight w:val="none"/>
                <w:lang w:val="en-US" w:eastAsia="zh-CN"/>
              </w:rPr>
              <w:t>5.624</w:t>
            </w:r>
            <w:r>
              <w:rPr>
                <w:rFonts w:hAnsi="宋体"/>
                <w:color w:val="auto"/>
                <w:sz w:val="24"/>
                <w:highlight w:val="none"/>
              </w:rPr>
              <w:t>秒）</w:t>
            </w:r>
          </w:p>
        </w:tc>
      </w:tr>
      <w:tr w14:paraId="787CB6C5">
        <w:trPr>
          <w:trHeight w:val="1077" w:hRule="atLeast"/>
        </w:trPr>
        <w:tc>
          <w:tcPr>
            <w:tcW w:w="1481" w:type="dxa"/>
            <w:tcMar>
              <w:top w:w="16" w:type="dxa"/>
              <w:left w:w="16" w:type="dxa"/>
              <w:right w:w="16" w:type="dxa"/>
            </w:tcMar>
            <w:vAlign w:val="center"/>
          </w:tcPr>
          <w:p w14:paraId="4BB753CB">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国民经济</w:t>
            </w:r>
          </w:p>
          <w:p w14:paraId="6DCAC874">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行业类别</w:t>
            </w:r>
          </w:p>
        </w:tc>
        <w:tc>
          <w:tcPr>
            <w:tcW w:w="2751" w:type="dxa"/>
            <w:vAlign w:val="center"/>
          </w:tcPr>
          <w:p w14:paraId="7F8CDABA">
            <w:pPr>
              <w:keepNext w:val="0"/>
              <w:keepLines w:val="0"/>
              <w:widowControl/>
              <w:suppressLineNumbers w:val="0"/>
              <w:spacing w:before="0" w:beforeAutospacing="0" w:after="0" w:afterAutospacing="0"/>
              <w:ind w:left="0" w:right="0"/>
              <w:jc w:val="center"/>
              <w:rPr>
                <w:color w:val="auto"/>
                <w:sz w:val="24"/>
                <w:highlight w:val="none"/>
              </w:rPr>
            </w:pPr>
            <w:r>
              <w:rPr>
                <w:rFonts w:hint="eastAsia" w:hAnsi="宋体"/>
                <w:color w:val="auto"/>
                <w:sz w:val="24"/>
                <w:highlight w:val="none"/>
              </w:rPr>
              <w:t>C3422金属成形机床制造</w:t>
            </w:r>
          </w:p>
        </w:tc>
        <w:tc>
          <w:tcPr>
            <w:tcW w:w="1717" w:type="dxa"/>
            <w:vAlign w:val="center"/>
          </w:tcPr>
          <w:p w14:paraId="7B3A69ED">
            <w:pPr>
              <w:keepNext w:val="0"/>
              <w:keepLines w:val="0"/>
              <w:suppressLineNumbers w:val="0"/>
              <w:adjustRightInd w:val="0"/>
              <w:snapToGrid w:val="0"/>
              <w:spacing w:before="0" w:beforeAutospacing="0" w:after="0" w:afterAutospacing="0"/>
              <w:ind w:left="0" w:right="0"/>
              <w:jc w:val="center"/>
              <w:rPr>
                <w:rFonts w:hAnsi="宋体"/>
                <w:color w:val="auto"/>
                <w:sz w:val="24"/>
                <w:highlight w:val="none"/>
              </w:rPr>
            </w:pPr>
            <w:bookmarkStart w:id="6" w:name="_Hlk49843745"/>
            <w:r>
              <w:rPr>
                <w:rFonts w:hint="eastAsia" w:hAnsi="宋体"/>
                <w:color w:val="auto"/>
                <w:sz w:val="24"/>
                <w:highlight w:val="none"/>
              </w:rPr>
              <w:t>建设项目</w:t>
            </w:r>
          </w:p>
          <w:p w14:paraId="12D8E881">
            <w:pPr>
              <w:keepNext w:val="0"/>
              <w:keepLines w:val="0"/>
              <w:suppressLineNumbers w:val="0"/>
              <w:adjustRightInd w:val="0"/>
              <w:snapToGrid w:val="0"/>
              <w:spacing w:before="0" w:beforeAutospacing="0" w:after="0" w:afterAutospacing="0"/>
              <w:ind w:left="0" w:right="0"/>
              <w:jc w:val="center"/>
              <w:rPr>
                <w:rFonts w:hAnsi="宋体"/>
                <w:color w:val="auto"/>
                <w:sz w:val="24"/>
                <w:highlight w:val="none"/>
              </w:rPr>
            </w:pPr>
            <w:r>
              <w:rPr>
                <w:rFonts w:hint="eastAsia" w:hAnsi="宋体"/>
                <w:color w:val="auto"/>
                <w:sz w:val="24"/>
                <w:highlight w:val="none"/>
              </w:rPr>
              <w:t>行业类别</w:t>
            </w:r>
            <w:bookmarkEnd w:id="6"/>
          </w:p>
        </w:tc>
        <w:tc>
          <w:tcPr>
            <w:tcW w:w="2922" w:type="dxa"/>
            <w:vAlign w:val="center"/>
          </w:tcPr>
          <w:p w14:paraId="2D95C987">
            <w:pPr>
              <w:keepNext w:val="0"/>
              <w:keepLines w:val="0"/>
              <w:suppressLineNumbers w:val="0"/>
              <w:adjustRightInd w:val="0"/>
              <w:snapToGrid w:val="0"/>
              <w:spacing w:before="0" w:beforeAutospacing="0" w:after="0" w:afterAutospacing="0"/>
              <w:ind w:left="0" w:right="0"/>
              <w:jc w:val="center"/>
              <w:rPr>
                <w:rFonts w:hint="eastAsia" w:hAnsi="宋体"/>
                <w:color w:val="auto"/>
                <w:sz w:val="24"/>
                <w:highlight w:val="none"/>
              </w:rPr>
            </w:pPr>
            <w:r>
              <w:rPr>
                <w:rFonts w:hint="default" w:ascii="Times New Roman" w:hAnsi="Times New Roman" w:cs="Times New Roman"/>
                <w:color w:val="auto"/>
                <w:sz w:val="24"/>
                <w:szCs w:val="24"/>
                <w:highlight w:val="none"/>
              </w:rPr>
              <w:t>三十一、通用设备制造业34</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69...金属加工机械制造342..</w:t>
            </w:r>
            <w:r>
              <w:rPr>
                <w:rFonts w:hint="default" w:ascii="Times New Roman" w:hAnsi="Times New Roman" w:cs="Times New Roman"/>
                <w:color w:val="auto"/>
                <w:sz w:val="24"/>
                <w:highlight w:val="none"/>
              </w:rPr>
              <w:t>.</w:t>
            </w:r>
          </w:p>
        </w:tc>
      </w:tr>
      <w:tr w14:paraId="6307E256">
        <w:trPr>
          <w:trHeight w:val="340" w:hRule="atLeast"/>
        </w:trPr>
        <w:tc>
          <w:tcPr>
            <w:tcW w:w="1481" w:type="dxa"/>
            <w:tcMar>
              <w:top w:w="16" w:type="dxa"/>
              <w:left w:w="16" w:type="dxa"/>
              <w:right w:w="16" w:type="dxa"/>
            </w:tcMar>
            <w:vAlign w:val="center"/>
          </w:tcPr>
          <w:p w14:paraId="04398FA4">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建设性质</w:t>
            </w:r>
          </w:p>
        </w:tc>
        <w:tc>
          <w:tcPr>
            <w:tcW w:w="2751" w:type="dxa"/>
            <w:vAlign w:val="center"/>
          </w:tcPr>
          <w:p w14:paraId="582AAF86">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52"/>
            </w:r>
            <w:r>
              <w:rPr>
                <w:rFonts w:hAnsi="宋体"/>
                <w:color w:val="auto"/>
                <w:sz w:val="24"/>
                <w:highlight w:val="none"/>
              </w:rPr>
              <w:t>新建（迁建）</w:t>
            </w:r>
          </w:p>
          <w:p w14:paraId="26A1D13C">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A3"/>
            </w:r>
            <w:r>
              <w:rPr>
                <w:rFonts w:hAnsi="宋体"/>
                <w:color w:val="auto"/>
                <w:sz w:val="24"/>
                <w:highlight w:val="none"/>
              </w:rPr>
              <w:t>改建</w:t>
            </w:r>
          </w:p>
          <w:p w14:paraId="45F0D8C1">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A3"/>
            </w:r>
            <w:r>
              <w:rPr>
                <w:rFonts w:hAnsi="宋体"/>
                <w:color w:val="auto"/>
                <w:sz w:val="24"/>
                <w:highlight w:val="none"/>
              </w:rPr>
              <w:t>扩建</w:t>
            </w:r>
          </w:p>
          <w:p w14:paraId="59FEA097">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A3"/>
            </w:r>
            <w:r>
              <w:rPr>
                <w:rFonts w:hAnsi="宋体"/>
                <w:color w:val="auto"/>
                <w:sz w:val="24"/>
                <w:highlight w:val="none"/>
              </w:rPr>
              <w:t>技术改造</w:t>
            </w:r>
          </w:p>
        </w:tc>
        <w:tc>
          <w:tcPr>
            <w:tcW w:w="1717" w:type="dxa"/>
            <w:vAlign w:val="center"/>
          </w:tcPr>
          <w:p w14:paraId="38113679">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建设项目</w:t>
            </w:r>
          </w:p>
          <w:p w14:paraId="4A5592C4">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申报情形</w:t>
            </w:r>
          </w:p>
        </w:tc>
        <w:tc>
          <w:tcPr>
            <w:tcW w:w="2922" w:type="dxa"/>
            <w:vAlign w:val="center"/>
          </w:tcPr>
          <w:p w14:paraId="43AAAB60">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52"/>
            </w:r>
            <w:r>
              <w:rPr>
                <w:rFonts w:hAnsi="宋体"/>
                <w:color w:val="auto"/>
                <w:sz w:val="24"/>
                <w:highlight w:val="none"/>
              </w:rPr>
              <w:t>首次申报项目</w:t>
            </w:r>
          </w:p>
          <w:p w14:paraId="7D6973F9">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A3"/>
            </w:r>
            <w:r>
              <w:rPr>
                <w:rFonts w:hAnsi="宋体"/>
                <w:color w:val="auto"/>
                <w:sz w:val="24"/>
                <w:highlight w:val="none"/>
              </w:rPr>
              <w:t>不予批准后再次申报项目</w:t>
            </w:r>
          </w:p>
          <w:p w14:paraId="5E3D06BC">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A3"/>
            </w:r>
            <w:r>
              <w:rPr>
                <w:rFonts w:hAnsi="宋体"/>
                <w:color w:val="auto"/>
                <w:sz w:val="24"/>
                <w:highlight w:val="none"/>
              </w:rPr>
              <w:t>超五年重新审核项目</w:t>
            </w:r>
          </w:p>
          <w:p w14:paraId="50044B4F">
            <w:pPr>
              <w:keepNext w:val="0"/>
              <w:keepLines w:val="0"/>
              <w:suppressLineNumbers w:val="0"/>
              <w:spacing w:before="0" w:beforeAutospacing="0" w:after="0" w:afterAutospacing="0"/>
              <w:ind w:left="0" w:right="0"/>
              <w:jc w:val="left"/>
              <w:rPr>
                <w:color w:val="auto"/>
                <w:sz w:val="24"/>
                <w:highlight w:val="none"/>
              </w:rPr>
            </w:pPr>
            <w:r>
              <w:rPr>
                <w:color w:val="auto"/>
                <w:sz w:val="24"/>
                <w:highlight w:val="none"/>
              </w:rPr>
              <w:sym w:font="Wingdings 2" w:char="00A3"/>
            </w:r>
            <w:r>
              <w:rPr>
                <w:rFonts w:hAnsi="宋体"/>
                <w:color w:val="auto"/>
                <w:sz w:val="24"/>
                <w:highlight w:val="none"/>
              </w:rPr>
              <w:t>重大变动重新报批项目</w:t>
            </w:r>
          </w:p>
        </w:tc>
      </w:tr>
      <w:tr w14:paraId="34DC6426">
        <w:trPr>
          <w:trHeight w:val="340" w:hRule="atLeast"/>
        </w:trPr>
        <w:tc>
          <w:tcPr>
            <w:tcW w:w="1481" w:type="dxa"/>
            <w:tcMar>
              <w:top w:w="16" w:type="dxa"/>
              <w:left w:w="16" w:type="dxa"/>
              <w:right w:w="16" w:type="dxa"/>
            </w:tcMar>
            <w:vAlign w:val="center"/>
          </w:tcPr>
          <w:p w14:paraId="6678907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项目审批（核准</w:t>
            </w:r>
            <w:r>
              <w:rPr>
                <w:color w:val="auto"/>
                <w:sz w:val="24"/>
                <w:highlight w:val="none"/>
              </w:rPr>
              <w:t>/</w:t>
            </w:r>
            <w:r>
              <w:rPr>
                <w:rFonts w:hAnsi="宋体"/>
                <w:color w:val="auto"/>
                <w:sz w:val="24"/>
                <w:highlight w:val="none"/>
              </w:rPr>
              <w:t>备案）部门（选填）</w:t>
            </w:r>
          </w:p>
        </w:tc>
        <w:tc>
          <w:tcPr>
            <w:tcW w:w="2751" w:type="dxa"/>
            <w:vAlign w:val="center"/>
          </w:tcPr>
          <w:p w14:paraId="15070826">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int="eastAsia" w:hAnsi="宋体"/>
                <w:color w:val="auto"/>
                <w:sz w:val="24"/>
                <w:highlight w:val="none"/>
              </w:rPr>
              <w:t>江苏涟水经济开发区管理委员会</w:t>
            </w:r>
          </w:p>
        </w:tc>
        <w:tc>
          <w:tcPr>
            <w:tcW w:w="1717" w:type="dxa"/>
            <w:vAlign w:val="center"/>
          </w:tcPr>
          <w:p w14:paraId="3FF60C2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项目审批（核准</w:t>
            </w:r>
            <w:r>
              <w:rPr>
                <w:color w:val="auto"/>
                <w:sz w:val="24"/>
                <w:highlight w:val="none"/>
              </w:rPr>
              <w:t>/</w:t>
            </w:r>
          </w:p>
          <w:p w14:paraId="4446E46F">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备案）文号（选填）</w:t>
            </w:r>
          </w:p>
        </w:tc>
        <w:tc>
          <w:tcPr>
            <w:tcW w:w="2922" w:type="dxa"/>
            <w:vAlign w:val="center"/>
          </w:tcPr>
          <w:p w14:paraId="19260AA1">
            <w:pPr>
              <w:keepNext w:val="0"/>
              <w:keepLines w:val="0"/>
              <w:suppressLineNumbers w:val="0"/>
              <w:spacing w:before="0" w:beforeAutospacing="0" w:after="0" w:afterAutospacing="0"/>
              <w:ind w:left="0" w:right="0"/>
              <w:jc w:val="center"/>
              <w:rPr>
                <w:color w:val="auto"/>
                <w:sz w:val="24"/>
                <w:highlight w:val="none"/>
              </w:rPr>
            </w:pPr>
            <w:r>
              <w:rPr>
                <w:rFonts w:hint="eastAsia" w:hAnsi="宋体"/>
                <w:color w:val="auto"/>
                <w:sz w:val="24"/>
                <w:highlight w:val="none"/>
              </w:rPr>
              <w:t>涟区开发备〔2024〕</w:t>
            </w:r>
            <w:r>
              <w:rPr>
                <w:rFonts w:hint="eastAsia" w:hAnsi="宋体"/>
                <w:color w:val="auto"/>
                <w:sz w:val="24"/>
                <w:highlight w:val="none"/>
                <w:lang w:val="en-US" w:eastAsia="zh-CN"/>
              </w:rPr>
              <w:t>59</w:t>
            </w:r>
            <w:r>
              <w:rPr>
                <w:rFonts w:hint="eastAsia" w:hAnsi="宋体"/>
                <w:color w:val="auto"/>
                <w:sz w:val="24"/>
                <w:highlight w:val="none"/>
              </w:rPr>
              <w:t>号</w:t>
            </w:r>
          </w:p>
        </w:tc>
      </w:tr>
      <w:tr w14:paraId="09269411">
        <w:trPr>
          <w:trHeight w:val="340" w:hRule="atLeast"/>
        </w:trPr>
        <w:tc>
          <w:tcPr>
            <w:tcW w:w="1481" w:type="dxa"/>
            <w:tcMar>
              <w:top w:w="16" w:type="dxa"/>
              <w:left w:w="16" w:type="dxa"/>
              <w:right w:w="16" w:type="dxa"/>
            </w:tcMar>
            <w:vAlign w:val="center"/>
          </w:tcPr>
          <w:p w14:paraId="07F4DB25">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总投资（万元）</w:t>
            </w:r>
          </w:p>
        </w:tc>
        <w:tc>
          <w:tcPr>
            <w:tcW w:w="2751" w:type="dxa"/>
            <w:vAlign w:val="center"/>
          </w:tcPr>
          <w:p w14:paraId="69A09F1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int="eastAsia"/>
                <w:color w:val="auto"/>
                <w:sz w:val="24"/>
                <w:highlight w:val="none"/>
                <w:lang w:val="en-US" w:eastAsia="zh-CN"/>
              </w:rPr>
              <w:t>38</w:t>
            </w:r>
            <w:r>
              <w:rPr>
                <w:rFonts w:hint="eastAsia"/>
                <w:color w:val="auto"/>
                <w:sz w:val="24"/>
                <w:highlight w:val="none"/>
              </w:rPr>
              <w:t>000</w:t>
            </w:r>
          </w:p>
        </w:tc>
        <w:tc>
          <w:tcPr>
            <w:tcW w:w="1717" w:type="dxa"/>
            <w:tcMar>
              <w:top w:w="16" w:type="dxa"/>
              <w:left w:w="16" w:type="dxa"/>
              <w:right w:w="16" w:type="dxa"/>
            </w:tcMar>
            <w:vAlign w:val="center"/>
          </w:tcPr>
          <w:p w14:paraId="770D8655">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环保投资（万元）</w:t>
            </w:r>
          </w:p>
        </w:tc>
        <w:tc>
          <w:tcPr>
            <w:tcW w:w="2922" w:type="dxa"/>
            <w:vAlign w:val="center"/>
          </w:tcPr>
          <w:p w14:paraId="284ABD6D">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lang w:val="en-US" w:eastAsia="zh-CN"/>
              </w:rPr>
              <w:t>65</w:t>
            </w:r>
          </w:p>
        </w:tc>
      </w:tr>
      <w:tr w14:paraId="4A52A41E">
        <w:trPr>
          <w:trHeight w:val="340" w:hRule="atLeast"/>
        </w:trPr>
        <w:tc>
          <w:tcPr>
            <w:tcW w:w="1481" w:type="dxa"/>
            <w:tcMar>
              <w:top w:w="16" w:type="dxa"/>
              <w:left w:w="16" w:type="dxa"/>
              <w:right w:w="16" w:type="dxa"/>
            </w:tcMar>
            <w:vAlign w:val="center"/>
          </w:tcPr>
          <w:p w14:paraId="1A09926B">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环保投资占比（</w:t>
            </w:r>
            <w:r>
              <w:rPr>
                <w:color w:val="auto"/>
                <w:sz w:val="24"/>
                <w:highlight w:val="none"/>
              </w:rPr>
              <w:t>%</w:t>
            </w:r>
            <w:r>
              <w:rPr>
                <w:rFonts w:hAnsi="宋体"/>
                <w:color w:val="auto"/>
                <w:sz w:val="24"/>
                <w:highlight w:val="none"/>
              </w:rPr>
              <w:t>）</w:t>
            </w:r>
          </w:p>
        </w:tc>
        <w:tc>
          <w:tcPr>
            <w:tcW w:w="2751" w:type="dxa"/>
            <w:vAlign w:val="center"/>
          </w:tcPr>
          <w:p w14:paraId="5ABE3AF5">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lang w:val="en-US" w:eastAsia="zh-CN"/>
              </w:rPr>
              <w:t>0.17</w:t>
            </w:r>
          </w:p>
        </w:tc>
        <w:tc>
          <w:tcPr>
            <w:tcW w:w="1717" w:type="dxa"/>
            <w:tcMar>
              <w:top w:w="16" w:type="dxa"/>
              <w:left w:w="16" w:type="dxa"/>
              <w:right w:w="16" w:type="dxa"/>
            </w:tcMar>
            <w:vAlign w:val="center"/>
          </w:tcPr>
          <w:p w14:paraId="1B3ADB29">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施工工期</w:t>
            </w:r>
          </w:p>
        </w:tc>
        <w:tc>
          <w:tcPr>
            <w:tcW w:w="2922" w:type="dxa"/>
            <w:vAlign w:val="center"/>
          </w:tcPr>
          <w:p w14:paraId="43DA8B83">
            <w:pPr>
              <w:keepNext w:val="0"/>
              <w:keepLines w:val="0"/>
              <w:suppressLineNumbers w:val="0"/>
              <w:adjustRightInd w:val="0"/>
              <w:snapToGrid w:val="0"/>
              <w:spacing w:before="0" w:beforeAutospacing="0" w:after="0" w:afterAutospacing="0"/>
              <w:ind w:left="0" w:right="0"/>
              <w:jc w:val="center"/>
              <w:rPr>
                <w:color w:val="auto"/>
                <w:sz w:val="24"/>
                <w:highlight w:val="none"/>
              </w:rPr>
            </w:pPr>
            <w:r>
              <w:rPr>
                <w:color w:val="auto"/>
                <w:sz w:val="24"/>
                <w:highlight w:val="none"/>
              </w:rPr>
              <w:t>1</w:t>
            </w:r>
            <w:r>
              <w:rPr>
                <w:rFonts w:hint="eastAsia"/>
                <w:color w:val="auto"/>
                <w:sz w:val="24"/>
                <w:highlight w:val="none"/>
                <w:lang w:val="en-US" w:eastAsia="zh-CN"/>
              </w:rPr>
              <w:t>2</w:t>
            </w:r>
            <w:r>
              <w:rPr>
                <w:rFonts w:hAnsi="宋体"/>
                <w:color w:val="auto"/>
                <w:sz w:val="24"/>
                <w:highlight w:val="none"/>
              </w:rPr>
              <w:t>个月</w:t>
            </w:r>
          </w:p>
        </w:tc>
      </w:tr>
      <w:tr w14:paraId="59355A32">
        <w:trPr>
          <w:trHeight w:val="340" w:hRule="atLeast"/>
        </w:trPr>
        <w:tc>
          <w:tcPr>
            <w:tcW w:w="1481" w:type="dxa"/>
            <w:tcMar>
              <w:top w:w="16" w:type="dxa"/>
              <w:left w:w="16" w:type="dxa"/>
              <w:right w:w="16" w:type="dxa"/>
            </w:tcMar>
            <w:vAlign w:val="center"/>
          </w:tcPr>
          <w:p w14:paraId="4DB78CEE">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是否开工建设</w:t>
            </w:r>
          </w:p>
        </w:tc>
        <w:tc>
          <w:tcPr>
            <w:tcW w:w="2751" w:type="dxa"/>
            <w:vAlign w:val="center"/>
          </w:tcPr>
          <w:p w14:paraId="69F3CD79">
            <w:pPr>
              <w:keepNext w:val="0"/>
              <w:keepLines w:val="0"/>
              <w:suppressLineNumbers w:val="0"/>
              <w:adjustRightInd w:val="0"/>
              <w:snapToGrid w:val="0"/>
              <w:spacing w:before="0" w:beforeAutospacing="0" w:after="0" w:afterAutospacing="0"/>
              <w:ind w:left="0" w:right="0"/>
              <w:rPr>
                <w:color w:val="auto"/>
                <w:sz w:val="24"/>
                <w:highlight w:val="none"/>
              </w:rPr>
            </w:pPr>
            <w:r>
              <w:rPr>
                <w:color w:val="auto"/>
                <w:sz w:val="24"/>
                <w:highlight w:val="none"/>
              </w:rPr>
              <w:sym w:font="Wingdings 2" w:char="0052"/>
            </w:r>
            <w:r>
              <w:rPr>
                <w:rFonts w:hAnsi="宋体"/>
                <w:color w:val="auto"/>
                <w:sz w:val="24"/>
                <w:highlight w:val="none"/>
              </w:rPr>
              <w:t>否</w:t>
            </w:r>
          </w:p>
          <w:p w14:paraId="4C59C804">
            <w:pPr>
              <w:keepNext w:val="0"/>
              <w:keepLines w:val="0"/>
              <w:suppressLineNumbers w:val="0"/>
              <w:adjustRightInd w:val="0"/>
              <w:snapToGrid w:val="0"/>
              <w:spacing w:before="0" w:beforeAutospacing="0" w:after="0" w:afterAutospacing="0"/>
              <w:ind w:left="0" w:right="0"/>
              <w:rPr>
                <w:color w:val="auto"/>
                <w:sz w:val="24"/>
                <w:highlight w:val="none"/>
              </w:rPr>
            </w:pPr>
            <w:r>
              <w:rPr>
                <w:color w:val="auto"/>
                <w:sz w:val="24"/>
                <w:highlight w:val="none"/>
              </w:rPr>
              <w:sym w:font="Wingdings 2" w:char="00A3"/>
            </w:r>
            <w:r>
              <w:rPr>
                <w:rFonts w:hAnsi="宋体"/>
                <w:color w:val="auto"/>
                <w:sz w:val="24"/>
                <w:highlight w:val="none"/>
              </w:rPr>
              <w:t>是：</w:t>
            </w:r>
          </w:p>
        </w:tc>
        <w:tc>
          <w:tcPr>
            <w:tcW w:w="1717" w:type="dxa"/>
            <w:tcMar>
              <w:top w:w="16" w:type="dxa"/>
              <w:left w:w="16" w:type="dxa"/>
              <w:right w:w="16" w:type="dxa"/>
            </w:tcMar>
            <w:vAlign w:val="center"/>
          </w:tcPr>
          <w:p w14:paraId="41BF6EF3">
            <w:pPr>
              <w:keepNext w:val="0"/>
              <w:keepLines w:val="0"/>
              <w:suppressLineNumbers w:val="0"/>
              <w:adjustRightInd w:val="0"/>
              <w:snapToGrid w:val="0"/>
              <w:spacing w:before="0" w:beforeAutospacing="0" w:after="0" w:afterAutospacing="0"/>
              <w:ind w:left="0" w:right="0"/>
              <w:jc w:val="center"/>
              <w:rPr>
                <w:color w:val="auto"/>
                <w:spacing w:val="-6"/>
                <w:sz w:val="24"/>
                <w:highlight w:val="none"/>
              </w:rPr>
            </w:pPr>
            <w:r>
              <w:rPr>
                <w:rFonts w:hAnsi="宋体"/>
                <w:color w:val="auto"/>
                <w:spacing w:val="-6"/>
                <w:sz w:val="24"/>
                <w:highlight w:val="none"/>
              </w:rPr>
              <w:t>用地（用海）</w:t>
            </w:r>
          </w:p>
          <w:p w14:paraId="05437CB6">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pacing w:val="-6"/>
                <w:sz w:val="24"/>
                <w:highlight w:val="none"/>
              </w:rPr>
              <w:t>面积（</w:t>
            </w:r>
            <w:r>
              <w:rPr>
                <w:color w:val="auto"/>
                <w:spacing w:val="-6"/>
                <w:sz w:val="24"/>
                <w:highlight w:val="none"/>
              </w:rPr>
              <w:t>m</w:t>
            </w:r>
            <w:r>
              <w:rPr>
                <w:color w:val="auto"/>
                <w:spacing w:val="-6"/>
                <w:sz w:val="24"/>
                <w:highlight w:val="none"/>
                <w:vertAlign w:val="superscript"/>
              </w:rPr>
              <w:t>2</w:t>
            </w:r>
            <w:r>
              <w:rPr>
                <w:rFonts w:hAnsi="宋体"/>
                <w:color w:val="auto"/>
                <w:spacing w:val="-6"/>
                <w:sz w:val="24"/>
                <w:highlight w:val="none"/>
              </w:rPr>
              <w:t>）</w:t>
            </w:r>
          </w:p>
        </w:tc>
        <w:tc>
          <w:tcPr>
            <w:tcW w:w="2922" w:type="dxa"/>
            <w:vAlign w:val="center"/>
          </w:tcPr>
          <w:p w14:paraId="40D331E2">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rPr>
              <w:t>33</w:t>
            </w:r>
            <w:r>
              <w:rPr>
                <w:rFonts w:hint="eastAsia"/>
                <w:color w:val="auto"/>
                <w:sz w:val="24"/>
                <w:highlight w:val="none"/>
                <w:lang w:val="en-US" w:eastAsia="zh-CN"/>
              </w:rPr>
              <w:t>333.33</w:t>
            </w:r>
          </w:p>
        </w:tc>
      </w:tr>
      <w:tr w14:paraId="3C076654">
        <w:tblPrEx>
          <w:tblCellMar>
            <w:top w:w="0" w:type="dxa"/>
            <w:left w:w="108" w:type="dxa"/>
            <w:bottom w:w="0" w:type="dxa"/>
            <w:right w:w="108" w:type="dxa"/>
          </w:tblCellMar>
        </w:tblPrEx>
        <w:trPr>
          <w:trHeight w:val="340" w:hRule="atLeast"/>
        </w:trPr>
        <w:tc>
          <w:tcPr>
            <w:tcW w:w="1481" w:type="dxa"/>
            <w:vAlign w:val="center"/>
          </w:tcPr>
          <w:p w14:paraId="40C92E2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专项评价设置情况</w:t>
            </w:r>
          </w:p>
        </w:tc>
        <w:tc>
          <w:tcPr>
            <w:tcW w:w="7390" w:type="dxa"/>
            <w:gridSpan w:val="3"/>
            <w:vAlign w:val="center"/>
          </w:tcPr>
          <w:p w14:paraId="4BB45D7E">
            <w:pPr>
              <w:keepNext w:val="0"/>
              <w:keepLines w:val="0"/>
              <w:suppressLineNumbers w:val="0"/>
              <w:autoSpaceDE w:val="0"/>
              <w:autoSpaceDN w:val="0"/>
              <w:adjustRightInd w:val="0"/>
              <w:snapToGrid w:val="0"/>
              <w:spacing w:before="0" w:beforeAutospacing="0" w:after="0" w:afterAutospacing="0" w:line="360" w:lineRule="auto"/>
              <w:ind w:left="0" w:right="0"/>
              <w:jc w:val="center"/>
              <w:rPr>
                <w:color w:val="auto"/>
                <w:kern w:val="0"/>
                <w:sz w:val="24"/>
                <w:highlight w:val="none"/>
              </w:rPr>
            </w:pPr>
            <w:r>
              <w:rPr>
                <w:rFonts w:hAnsi="宋体"/>
                <w:color w:val="auto"/>
                <w:kern w:val="0"/>
                <w:sz w:val="24"/>
                <w:highlight w:val="none"/>
              </w:rPr>
              <w:t>无</w:t>
            </w:r>
          </w:p>
        </w:tc>
      </w:tr>
      <w:tr w14:paraId="075F635D">
        <w:tblPrEx>
          <w:tblCellMar>
            <w:top w:w="0" w:type="dxa"/>
            <w:left w:w="108" w:type="dxa"/>
            <w:bottom w:w="0" w:type="dxa"/>
            <w:right w:w="108" w:type="dxa"/>
          </w:tblCellMar>
        </w:tblPrEx>
        <w:trPr>
          <w:trHeight w:val="340" w:hRule="atLeast"/>
        </w:trPr>
        <w:tc>
          <w:tcPr>
            <w:tcW w:w="1481" w:type="dxa"/>
            <w:vAlign w:val="center"/>
          </w:tcPr>
          <w:p w14:paraId="58778521">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 w:val="24"/>
                <w:highlight w:val="none"/>
              </w:rPr>
            </w:pPr>
            <w:r>
              <w:rPr>
                <w:rFonts w:hAnsi="宋体"/>
                <w:color w:val="auto"/>
                <w:sz w:val="24"/>
                <w:highlight w:val="none"/>
              </w:rPr>
              <w:t>规划情况</w:t>
            </w:r>
          </w:p>
        </w:tc>
        <w:tc>
          <w:tcPr>
            <w:tcW w:w="7390" w:type="dxa"/>
            <w:gridSpan w:val="3"/>
            <w:vAlign w:val="center"/>
          </w:tcPr>
          <w:p w14:paraId="4AD11473">
            <w:pPr>
              <w:keepNext w:val="0"/>
              <w:keepLines w:val="0"/>
              <w:suppressLineNumbers w:val="0"/>
              <w:autoSpaceDE w:val="0"/>
              <w:autoSpaceDN w:val="0"/>
              <w:adjustRightInd w:val="0"/>
              <w:snapToGrid w:val="0"/>
              <w:spacing w:before="0" w:beforeAutospacing="0" w:after="0" w:afterAutospacing="0" w:line="360" w:lineRule="auto"/>
              <w:ind w:left="0" w:right="0"/>
              <w:jc w:val="left"/>
              <w:rPr>
                <w:rFonts w:ascii="宋体" w:hAnsi="宋体"/>
                <w:color w:val="auto"/>
                <w:sz w:val="24"/>
                <w:szCs w:val="24"/>
                <w:highlight w:val="none"/>
              </w:rPr>
            </w:pPr>
            <w:r>
              <w:rPr>
                <w:rFonts w:hint="eastAsia" w:ascii="宋体" w:hAnsi="宋体"/>
                <w:color w:val="auto"/>
                <w:sz w:val="24"/>
                <w:szCs w:val="24"/>
                <w:highlight w:val="none"/>
              </w:rPr>
              <w:t>规划文件：</w:t>
            </w:r>
            <w:r>
              <w:rPr>
                <w:rFonts w:hAnsiTheme="minorEastAsia" w:eastAsiaTheme="minorEastAsia"/>
                <w:color w:val="auto"/>
                <w:sz w:val="24"/>
                <w:szCs w:val="24"/>
                <w:highlight w:val="none"/>
                <w:lang w:val="fr-FR"/>
              </w:rPr>
              <w:t>《涟水新港电子产业科技园开发建设规划》</w:t>
            </w:r>
          </w:p>
          <w:p w14:paraId="10F2C2DA">
            <w:pPr>
              <w:keepNext w:val="0"/>
              <w:keepLines w:val="0"/>
              <w:suppressLineNumbers w:val="0"/>
              <w:adjustRightInd w:val="0"/>
              <w:snapToGrid w:val="0"/>
              <w:spacing w:before="0" w:beforeAutospacing="0" w:after="0" w:afterAutospacing="0" w:line="360" w:lineRule="auto"/>
              <w:ind w:left="0" w:right="0"/>
              <w:jc w:val="left"/>
              <w:rPr>
                <w:rFonts w:ascii="宋体" w:hAnsi="宋体"/>
                <w:color w:val="auto"/>
                <w:sz w:val="24"/>
                <w:szCs w:val="24"/>
                <w:highlight w:val="none"/>
              </w:rPr>
            </w:pPr>
            <w:r>
              <w:rPr>
                <w:rFonts w:hint="default" w:ascii="Times New Roman" w:hAnsi="Times New Roman" w:eastAsia="宋体" w:cs="Times New Roman"/>
                <w:color w:val="auto"/>
                <w:sz w:val="24"/>
                <w:szCs w:val="24"/>
                <w:highlight w:val="none"/>
              </w:rPr>
              <w:t>审批机关</w:t>
            </w:r>
            <w:r>
              <w:rPr>
                <w:rFonts w:hint="eastAsia" w:ascii="宋体" w:hAnsi="宋体"/>
                <w:color w:val="auto"/>
                <w:sz w:val="24"/>
                <w:szCs w:val="24"/>
                <w:highlight w:val="none"/>
              </w:rPr>
              <w:t>：</w:t>
            </w:r>
            <w:r>
              <w:rPr>
                <w:rFonts w:hint="default" w:ascii="Times New Roman" w:hAnsi="Times New Roman" w:eastAsia="宋体" w:cs="Times New Roman"/>
                <w:color w:val="auto"/>
                <w:sz w:val="24"/>
                <w:szCs w:val="24"/>
                <w:highlight w:val="none"/>
              </w:rPr>
              <w:t>涟水县人民政府</w:t>
            </w:r>
          </w:p>
          <w:p w14:paraId="37231211">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审批文件名称及文号</w:t>
            </w:r>
            <w:r>
              <w:rPr>
                <w:rFonts w:hint="eastAsia" w:ascii="宋体" w:hAnsi="宋体"/>
                <w:color w:val="auto"/>
                <w:sz w:val="24"/>
                <w:szCs w:val="24"/>
                <w:highlight w:val="none"/>
              </w:rPr>
              <w:t>：</w:t>
            </w:r>
            <w:r>
              <w:rPr>
                <w:rFonts w:hint="eastAsia"/>
                <w:color w:val="auto"/>
                <w:sz w:val="24"/>
                <w:szCs w:val="24"/>
                <w:highlight w:val="none"/>
              </w:rPr>
              <w:t>涟政复〔2021〕30号</w:t>
            </w:r>
          </w:p>
        </w:tc>
      </w:tr>
      <w:tr w14:paraId="220FAC75">
        <w:tblPrEx>
          <w:tblCellMar>
            <w:top w:w="0" w:type="dxa"/>
            <w:left w:w="108" w:type="dxa"/>
            <w:bottom w:w="0" w:type="dxa"/>
            <w:right w:w="108" w:type="dxa"/>
          </w:tblCellMar>
        </w:tblPrEx>
        <w:trPr>
          <w:trHeight w:val="340" w:hRule="atLeast"/>
        </w:trPr>
        <w:tc>
          <w:tcPr>
            <w:tcW w:w="1481" w:type="dxa"/>
            <w:vAlign w:val="center"/>
          </w:tcPr>
          <w:p w14:paraId="321670F5">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sz w:val="24"/>
                <w:highlight w:val="none"/>
              </w:rPr>
              <w:t>规划环境影响评价情况</w:t>
            </w:r>
          </w:p>
        </w:tc>
        <w:tc>
          <w:tcPr>
            <w:tcW w:w="7390" w:type="dxa"/>
            <w:gridSpan w:val="3"/>
            <w:vAlign w:val="center"/>
          </w:tcPr>
          <w:p w14:paraId="45557542">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rPr>
            </w:pPr>
            <w:bookmarkStart w:id="7" w:name="_Toc24991"/>
            <w:r>
              <w:rPr>
                <w:rFonts w:hint="default" w:ascii="Times New Roman" w:hAnsi="Times New Roman" w:eastAsia="宋体" w:cs="Times New Roman"/>
                <w:bCs/>
                <w:color w:val="auto"/>
                <w:sz w:val="24"/>
                <w:szCs w:val="24"/>
                <w:highlight w:val="none"/>
              </w:rPr>
              <w:t>规划环评文件名称：</w:t>
            </w:r>
            <w:bookmarkEnd w:id="7"/>
            <w:bookmarkStart w:id="8" w:name="_Toc4264"/>
            <w:r>
              <w:rPr>
                <w:rFonts w:hint="default" w:ascii="Times New Roman" w:hAnsi="Times New Roman" w:cs="Times New Roman"/>
                <w:bCs/>
                <w:color w:val="auto"/>
                <w:sz w:val="24"/>
                <w:szCs w:val="24"/>
                <w:highlight w:val="none"/>
              </w:rPr>
              <w:t>《新港电子产业科技园开发建设规划环境影响报告书》</w:t>
            </w:r>
          </w:p>
          <w:p w14:paraId="2693A28C">
            <w:pPr>
              <w:pStyle w:val="81"/>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highlight w:val="none"/>
              </w:rPr>
            </w:pPr>
            <w:bookmarkStart w:id="9" w:name="_Toc15929"/>
            <w:bookmarkStart w:id="10" w:name="_Toc15281"/>
            <w:r>
              <w:rPr>
                <w:rFonts w:hint="default" w:ascii="Times New Roman" w:hAnsi="Times New Roman" w:eastAsia="宋体" w:cs="Times New Roman"/>
                <w:bCs/>
                <w:color w:val="auto"/>
                <w:sz w:val="24"/>
                <w:szCs w:val="24"/>
                <w:highlight w:val="none"/>
              </w:rPr>
              <w:t>审查机关：淮安市涟水生态环境局</w:t>
            </w:r>
            <w:bookmarkEnd w:id="8"/>
            <w:bookmarkEnd w:id="9"/>
            <w:bookmarkEnd w:id="10"/>
          </w:p>
          <w:p w14:paraId="6CA5DCE3">
            <w:pPr>
              <w:pStyle w:val="81"/>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highlight w:val="none"/>
              </w:rPr>
            </w:pPr>
            <w:bookmarkStart w:id="11" w:name="_Toc21587"/>
            <w:bookmarkStart w:id="12" w:name="_Toc11999"/>
            <w:bookmarkStart w:id="13" w:name="_Toc913"/>
            <w:r>
              <w:rPr>
                <w:rFonts w:hint="default" w:ascii="Times New Roman" w:hAnsi="Times New Roman" w:eastAsia="宋体" w:cs="Times New Roman"/>
                <w:bCs/>
                <w:color w:val="auto"/>
                <w:sz w:val="24"/>
                <w:szCs w:val="24"/>
                <w:highlight w:val="none"/>
              </w:rPr>
              <w:t>审查文件名称及文号：</w:t>
            </w:r>
            <w:bookmarkEnd w:id="11"/>
            <w:r>
              <w:rPr>
                <w:rFonts w:hint="default" w:ascii="Times New Roman" w:hAnsi="Times New Roman" w:eastAsia="宋体" w:cs="Times New Roman"/>
                <w:color w:val="auto"/>
                <w:kern w:val="0"/>
                <w:sz w:val="24"/>
                <w:szCs w:val="24"/>
                <w:highlight w:val="none"/>
              </w:rPr>
              <w:t>《关于转送</w:t>
            </w:r>
            <w:r>
              <w:rPr>
                <w:rFonts w:hint="default" w:ascii="Times New Roman" w:hAnsi="Times New Roman" w:cs="Times New Roman"/>
                <w:bCs/>
                <w:color w:val="auto"/>
                <w:sz w:val="24"/>
                <w:szCs w:val="24"/>
                <w:highlight w:val="none"/>
              </w:rPr>
              <w:t>＜涟水新港电子产业科技园开发建设规划环境影响报告书＞</w:t>
            </w:r>
            <w:r>
              <w:rPr>
                <w:rFonts w:hint="default" w:ascii="Times New Roman" w:hAnsi="Times New Roman" w:eastAsia="宋体" w:cs="Times New Roman"/>
                <w:color w:val="auto"/>
                <w:kern w:val="0"/>
                <w:sz w:val="24"/>
                <w:szCs w:val="24"/>
                <w:highlight w:val="none"/>
              </w:rPr>
              <w:t>的审查意见的函》（</w:t>
            </w:r>
            <w:r>
              <w:rPr>
                <w:rFonts w:hint="default" w:ascii="Times New Roman" w:hAnsi="Times New Roman" w:cs="Times New Roman"/>
                <w:bCs/>
                <w:color w:val="auto"/>
                <w:sz w:val="24"/>
                <w:szCs w:val="24"/>
                <w:highlight w:val="none"/>
              </w:rPr>
              <w:t>涟环函</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2022</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56号</w:t>
            </w:r>
            <w:r>
              <w:rPr>
                <w:rFonts w:hint="default" w:ascii="Times New Roman" w:hAnsi="Times New Roman" w:eastAsia="宋体" w:cs="Times New Roman"/>
                <w:color w:val="auto"/>
                <w:kern w:val="0"/>
                <w:sz w:val="24"/>
                <w:szCs w:val="24"/>
                <w:highlight w:val="none"/>
              </w:rPr>
              <w:t>）</w:t>
            </w:r>
            <w:bookmarkEnd w:id="12"/>
            <w:bookmarkEnd w:id="13"/>
          </w:p>
        </w:tc>
      </w:tr>
      <w:tr w14:paraId="02A0E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481" w:type="dxa"/>
            <w:tcBorders>
              <w:top w:val="single" w:color="auto" w:sz="4" w:space="0"/>
              <w:left w:val="single" w:color="auto" w:sz="4" w:space="0"/>
              <w:bottom w:val="single" w:color="auto" w:sz="4" w:space="0"/>
              <w:right w:val="single" w:color="auto" w:sz="4" w:space="0"/>
            </w:tcBorders>
            <w:vAlign w:val="center"/>
          </w:tcPr>
          <w:p w14:paraId="580CD9DA">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规划及规划环境影响评价符合性分析</w:t>
            </w:r>
          </w:p>
        </w:tc>
        <w:tc>
          <w:tcPr>
            <w:tcW w:w="7390" w:type="dxa"/>
            <w:gridSpan w:val="3"/>
            <w:tcBorders>
              <w:top w:val="single" w:color="auto" w:sz="4" w:space="0"/>
              <w:left w:val="single" w:color="auto" w:sz="4" w:space="0"/>
              <w:bottom w:val="single" w:color="auto" w:sz="4" w:space="0"/>
              <w:right w:val="single" w:color="auto" w:sz="4" w:space="0"/>
            </w:tcBorders>
            <w:vAlign w:val="center"/>
          </w:tcPr>
          <w:p w14:paraId="3794A0D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b/>
                <w:color w:val="auto"/>
                <w:kern w:val="0"/>
                <w:sz w:val="24"/>
                <w:highlight w:val="none"/>
              </w:rPr>
            </w:pPr>
            <w:r>
              <w:rPr>
                <w:rFonts w:hint="eastAsia" w:eastAsia="宋体" w:cs="宋体"/>
                <w:b/>
                <w:color w:val="auto"/>
                <w:kern w:val="0"/>
                <w:sz w:val="24"/>
                <w:highlight w:val="none"/>
                <w:lang w:eastAsia="zh-CN"/>
              </w:rPr>
              <w:t>1.</w:t>
            </w:r>
            <w:r>
              <w:rPr>
                <w:rFonts w:hint="eastAsia" w:eastAsia="宋体" w:cs="宋体"/>
                <w:b/>
                <w:color w:val="auto"/>
                <w:sz w:val="24"/>
                <w:highlight w:val="none"/>
              </w:rPr>
              <w:t>与</w:t>
            </w:r>
            <w:r>
              <w:rPr>
                <w:rFonts w:hint="eastAsia" w:eastAsia="宋体" w:cs="宋体"/>
                <w:b/>
                <w:color w:val="auto"/>
                <w:sz w:val="24"/>
                <w:highlight w:val="none"/>
                <w:lang w:val="en-US" w:eastAsia="zh-CN"/>
              </w:rPr>
              <w:t>园区</w:t>
            </w:r>
            <w:r>
              <w:rPr>
                <w:rFonts w:hint="eastAsia" w:eastAsia="宋体" w:cs="宋体"/>
                <w:b/>
                <w:color w:val="auto"/>
                <w:sz w:val="24"/>
                <w:highlight w:val="none"/>
              </w:rPr>
              <w:t>规划</w:t>
            </w:r>
            <w:r>
              <w:rPr>
                <w:rFonts w:hint="eastAsia" w:eastAsia="宋体" w:cs="宋体"/>
                <w:b/>
                <w:color w:val="auto"/>
                <w:sz w:val="24"/>
                <w:highlight w:val="none"/>
                <w:lang w:val="en-US" w:eastAsia="zh-CN"/>
              </w:rPr>
              <w:t>的</w:t>
            </w:r>
            <w:r>
              <w:rPr>
                <w:rFonts w:hint="eastAsia" w:eastAsia="宋体" w:cs="宋体"/>
                <w:b/>
                <w:color w:val="auto"/>
                <w:sz w:val="24"/>
                <w:highlight w:val="none"/>
              </w:rPr>
              <w:t>相符性分析</w:t>
            </w:r>
          </w:p>
          <w:p w14:paraId="12D19DC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ascii="宋体" w:hAnsi="宋体"/>
                <w:bCs/>
                <w:color w:val="auto"/>
                <w:sz w:val="24"/>
                <w:szCs w:val="24"/>
                <w:highlight w:val="none"/>
              </w:rPr>
            </w:pPr>
            <w:r>
              <w:rPr>
                <w:rFonts w:hint="eastAsia" w:ascii="宋体" w:hAnsi="宋体"/>
                <w:color w:val="auto"/>
                <w:sz w:val="24"/>
                <w:szCs w:val="24"/>
                <w:highlight w:val="none"/>
              </w:rPr>
              <w:t>本项目与</w:t>
            </w:r>
            <w:r>
              <w:rPr>
                <w:rFonts w:hint="eastAsia" w:ascii="宋体" w:hAnsi="宋体"/>
                <w:bCs/>
                <w:color w:val="auto"/>
                <w:sz w:val="24"/>
                <w:szCs w:val="24"/>
                <w:highlight w:val="none"/>
              </w:rPr>
              <w:t>涟水县新港电子产业科技园</w:t>
            </w:r>
            <w:r>
              <w:rPr>
                <w:rFonts w:hint="eastAsia" w:ascii="宋体" w:hAnsi="宋体"/>
                <w:color w:val="auto"/>
                <w:sz w:val="24"/>
                <w:szCs w:val="24"/>
                <w:highlight w:val="none"/>
              </w:rPr>
              <w:t>规划的相符性分析</w:t>
            </w:r>
            <w:r>
              <w:rPr>
                <w:rFonts w:hint="eastAsia" w:ascii="宋体" w:hAnsi="宋体"/>
                <w:bCs/>
                <w:color w:val="auto"/>
                <w:sz w:val="24"/>
                <w:szCs w:val="24"/>
                <w:highlight w:val="none"/>
              </w:rPr>
              <w:t>详见表1-1。</w:t>
            </w:r>
          </w:p>
          <w:p w14:paraId="7254BB6C">
            <w:pPr>
              <w:keepNext w:val="0"/>
              <w:keepLines w:val="0"/>
              <w:suppressLineNumbers w:val="0"/>
              <w:spacing w:before="0" w:beforeAutospacing="0" w:after="0" w:afterAutospacing="0"/>
              <w:ind w:left="0" w:right="0"/>
              <w:jc w:val="center"/>
              <w:rPr>
                <w:rFonts w:ascii="宋体" w:hAnsi="宋体"/>
                <w:b/>
                <w:bCs/>
                <w:color w:val="auto"/>
                <w:sz w:val="24"/>
                <w:szCs w:val="24"/>
                <w:highlight w:val="none"/>
              </w:rPr>
            </w:pPr>
            <w:r>
              <w:rPr>
                <w:rFonts w:hint="eastAsia" w:ascii="宋体" w:hAnsi="宋体"/>
                <w:b/>
                <w:bCs/>
                <w:color w:val="auto"/>
                <w:sz w:val="24"/>
                <w:szCs w:val="24"/>
                <w:highlight w:val="none"/>
              </w:rPr>
              <w:t>表1-1  本项目与园区规划相符性分析</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158"/>
              <w:gridCol w:w="3076"/>
              <w:gridCol w:w="2253"/>
              <w:gridCol w:w="686"/>
            </w:tblGrid>
            <w:tr w14:paraId="1B680A6F">
              <w:trPr>
                <w:tblHeader/>
                <w:jc w:val="center"/>
              </w:trPr>
              <w:tc>
                <w:tcPr>
                  <w:tcW w:w="2951" w:type="pct"/>
                  <w:gridSpan w:val="2"/>
                  <w:shd w:val="clear" w:color="auto" w:fill="FFFFFF"/>
                  <w:vAlign w:val="center"/>
                </w:tcPr>
                <w:p w14:paraId="51B45E31">
                  <w:pPr>
                    <w:keepNext w:val="0"/>
                    <w:keepLines w:val="0"/>
                    <w:widowControl/>
                    <w:suppressLineNumbers w:val="0"/>
                    <w:adjustRightInd w:val="0"/>
                    <w:snapToGrid w:val="0"/>
                    <w:spacing w:before="0" w:beforeAutospacing="0" w:after="0" w:afterAutospacing="0"/>
                    <w:ind w:left="105" w:leftChars="50" w:right="105" w:rightChars="50"/>
                    <w:jc w:val="center"/>
                    <w:rPr>
                      <w:rFonts w:ascii="宋体" w:hAnsi="宋体"/>
                      <w:b/>
                      <w:color w:val="auto"/>
                      <w:szCs w:val="21"/>
                      <w:highlight w:val="none"/>
                    </w:rPr>
                  </w:pPr>
                  <w:r>
                    <w:rPr>
                      <w:rFonts w:hint="eastAsia" w:ascii="宋体" w:hAnsi="宋体"/>
                      <w:b/>
                      <w:color w:val="auto"/>
                      <w:szCs w:val="21"/>
                      <w:highlight w:val="none"/>
                    </w:rPr>
                    <w:t>规划内容</w:t>
                  </w:r>
                </w:p>
              </w:tc>
              <w:tc>
                <w:tcPr>
                  <w:tcW w:w="1570" w:type="pct"/>
                  <w:shd w:val="clear" w:color="auto" w:fill="FFFFFF"/>
                  <w:vAlign w:val="center"/>
                </w:tcPr>
                <w:p w14:paraId="052F9AAD">
                  <w:pPr>
                    <w:keepNext w:val="0"/>
                    <w:keepLines w:val="0"/>
                    <w:widowControl/>
                    <w:suppressLineNumbers w:val="0"/>
                    <w:adjustRightInd w:val="0"/>
                    <w:snapToGrid w:val="0"/>
                    <w:spacing w:before="0" w:beforeAutospacing="0" w:after="0" w:afterAutospacing="0"/>
                    <w:ind w:left="105" w:leftChars="50" w:right="105" w:rightChars="50"/>
                    <w:jc w:val="center"/>
                    <w:rPr>
                      <w:rFonts w:ascii="宋体" w:hAnsi="宋体"/>
                      <w:b/>
                      <w:color w:val="auto"/>
                      <w:szCs w:val="21"/>
                      <w:highlight w:val="none"/>
                    </w:rPr>
                  </w:pPr>
                  <w:r>
                    <w:rPr>
                      <w:rFonts w:hint="eastAsia" w:ascii="宋体" w:hAnsi="宋体"/>
                      <w:b/>
                      <w:color w:val="auto"/>
                      <w:szCs w:val="21"/>
                      <w:highlight w:val="none"/>
                    </w:rPr>
                    <w:t>本项目情况</w:t>
                  </w:r>
                </w:p>
              </w:tc>
              <w:tc>
                <w:tcPr>
                  <w:tcW w:w="478" w:type="pct"/>
                  <w:shd w:val="clear" w:color="auto" w:fill="FFFFFF"/>
                </w:tcPr>
                <w:p w14:paraId="04884BCE">
                  <w:pPr>
                    <w:keepNext w:val="0"/>
                    <w:keepLines w:val="0"/>
                    <w:widowControl/>
                    <w:suppressLineNumbers w:val="0"/>
                    <w:adjustRightInd w:val="0"/>
                    <w:snapToGrid w:val="0"/>
                    <w:spacing w:before="0" w:beforeAutospacing="0" w:after="0" w:afterAutospacing="0"/>
                    <w:ind w:left="105" w:leftChars="50" w:right="105" w:rightChars="50"/>
                    <w:jc w:val="center"/>
                    <w:rPr>
                      <w:rFonts w:ascii="宋体" w:hAnsi="宋体"/>
                      <w:b/>
                      <w:color w:val="auto"/>
                      <w:szCs w:val="21"/>
                      <w:highlight w:val="none"/>
                    </w:rPr>
                  </w:pPr>
                  <w:r>
                    <w:rPr>
                      <w:rFonts w:hint="eastAsia" w:ascii="宋体" w:hAnsi="宋体"/>
                      <w:b/>
                      <w:color w:val="auto"/>
                      <w:szCs w:val="21"/>
                      <w:highlight w:val="none"/>
                    </w:rPr>
                    <w:t>符合性分析</w:t>
                  </w:r>
                </w:p>
              </w:tc>
            </w:tr>
            <w:tr w14:paraId="29799302">
              <w:trPr>
                <w:trHeight w:val="937" w:hRule="atLeast"/>
                <w:jc w:val="center"/>
              </w:trPr>
              <w:tc>
                <w:tcPr>
                  <w:tcW w:w="807" w:type="pct"/>
                  <w:vMerge w:val="restart"/>
                  <w:vAlign w:val="center"/>
                </w:tcPr>
                <w:p w14:paraId="223C313E">
                  <w:pPr>
                    <w:keepNext w:val="0"/>
                    <w:keepLines w:val="0"/>
                    <w:suppressLineNumbers w:val="0"/>
                    <w:adjustRightInd w:val="0"/>
                    <w:snapToGrid w:val="0"/>
                    <w:spacing w:before="0" w:beforeAutospacing="0" w:after="0" w:afterAutospacing="0"/>
                    <w:ind w:left="105" w:leftChars="50" w:right="105" w:rightChars="50"/>
                    <w:jc w:val="center"/>
                    <w:rPr>
                      <w:rFonts w:ascii="宋体" w:hAnsi="宋体"/>
                      <w:b/>
                      <w:color w:val="auto"/>
                      <w:szCs w:val="21"/>
                      <w:highlight w:val="none"/>
                    </w:rPr>
                  </w:pPr>
                  <w:r>
                    <w:rPr>
                      <w:rFonts w:hint="eastAsia" w:ascii="宋体" w:hAnsi="宋体"/>
                      <w:b/>
                      <w:bCs/>
                      <w:color w:val="auto"/>
                      <w:highlight w:val="none"/>
                    </w:rPr>
                    <w:t>《涟水新港电子产业科技园开发建设规划环境影响评价报告书》</w:t>
                  </w:r>
                </w:p>
              </w:tc>
              <w:tc>
                <w:tcPr>
                  <w:tcW w:w="2144" w:type="pct"/>
                  <w:vAlign w:val="center"/>
                </w:tcPr>
                <w:p w14:paraId="01F7C4F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highlight w:val="none"/>
                    </w:rPr>
                    <w:t>规划范围四至边界：</w:t>
                  </w:r>
                  <w:r>
                    <w:rPr>
                      <w:rFonts w:hint="default" w:ascii="Times New Roman" w:hAnsi="Times New Roman" w:cs="Times New Roman"/>
                      <w:color w:val="auto"/>
                      <w:highlight w:val="none"/>
                    </w:rPr>
                    <w:t>北临北环路（省道235），西至港口路，南达兴隆路，东跨淮浦路至兴隆路围合，总用地面积177.81公顷</w:t>
                  </w:r>
                </w:p>
              </w:tc>
              <w:tc>
                <w:tcPr>
                  <w:tcW w:w="1570" w:type="pct"/>
                  <w:vAlign w:val="center"/>
                </w:tcPr>
                <w:p w14:paraId="7D36AA50">
                  <w:pPr>
                    <w:keepNext w:val="0"/>
                    <w:keepLines w:val="0"/>
                    <w:suppressLineNumbers w:val="0"/>
                    <w:adjustRightInd w:val="0"/>
                    <w:snapToGrid w:val="0"/>
                    <w:spacing w:before="0" w:beforeAutospacing="0" w:after="0" w:afterAutospacing="0"/>
                    <w:ind w:left="105" w:leftChars="50" w:right="105" w:rightChars="50"/>
                    <w:jc w:val="center"/>
                    <w:rPr>
                      <w:rFonts w:ascii="宋体" w:hAnsi="宋体"/>
                      <w:color w:val="auto"/>
                      <w:szCs w:val="21"/>
                      <w:highlight w:val="none"/>
                    </w:rPr>
                  </w:pPr>
                  <w:r>
                    <w:rPr>
                      <w:rFonts w:hint="eastAsia" w:ascii="宋体" w:hAnsi="宋体"/>
                      <w:color w:val="auto"/>
                      <w:sz w:val="21"/>
                      <w:szCs w:val="21"/>
                      <w:highlight w:val="none"/>
                    </w:rPr>
                    <w:t>建设项目位于</w:t>
                  </w:r>
                  <w:r>
                    <w:rPr>
                      <w:rFonts w:hint="eastAsia" w:hAnsi="宋体"/>
                      <w:color w:val="auto"/>
                      <w:sz w:val="21"/>
                      <w:szCs w:val="21"/>
                      <w:highlight w:val="none"/>
                      <w:lang w:eastAsia="zh-CN"/>
                    </w:rPr>
                    <w:t>涟水县经济开发区模架产业园北侧、科佳五轴机床东侧</w:t>
                  </w:r>
                  <w:r>
                    <w:rPr>
                      <w:rFonts w:hint="eastAsia" w:ascii="宋体" w:hAnsi="宋体"/>
                      <w:color w:val="auto"/>
                      <w:sz w:val="21"/>
                      <w:szCs w:val="21"/>
                      <w:highlight w:val="none"/>
                    </w:rPr>
                    <w:t>，属于</w:t>
                  </w:r>
                  <w:r>
                    <w:rPr>
                      <w:rFonts w:hint="eastAsia" w:ascii="宋体" w:hAnsi="宋体"/>
                      <w:bCs/>
                      <w:color w:val="auto"/>
                      <w:sz w:val="21"/>
                      <w:szCs w:val="21"/>
                      <w:highlight w:val="none"/>
                    </w:rPr>
                    <w:t>新港电子产业科技园</w:t>
                  </w:r>
                  <w:r>
                    <w:rPr>
                      <w:rFonts w:hint="eastAsia" w:ascii="宋体" w:hAnsi="宋体"/>
                      <w:color w:val="auto"/>
                      <w:sz w:val="21"/>
                      <w:szCs w:val="21"/>
                      <w:highlight w:val="none"/>
                    </w:rPr>
                    <w:t>范围。</w:t>
                  </w:r>
                </w:p>
              </w:tc>
              <w:tc>
                <w:tcPr>
                  <w:tcW w:w="478" w:type="pct"/>
                  <w:vAlign w:val="center"/>
                </w:tcPr>
                <w:p w14:paraId="1A6B88E3">
                  <w:pPr>
                    <w:keepNext w:val="0"/>
                    <w:keepLines w:val="0"/>
                    <w:widowControl/>
                    <w:suppressLineNumbers w:val="0"/>
                    <w:adjustRightInd w:val="0"/>
                    <w:snapToGrid w:val="0"/>
                    <w:spacing w:before="0" w:beforeAutospacing="0" w:after="0" w:afterAutospacing="0"/>
                    <w:ind w:left="105" w:leftChars="50" w:right="105" w:rightChars="50"/>
                    <w:jc w:val="center"/>
                    <w:rPr>
                      <w:rFonts w:ascii="宋体" w:hAnsi="宋体"/>
                      <w:color w:val="auto"/>
                      <w:szCs w:val="21"/>
                      <w:highlight w:val="none"/>
                    </w:rPr>
                  </w:pPr>
                  <w:r>
                    <w:rPr>
                      <w:rFonts w:ascii="宋体" w:hAnsi="宋体"/>
                      <w:color w:val="auto"/>
                      <w:szCs w:val="21"/>
                      <w:highlight w:val="none"/>
                    </w:rPr>
                    <w:t>符合</w:t>
                  </w:r>
                </w:p>
              </w:tc>
            </w:tr>
            <w:tr w14:paraId="20116AF6">
              <w:trPr>
                <w:trHeight w:val="937" w:hRule="atLeast"/>
                <w:jc w:val="center"/>
              </w:trPr>
              <w:tc>
                <w:tcPr>
                  <w:tcW w:w="807" w:type="pct"/>
                  <w:vMerge w:val="continue"/>
                  <w:vAlign w:val="center"/>
                </w:tcPr>
                <w:p w14:paraId="59797AFA">
                  <w:pPr>
                    <w:keepNext w:val="0"/>
                    <w:keepLines w:val="0"/>
                    <w:suppressLineNumbers w:val="0"/>
                    <w:adjustRightInd w:val="0"/>
                    <w:snapToGrid w:val="0"/>
                    <w:spacing w:before="0" w:beforeAutospacing="0" w:after="0" w:afterAutospacing="0"/>
                    <w:ind w:left="105" w:leftChars="50" w:right="105" w:rightChars="50"/>
                    <w:jc w:val="center"/>
                    <w:rPr>
                      <w:rFonts w:ascii="宋体" w:hAnsi="宋体"/>
                      <w:color w:val="auto"/>
                      <w:szCs w:val="21"/>
                      <w:highlight w:val="none"/>
                    </w:rPr>
                  </w:pPr>
                </w:p>
              </w:tc>
              <w:tc>
                <w:tcPr>
                  <w:tcW w:w="2144" w:type="pct"/>
                  <w:vAlign w:val="center"/>
                </w:tcPr>
                <w:p w14:paraId="217D5910">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b/>
                      <w:color w:val="auto"/>
                      <w:highlight w:val="none"/>
                    </w:rPr>
                    <w:t>产业定位：</w:t>
                  </w:r>
                  <w:r>
                    <w:rPr>
                      <w:rFonts w:hint="default" w:ascii="Times New Roman" w:hAnsi="Times New Roman" w:cs="Times New Roman"/>
                      <w:color w:val="auto"/>
                      <w:highlight w:val="none"/>
                    </w:rPr>
                    <w:t>大中型电子信息制造企业集中、科技含量高、污染受控、环境优美、公用设施配套齐全的制造产业基地。规划确定园区的主导产业为电子信息产业及电子信息相关产业。</w:t>
                  </w:r>
                </w:p>
              </w:tc>
              <w:tc>
                <w:tcPr>
                  <w:tcW w:w="1570" w:type="pct"/>
                  <w:vAlign w:val="center"/>
                </w:tcPr>
                <w:p w14:paraId="529BA565">
                  <w:pPr>
                    <w:keepNext w:val="0"/>
                    <w:keepLines w:val="0"/>
                    <w:suppressLineNumbers w:val="0"/>
                    <w:adjustRightInd w:val="0"/>
                    <w:snapToGrid w:val="0"/>
                    <w:spacing w:before="0" w:beforeAutospacing="0" w:after="0" w:afterAutospacing="0"/>
                    <w:ind w:left="105" w:leftChars="50" w:right="105" w:rightChars="50"/>
                    <w:jc w:val="center"/>
                    <w:rPr>
                      <w:rFonts w:ascii="宋体" w:hAnsi="宋体"/>
                      <w:color w:val="auto"/>
                      <w:szCs w:val="21"/>
                      <w:highlight w:val="none"/>
                    </w:rPr>
                  </w:pPr>
                  <w:r>
                    <w:rPr>
                      <w:rFonts w:hint="eastAsia" w:ascii="宋体" w:hAnsi="宋体"/>
                      <w:color w:val="auto"/>
                      <w:sz w:val="21"/>
                      <w:szCs w:val="21"/>
                      <w:highlight w:val="none"/>
                    </w:rPr>
                    <w:t>本项目为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hint="eastAsia" w:ascii="宋体" w:hAnsi="宋体"/>
                      <w:color w:val="auto"/>
                      <w:sz w:val="21"/>
                      <w:szCs w:val="21"/>
                      <w:highlight w:val="none"/>
                    </w:rPr>
                    <w:t>，</w:t>
                  </w:r>
                  <w:r>
                    <w:rPr>
                      <w:rFonts w:hint="eastAsia"/>
                      <w:color w:val="auto"/>
                    </w:rPr>
                    <w:t>不属于园区限制引入和禁止引入的产业，属于允许类产业</w:t>
                  </w:r>
                  <w:r>
                    <w:rPr>
                      <w:rFonts w:hint="eastAsia" w:ascii="宋体" w:hAnsi="宋体"/>
                      <w:color w:val="auto"/>
                      <w:sz w:val="21"/>
                      <w:szCs w:val="21"/>
                      <w:highlight w:val="none"/>
                    </w:rPr>
                    <w:t>。</w:t>
                  </w:r>
                </w:p>
              </w:tc>
              <w:tc>
                <w:tcPr>
                  <w:tcW w:w="478" w:type="pct"/>
                  <w:vAlign w:val="center"/>
                </w:tcPr>
                <w:p w14:paraId="03D4E845">
                  <w:pPr>
                    <w:keepNext w:val="0"/>
                    <w:keepLines w:val="0"/>
                    <w:widowControl/>
                    <w:suppressLineNumbers w:val="0"/>
                    <w:adjustRightInd w:val="0"/>
                    <w:snapToGrid w:val="0"/>
                    <w:spacing w:before="0" w:beforeAutospacing="0" w:after="0" w:afterAutospacing="0"/>
                    <w:ind w:left="105" w:leftChars="50" w:right="105" w:rightChars="50"/>
                    <w:jc w:val="center"/>
                    <w:rPr>
                      <w:rFonts w:ascii="宋体" w:hAnsi="宋体"/>
                      <w:color w:val="auto"/>
                      <w:szCs w:val="21"/>
                      <w:highlight w:val="none"/>
                    </w:rPr>
                  </w:pPr>
                  <w:r>
                    <w:rPr>
                      <w:rFonts w:hint="eastAsia" w:ascii="宋体" w:hAnsi="宋体"/>
                      <w:color w:val="auto"/>
                      <w:szCs w:val="21"/>
                      <w:highlight w:val="none"/>
                    </w:rPr>
                    <w:t>符合</w:t>
                  </w:r>
                </w:p>
              </w:tc>
            </w:tr>
          </w:tbl>
          <w:p w14:paraId="67D65A11">
            <w:pPr>
              <w:keepNext w:val="0"/>
              <w:keepLines w:val="0"/>
              <w:widowControl/>
              <w:suppressLineNumbers w:val="0"/>
              <w:adjustRightInd w:val="0"/>
              <w:snapToGrid w:val="0"/>
              <w:spacing w:before="0" w:beforeLines="50" w:beforeAutospacing="0" w:after="0" w:afterAutospacing="0" w:line="360" w:lineRule="auto"/>
              <w:ind w:left="0" w:right="0" w:firstLine="480" w:firstLineChars="200"/>
              <w:jc w:val="left"/>
              <w:rPr>
                <w:color w:val="auto"/>
                <w:highlight w:val="none"/>
              </w:rPr>
            </w:pPr>
            <w:r>
              <w:rPr>
                <w:rFonts w:hint="eastAsia" w:ascii="宋体" w:hAnsi="宋体" w:eastAsia="宋体" w:cs="宋体"/>
                <w:color w:val="auto"/>
                <w:kern w:val="0"/>
                <w:sz w:val="24"/>
                <w:highlight w:val="none"/>
                <w:lang w:val="en-US" w:eastAsia="zh-CN"/>
              </w:rPr>
              <w:t>综上可知，本项目</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lang w:val="en-US" w:eastAsia="zh-CN"/>
              </w:rPr>
              <w:t>园区</w:t>
            </w:r>
            <w:r>
              <w:rPr>
                <w:rFonts w:hint="eastAsia" w:ascii="宋体" w:hAnsi="宋体" w:eastAsia="宋体" w:cs="宋体"/>
                <w:color w:val="auto"/>
                <w:kern w:val="0"/>
                <w:sz w:val="24"/>
                <w:highlight w:val="none"/>
              </w:rPr>
              <w:t>规划相符。</w:t>
            </w:r>
          </w:p>
          <w:p w14:paraId="3DCE5278">
            <w:pPr>
              <w:keepNext w:val="0"/>
              <w:keepLines w:val="0"/>
              <w:suppressLineNumbers w:val="0"/>
              <w:spacing w:before="0" w:beforeAutospacing="0" w:after="0" w:afterAutospacing="0" w:line="360" w:lineRule="auto"/>
              <w:ind w:left="0" w:right="0" w:firstLine="482" w:firstLineChars="200"/>
              <w:rPr>
                <w:b/>
                <w:color w:val="auto"/>
                <w:sz w:val="24"/>
                <w:highlight w:val="none"/>
              </w:rPr>
            </w:pPr>
            <w:r>
              <w:rPr>
                <w:rFonts w:hint="eastAsia" w:eastAsia="宋体" w:cs="宋体"/>
                <w:b/>
                <w:color w:val="auto"/>
                <w:sz w:val="24"/>
                <w:highlight w:val="none"/>
                <w:lang w:val="en-US" w:eastAsia="zh-CN"/>
              </w:rPr>
              <w:t>2.</w:t>
            </w:r>
            <w:r>
              <w:rPr>
                <w:rFonts w:hint="eastAsia" w:eastAsia="宋体" w:cs="宋体"/>
                <w:b/>
                <w:color w:val="auto"/>
                <w:sz w:val="24"/>
                <w:highlight w:val="none"/>
              </w:rPr>
              <w:t>与规划环评审查意见相符性分析</w:t>
            </w:r>
          </w:p>
          <w:p w14:paraId="18EC4F7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本项目与</w:t>
            </w:r>
            <w:r>
              <w:rPr>
                <w:rFonts w:hint="default" w:ascii="Times New Roman" w:hAnsi="Times New Roman" w:cs="Times New Roman"/>
                <w:bCs/>
                <w:color w:val="auto"/>
                <w:sz w:val="24"/>
                <w:szCs w:val="24"/>
                <w:highlight w:val="none"/>
              </w:rPr>
              <w:t>《涟水新港电子产业科技园开发建设规划环境影响报告书》审查意见</w:t>
            </w:r>
            <w:r>
              <w:rPr>
                <w:rFonts w:hint="eastAsia"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涟环函</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2022</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56号</w:t>
            </w:r>
            <w:r>
              <w:rPr>
                <w:rFonts w:hint="eastAsia" w:cs="Times New Roman"/>
                <w:bCs/>
                <w:color w:val="auto"/>
                <w:sz w:val="24"/>
                <w:szCs w:val="24"/>
                <w:highlight w:val="none"/>
                <w:lang w:eastAsia="zh-CN"/>
              </w:rPr>
              <w:t>）</w:t>
            </w:r>
            <w:r>
              <w:rPr>
                <w:rFonts w:hint="default" w:ascii="Times New Roman" w:hAnsi="Times New Roman" w:cs="Times New Roman"/>
                <w:color w:val="auto"/>
                <w:sz w:val="24"/>
                <w:szCs w:val="24"/>
                <w:highlight w:val="none"/>
              </w:rPr>
              <w:t>相符性分析见表1-2。</w:t>
            </w:r>
          </w:p>
          <w:p w14:paraId="1663599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表1-2  本项目与</w:t>
            </w:r>
            <w:r>
              <w:rPr>
                <w:rFonts w:hint="default" w:ascii="Times New Roman" w:hAnsi="Times New Roman" w:cs="Times New Roman"/>
                <w:b/>
                <w:bCs/>
                <w:color w:val="auto"/>
                <w:sz w:val="24"/>
                <w:szCs w:val="24"/>
                <w:highlight w:val="none"/>
              </w:rPr>
              <w:t>涟环函</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2022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56号</w:t>
            </w:r>
            <w:r>
              <w:rPr>
                <w:rFonts w:hint="default" w:ascii="Times New Roman" w:hAnsi="Times New Roman" w:cs="Times New Roman"/>
                <w:b/>
                <w:color w:val="auto"/>
                <w:sz w:val="24"/>
                <w:szCs w:val="24"/>
                <w:highlight w:val="none"/>
              </w:rPr>
              <w:t>相符性分析</w:t>
            </w:r>
          </w:p>
          <w:tbl>
            <w:tblPr>
              <w:tblStyle w:val="88"/>
              <w:tblW w:w="497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3201"/>
              <w:gridCol w:w="2841"/>
              <w:gridCol w:w="681"/>
            </w:tblGrid>
            <w:tr w14:paraId="258086E7">
              <w:tc>
                <w:tcPr>
                  <w:tcW w:w="292" w:type="pct"/>
                  <w:tcBorders>
                    <w:tl2br w:val="nil"/>
                    <w:tr2bl w:val="nil"/>
                  </w:tcBorders>
                  <w:shd w:val="clear" w:color="auto" w:fill="auto"/>
                  <w:vAlign w:val="center"/>
                </w:tcPr>
                <w:p w14:paraId="31C2048B">
                  <w:pPr>
                    <w:keepNext w:val="0"/>
                    <w:keepLines w:val="0"/>
                    <w:suppressLineNumbers w:val="0"/>
                    <w:spacing w:before="0" w:beforeAutospacing="0" w:after="0" w:afterAutospacing="0"/>
                    <w:ind w:left="0" w:right="0"/>
                    <w:jc w:val="center"/>
                    <w:rPr>
                      <w:rFonts w:ascii="宋体" w:hAnsi="宋体"/>
                      <w:b/>
                      <w:color w:val="auto"/>
                      <w:szCs w:val="21"/>
                      <w:highlight w:val="none"/>
                    </w:rPr>
                  </w:pPr>
                  <w:r>
                    <w:rPr>
                      <w:rFonts w:hint="eastAsia" w:ascii="宋体" w:hAnsi="宋体" w:cs="宋体"/>
                      <w:b/>
                      <w:color w:val="auto"/>
                      <w:szCs w:val="21"/>
                      <w:highlight w:val="none"/>
                    </w:rPr>
                    <w:t>序号</w:t>
                  </w:r>
                </w:p>
              </w:tc>
              <w:tc>
                <w:tcPr>
                  <w:tcW w:w="2241" w:type="pct"/>
                  <w:tcBorders>
                    <w:tl2br w:val="nil"/>
                    <w:tr2bl w:val="nil"/>
                  </w:tcBorders>
                  <w:shd w:val="clear" w:color="auto" w:fill="auto"/>
                  <w:vAlign w:val="center"/>
                </w:tcPr>
                <w:p w14:paraId="72F4CA1B">
                  <w:pPr>
                    <w:keepNext w:val="0"/>
                    <w:keepLines w:val="0"/>
                    <w:suppressLineNumbers w:val="0"/>
                    <w:spacing w:before="0" w:beforeAutospacing="0" w:after="0" w:afterAutospacing="0"/>
                    <w:ind w:left="0" w:right="0"/>
                    <w:jc w:val="center"/>
                    <w:rPr>
                      <w:rFonts w:ascii="宋体" w:hAnsi="宋体"/>
                      <w:b/>
                      <w:color w:val="auto"/>
                      <w:szCs w:val="21"/>
                      <w:highlight w:val="none"/>
                    </w:rPr>
                  </w:pPr>
                  <w:r>
                    <w:rPr>
                      <w:rFonts w:hint="eastAsia" w:ascii="宋体" w:hAnsi="宋体" w:cs="宋体"/>
                      <w:b/>
                      <w:color w:val="auto"/>
                      <w:szCs w:val="21"/>
                      <w:highlight w:val="none"/>
                    </w:rPr>
                    <w:t>审查意见</w:t>
                  </w:r>
                </w:p>
              </w:tc>
              <w:tc>
                <w:tcPr>
                  <w:tcW w:w="1989" w:type="pct"/>
                  <w:tcBorders>
                    <w:tl2br w:val="nil"/>
                    <w:tr2bl w:val="nil"/>
                  </w:tcBorders>
                  <w:shd w:val="clear" w:color="auto" w:fill="auto"/>
                  <w:vAlign w:val="center"/>
                </w:tcPr>
                <w:p w14:paraId="0AB5B21F">
                  <w:pPr>
                    <w:keepNext w:val="0"/>
                    <w:keepLines w:val="0"/>
                    <w:suppressLineNumbers w:val="0"/>
                    <w:spacing w:before="0" w:beforeAutospacing="0" w:after="0" w:afterAutospacing="0"/>
                    <w:ind w:left="0" w:right="0"/>
                    <w:jc w:val="center"/>
                    <w:rPr>
                      <w:rFonts w:ascii="宋体" w:hAnsi="宋体"/>
                      <w:b/>
                      <w:color w:val="auto"/>
                      <w:szCs w:val="21"/>
                      <w:highlight w:val="none"/>
                    </w:rPr>
                  </w:pPr>
                  <w:r>
                    <w:rPr>
                      <w:rFonts w:hint="eastAsia" w:ascii="宋体" w:hAnsi="宋体" w:cs="宋体"/>
                      <w:b/>
                      <w:color w:val="auto"/>
                      <w:szCs w:val="21"/>
                      <w:highlight w:val="none"/>
                    </w:rPr>
                    <w:t>本项目</w:t>
                  </w:r>
                </w:p>
              </w:tc>
              <w:tc>
                <w:tcPr>
                  <w:tcW w:w="476" w:type="pct"/>
                  <w:tcBorders>
                    <w:tl2br w:val="nil"/>
                    <w:tr2bl w:val="nil"/>
                  </w:tcBorders>
                  <w:shd w:val="clear" w:color="auto" w:fill="auto"/>
                  <w:vAlign w:val="center"/>
                </w:tcPr>
                <w:p w14:paraId="1EA84437">
                  <w:pPr>
                    <w:keepNext w:val="0"/>
                    <w:keepLines w:val="0"/>
                    <w:suppressLineNumbers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符合性分析</w:t>
                  </w:r>
                </w:p>
              </w:tc>
            </w:tr>
            <w:tr w14:paraId="3F5E752F">
              <w:tc>
                <w:tcPr>
                  <w:tcW w:w="292" w:type="pct"/>
                  <w:tcBorders>
                    <w:tl2br w:val="nil"/>
                    <w:tr2bl w:val="nil"/>
                  </w:tcBorders>
                  <w:shd w:val="clear" w:color="auto" w:fill="auto"/>
                  <w:vAlign w:val="center"/>
                </w:tcPr>
                <w:p w14:paraId="348B8D6A">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1</w:t>
                  </w:r>
                </w:p>
              </w:tc>
              <w:tc>
                <w:tcPr>
                  <w:tcW w:w="2241" w:type="pct"/>
                  <w:tcBorders>
                    <w:tl2br w:val="nil"/>
                    <w:tr2bl w:val="nil"/>
                  </w:tcBorders>
                  <w:shd w:val="clear" w:color="auto" w:fill="auto"/>
                  <w:vAlign w:val="center"/>
                </w:tcPr>
                <w:p w14:paraId="68005A7A">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一）坚持绿色发展、协调发展，加强规划引导。严格执行国家、省市对高耗能高排放项目的环境管理相关要求。以生态环境质量改善为核心，进一步优化《规划》用地布局、发展规模、产业结构等，做好与各级国土空间总体规划和“三线一单”生态环境分区管控方案的协调衔接。</w:t>
                  </w:r>
                </w:p>
              </w:tc>
              <w:tc>
                <w:tcPr>
                  <w:tcW w:w="1989" w:type="pct"/>
                  <w:tcBorders>
                    <w:tl2br w:val="nil"/>
                    <w:tr2bl w:val="nil"/>
                  </w:tcBorders>
                  <w:shd w:val="clear" w:color="auto" w:fill="auto"/>
                  <w:vAlign w:val="center"/>
                </w:tcPr>
                <w:p w14:paraId="33671510">
                  <w:pPr>
                    <w:keepNext w:val="0"/>
                    <w:keepLines w:val="0"/>
                    <w:suppressLineNumbers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rPr>
                    <w:t>对照</w:t>
                  </w:r>
                  <w:r>
                    <w:rPr>
                      <w:rFonts w:ascii="宋体" w:hAnsi="宋体"/>
                      <w:color w:val="auto"/>
                      <w:szCs w:val="21"/>
                      <w:highlight w:val="none"/>
                    </w:rPr>
                    <w:t>《工业重点领域能效标杆水平和基准水平》（2023年版）</w:t>
                  </w:r>
                  <w:r>
                    <w:rPr>
                      <w:rFonts w:hint="eastAsia" w:ascii="宋体" w:hAnsi="宋体"/>
                      <w:color w:val="auto"/>
                      <w:szCs w:val="21"/>
                      <w:highlight w:val="none"/>
                    </w:rPr>
                    <w:t>，</w:t>
                  </w:r>
                  <w:r>
                    <w:rPr>
                      <w:rFonts w:ascii="宋体" w:hAnsi="宋体"/>
                      <w:color w:val="auto"/>
                      <w:kern w:val="0"/>
                      <w:szCs w:val="21"/>
                      <w:highlight w:val="none"/>
                    </w:rPr>
                    <w:t>本项目不属于高耗水、高耗能项目</w:t>
                  </w:r>
                  <w:r>
                    <w:rPr>
                      <w:rFonts w:hint="eastAsia" w:ascii="宋体" w:hAnsi="宋体"/>
                      <w:color w:val="auto"/>
                      <w:kern w:val="0"/>
                      <w:szCs w:val="21"/>
                      <w:highlight w:val="none"/>
                    </w:rPr>
                    <w:t>；</w:t>
                  </w:r>
                  <w:r>
                    <w:rPr>
                      <w:rFonts w:hint="eastAsia" w:ascii="宋体" w:hAnsi="宋体"/>
                      <w:color w:val="auto"/>
                      <w:szCs w:val="21"/>
                      <w:highlight w:val="none"/>
                    </w:rPr>
                    <w:t>本项目为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hint="eastAsia" w:ascii="宋体" w:hAnsi="宋体"/>
                      <w:color w:val="auto"/>
                      <w:szCs w:val="21"/>
                      <w:highlight w:val="none"/>
                    </w:rPr>
                    <w:t>，</w:t>
                  </w:r>
                  <w:r>
                    <w:rPr>
                      <w:rFonts w:hint="eastAsia"/>
                      <w:color w:val="auto"/>
                    </w:rPr>
                    <w:t>不属于园区限制引入和禁止引入的产业，属于允许类产业</w:t>
                  </w:r>
                  <w:r>
                    <w:rPr>
                      <w:rFonts w:hint="eastAsia" w:ascii="宋体" w:hAnsi="宋体"/>
                      <w:color w:val="auto"/>
                      <w:szCs w:val="21"/>
                      <w:highlight w:val="none"/>
                    </w:rPr>
                    <w:t>。</w:t>
                  </w:r>
                  <w:r>
                    <w:rPr>
                      <w:rFonts w:hint="eastAsia" w:ascii="宋体" w:hAnsi="宋体"/>
                      <w:color w:val="auto"/>
                      <w:szCs w:val="21"/>
                      <w:highlight w:val="none"/>
                      <w:lang w:val="en-US" w:eastAsia="zh-CN"/>
                    </w:rPr>
                    <w:t>因此</w:t>
                  </w:r>
                  <w:r>
                    <w:rPr>
                      <w:rFonts w:hint="eastAsia" w:ascii="宋体" w:hAnsi="宋体"/>
                      <w:color w:val="auto"/>
                      <w:szCs w:val="21"/>
                      <w:highlight w:val="none"/>
                    </w:rPr>
                    <w:t>本项目符合“三线一单”要求。</w:t>
                  </w:r>
                </w:p>
              </w:tc>
              <w:tc>
                <w:tcPr>
                  <w:tcW w:w="476" w:type="pct"/>
                  <w:tcBorders>
                    <w:tl2br w:val="nil"/>
                    <w:tr2bl w:val="nil"/>
                  </w:tcBorders>
                  <w:shd w:val="clear" w:color="auto" w:fill="auto"/>
                  <w:vAlign w:val="center"/>
                </w:tcPr>
                <w:p w14:paraId="06E154BE">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符合</w:t>
                  </w:r>
                </w:p>
              </w:tc>
            </w:tr>
            <w:tr w14:paraId="364189EC">
              <w:tc>
                <w:tcPr>
                  <w:tcW w:w="292" w:type="pct"/>
                  <w:tcBorders>
                    <w:tl2br w:val="nil"/>
                    <w:tr2bl w:val="nil"/>
                  </w:tcBorders>
                  <w:shd w:val="clear" w:color="auto" w:fill="auto"/>
                  <w:vAlign w:val="center"/>
                </w:tcPr>
                <w:p w14:paraId="18B4ABFB">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2</w:t>
                  </w:r>
                </w:p>
              </w:tc>
              <w:tc>
                <w:tcPr>
                  <w:tcW w:w="2241" w:type="pct"/>
                  <w:tcBorders>
                    <w:tl2br w:val="nil"/>
                    <w:tr2bl w:val="nil"/>
                  </w:tcBorders>
                  <w:shd w:val="clear" w:color="auto" w:fill="auto"/>
                  <w:vAlign w:val="center"/>
                </w:tcPr>
                <w:p w14:paraId="1B6493CD">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二）严格空间管控，优化空间布局落实《报告书》提出的临近敏感目标的工业用地引进项目及设置环境防护距离、加强防护绿地建设等控制要求，加强对工业区与居住区生活空间的防护，避免对环境敏感目标产生不良环境影响，确保园区产业布局与生态环境保护、人居环境安全相协调。</w:t>
                  </w:r>
                </w:p>
              </w:tc>
              <w:tc>
                <w:tcPr>
                  <w:tcW w:w="1989" w:type="pct"/>
                  <w:tcBorders>
                    <w:tl2br w:val="nil"/>
                    <w:tr2bl w:val="nil"/>
                  </w:tcBorders>
                  <w:shd w:val="clear" w:color="auto" w:fill="auto"/>
                  <w:vAlign w:val="center"/>
                </w:tcPr>
                <w:p w14:paraId="096BA2D0">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项目</w:t>
                  </w:r>
                  <w:r>
                    <w:rPr>
                      <w:rFonts w:hint="default" w:ascii="Times New Roman" w:hAnsi="Times New Roman" w:cs="Times New Roman"/>
                      <w:color w:val="auto"/>
                      <w:szCs w:val="21"/>
                      <w:highlight w:val="none"/>
                      <w:lang w:val="en-US" w:eastAsia="zh-CN"/>
                    </w:rPr>
                    <w:t>50m</w:t>
                  </w:r>
                  <w:r>
                    <w:rPr>
                      <w:rFonts w:hint="default" w:ascii="Times New Roman" w:hAnsi="Times New Roman" w:cs="Times New Roman"/>
                      <w:color w:val="auto"/>
                      <w:szCs w:val="21"/>
                      <w:highlight w:val="none"/>
                    </w:rPr>
                    <w:t>卫生</w:t>
                  </w:r>
                  <w:r>
                    <w:rPr>
                      <w:rFonts w:hint="eastAsia" w:ascii="宋体" w:hAnsi="宋体" w:cs="宋体"/>
                      <w:color w:val="auto"/>
                      <w:szCs w:val="21"/>
                      <w:highlight w:val="none"/>
                    </w:rPr>
                    <w:t>防护距离范围内没有居民等环境敏感点。</w:t>
                  </w:r>
                </w:p>
                <w:p w14:paraId="1468D8A9">
                  <w:pPr>
                    <w:keepNext w:val="0"/>
                    <w:keepLines w:val="0"/>
                    <w:suppressLineNumbers w:val="0"/>
                    <w:spacing w:before="0" w:beforeAutospacing="0" w:after="0" w:afterAutospacing="0"/>
                    <w:ind w:left="0" w:right="0"/>
                    <w:rPr>
                      <w:rFonts w:ascii="宋体" w:hAnsi="宋体"/>
                      <w:bCs/>
                      <w:color w:val="auto"/>
                      <w:szCs w:val="21"/>
                      <w:highlight w:val="none"/>
                    </w:rPr>
                  </w:pPr>
                </w:p>
              </w:tc>
              <w:tc>
                <w:tcPr>
                  <w:tcW w:w="476" w:type="pct"/>
                  <w:tcBorders>
                    <w:tl2br w:val="nil"/>
                    <w:tr2bl w:val="nil"/>
                  </w:tcBorders>
                  <w:shd w:val="clear" w:color="auto" w:fill="auto"/>
                  <w:vAlign w:val="center"/>
                </w:tcPr>
                <w:p w14:paraId="7A82ECEA">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符合</w:t>
                  </w:r>
                </w:p>
              </w:tc>
            </w:tr>
            <w:tr w14:paraId="253AF75B">
              <w:tc>
                <w:tcPr>
                  <w:tcW w:w="292" w:type="pct"/>
                  <w:tcBorders>
                    <w:tl2br w:val="nil"/>
                    <w:tr2bl w:val="nil"/>
                  </w:tcBorders>
                  <w:shd w:val="clear" w:color="auto" w:fill="auto"/>
                  <w:vAlign w:val="center"/>
                </w:tcPr>
                <w:p w14:paraId="3EAF7B59">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3</w:t>
                  </w:r>
                </w:p>
              </w:tc>
              <w:tc>
                <w:tcPr>
                  <w:tcW w:w="2241" w:type="pct"/>
                  <w:tcBorders>
                    <w:tl2br w:val="nil"/>
                    <w:tr2bl w:val="nil"/>
                  </w:tcBorders>
                  <w:shd w:val="clear" w:color="auto" w:fill="auto"/>
                  <w:vAlign w:val="center"/>
                </w:tcPr>
                <w:p w14:paraId="2AFDAF66">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三）严守环境质量底线，确保生态环境质量提升严格执行国家政策、规划产业定位、环保准入条件，落实《报告书》管控要求，控制区域污染物排放总量。采取有效措施控制园区烟粉尘、VOCS、酸性废气污染物、重金属等排放总量；提高环境准入要求，引进项目的工艺、设备、能耗、污染物排放、资源利用、清洁生产水平等均需达到同行业国内先进水平。</w:t>
                  </w:r>
                </w:p>
              </w:tc>
              <w:tc>
                <w:tcPr>
                  <w:tcW w:w="1989" w:type="pct"/>
                  <w:tcBorders>
                    <w:tl2br w:val="nil"/>
                    <w:tr2bl w:val="nil"/>
                  </w:tcBorders>
                  <w:shd w:val="clear" w:color="auto" w:fill="auto"/>
                  <w:vAlign w:val="center"/>
                </w:tcPr>
                <w:p w14:paraId="029E3D9F">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olor w:val="auto"/>
                      <w:szCs w:val="21"/>
                      <w:highlight w:val="none"/>
                    </w:rPr>
                    <w:t>本项目为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hint="eastAsia" w:ascii="宋体" w:hAnsi="宋体"/>
                      <w:color w:val="auto"/>
                      <w:szCs w:val="21"/>
                      <w:highlight w:val="none"/>
                    </w:rPr>
                    <w:t>，属于智能机械制造企业，</w:t>
                  </w:r>
                  <w:r>
                    <w:rPr>
                      <w:rFonts w:hint="eastAsia"/>
                      <w:color w:val="auto"/>
                    </w:rPr>
                    <w:t>不属于园区限制引入和禁止引入的产业，属于允许类产业</w:t>
                  </w:r>
                  <w:r>
                    <w:rPr>
                      <w:rFonts w:hint="eastAsia" w:ascii="宋体" w:hAnsi="宋体"/>
                      <w:color w:val="auto"/>
                      <w:szCs w:val="21"/>
                      <w:highlight w:val="none"/>
                    </w:rPr>
                    <w:t>。根据后文分析，本项目符合“三线一单</w:t>
                  </w:r>
                  <w:r>
                    <w:rPr>
                      <w:rFonts w:hint="default" w:ascii="Times New Roman" w:hAnsi="Times New Roman" w:cs="Times New Roman"/>
                      <w:color w:val="auto"/>
                      <w:szCs w:val="21"/>
                      <w:highlight w:val="none"/>
                    </w:rPr>
                    <w:t>”要求。经分析，本项目建成后采用先进生产工艺、设备，并配套建设技术可靠、经济合理的污染防治措施，项目不涉及重金属等物质排放。项目新增的废气污染物颗粒物、VOCs由淮安市涟水生态环境局从境内企业削减总量中替代平衡。</w:t>
                  </w:r>
                  <w:r>
                    <w:rPr>
                      <w:rFonts w:hint="eastAsia" w:cs="Times New Roman"/>
                      <w:color w:val="auto"/>
                      <w:szCs w:val="21"/>
                      <w:highlight w:val="none"/>
                      <w:lang w:val="en-US" w:eastAsia="zh-CN"/>
                    </w:rPr>
                    <w:t>综合生活污水</w:t>
                  </w:r>
                  <w:r>
                    <w:rPr>
                      <w:rFonts w:hint="eastAsia"/>
                      <w:color w:val="auto"/>
                      <w:lang w:eastAsia="zh-CN"/>
                    </w:rPr>
                    <w:t>不需要进行总量</w:t>
                  </w:r>
                  <w:r>
                    <w:rPr>
                      <w:rFonts w:hint="eastAsia"/>
                      <w:color w:val="auto"/>
                      <w:lang w:val="en-US" w:eastAsia="zh-CN"/>
                    </w:rPr>
                    <w:t>申请</w:t>
                  </w:r>
                  <w:r>
                    <w:rPr>
                      <w:rFonts w:hint="eastAsia"/>
                      <w:color w:val="auto"/>
                      <w:lang w:eastAsia="zh-CN"/>
                    </w:rPr>
                    <w:t>，所需总量在污水处理厂剩余总量中平衡。</w:t>
                  </w:r>
                </w:p>
              </w:tc>
              <w:tc>
                <w:tcPr>
                  <w:tcW w:w="476" w:type="pct"/>
                  <w:tcBorders>
                    <w:tl2br w:val="nil"/>
                    <w:tr2bl w:val="nil"/>
                  </w:tcBorders>
                  <w:shd w:val="clear" w:color="auto" w:fill="auto"/>
                  <w:vAlign w:val="center"/>
                </w:tcPr>
                <w:p w14:paraId="0F67ADE1">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符合</w:t>
                  </w:r>
                </w:p>
              </w:tc>
            </w:tr>
            <w:tr w14:paraId="206BB658">
              <w:tc>
                <w:tcPr>
                  <w:tcW w:w="292" w:type="pct"/>
                  <w:tcBorders>
                    <w:tl2br w:val="nil"/>
                    <w:tr2bl w:val="nil"/>
                  </w:tcBorders>
                  <w:shd w:val="clear" w:color="auto" w:fill="auto"/>
                  <w:vAlign w:val="center"/>
                </w:tcPr>
                <w:p w14:paraId="24CFDF13">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4</w:t>
                  </w:r>
                </w:p>
              </w:tc>
              <w:tc>
                <w:tcPr>
                  <w:tcW w:w="2241" w:type="pct"/>
                  <w:tcBorders>
                    <w:tl2br w:val="nil"/>
                    <w:tr2bl w:val="nil"/>
                  </w:tcBorders>
                  <w:shd w:val="clear" w:color="auto" w:fill="auto"/>
                  <w:vAlign w:val="center"/>
                </w:tcPr>
                <w:p w14:paraId="75921995">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四）完善环境基础设施建设，提高基础设施运行效能加快推进配套污水管网建设，确保区内所有工业废水、生活污水全部接管处理。加快推进天然气管网设施的建设。一般固体废物、危险废物应依法依规收集、暂存、处理处置，做到“就地分类收集、及时转移处置”。</w:t>
                  </w:r>
                </w:p>
              </w:tc>
              <w:tc>
                <w:tcPr>
                  <w:tcW w:w="1989" w:type="pct"/>
                  <w:tcBorders>
                    <w:tl2br w:val="nil"/>
                    <w:tr2bl w:val="nil"/>
                  </w:tcBorders>
                  <w:shd w:val="clear" w:color="auto" w:fill="auto"/>
                  <w:vAlign w:val="center"/>
                </w:tcPr>
                <w:p w14:paraId="2476116D">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本项目建成后</w:t>
                  </w:r>
                  <w:r>
                    <w:rPr>
                      <w:rFonts w:hint="eastAsia" w:ascii="宋体" w:hAnsi="宋体" w:cs="宋体"/>
                      <w:color w:val="auto"/>
                      <w:szCs w:val="21"/>
                      <w:highlight w:val="none"/>
                      <w:lang w:val="en-US" w:eastAsia="zh-CN"/>
                    </w:rPr>
                    <w:t>综合生活污水</w:t>
                  </w:r>
                  <w:r>
                    <w:rPr>
                      <w:rFonts w:hint="eastAsia" w:ascii="宋体" w:hAnsi="宋体" w:cs="宋体"/>
                      <w:color w:val="auto"/>
                      <w:szCs w:val="21"/>
                      <w:highlight w:val="none"/>
                    </w:rPr>
                    <w:t>接管至涟水经济开发区西区污水处理厂处理，尾水达标后排入公兴河。本项目建成后一般工业固废收集后外售综合利用，危险废物收集后委托有资质单位处置，生活垃圾由环卫部门定期清运。</w:t>
                  </w:r>
                </w:p>
              </w:tc>
              <w:tc>
                <w:tcPr>
                  <w:tcW w:w="476" w:type="pct"/>
                  <w:tcBorders>
                    <w:tl2br w:val="nil"/>
                    <w:tr2bl w:val="nil"/>
                  </w:tcBorders>
                  <w:shd w:val="clear" w:color="auto" w:fill="auto"/>
                  <w:vAlign w:val="center"/>
                </w:tcPr>
                <w:p w14:paraId="0757212F">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符合</w:t>
                  </w:r>
                </w:p>
              </w:tc>
            </w:tr>
            <w:tr w14:paraId="33D6AF45">
              <w:tc>
                <w:tcPr>
                  <w:tcW w:w="292" w:type="pct"/>
                  <w:tcBorders>
                    <w:tl2br w:val="nil"/>
                    <w:tr2bl w:val="nil"/>
                  </w:tcBorders>
                  <w:shd w:val="clear" w:color="auto" w:fill="auto"/>
                  <w:vAlign w:val="center"/>
                </w:tcPr>
                <w:p w14:paraId="59B2C88C">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5</w:t>
                  </w:r>
                </w:p>
              </w:tc>
              <w:tc>
                <w:tcPr>
                  <w:tcW w:w="2241" w:type="pct"/>
                  <w:tcBorders>
                    <w:tl2br w:val="nil"/>
                    <w:tr2bl w:val="nil"/>
                  </w:tcBorders>
                  <w:shd w:val="clear" w:color="auto" w:fill="auto"/>
                  <w:vAlign w:val="center"/>
                </w:tcPr>
                <w:p w14:paraId="29CC6B66">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五）健全园区环境风险防控体系，提升环境应急能力健全环境风险评估和应急预案制度，按规定编制园区突发环境事件风险评估报告和突发环境事件应急预案，及时备案修编，定期开展演练。强化突发环境事件风险防控基础设施建设，完善园区环境防控体系建设。建立突发环境事件隐患排查长效机制，定期排查突发环境事件隐患，保障区域环境安全。提升环境信息公开化水平，及时响应群众环境保护诉求。</w:t>
                  </w:r>
                </w:p>
              </w:tc>
              <w:tc>
                <w:tcPr>
                  <w:tcW w:w="1989" w:type="pct"/>
                  <w:tcBorders>
                    <w:tl2br w:val="nil"/>
                    <w:tr2bl w:val="nil"/>
                  </w:tcBorders>
                  <w:shd w:val="clear" w:color="auto" w:fill="auto"/>
                  <w:vAlign w:val="center"/>
                </w:tcPr>
                <w:p w14:paraId="5E2F733E">
                  <w:pPr>
                    <w:keepNext w:val="0"/>
                    <w:keepLines w:val="0"/>
                    <w:suppressLineNumbers w:val="0"/>
                    <w:spacing w:before="0" w:beforeAutospacing="0" w:after="0" w:afterAutospacing="0"/>
                    <w:ind w:left="0" w:right="0"/>
                    <w:rPr>
                      <w:rFonts w:ascii="宋体" w:hAnsi="宋体"/>
                      <w:color w:val="auto"/>
                      <w:szCs w:val="21"/>
                      <w:highlight w:val="none"/>
                    </w:rPr>
                  </w:pPr>
                  <w:r>
                    <w:rPr>
                      <w:rFonts w:hint="eastAsia" w:ascii="宋体" w:hAnsi="宋体" w:cs="宋体"/>
                      <w:color w:val="auto"/>
                      <w:szCs w:val="21"/>
                      <w:highlight w:val="none"/>
                    </w:rPr>
                    <w:t>项目配备应急消防设施，定期开展应急演练</w:t>
                  </w:r>
                  <w:r>
                    <w:rPr>
                      <w:rFonts w:ascii="宋体" w:hAnsi="宋体"/>
                      <w:color w:val="auto"/>
                      <w:szCs w:val="21"/>
                      <w:highlight w:val="none"/>
                    </w:rPr>
                    <w:t>，熟练应急物资的使用</w:t>
                  </w:r>
                  <w:r>
                    <w:rPr>
                      <w:rFonts w:hint="eastAsia" w:ascii="宋体" w:hAnsi="宋体" w:cs="宋体"/>
                      <w:color w:val="auto"/>
                      <w:szCs w:val="21"/>
                      <w:highlight w:val="none"/>
                    </w:rPr>
                    <w:t>。</w:t>
                  </w:r>
                </w:p>
              </w:tc>
              <w:tc>
                <w:tcPr>
                  <w:tcW w:w="476" w:type="pct"/>
                  <w:tcBorders>
                    <w:tl2br w:val="nil"/>
                    <w:tr2bl w:val="nil"/>
                  </w:tcBorders>
                  <w:shd w:val="clear" w:color="auto" w:fill="auto"/>
                  <w:vAlign w:val="center"/>
                </w:tcPr>
                <w:p w14:paraId="73F1E1D8">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符合</w:t>
                  </w:r>
                </w:p>
              </w:tc>
            </w:tr>
            <w:tr w14:paraId="1CED9A72">
              <w:tc>
                <w:tcPr>
                  <w:tcW w:w="292" w:type="pct"/>
                  <w:tcBorders>
                    <w:tl2br w:val="nil"/>
                    <w:tr2bl w:val="nil"/>
                  </w:tcBorders>
                  <w:shd w:val="clear" w:color="auto" w:fill="auto"/>
                  <w:vAlign w:val="center"/>
                </w:tcPr>
                <w:p w14:paraId="0E754B9A">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6</w:t>
                  </w:r>
                </w:p>
              </w:tc>
              <w:tc>
                <w:tcPr>
                  <w:tcW w:w="2241" w:type="pct"/>
                  <w:tcBorders>
                    <w:tl2br w:val="nil"/>
                    <w:tr2bl w:val="nil"/>
                  </w:tcBorders>
                  <w:shd w:val="clear" w:color="auto" w:fill="auto"/>
                  <w:vAlign w:val="center"/>
                </w:tcPr>
                <w:p w14:paraId="5070DDB8">
                  <w:pPr>
                    <w:keepNext w:val="0"/>
                    <w:keepLines w:val="0"/>
                    <w:suppressLineNumbers w:val="0"/>
                    <w:spacing w:before="0" w:beforeAutospacing="0" w:after="0" w:afterAutospacing="0"/>
                    <w:ind w:left="0" w:right="0"/>
                    <w:rPr>
                      <w:rFonts w:ascii="宋体" w:hAnsi="宋体"/>
                      <w:bCs/>
                      <w:color w:val="auto"/>
                      <w:szCs w:val="21"/>
                      <w:highlight w:val="none"/>
                    </w:rPr>
                  </w:pPr>
                  <w:r>
                    <w:rPr>
                      <w:rFonts w:hint="eastAsia" w:ascii="宋体" w:hAnsi="宋体" w:cs="宋体"/>
                      <w:color w:val="auto"/>
                      <w:szCs w:val="21"/>
                      <w:highlight w:val="none"/>
                    </w:rPr>
                    <w:t>（六）完善园区监测监控体系建设指导区内企业按国家和省市要求、监测规范，建设企业自行监测体系。建立健全园区环境要素监测监控体系，每年开展环境质量跟踪监测，明确责任主体和实施时限，重点关注大气环境质量及水质变化。</w:t>
                  </w:r>
                </w:p>
              </w:tc>
              <w:tc>
                <w:tcPr>
                  <w:tcW w:w="1989" w:type="pct"/>
                  <w:tcBorders>
                    <w:tl2br w:val="nil"/>
                    <w:tr2bl w:val="nil"/>
                  </w:tcBorders>
                  <w:shd w:val="clear" w:color="auto" w:fill="auto"/>
                  <w:vAlign w:val="center"/>
                </w:tcPr>
                <w:p w14:paraId="22A7003B">
                  <w:pPr>
                    <w:keepNext w:val="0"/>
                    <w:keepLines w:val="0"/>
                    <w:suppressLineNumbers w:val="0"/>
                    <w:spacing w:before="0" w:beforeAutospacing="0" w:after="0" w:afterAutospacing="0"/>
                    <w:ind w:left="0" w:right="0"/>
                    <w:rPr>
                      <w:rFonts w:ascii="宋体" w:hAnsi="宋体"/>
                      <w:bCs/>
                      <w:color w:val="auto"/>
                      <w:szCs w:val="21"/>
                      <w:highlight w:val="none"/>
                    </w:rPr>
                  </w:pPr>
                  <w:r>
                    <w:rPr>
                      <w:rFonts w:hint="default" w:ascii="Times New Roman" w:hAnsi="Times New Roman" w:cs="Times New Roman"/>
                      <w:color w:val="auto"/>
                      <w:szCs w:val="21"/>
                      <w:highlight w:val="none"/>
                    </w:rPr>
                    <w:t xml:space="preserve">本次评价要求企业按照《排污单位自行监测技术指南 </w:t>
                  </w:r>
                  <w:r>
                    <w:rPr>
                      <w:rFonts w:hint="default" w:ascii="Times New Roman" w:hAnsi="Times New Roman" w:cs="Times New Roman"/>
                      <w:color w:val="auto"/>
                      <w:szCs w:val="21"/>
                      <w:highlight w:val="none"/>
                      <w:lang w:val="en-US" w:eastAsia="zh-CN"/>
                    </w:rPr>
                    <w:t>涂装</w:t>
                  </w:r>
                  <w:r>
                    <w:rPr>
                      <w:rFonts w:hint="default" w:ascii="Times New Roman" w:hAnsi="Times New Roman" w:cs="Times New Roman"/>
                      <w:color w:val="auto"/>
                      <w:szCs w:val="21"/>
                      <w:highlight w:val="none"/>
                    </w:rPr>
                    <w:t>》（HJ1086</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2020）</w:t>
                  </w:r>
                  <w:r>
                    <w:rPr>
                      <w:rFonts w:hint="eastAsia" w:cs="Times New Roman"/>
                      <w:color w:val="auto"/>
                      <w:szCs w:val="21"/>
                      <w:highlight w:val="none"/>
                      <w:lang w:eastAsia="zh-CN"/>
                    </w:rPr>
                    <w:t>、</w:t>
                  </w:r>
                  <w:r>
                    <w:rPr>
                      <w:rFonts w:hAnsi="宋体"/>
                      <w:color w:val="auto"/>
                      <w:sz w:val="21"/>
                      <w:szCs w:val="21"/>
                      <w:highlight w:val="none"/>
                    </w:rPr>
                    <w:t>《排污单位自行</w:t>
                  </w:r>
                  <w:r>
                    <w:rPr>
                      <w:rFonts w:hint="default" w:ascii="Times New Roman" w:hAnsi="Times New Roman" w:cs="Times New Roman"/>
                      <w:color w:val="auto"/>
                      <w:sz w:val="21"/>
                      <w:szCs w:val="21"/>
                      <w:highlight w:val="none"/>
                    </w:rPr>
                    <w:t>监测技术指南总则》（HJ819-2017）</w:t>
                  </w:r>
                  <w:r>
                    <w:rPr>
                      <w:rFonts w:hint="default" w:ascii="Times New Roman" w:hAnsi="Times New Roman" w:cs="Times New Roman"/>
                      <w:color w:val="auto"/>
                      <w:szCs w:val="21"/>
                      <w:highlight w:val="none"/>
                    </w:rPr>
                    <w:t>要求提出的污染源监测计划，并按照规范保存原始监测记录，公布监测结果。</w:t>
                  </w:r>
                </w:p>
              </w:tc>
              <w:tc>
                <w:tcPr>
                  <w:tcW w:w="476" w:type="pct"/>
                  <w:tcBorders>
                    <w:tl2br w:val="nil"/>
                    <w:tr2bl w:val="nil"/>
                  </w:tcBorders>
                  <w:shd w:val="clear" w:color="auto" w:fill="auto"/>
                  <w:vAlign w:val="center"/>
                </w:tcPr>
                <w:p w14:paraId="0FC84A87">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符合</w:t>
                  </w:r>
                </w:p>
              </w:tc>
            </w:tr>
          </w:tbl>
          <w:p w14:paraId="3711C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sz w:val="24"/>
                <w:highlight w:val="none"/>
              </w:rPr>
            </w:pPr>
            <w:r>
              <w:rPr>
                <w:rFonts w:hint="eastAsia" w:ascii="宋体" w:hAnsi="宋体"/>
                <w:color w:val="auto"/>
                <w:kern w:val="0"/>
                <w:sz w:val="24"/>
                <w:highlight w:val="none"/>
              </w:rPr>
              <w:t>根据上表分析可知，建设项目与</w:t>
            </w:r>
            <w:r>
              <w:rPr>
                <w:rFonts w:hint="default" w:ascii="Times New Roman" w:hAnsi="Times New Roman" w:cs="Times New Roman"/>
                <w:bCs/>
                <w:color w:val="auto"/>
                <w:sz w:val="24"/>
                <w:szCs w:val="24"/>
                <w:highlight w:val="none"/>
              </w:rPr>
              <w:t>涟水新港电子产业科技园开发建设规划</w:t>
            </w:r>
            <w:r>
              <w:rPr>
                <w:rFonts w:hint="eastAsia" w:ascii="宋体" w:hAnsi="宋体"/>
                <w:color w:val="auto"/>
                <w:kern w:val="0"/>
                <w:sz w:val="24"/>
                <w:highlight w:val="none"/>
              </w:rPr>
              <w:t>的环评</w:t>
            </w:r>
            <w:r>
              <w:rPr>
                <w:rFonts w:hint="eastAsia" w:ascii="宋体" w:hAnsi="宋体"/>
                <w:bCs/>
                <w:color w:val="auto"/>
                <w:kern w:val="0"/>
                <w:sz w:val="24"/>
                <w:highlight w:val="none"/>
              </w:rPr>
              <w:t>审查意见</w:t>
            </w:r>
            <w:r>
              <w:rPr>
                <w:rFonts w:ascii="宋体" w:hAnsi="宋体"/>
                <w:bCs/>
                <w:color w:val="auto"/>
                <w:kern w:val="0"/>
                <w:sz w:val="24"/>
                <w:highlight w:val="none"/>
              </w:rPr>
              <w:t>是相符的。</w:t>
            </w:r>
          </w:p>
        </w:tc>
      </w:tr>
      <w:tr w14:paraId="7A87F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81" w:type="dxa"/>
            <w:tcBorders>
              <w:top w:val="single" w:color="auto" w:sz="4" w:space="0"/>
              <w:left w:val="single" w:color="auto" w:sz="4" w:space="0"/>
              <w:bottom w:val="single" w:color="auto" w:sz="4" w:space="0"/>
              <w:right w:val="single" w:color="auto" w:sz="4" w:space="0"/>
            </w:tcBorders>
          </w:tcPr>
          <w:p w14:paraId="4E083D9E">
            <w:pPr>
              <w:keepNext w:val="0"/>
              <w:keepLines w:val="0"/>
              <w:suppressLineNumbers w:val="0"/>
              <w:spacing w:before="0" w:beforeAutospacing="0" w:after="0" w:afterAutospacing="0" w:line="360" w:lineRule="auto"/>
              <w:ind w:left="0" w:right="0"/>
              <w:outlineLvl w:val="0"/>
              <w:rPr>
                <w:color w:val="auto"/>
                <w:sz w:val="30"/>
                <w:highlight w:val="none"/>
              </w:rPr>
            </w:pPr>
            <w:bookmarkStart w:id="14" w:name="_Toc23411"/>
            <w:bookmarkStart w:id="15" w:name="_Toc163580977"/>
            <w:bookmarkStart w:id="16" w:name="_Toc4648"/>
            <w:bookmarkStart w:id="17" w:name="_Toc18063"/>
            <w:r>
              <w:rPr>
                <w:rFonts w:hAnsi="宋体"/>
                <w:color w:val="auto"/>
                <w:kern w:val="0"/>
                <w:sz w:val="24"/>
                <w:highlight w:val="none"/>
              </w:rPr>
              <w:t>其他符合性分析</w:t>
            </w:r>
            <w:bookmarkEnd w:id="14"/>
            <w:bookmarkEnd w:id="15"/>
            <w:bookmarkEnd w:id="16"/>
            <w:bookmarkEnd w:id="17"/>
          </w:p>
        </w:tc>
        <w:tc>
          <w:tcPr>
            <w:tcW w:w="7390" w:type="dxa"/>
            <w:gridSpan w:val="3"/>
            <w:tcBorders>
              <w:top w:val="single" w:color="auto" w:sz="4" w:space="0"/>
              <w:left w:val="single" w:color="auto" w:sz="4" w:space="0"/>
              <w:bottom w:val="single" w:color="auto" w:sz="4" w:space="0"/>
              <w:right w:val="single" w:color="auto" w:sz="4" w:space="0"/>
            </w:tcBorders>
          </w:tcPr>
          <w:p w14:paraId="57BE9FF3">
            <w:pPr>
              <w:keepNext w:val="0"/>
              <w:keepLines w:val="0"/>
              <w:suppressLineNumbers w:val="0"/>
              <w:adjustRightInd w:val="0"/>
              <w:snapToGrid w:val="0"/>
              <w:spacing w:before="0" w:beforeAutospacing="0" w:after="0" w:afterAutospacing="0" w:line="360" w:lineRule="auto"/>
              <w:ind w:left="0" w:right="0"/>
              <w:contextualSpacing/>
              <w:rPr>
                <w:b/>
                <w:color w:val="auto"/>
                <w:kern w:val="0"/>
                <w:sz w:val="24"/>
                <w:highlight w:val="none"/>
                <w:lang w:val="zh-CN"/>
              </w:rPr>
            </w:pPr>
            <w:r>
              <w:rPr>
                <w:b/>
                <w:color w:val="auto"/>
                <w:kern w:val="0"/>
                <w:sz w:val="24"/>
                <w:highlight w:val="none"/>
                <w:lang w:val="zh-CN"/>
              </w:rPr>
              <w:t>1.1 “</w:t>
            </w:r>
            <w:r>
              <w:rPr>
                <w:rFonts w:hAnsi="宋体"/>
                <w:b/>
                <w:color w:val="auto"/>
                <w:kern w:val="0"/>
                <w:sz w:val="24"/>
                <w:highlight w:val="none"/>
                <w:lang w:val="zh-CN"/>
              </w:rPr>
              <w:t>三线一单</w:t>
            </w:r>
            <w:r>
              <w:rPr>
                <w:b/>
                <w:color w:val="auto"/>
                <w:kern w:val="0"/>
                <w:sz w:val="24"/>
                <w:highlight w:val="none"/>
                <w:lang w:val="zh-CN"/>
              </w:rPr>
              <w:t>”</w:t>
            </w:r>
            <w:r>
              <w:rPr>
                <w:rFonts w:hAnsi="宋体"/>
                <w:b/>
                <w:color w:val="auto"/>
                <w:kern w:val="0"/>
                <w:sz w:val="24"/>
                <w:highlight w:val="none"/>
                <w:lang w:val="zh-CN"/>
              </w:rPr>
              <w:t>相符性分析</w:t>
            </w:r>
          </w:p>
          <w:p w14:paraId="0758A1CB">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b/>
                <w:color w:val="auto"/>
                <w:sz w:val="24"/>
                <w:highlight w:val="none"/>
              </w:rPr>
              <w:t>1.</w:t>
            </w:r>
            <w:r>
              <w:rPr>
                <w:rFonts w:hAnsi="宋体"/>
                <w:b/>
                <w:color w:val="auto"/>
                <w:sz w:val="24"/>
                <w:highlight w:val="none"/>
              </w:rPr>
              <w:t>生态红线</w:t>
            </w:r>
          </w:p>
          <w:p w14:paraId="6AEF2A1D">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Ansi="宋体"/>
                <w:bCs/>
                <w:color w:val="auto"/>
                <w:sz w:val="24"/>
                <w:highlight w:val="none"/>
              </w:rPr>
            </w:pPr>
            <w:r>
              <w:rPr>
                <w:rFonts w:hAnsi="宋体"/>
                <w:b/>
                <w:bCs/>
                <w:color w:val="auto"/>
                <w:kern w:val="0"/>
                <w:sz w:val="24"/>
                <w:highlight w:val="none"/>
              </w:rPr>
              <w:t>①</w:t>
            </w:r>
            <w:r>
              <w:rPr>
                <w:b/>
                <w:bCs/>
                <w:color w:val="auto"/>
                <w:kern w:val="0"/>
                <w:sz w:val="24"/>
                <w:highlight w:val="none"/>
              </w:rPr>
              <w:t>与《省政府关于印发江苏省国家级生态保护红线规划的通知》（苏政发</w:t>
            </w:r>
            <w:r>
              <w:rPr>
                <w:rFonts w:hint="eastAsia"/>
                <w:b/>
                <w:bCs/>
                <w:color w:val="auto"/>
                <w:kern w:val="0"/>
                <w:sz w:val="24"/>
                <w:highlight w:val="none"/>
                <w:lang w:eastAsia="zh-CN"/>
              </w:rPr>
              <w:t>〔2018〕74号</w:t>
            </w:r>
            <w:r>
              <w:rPr>
                <w:b/>
                <w:bCs/>
                <w:color w:val="auto"/>
                <w:kern w:val="0"/>
                <w:sz w:val="24"/>
                <w:highlight w:val="none"/>
              </w:rPr>
              <w:t>）相符性分析</w:t>
            </w:r>
          </w:p>
          <w:p w14:paraId="4504677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b/>
                <w:color w:val="auto"/>
                <w:sz w:val="24"/>
                <w:highlight w:val="none"/>
              </w:rPr>
            </w:pPr>
            <w:r>
              <w:rPr>
                <w:rFonts w:hAnsi="宋体"/>
                <w:bCs/>
                <w:color w:val="auto"/>
                <w:sz w:val="24"/>
                <w:highlight w:val="none"/>
              </w:rPr>
              <w:t>本项目</w:t>
            </w:r>
            <w:r>
              <w:rPr>
                <w:rFonts w:hAnsi="宋体"/>
                <w:color w:val="auto"/>
                <w:sz w:val="24"/>
                <w:highlight w:val="none"/>
              </w:rPr>
              <w:t>与《江苏省国家级生态保护红线规划》（苏政发〔</w:t>
            </w:r>
            <w:r>
              <w:rPr>
                <w:color w:val="auto"/>
                <w:sz w:val="24"/>
                <w:highlight w:val="none"/>
              </w:rPr>
              <w:t>2018</w:t>
            </w:r>
            <w:r>
              <w:rPr>
                <w:rFonts w:hAnsi="宋体"/>
                <w:color w:val="auto"/>
                <w:sz w:val="24"/>
                <w:highlight w:val="none"/>
              </w:rPr>
              <w:t>〕</w:t>
            </w:r>
            <w:r>
              <w:rPr>
                <w:color w:val="auto"/>
                <w:sz w:val="24"/>
                <w:highlight w:val="none"/>
              </w:rPr>
              <w:t>74</w:t>
            </w:r>
            <w:r>
              <w:rPr>
                <w:rFonts w:hAnsi="宋体"/>
                <w:color w:val="auto"/>
                <w:sz w:val="24"/>
                <w:highlight w:val="none"/>
              </w:rPr>
              <w:t>号）相符性分析见表</w:t>
            </w:r>
            <w:r>
              <w:rPr>
                <w:color w:val="auto"/>
                <w:sz w:val="24"/>
                <w:highlight w:val="none"/>
              </w:rPr>
              <w:t>1-</w:t>
            </w:r>
            <w:r>
              <w:rPr>
                <w:rFonts w:hint="eastAsia"/>
                <w:color w:val="auto"/>
                <w:sz w:val="24"/>
                <w:highlight w:val="none"/>
              </w:rPr>
              <w:t>3</w:t>
            </w:r>
            <w:r>
              <w:rPr>
                <w:rFonts w:hAnsi="宋体"/>
                <w:color w:val="auto"/>
                <w:sz w:val="24"/>
                <w:highlight w:val="none"/>
              </w:rPr>
              <w:t>。</w:t>
            </w:r>
          </w:p>
          <w:p w14:paraId="3F4EEBF2">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1-</w:t>
            </w:r>
            <w:r>
              <w:rPr>
                <w:rFonts w:hint="eastAsia"/>
                <w:b/>
                <w:color w:val="auto"/>
                <w:sz w:val="24"/>
                <w:highlight w:val="none"/>
              </w:rPr>
              <w:t>3</w:t>
            </w:r>
            <w:r>
              <w:rPr>
                <w:rFonts w:hAnsi="宋体"/>
                <w:b/>
                <w:color w:val="auto"/>
                <w:sz w:val="24"/>
                <w:highlight w:val="none"/>
              </w:rPr>
              <w:t>本项目与《江苏省国家级生态保护红线规划》相符性分析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7"/>
              <w:gridCol w:w="794"/>
              <w:gridCol w:w="2232"/>
              <w:gridCol w:w="1645"/>
              <w:gridCol w:w="1576"/>
            </w:tblGrid>
            <w:tr w14:paraId="6906D2AE">
              <w:trPr>
                <w:cantSplit/>
                <w:trHeight w:val="315" w:hRule="atLeast"/>
                <w:jc w:val="center"/>
              </w:trPr>
              <w:tc>
                <w:tcPr>
                  <w:tcW w:w="646" w:type="pct"/>
                  <w:vMerge w:val="restart"/>
                  <w:vAlign w:val="center"/>
                </w:tcPr>
                <w:p w14:paraId="74914D5C">
                  <w:pPr>
                    <w:keepNext w:val="0"/>
                    <w:keepLines w:val="0"/>
                    <w:suppressLineNumbers w:val="0"/>
                    <w:spacing w:before="0" w:beforeAutospacing="0" w:after="0" w:afterAutospacing="0"/>
                    <w:ind w:left="0" w:right="0"/>
                    <w:jc w:val="center"/>
                    <w:rPr>
                      <w:snapToGrid w:val="0"/>
                      <w:color w:val="auto"/>
                      <w:szCs w:val="21"/>
                      <w:highlight w:val="none"/>
                    </w:rPr>
                  </w:pPr>
                  <w:r>
                    <w:rPr>
                      <w:rFonts w:hAnsi="宋体"/>
                      <w:snapToGrid w:val="0"/>
                      <w:color w:val="auto"/>
                      <w:szCs w:val="21"/>
                      <w:highlight w:val="none"/>
                    </w:rPr>
                    <w:t>地区名称</w:t>
                  </w:r>
                </w:p>
              </w:tc>
              <w:tc>
                <w:tcPr>
                  <w:tcW w:w="553" w:type="pct"/>
                  <w:vMerge w:val="restart"/>
                  <w:vAlign w:val="center"/>
                </w:tcPr>
                <w:p w14:paraId="1F6DC73A">
                  <w:pPr>
                    <w:keepNext w:val="0"/>
                    <w:keepLines w:val="0"/>
                    <w:suppressLineNumbers w:val="0"/>
                    <w:spacing w:before="0" w:beforeAutospacing="0" w:after="0" w:afterAutospacing="0"/>
                    <w:ind w:left="0" w:right="0"/>
                    <w:jc w:val="center"/>
                    <w:rPr>
                      <w:snapToGrid w:val="0"/>
                      <w:color w:val="auto"/>
                      <w:szCs w:val="21"/>
                      <w:highlight w:val="none"/>
                    </w:rPr>
                  </w:pPr>
                  <w:r>
                    <w:rPr>
                      <w:rFonts w:hAnsi="宋体"/>
                      <w:snapToGrid w:val="0"/>
                      <w:color w:val="auto"/>
                      <w:szCs w:val="21"/>
                      <w:highlight w:val="none"/>
                    </w:rPr>
                    <w:t>主导生态功能</w:t>
                  </w:r>
                </w:p>
              </w:tc>
              <w:tc>
                <w:tcPr>
                  <w:tcW w:w="2701" w:type="pct"/>
                  <w:gridSpan w:val="2"/>
                  <w:vAlign w:val="center"/>
                </w:tcPr>
                <w:p w14:paraId="26C0B9A1">
                  <w:pPr>
                    <w:keepNext w:val="0"/>
                    <w:keepLines w:val="0"/>
                    <w:suppressLineNumbers w:val="0"/>
                    <w:spacing w:before="0" w:beforeAutospacing="0" w:after="0" w:afterAutospacing="0"/>
                    <w:ind w:left="0" w:right="0"/>
                    <w:jc w:val="center"/>
                    <w:rPr>
                      <w:snapToGrid w:val="0"/>
                      <w:color w:val="auto"/>
                      <w:szCs w:val="21"/>
                      <w:highlight w:val="none"/>
                    </w:rPr>
                  </w:pPr>
                  <w:r>
                    <w:rPr>
                      <w:rFonts w:hAnsi="宋体"/>
                      <w:snapToGrid w:val="0"/>
                      <w:color w:val="auto"/>
                      <w:szCs w:val="21"/>
                      <w:highlight w:val="none"/>
                    </w:rPr>
                    <w:t>红线区域范围</w:t>
                  </w:r>
                </w:p>
              </w:tc>
              <w:tc>
                <w:tcPr>
                  <w:tcW w:w="1098" w:type="pct"/>
                  <w:vMerge w:val="restart"/>
                  <w:vAlign w:val="center"/>
                </w:tcPr>
                <w:p w14:paraId="6A0DEA9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本项目</w:t>
                  </w:r>
                </w:p>
                <w:p w14:paraId="3766E1D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相符性分析</w:t>
                  </w:r>
                </w:p>
              </w:tc>
            </w:tr>
            <w:tr w14:paraId="151ED4A1">
              <w:trPr>
                <w:cantSplit/>
                <w:trHeight w:val="495" w:hRule="atLeast"/>
                <w:jc w:val="center"/>
              </w:trPr>
              <w:tc>
                <w:tcPr>
                  <w:tcW w:w="646" w:type="pct"/>
                  <w:vMerge w:val="continue"/>
                  <w:vAlign w:val="center"/>
                </w:tcPr>
                <w:p w14:paraId="315647BD">
                  <w:pPr>
                    <w:keepNext w:val="0"/>
                    <w:keepLines w:val="0"/>
                    <w:suppressLineNumbers w:val="0"/>
                    <w:spacing w:before="0" w:beforeAutospacing="0" w:after="0" w:afterAutospacing="0"/>
                    <w:ind w:left="0" w:right="0"/>
                    <w:jc w:val="center"/>
                    <w:rPr>
                      <w:snapToGrid w:val="0"/>
                      <w:color w:val="auto"/>
                      <w:szCs w:val="21"/>
                      <w:highlight w:val="none"/>
                    </w:rPr>
                  </w:pPr>
                </w:p>
              </w:tc>
              <w:tc>
                <w:tcPr>
                  <w:tcW w:w="553" w:type="pct"/>
                  <w:vMerge w:val="continue"/>
                  <w:vAlign w:val="center"/>
                </w:tcPr>
                <w:p w14:paraId="10D015D2">
                  <w:pPr>
                    <w:keepNext w:val="0"/>
                    <w:keepLines w:val="0"/>
                    <w:suppressLineNumbers w:val="0"/>
                    <w:spacing w:before="0" w:beforeAutospacing="0" w:after="0" w:afterAutospacing="0"/>
                    <w:ind w:left="0" w:right="0"/>
                    <w:jc w:val="center"/>
                    <w:rPr>
                      <w:snapToGrid w:val="0"/>
                      <w:color w:val="auto"/>
                      <w:szCs w:val="21"/>
                      <w:highlight w:val="none"/>
                    </w:rPr>
                  </w:pPr>
                </w:p>
              </w:tc>
              <w:tc>
                <w:tcPr>
                  <w:tcW w:w="1555" w:type="pct"/>
                  <w:vAlign w:val="center"/>
                </w:tcPr>
                <w:p w14:paraId="1EDE8106">
                  <w:pPr>
                    <w:keepNext w:val="0"/>
                    <w:keepLines w:val="0"/>
                    <w:suppressLineNumbers w:val="0"/>
                    <w:spacing w:before="0" w:beforeAutospacing="0" w:after="0" w:afterAutospacing="0"/>
                    <w:ind w:left="0" w:right="0"/>
                    <w:jc w:val="center"/>
                    <w:rPr>
                      <w:snapToGrid w:val="0"/>
                      <w:color w:val="auto"/>
                      <w:szCs w:val="21"/>
                      <w:highlight w:val="none"/>
                    </w:rPr>
                  </w:pPr>
                  <w:r>
                    <w:rPr>
                      <w:rFonts w:hAnsi="宋体"/>
                      <w:snapToGrid w:val="0"/>
                      <w:color w:val="auto"/>
                      <w:szCs w:val="21"/>
                      <w:highlight w:val="none"/>
                    </w:rPr>
                    <w:t>国家级生态保护红线范围</w:t>
                  </w:r>
                </w:p>
              </w:tc>
              <w:tc>
                <w:tcPr>
                  <w:tcW w:w="1146" w:type="pct"/>
                  <w:vAlign w:val="center"/>
                </w:tcPr>
                <w:p w14:paraId="319C0DCD">
                  <w:pPr>
                    <w:keepNext w:val="0"/>
                    <w:keepLines w:val="0"/>
                    <w:suppressLineNumbers w:val="0"/>
                    <w:spacing w:before="0" w:beforeAutospacing="0" w:after="0" w:afterAutospacing="0"/>
                    <w:ind w:left="0" w:right="0"/>
                    <w:jc w:val="center"/>
                    <w:rPr>
                      <w:snapToGrid w:val="0"/>
                      <w:color w:val="auto"/>
                      <w:szCs w:val="21"/>
                      <w:highlight w:val="none"/>
                    </w:rPr>
                  </w:pPr>
                  <w:r>
                    <w:rPr>
                      <w:rFonts w:hAnsi="宋体"/>
                      <w:snapToGrid w:val="0"/>
                      <w:color w:val="auto"/>
                      <w:szCs w:val="21"/>
                      <w:highlight w:val="none"/>
                    </w:rPr>
                    <w:t>生态空间管控区域范围</w:t>
                  </w:r>
                </w:p>
              </w:tc>
              <w:tc>
                <w:tcPr>
                  <w:tcW w:w="1098" w:type="pct"/>
                  <w:vMerge w:val="continue"/>
                  <w:vAlign w:val="center"/>
                </w:tcPr>
                <w:p w14:paraId="387C7AEC">
                  <w:pPr>
                    <w:keepNext w:val="0"/>
                    <w:keepLines w:val="0"/>
                    <w:suppressLineNumbers w:val="0"/>
                    <w:spacing w:before="0" w:beforeAutospacing="0" w:after="0" w:afterAutospacing="0"/>
                    <w:ind w:left="0" w:right="0"/>
                    <w:jc w:val="center"/>
                    <w:rPr>
                      <w:color w:val="auto"/>
                      <w:szCs w:val="21"/>
                      <w:highlight w:val="none"/>
                    </w:rPr>
                  </w:pPr>
                </w:p>
              </w:tc>
            </w:tr>
            <w:tr w14:paraId="710AC8CA">
              <w:trPr>
                <w:cantSplit/>
                <w:trHeight w:val="300" w:hRule="atLeast"/>
                <w:jc w:val="center"/>
              </w:trPr>
              <w:tc>
                <w:tcPr>
                  <w:tcW w:w="646" w:type="pct"/>
                  <w:vAlign w:val="center"/>
                </w:tcPr>
                <w:p w14:paraId="7215E26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江苏涟水涟漪湖黄嘴白鹭省级自然保护区</w:t>
                  </w:r>
                </w:p>
              </w:tc>
              <w:tc>
                <w:tcPr>
                  <w:tcW w:w="553" w:type="pct"/>
                  <w:vAlign w:val="center"/>
                </w:tcPr>
                <w:p w14:paraId="58321D3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生物多样性保护</w:t>
                  </w:r>
                </w:p>
              </w:tc>
              <w:tc>
                <w:tcPr>
                  <w:tcW w:w="1555" w:type="pct"/>
                  <w:vAlign w:val="center"/>
                </w:tcPr>
                <w:p w14:paraId="6BF1B91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包括自然保护区核心区、缓冲区和实验区。自然保护区五岛公园以及相连水域为核心区和缓冲区。实验区范围包括涟水县涟城镇的五岛公园以及相连水域，城郊废黄河沿线的林区和水域、湿地生态系统。坐标为：</w:t>
                  </w:r>
                  <w:r>
                    <w:rPr>
                      <w:color w:val="auto"/>
                      <w:szCs w:val="21"/>
                      <w:highlight w:val="none"/>
                    </w:rPr>
                    <w:t>118°59′E</w:t>
                  </w:r>
                  <w:r>
                    <w:rPr>
                      <w:rFonts w:hAnsi="宋体"/>
                      <w:color w:val="auto"/>
                      <w:szCs w:val="21"/>
                      <w:highlight w:val="none"/>
                    </w:rPr>
                    <w:t>至</w:t>
                  </w:r>
                  <w:r>
                    <w:rPr>
                      <w:color w:val="auto"/>
                      <w:szCs w:val="21"/>
                      <w:highlight w:val="none"/>
                    </w:rPr>
                    <w:t>119°35′E</w:t>
                  </w:r>
                  <w:r>
                    <w:rPr>
                      <w:rFonts w:hAnsi="宋体"/>
                      <w:color w:val="auto"/>
                      <w:szCs w:val="21"/>
                      <w:highlight w:val="none"/>
                    </w:rPr>
                    <w:t>，</w:t>
                  </w:r>
                  <w:r>
                    <w:rPr>
                      <w:color w:val="auto"/>
                      <w:szCs w:val="21"/>
                      <w:highlight w:val="none"/>
                    </w:rPr>
                    <w:t xml:space="preserve"> 33°45′N</w:t>
                  </w:r>
                  <w:r>
                    <w:rPr>
                      <w:rFonts w:hAnsi="宋体"/>
                      <w:color w:val="auto"/>
                      <w:szCs w:val="21"/>
                      <w:highlight w:val="none"/>
                    </w:rPr>
                    <w:t>至</w:t>
                  </w:r>
                  <w:r>
                    <w:rPr>
                      <w:color w:val="auto"/>
                      <w:szCs w:val="21"/>
                      <w:highlight w:val="none"/>
                    </w:rPr>
                    <w:t>34°65′N</w:t>
                  </w:r>
                  <w:r>
                    <w:rPr>
                      <w:rFonts w:hAnsi="宋体"/>
                      <w:color w:val="auto"/>
                      <w:szCs w:val="21"/>
                      <w:highlight w:val="none"/>
                    </w:rPr>
                    <w:t>之间</w:t>
                  </w:r>
                </w:p>
              </w:tc>
              <w:tc>
                <w:tcPr>
                  <w:tcW w:w="1146" w:type="pct"/>
                  <w:vAlign w:val="center"/>
                </w:tcPr>
                <w:p w14:paraId="191D3E3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1098" w:type="pct"/>
                  <w:vAlign w:val="center"/>
                </w:tcPr>
                <w:p w14:paraId="177F01A7">
                  <w:pPr>
                    <w:keepNext w:val="0"/>
                    <w:keepLines w:val="0"/>
                    <w:suppressLineNumbers w:val="0"/>
                    <w:autoSpaceDE w:val="0"/>
                    <w:autoSpaceDN w:val="0"/>
                    <w:adjustRightInd w:val="0"/>
                    <w:spacing w:before="0" w:beforeAutospacing="0" w:after="0" w:afterAutospacing="0"/>
                    <w:ind w:left="0" w:right="0"/>
                    <w:jc w:val="center"/>
                    <w:rPr>
                      <w:color w:val="auto"/>
                      <w:szCs w:val="21"/>
                      <w:highlight w:val="none"/>
                    </w:rPr>
                  </w:pPr>
                  <w:r>
                    <w:rPr>
                      <w:rFonts w:hAnsi="宋体"/>
                      <w:bCs/>
                      <w:color w:val="auto"/>
                      <w:szCs w:val="21"/>
                      <w:highlight w:val="none"/>
                    </w:rPr>
                    <w:t>本项目</w:t>
                  </w:r>
                  <w:r>
                    <w:rPr>
                      <w:rFonts w:hAnsi="宋体"/>
                      <w:color w:val="auto"/>
                      <w:szCs w:val="21"/>
                      <w:highlight w:val="none"/>
                    </w:rPr>
                    <w:t>在生态保护红线西北方向，距离生态红线边界约</w:t>
                  </w:r>
                  <w:r>
                    <w:rPr>
                      <w:rFonts w:hint="eastAsia"/>
                      <w:color w:val="auto"/>
                      <w:szCs w:val="21"/>
                      <w:highlight w:val="none"/>
                      <w:lang w:val="en-US" w:eastAsia="zh-CN"/>
                    </w:rPr>
                    <w:t>5.3</w:t>
                  </w:r>
                  <w:r>
                    <w:rPr>
                      <w:color w:val="auto"/>
                      <w:szCs w:val="21"/>
                      <w:highlight w:val="none"/>
                    </w:rPr>
                    <w:t>km</w:t>
                  </w:r>
                  <w:r>
                    <w:rPr>
                      <w:rFonts w:hAnsi="宋体"/>
                      <w:color w:val="auto"/>
                      <w:szCs w:val="21"/>
                      <w:highlight w:val="none"/>
                    </w:rPr>
                    <w:t>，不在</w:t>
                  </w:r>
                  <w:r>
                    <w:rPr>
                      <w:rFonts w:hAnsi="宋体"/>
                      <w:snapToGrid w:val="0"/>
                      <w:color w:val="auto"/>
                      <w:szCs w:val="21"/>
                      <w:highlight w:val="none"/>
                    </w:rPr>
                    <w:t>生态红线区域</w:t>
                  </w:r>
                  <w:r>
                    <w:rPr>
                      <w:rFonts w:hAnsi="宋体"/>
                      <w:color w:val="auto"/>
                      <w:szCs w:val="21"/>
                      <w:highlight w:val="none"/>
                    </w:rPr>
                    <w:t>范围之内</w:t>
                  </w:r>
                </w:p>
              </w:tc>
            </w:tr>
          </w:tbl>
          <w:p w14:paraId="36AC170D">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本项目距离最近的生态红线为江苏涟水涟漪湖黄嘴白鹭省级自然保护区，距离约</w:t>
            </w:r>
            <w:r>
              <w:rPr>
                <w:rFonts w:hint="eastAsia"/>
                <w:color w:val="auto"/>
                <w:sz w:val="24"/>
                <w:highlight w:val="none"/>
                <w:lang w:val="en-US" w:eastAsia="zh-CN"/>
              </w:rPr>
              <w:t>5.3</w:t>
            </w:r>
            <w:r>
              <w:rPr>
                <w:color w:val="auto"/>
                <w:sz w:val="24"/>
                <w:highlight w:val="none"/>
              </w:rPr>
              <w:t>km</w:t>
            </w:r>
            <w:r>
              <w:rPr>
                <w:rFonts w:hAnsi="宋体"/>
                <w:color w:val="auto"/>
                <w:sz w:val="24"/>
                <w:highlight w:val="none"/>
              </w:rPr>
              <w:t>，因此本项目不在确定的江苏省生态红线区域范围之内，与江苏省国家级生态保护红线规划相符。本项目与生态红线位置关系详见</w:t>
            </w:r>
            <w:r>
              <w:rPr>
                <w:rFonts w:hAnsi="宋体"/>
                <w:b/>
                <w:color w:val="auto"/>
                <w:sz w:val="24"/>
                <w:highlight w:val="none"/>
              </w:rPr>
              <w:t>附图</w:t>
            </w:r>
            <w:r>
              <w:rPr>
                <w:b/>
                <w:color w:val="auto"/>
                <w:sz w:val="24"/>
                <w:highlight w:val="none"/>
              </w:rPr>
              <w:t>1</w:t>
            </w:r>
            <w:r>
              <w:rPr>
                <w:rFonts w:hAnsi="宋体"/>
                <w:color w:val="auto"/>
                <w:sz w:val="24"/>
                <w:highlight w:val="none"/>
              </w:rPr>
              <w:t>。</w:t>
            </w:r>
          </w:p>
          <w:p w14:paraId="2A6FC332">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ascii="宋体" w:hAnsi="宋体"/>
                <w:b/>
                <w:color w:val="auto"/>
                <w:sz w:val="24"/>
                <w:highlight w:val="none"/>
              </w:rPr>
              <w:t>②</w:t>
            </w:r>
            <w:r>
              <w:rPr>
                <w:b/>
                <w:color w:val="auto"/>
                <w:sz w:val="24"/>
                <w:highlight w:val="none"/>
              </w:rPr>
              <w:t>与《江苏省生态空间管控区域规划》（苏政发〔2020〕1号）相符性分析</w:t>
            </w:r>
          </w:p>
          <w:p w14:paraId="6B9B258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建设项目与《江苏省生态空间管控区域规划》（苏政发〔2020〕1号）相符性分析见表1-</w:t>
            </w:r>
            <w:r>
              <w:rPr>
                <w:rFonts w:hint="eastAsia"/>
                <w:color w:val="auto"/>
                <w:sz w:val="24"/>
                <w:highlight w:val="none"/>
              </w:rPr>
              <w:t>4</w:t>
            </w:r>
            <w:r>
              <w:rPr>
                <w:color w:val="auto"/>
                <w:sz w:val="24"/>
                <w:highlight w:val="none"/>
              </w:rPr>
              <w:t>。</w:t>
            </w:r>
          </w:p>
          <w:p w14:paraId="66B4C4B6">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b/>
                <w:color w:val="auto"/>
                <w:sz w:val="24"/>
                <w:highlight w:val="none"/>
              </w:rPr>
              <w:t>表1-</w:t>
            </w:r>
            <w:r>
              <w:rPr>
                <w:rFonts w:hint="eastAsia"/>
                <w:b/>
                <w:color w:val="auto"/>
                <w:sz w:val="24"/>
                <w:highlight w:val="none"/>
              </w:rPr>
              <w:t>4</w:t>
            </w:r>
            <w:r>
              <w:rPr>
                <w:b/>
                <w:color w:val="auto"/>
                <w:sz w:val="24"/>
                <w:highlight w:val="none"/>
              </w:rPr>
              <w:t>《江苏省生态空间管控区域规划》（苏政发〔2020〕1号）相符性分析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148"/>
              <w:gridCol w:w="1022"/>
              <w:gridCol w:w="1570"/>
              <w:gridCol w:w="1955"/>
              <w:gridCol w:w="1479"/>
            </w:tblGrid>
            <w:tr w14:paraId="1D6498B8">
              <w:trPr>
                <w:trHeight w:val="340" w:hRule="atLeast"/>
                <w:jc w:val="center"/>
              </w:trPr>
              <w:tc>
                <w:tcPr>
                  <w:tcW w:w="800" w:type="pct"/>
                  <w:vMerge w:val="restart"/>
                  <w:shd w:val="clear" w:color="auto" w:fill="auto"/>
                  <w:vAlign w:val="center"/>
                </w:tcPr>
                <w:p w14:paraId="3800C925">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r>
                    <w:rPr>
                      <w:rFonts w:hAnsiTheme="minorEastAsia" w:eastAsiaTheme="minorEastAsia"/>
                      <w:color w:val="auto"/>
                      <w:sz w:val="21"/>
                      <w:szCs w:val="21"/>
                      <w:highlight w:val="none"/>
                    </w:rPr>
                    <w:t>生态空间保护区域名称</w:t>
                  </w:r>
                </w:p>
              </w:tc>
              <w:tc>
                <w:tcPr>
                  <w:tcW w:w="712" w:type="pct"/>
                  <w:vMerge w:val="restart"/>
                  <w:shd w:val="clear" w:color="auto" w:fill="auto"/>
                  <w:vAlign w:val="center"/>
                </w:tcPr>
                <w:p w14:paraId="680D9FCE">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r>
                    <w:rPr>
                      <w:rFonts w:hAnsiTheme="minorEastAsia" w:eastAsiaTheme="minorEastAsia"/>
                      <w:color w:val="auto"/>
                      <w:sz w:val="21"/>
                      <w:szCs w:val="21"/>
                      <w:highlight w:val="none"/>
                    </w:rPr>
                    <w:t>主导生态功能</w:t>
                  </w:r>
                </w:p>
              </w:tc>
              <w:tc>
                <w:tcPr>
                  <w:tcW w:w="2456" w:type="pct"/>
                  <w:gridSpan w:val="2"/>
                  <w:shd w:val="clear" w:color="auto" w:fill="auto"/>
                  <w:vAlign w:val="center"/>
                </w:tcPr>
                <w:p w14:paraId="534F279E">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r>
                    <w:rPr>
                      <w:rFonts w:hAnsiTheme="minorEastAsia" w:eastAsiaTheme="minorEastAsia"/>
                      <w:color w:val="auto"/>
                      <w:sz w:val="21"/>
                      <w:szCs w:val="21"/>
                      <w:highlight w:val="none"/>
                    </w:rPr>
                    <w:t>范围</w:t>
                  </w:r>
                </w:p>
              </w:tc>
              <w:tc>
                <w:tcPr>
                  <w:tcW w:w="1030" w:type="pct"/>
                  <w:vMerge w:val="restart"/>
                  <w:shd w:val="clear" w:color="auto" w:fill="auto"/>
                  <w:vAlign w:val="center"/>
                </w:tcPr>
                <w:p w14:paraId="44B9F355">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r>
                    <w:rPr>
                      <w:rFonts w:hAnsiTheme="minorEastAsia" w:eastAsiaTheme="minorEastAsia"/>
                      <w:color w:val="auto"/>
                      <w:sz w:val="21"/>
                      <w:szCs w:val="21"/>
                      <w:highlight w:val="none"/>
                    </w:rPr>
                    <w:t>相符性分析</w:t>
                  </w:r>
                </w:p>
              </w:tc>
            </w:tr>
            <w:tr w14:paraId="4995F3AA">
              <w:trPr>
                <w:trHeight w:val="340" w:hRule="atLeast"/>
                <w:jc w:val="center"/>
              </w:trPr>
              <w:tc>
                <w:tcPr>
                  <w:tcW w:w="800" w:type="pct"/>
                  <w:vMerge w:val="continue"/>
                  <w:shd w:val="clear" w:color="auto" w:fill="auto"/>
                  <w:vAlign w:val="center"/>
                </w:tcPr>
                <w:p w14:paraId="551E81E0">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p>
              </w:tc>
              <w:tc>
                <w:tcPr>
                  <w:tcW w:w="712" w:type="pct"/>
                  <w:vMerge w:val="continue"/>
                  <w:shd w:val="clear" w:color="auto" w:fill="auto"/>
                  <w:vAlign w:val="center"/>
                </w:tcPr>
                <w:p w14:paraId="78B95606">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p>
              </w:tc>
              <w:tc>
                <w:tcPr>
                  <w:tcW w:w="1094" w:type="pct"/>
                  <w:shd w:val="clear" w:color="auto" w:fill="auto"/>
                  <w:vAlign w:val="center"/>
                </w:tcPr>
                <w:p w14:paraId="422FD545">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r>
                    <w:rPr>
                      <w:rFonts w:hAnsiTheme="minorEastAsia" w:eastAsiaTheme="minorEastAsia"/>
                      <w:color w:val="auto"/>
                      <w:sz w:val="21"/>
                      <w:szCs w:val="21"/>
                      <w:highlight w:val="none"/>
                    </w:rPr>
                    <w:t>国家级生态保护红线范围</w:t>
                  </w:r>
                </w:p>
              </w:tc>
              <w:tc>
                <w:tcPr>
                  <w:tcW w:w="1361" w:type="pct"/>
                  <w:shd w:val="clear" w:color="auto" w:fill="auto"/>
                  <w:vAlign w:val="center"/>
                </w:tcPr>
                <w:p w14:paraId="675E2F71">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r>
                    <w:rPr>
                      <w:rFonts w:hAnsiTheme="minorEastAsia" w:eastAsiaTheme="minorEastAsia"/>
                      <w:color w:val="auto"/>
                      <w:sz w:val="21"/>
                      <w:szCs w:val="21"/>
                      <w:highlight w:val="none"/>
                    </w:rPr>
                    <w:t>生态空间管控区域范围</w:t>
                  </w:r>
                </w:p>
              </w:tc>
              <w:tc>
                <w:tcPr>
                  <w:tcW w:w="1030" w:type="pct"/>
                  <w:vMerge w:val="continue"/>
                  <w:shd w:val="clear" w:color="auto" w:fill="auto"/>
                  <w:vAlign w:val="center"/>
                </w:tcPr>
                <w:p w14:paraId="2B7367FD">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p>
              </w:tc>
            </w:tr>
            <w:tr w14:paraId="169AB4E7">
              <w:trPr>
                <w:trHeight w:val="340" w:hRule="atLeast"/>
                <w:jc w:val="center"/>
              </w:trPr>
              <w:tc>
                <w:tcPr>
                  <w:tcW w:w="800" w:type="pct"/>
                  <w:shd w:val="clear" w:color="auto" w:fill="auto"/>
                  <w:vAlign w:val="center"/>
                </w:tcPr>
                <w:p w14:paraId="2B2B0ACA">
                  <w:pPr>
                    <w:keepNext w:val="0"/>
                    <w:keepLines w:val="0"/>
                    <w:widowControl/>
                    <w:suppressLineNumbers w:val="0"/>
                    <w:spacing w:before="0" w:beforeAutospacing="0" w:after="0" w:afterAutospacing="0"/>
                    <w:ind w:left="0" w:right="0"/>
                    <w:jc w:val="center"/>
                    <w:rPr>
                      <w:rFonts w:eastAsia="宋体"/>
                      <w:b/>
                      <w:color w:val="auto"/>
                      <w:szCs w:val="21"/>
                      <w:highlight w:val="none"/>
                    </w:rPr>
                  </w:pPr>
                  <w:r>
                    <w:rPr>
                      <w:rFonts w:hint="eastAsia" w:ascii="宋体" w:hAnsi="宋体" w:eastAsia="宋体" w:cs="宋体"/>
                      <w:color w:val="auto"/>
                      <w:kern w:val="0"/>
                      <w:szCs w:val="21"/>
                      <w:highlight w:val="none"/>
                    </w:rPr>
                    <w:t>废黄河（涟水县）重要湿地</w:t>
                  </w:r>
                </w:p>
              </w:tc>
              <w:tc>
                <w:tcPr>
                  <w:tcW w:w="712" w:type="pct"/>
                  <w:shd w:val="clear" w:color="auto" w:fill="auto"/>
                  <w:vAlign w:val="center"/>
                </w:tcPr>
                <w:p w14:paraId="788DCA8C">
                  <w:pPr>
                    <w:keepNext w:val="0"/>
                    <w:keepLines w:val="0"/>
                    <w:widowControl/>
                    <w:suppressLineNumbers w:val="0"/>
                    <w:spacing w:before="0" w:beforeAutospacing="0" w:after="0" w:afterAutospacing="0"/>
                    <w:ind w:left="0" w:right="0"/>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湿地生态</w:t>
                  </w:r>
                </w:p>
                <w:p w14:paraId="05367597">
                  <w:pPr>
                    <w:keepNext w:val="0"/>
                    <w:keepLines w:val="0"/>
                    <w:widowControl/>
                    <w:suppressLineNumbers w:val="0"/>
                    <w:spacing w:before="0" w:beforeAutospacing="0" w:after="0" w:afterAutospacing="0"/>
                    <w:ind w:left="0" w:right="0"/>
                    <w:jc w:val="center"/>
                    <w:rPr>
                      <w:rFonts w:eastAsia="宋体"/>
                      <w:bCs/>
                      <w:color w:val="auto"/>
                      <w:szCs w:val="21"/>
                      <w:highlight w:val="none"/>
                    </w:rPr>
                  </w:pPr>
                  <w:r>
                    <w:rPr>
                      <w:rFonts w:hint="eastAsia" w:ascii="宋体" w:hAnsi="宋体" w:eastAsia="宋体" w:cs="宋体"/>
                      <w:color w:val="auto"/>
                      <w:kern w:val="0"/>
                      <w:szCs w:val="21"/>
                      <w:highlight w:val="none"/>
                    </w:rPr>
                    <w:t>系统保护</w:t>
                  </w:r>
                </w:p>
              </w:tc>
              <w:tc>
                <w:tcPr>
                  <w:tcW w:w="1094" w:type="pct"/>
                  <w:shd w:val="clear" w:color="auto" w:fill="auto"/>
                  <w:vAlign w:val="center"/>
                </w:tcPr>
                <w:p w14:paraId="2DBB8616">
                  <w:pPr>
                    <w:pStyle w:val="70"/>
                    <w:keepNext w:val="0"/>
                    <w:keepLines w:val="0"/>
                    <w:suppressLineNumbers w:val="0"/>
                    <w:adjustRightInd w:val="0"/>
                    <w:snapToGrid w:val="0"/>
                    <w:spacing w:before="0" w:beforeAutospacing="0" w:after="0" w:afterAutospacing="0" w:line="280" w:lineRule="exact"/>
                    <w:ind w:left="0" w:leftChars="0" w:right="0"/>
                    <w:jc w:val="center"/>
                    <w:rPr>
                      <w:rFonts w:eastAsia="宋体"/>
                      <w:bCs/>
                      <w:color w:val="auto"/>
                      <w:sz w:val="21"/>
                      <w:szCs w:val="21"/>
                      <w:highlight w:val="none"/>
                    </w:rPr>
                  </w:pPr>
                  <w:r>
                    <w:rPr>
                      <w:rFonts w:hint="eastAsia" w:eastAsia="宋体"/>
                      <w:bCs/>
                      <w:color w:val="auto"/>
                      <w:sz w:val="21"/>
                      <w:szCs w:val="21"/>
                      <w:highlight w:val="none"/>
                    </w:rPr>
                    <w:t>-</w:t>
                  </w:r>
                </w:p>
              </w:tc>
              <w:tc>
                <w:tcPr>
                  <w:tcW w:w="1361" w:type="pct"/>
                  <w:shd w:val="clear" w:color="auto" w:fill="auto"/>
                  <w:vAlign w:val="center"/>
                </w:tcPr>
                <w:p w14:paraId="4117B9C4">
                  <w:pPr>
                    <w:keepNext w:val="0"/>
                    <w:keepLines w:val="0"/>
                    <w:widowControl/>
                    <w:suppressLineNumbers w:val="0"/>
                    <w:spacing w:before="0" w:beforeAutospacing="0" w:after="0" w:afterAutospacing="0"/>
                    <w:ind w:left="0" w:right="0"/>
                    <w:jc w:val="center"/>
                    <w:rPr>
                      <w:bCs/>
                      <w:color w:val="auto"/>
                      <w:szCs w:val="21"/>
                      <w:highlight w:val="none"/>
                    </w:rPr>
                  </w:pPr>
                  <w:r>
                    <w:rPr>
                      <w:rFonts w:hint="eastAsia" w:ascii="宋体" w:hAnsi="宋体" w:eastAsia="宋体" w:cs="宋体"/>
                      <w:color w:val="auto"/>
                      <w:kern w:val="0"/>
                      <w:szCs w:val="21"/>
                      <w:highlight w:val="none"/>
                    </w:rPr>
                    <w:t>涟水县境内全长</w:t>
                  </w:r>
                  <w:r>
                    <w:rPr>
                      <w:rFonts w:eastAsia="宋体"/>
                      <w:color w:val="auto"/>
                      <w:kern w:val="0"/>
                      <w:szCs w:val="21"/>
                      <w:highlight w:val="none"/>
                    </w:rPr>
                    <w:t>78</w:t>
                  </w:r>
                  <w:r>
                    <w:rPr>
                      <w:rFonts w:hint="eastAsia" w:ascii="宋体" w:hAnsi="宋体" w:eastAsia="宋体" w:cs="宋体"/>
                      <w:color w:val="auto"/>
                      <w:kern w:val="0"/>
                      <w:szCs w:val="21"/>
                      <w:highlight w:val="none"/>
                    </w:rPr>
                    <w:t>公里，入口保滩镇殷家渡，出口石湖镇张滩，废黄河北岸保滩镇周庄村至石湖镇张滩村</w:t>
                  </w:r>
                </w:p>
              </w:tc>
              <w:tc>
                <w:tcPr>
                  <w:tcW w:w="1030" w:type="pct"/>
                  <w:shd w:val="clear" w:color="auto" w:fill="auto"/>
                  <w:vAlign w:val="center"/>
                </w:tcPr>
                <w:p w14:paraId="19B5CF49">
                  <w:pPr>
                    <w:pStyle w:val="70"/>
                    <w:keepNext w:val="0"/>
                    <w:keepLines w:val="0"/>
                    <w:suppressLineNumbers w:val="0"/>
                    <w:adjustRightInd w:val="0"/>
                    <w:snapToGrid w:val="0"/>
                    <w:spacing w:before="0" w:beforeAutospacing="0" w:after="0" w:afterAutospacing="0" w:line="280" w:lineRule="exact"/>
                    <w:ind w:left="0" w:leftChars="0" w:right="0"/>
                    <w:jc w:val="both"/>
                    <w:rPr>
                      <w:rFonts w:hAnsiTheme="minorEastAsia" w:eastAsiaTheme="minorEastAsia"/>
                      <w:bCs/>
                      <w:color w:val="auto"/>
                      <w:sz w:val="21"/>
                      <w:szCs w:val="21"/>
                      <w:highlight w:val="none"/>
                    </w:rPr>
                  </w:pPr>
                  <w:r>
                    <w:rPr>
                      <w:rFonts w:hAnsiTheme="minorEastAsia" w:eastAsiaTheme="minorEastAsia"/>
                      <w:bCs/>
                      <w:color w:val="auto"/>
                      <w:sz w:val="21"/>
                      <w:szCs w:val="21"/>
                      <w:highlight w:val="none"/>
                    </w:rPr>
                    <w:t>建设项目在</w:t>
                  </w:r>
                  <w:r>
                    <w:rPr>
                      <w:rFonts w:hint="eastAsia" w:hAnsiTheme="minorEastAsia" w:eastAsiaTheme="minorEastAsia"/>
                      <w:bCs/>
                      <w:color w:val="auto"/>
                      <w:sz w:val="21"/>
                      <w:szCs w:val="21"/>
                      <w:highlight w:val="none"/>
                    </w:rPr>
                    <w:t>生态空间管控区西北侧</w:t>
                  </w:r>
                  <w:r>
                    <w:rPr>
                      <w:rFonts w:hint="eastAsia" w:eastAsiaTheme="minorEastAsia"/>
                      <w:bCs/>
                      <w:color w:val="auto"/>
                      <w:sz w:val="21"/>
                      <w:szCs w:val="21"/>
                      <w:highlight w:val="none"/>
                      <w:lang w:val="en-US" w:eastAsia="zh-CN"/>
                    </w:rPr>
                    <w:t>6.6</w:t>
                  </w:r>
                  <w:r>
                    <w:rPr>
                      <w:rFonts w:eastAsiaTheme="minorEastAsia"/>
                      <w:bCs/>
                      <w:color w:val="auto"/>
                      <w:sz w:val="21"/>
                      <w:szCs w:val="21"/>
                      <w:highlight w:val="none"/>
                    </w:rPr>
                    <w:t>km</w:t>
                  </w:r>
                  <w:r>
                    <w:rPr>
                      <w:rFonts w:hAnsiTheme="minorEastAsia" w:eastAsiaTheme="minorEastAsia"/>
                      <w:bCs/>
                      <w:color w:val="auto"/>
                      <w:sz w:val="21"/>
                      <w:szCs w:val="21"/>
                      <w:highlight w:val="none"/>
                    </w:rPr>
                    <w:t>左右，不在管控范围之内</w:t>
                  </w:r>
                </w:p>
              </w:tc>
            </w:tr>
          </w:tbl>
          <w:p w14:paraId="59AE987C">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color w:val="auto"/>
                <w:sz w:val="24"/>
                <w:highlight w:val="none"/>
              </w:rPr>
              <w:t>由表1-</w:t>
            </w:r>
            <w:r>
              <w:rPr>
                <w:rFonts w:hint="eastAsia"/>
                <w:color w:val="auto"/>
                <w:sz w:val="24"/>
                <w:highlight w:val="none"/>
              </w:rPr>
              <w:t>4</w:t>
            </w:r>
            <w:r>
              <w:rPr>
                <w:color w:val="auto"/>
                <w:sz w:val="24"/>
                <w:highlight w:val="none"/>
              </w:rPr>
              <w:t>可知，建设项目距离最近的</w:t>
            </w:r>
            <w:r>
              <w:rPr>
                <w:rFonts w:hint="eastAsia"/>
                <w:color w:val="auto"/>
                <w:sz w:val="24"/>
                <w:highlight w:val="none"/>
              </w:rPr>
              <w:t>生态空间管控区</w:t>
            </w:r>
            <w:r>
              <w:rPr>
                <w:color w:val="auto"/>
                <w:sz w:val="24"/>
                <w:highlight w:val="none"/>
              </w:rPr>
              <w:t>为</w:t>
            </w:r>
            <w:r>
              <w:rPr>
                <w:rFonts w:hint="eastAsia" w:ascii="宋体" w:hAnsi="宋体" w:eastAsia="宋体" w:cs="宋体"/>
                <w:color w:val="auto"/>
                <w:kern w:val="0"/>
                <w:sz w:val="24"/>
                <w:highlight w:val="none"/>
              </w:rPr>
              <w:t>废黄河（涟水县）重要湿地</w:t>
            </w:r>
            <w:r>
              <w:rPr>
                <w:color w:val="auto"/>
                <w:sz w:val="24"/>
                <w:highlight w:val="none"/>
              </w:rPr>
              <w:t>，距离生态</w:t>
            </w:r>
            <w:r>
              <w:rPr>
                <w:rFonts w:hint="eastAsia"/>
                <w:color w:val="auto"/>
                <w:sz w:val="24"/>
                <w:highlight w:val="none"/>
              </w:rPr>
              <w:t>空间管控区</w:t>
            </w:r>
            <w:r>
              <w:rPr>
                <w:color w:val="auto"/>
                <w:sz w:val="24"/>
                <w:highlight w:val="none"/>
              </w:rPr>
              <w:t>边界</w:t>
            </w:r>
            <w:r>
              <w:rPr>
                <w:rFonts w:hint="eastAsia"/>
                <w:color w:val="auto"/>
                <w:sz w:val="24"/>
                <w:highlight w:val="none"/>
                <w:lang w:val="en-US" w:eastAsia="zh-CN"/>
              </w:rPr>
              <w:t>6.6</w:t>
            </w:r>
            <w:r>
              <w:rPr>
                <w:rFonts w:hint="eastAsia"/>
                <w:color w:val="auto"/>
                <w:sz w:val="24"/>
                <w:highlight w:val="none"/>
              </w:rPr>
              <w:t>k</w:t>
            </w:r>
            <w:r>
              <w:rPr>
                <w:color w:val="auto"/>
                <w:sz w:val="24"/>
                <w:highlight w:val="none"/>
              </w:rPr>
              <w:t>m，因此建设项目不在确定的生态空间管控区域范围之内，因此建设项目与江苏省生态空间管控区域规划相符。</w:t>
            </w:r>
            <w:r>
              <w:rPr>
                <w:rFonts w:hAnsi="宋体"/>
                <w:color w:val="auto"/>
                <w:sz w:val="24"/>
                <w:highlight w:val="none"/>
              </w:rPr>
              <w:t>本项目与生态</w:t>
            </w:r>
            <w:r>
              <w:rPr>
                <w:rFonts w:hint="eastAsia" w:hAnsi="宋体"/>
                <w:color w:val="auto"/>
                <w:sz w:val="24"/>
                <w:highlight w:val="none"/>
              </w:rPr>
              <w:t>空间管控区域</w:t>
            </w:r>
            <w:r>
              <w:rPr>
                <w:rFonts w:hAnsi="宋体"/>
                <w:color w:val="auto"/>
                <w:sz w:val="24"/>
                <w:highlight w:val="none"/>
              </w:rPr>
              <w:t>位置关系详见</w:t>
            </w:r>
            <w:r>
              <w:rPr>
                <w:rFonts w:hAnsi="宋体"/>
                <w:b/>
                <w:color w:val="auto"/>
                <w:sz w:val="24"/>
                <w:highlight w:val="none"/>
              </w:rPr>
              <w:t>附图</w:t>
            </w:r>
            <w:r>
              <w:rPr>
                <w:rFonts w:hint="eastAsia"/>
                <w:b/>
                <w:color w:val="auto"/>
                <w:sz w:val="24"/>
                <w:highlight w:val="none"/>
              </w:rPr>
              <w:t>2</w:t>
            </w:r>
            <w:r>
              <w:rPr>
                <w:rFonts w:hAnsi="宋体"/>
                <w:color w:val="auto"/>
                <w:sz w:val="24"/>
                <w:highlight w:val="none"/>
              </w:rPr>
              <w:t>。</w:t>
            </w:r>
          </w:p>
          <w:p w14:paraId="6D5706E6">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b/>
                <w:bCs/>
                <w:color w:val="auto"/>
                <w:sz w:val="24"/>
                <w:highlight w:val="none"/>
              </w:rPr>
              <w:t>③</w:t>
            </w:r>
            <w:r>
              <w:rPr>
                <w:rFonts w:hAnsi="宋体"/>
                <w:b/>
                <w:bCs/>
                <w:color w:val="auto"/>
                <w:sz w:val="24"/>
                <w:highlight w:val="none"/>
              </w:rPr>
              <w:t>项目与</w:t>
            </w:r>
            <w:r>
              <w:rPr>
                <w:rFonts w:hAnsi="宋体"/>
                <w:b/>
                <w:color w:val="auto"/>
                <w:sz w:val="24"/>
                <w:highlight w:val="none"/>
              </w:rPr>
              <w:t>江苏省《关于印发江苏省</w:t>
            </w:r>
            <w:r>
              <w:rPr>
                <w:b/>
                <w:color w:val="auto"/>
                <w:sz w:val="24"/>
                <w:highlight w:val="none"/>
              </w:rPr>
              <w:t>“</w:t>
            </w:r>
            <w:r>
              <w:rPr>
                <w:rFonts w:hAnsi="宋体"/>
                <w:b/>
                <w:color w:val="auto"/>
                <w:sz w:val="24"/>
                <w:highlight w:val="none"/>
              </w:rPr>
              <w:t>三线一单</w:t>
            </w:r>
            <w:r>
              <w:rPr>
                <w:b/>
                <w:color w:val="auto"/>
                <w:sz w:val="24"/>
                <w:highlight w:val="none"/>
              </w:rPr>
              <w:t>”</w:t>
            </w:r>
            <w:r>
              <w:rPr>
                <w:rFonts w:hAnsi="宋体"/>
                <w:b/>
                <w:color w:val="auto"/>
                <w:sz w:val="24"/>
                <w:highlight w:val="none"/>
              </w:rPr>
              <w:t>生态环境分区管控方案的通知》（苏政发〔</w:t>
            </w:r>
            <w:r>
              <w:rPr>
                <w:b/>
                <w:color w:val="auto"/>
                <w:sz w:val="24"/>
                <w:highlight w:val="none"/>
              </w:rPr>
              <w:t>2020</w:t>
            </w:r>
            <w:r>
              <w:rPr>
                <w:rFonts w:hAnsi="宋体"/>
                <w:b/>
                <w:color w:val="auto"/>
                <w:sz w:val="24"/>
                <w:highlight w:val="none"/>
              </w:rPr>
              <w:t>〕</w:t>
            </w:r>
            <w:r>
              <w:rPr>
                <w:b/>
                <w:color w:val="auto"/>
                <w:sz w:val="24"/>
                <w:highlight w:val="none"/>
              </w:rPr>
              <w:t>49</w:t>
            </w:r>
            <w:r>
              <w:rPr>
                <w:rFonts w:hAnsi="宋体"/>
                <w:b/>
                <w:color w:val="auto"/>
                <w:sz w:val="24"/>
                <w:highlight w:val="none"/>
              </w:rPr>
              <w:t>号）相符性分析</w:t>
            </w:r>
          </w:p>
          <w:p w14:paraId="2BB9C794">
            <w:pPr>
              <w:keepNext w:val="0"/>
              <w:keepLines w:val="0"/>
              <w:suppressLineNumbers w:val="0"/>
              <w:adjustRightInd w:val="0"/>
              <w:snapToGrid w:val="0"/>
              <w:spacing w:before="0" w:beforeAutospacing="0" w:after="0" w:afterAutospacing="0" w:line="360" w:lineRule="auto"/>
              <w:ind w:left="0" w:right="0" w:firstLine="480" w:firstLineChars="200"/>
              <w:rPr>
                <w:rFonts w:hAnsi="宋体"/>
                <w:b/>
                <w:color w:val="auto"/>
                <w:sz w:val="24"/>
                <w:highlight w:val="none"/>
              </w:rPr>
            </w:pPr>
            <w:r>
              <w:rPr>
                <w:rFonts w:hAnsi="宋体"/>
                <w:color w:val="auto"/>
                <w:sz w:val="24"/>
                <w:highlight w:val="none"/>
              </w:rPr>
              <w:t>本项目与江苏省《关于印发江苏省</w:t>
            </w:r>
            <w:r>
              <w:rPr>
                <w:color w:val="auto"/>
                <w:sz w:val="24"/>
                <w:highlight w:val="none"/>
              </w:rPr>
              <w:t>“</w:t>
            </w:r>
            <w:r>
              <w:rPr>
                <w:rFonts w:hAnsi="宋体"/>
                <w:color w:val="auto"/>
                <w:sz w:val="24"/>
                <w:highlight w:val="none"/>
              </w:rPr>
              <w:t>三线一单</w:t>
            </w:r>
            <w:r>
              <w:rPr>
                <w:color w:val="auto"/>
                <w:sz w:val="24"/>
                <w:highlight w:val="none"/>
              </w:rPr>
              <w:t>”</w:t>
            </w:r>
            <w:r>
              <w:rPr>
                <w:rFonts w:hAnsi="宋体"/>
                <w:color w:val="auto"/>
                <w:sz w:val="24"/>
                <w:highlight w:val="none"/>
              </w:rPr>
              <w:t>生态环境分区管控方案的通知》（苏政发〔</w:t>
            </w:r>
            <w:r>
              <w:rPr>
                <w:color w:val="auto"/>
                <w:sz w:val="24"/>
                <w:highlight w:val="none"/>
              </w:rPr>
              <w:t>2020</w:t>
            </w:r>
            <w:r>
              <w:rPr>
                <w:rFonts w:hAnsi="宋体"/>
                <w:color w:val="auto"/>
                <w:sz w:val="24"/>
                <w:highlight w:val="none"/>
              </w:rPr>
              <w:t>〕</w:t>
            </w:r>
            <w:r>
              <w:rPr>
                <w:color w:val="auto"/>
                <w:sz w:val="24"/>
                <w:highlight w:val="none"/>
              </w:rPr>
              <w:t>49</w:t>
            </w:r>
            <w:r>
              <w:rPr>
                <w:rFonts w:hAnsi="宋体"/>
                <w:color w:val="auto"/>
                <w:sz w:val="24"/>
                <w:highlight w:val="none"/>
              </w:rPr>
              <w:t>号）相符性分析见表</w:t>
            </w:r>
            <w:r>
              <w:rPr>
                <w:color w:val="auto"/>
                <w:sz w:val="24"/>
                <w:highlight w:val="none"/>
              </w:rPr>
              <w:t>1-</w:t>
            </w:r>
            <w:r>
              <w:rPr>
                <w:rFonts w:hint="eastAsia"/>
                <w:color w:val="auto"/>
                <w:sz w:val="24"/>
                <w:highlight w:val="none"/>
              </w:rPr>
              <w:t>5</w:t>
            </w:r>
            <w:r>
              <w:rPr>
                <w:rFonts w:hAnsi="宋体"/>
                <w:color w:val="auto"/>
                <w:sz w:val="24"/>
                <w:highlight w:val="none"/>
              </w:rPr>
              <w:t>。</w:t>
            </w:r>
          </w:p>
          <w:p w14:paraId="7A6C5A4F">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1-</w:t>
            </w:r>
            <w:r>
              <w:rPr>
                <w:rFonts w:hint="eastAsia"/>
                <w:b/>
                <w:color w:val="auto"/>
                <w:sz w:val="24"/>
                <w:highlight w:val="none"/>
              </w:rPr>
              <w:t xml:space="preserve">5 </w:t>
            </w:r>
            <w:r>
              <w:rPr>
                <w:rFonts w:hAnsi="宋体"/>
                <w:b/>
                <w:color w:val="auto"/>
                <w:sz w:val="24"/>
                <w:highlight w:val="none"/>
              </w:rPr>
              <w:t>本项目与苏政发〔</w:t>
            </w:r>
            <w:r>
              <w:rPr>
                <w:b/>
                <w:color w:val="auto"/>
                <w:sz w:val="24"/>
                <w:highlight w:val="none"/>
              </w:rPr>
              <w:t>2020</w:t>
            </w:r>
            <w:r>
              <w:rPr>
                <w:rFonts w:hAnsi="宋体"/>
                <w:b/>
                <w:color w:val="auto"/>
                <w:sz w:val="24"/>
                <w:highlight w:val="none"/>
              </w:rPr>
              <w:t>〕</w:t>
            </w:r>
            <w:r>
              <w:rPr>
                <w:b/>
                <w:color w:val="auto"/>
                <w:sz w:val="24"/>
                <w:highlight w:val="none"/>
              </w:rPr>
              <w:t>49</w:t>
            </w:r>
            <w:r>
              <w:rPr>
                <w:rFonts w:hAnsi="宋体"/>
                <w:b/>
                <w:color w:val="auto"/>
                <w:sz w:val="24"/>
                <w:highlight w:val="none"/>
              </w:rPr>
              <w:t>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181"/>
              <w:gridCol w:w="2086"/>
              <w:gridCol w:w="464"/>
            </w:tblGrid>
            <w:tr w14:paraId="089B2FBC">
              <w:trPr>
                <w:tblHeader/>
                <w:jc w:val="center"/>
              </w:trPr>
              <w:tc>
                <w:tcPr>
                  <w:tcW w:w="472" w:type="dxa"/>
                  <w:tcBorders>
                    <w:tl2br w:val="nil"/>
                    <w:tr2bl w:val="nil"/>
                  </w:tcBorders>
                  <w:vAlign w:val="center"/>
                </w:tcPr>
                <w:p w14:paraId="495206C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管控类别</w:t>
                  </w:r>
                </w:p>
              </w:tc>
              <w:tc>
                <w:tcPr>
                  <w:tcW w:w="4701" w:type="dxa"/>
                  <w:tcBorders>
                    <w:tl2br w:val="nil"/>
                    <w:tr2bl w:val="nil"/>
                  </w:tcBorders>
                  <w:vAlign w:val="center"/>
                </w:tcPr>
                <w:p w14:paraId="61AF54BA">
                  <w:pPr>
                    <w:keepNext w:val="0"/>
                    <w:keepLines w:val="0"/>
                    <w:suppressLineNumbers w:val="0"/>
                    <w:wordWrap w:val="0"/>
                    <w:spacing w:before="0" w:beforeAutospacing="0" w:after="0" w:afterAutospacing="0"/>
                    <w:ind w:left="0" w:right="0"/>
                    <w:jc w:val="center"/>
                    <w:rPr>
                      <w:color w:val="auto"/>
                      <w:szCs w:val="21"/>
                      <w:highlight w:val="none"/>
                    </w:rPr>
                  </w:pPr>
                  <w:r>
                    <w:rPr>
                      <w:color w:val="auto"/>
                      <w:szCs w:val="21"/>
                      <w:highlight w:val="none"/>
                    </w:rPr>
                    <w:t>重点管控要求</w:t>
                  </w:r>
                </w:p>
              </w:tc>
              <w:tc>
                <w:tcPr>
                  <w:tcW w:w="2331" w:type="dxa"/>
                  <w:tcBorders>
                    <w:tl2br w:val="nil"/>
                    <w:tr2bl w:val="nil"/>
                  </w:tcBorders>
                  <w:vAlign w:val="center"/>
                </w:tcPr>
                <w:p w14:paraId="39E4FD20">
                  <w:pPr>
                    <w:pStyle w:val="3895"/>
                    <w:keepNext w:val="0"/>
                    <w:keepLines w:val="0"/>
                    <w:suppressLineNumbers w:val="0"/>
                    <w:spacing w:before="0" w:beforeAutospacing="0" w:after="0" w:afterAutospacing="0" w:line="240" w:lineRule="auto"/>
                    <w:ind w:left="0" w:leftChars="0" w:right="0" w:firstLine="0" w:firstLineChars="0"/>
                    <w:rPr>
                      <w:rFonts w:eastAsia="新宋体"/>
                      <w:b/>
                      <w:bCs/>
                      <w:color w:val="auto"/>
                      <w:sz w:val="21"/>
                      <w:szCs w:val="21"/>
                      <w:highlight w:val="none"/>
                    </w:rPr>
                  </w:pPr>
                  <w:r>
                    <w:rPr>
                      <w:rFonts w:eastAsia="新宋体"/>
                      <w:b/>
                      <w:bCs/>
                      <w:color w:val="auto"/>
                      <w:sz w:val="21"/>
                      <w:szCs w:val="21"/>
                      <w:highlight w:val="none"/>
                    </w:rPr>
                    <w:t>项目情况</w:t>
                  </w:r>
                </w:p>
              </w:tc>
              <w:tc>
                <w:tcPr>
                  <w:tcW w:w="496" w:type="dxa"/>
                  <w:tcBorders>
                    <w:tl2br w:val="nil"/>
                    <w:tr2bl w:val="nil"/>
                  </w:tcBorders>
                  <w:vAlign w:val="center"/>
                </w:tcPr>
                <w:p w14:paraId="4AFA4CA2">
                  <w:pPr>
                    <w:pStyle w:val="3895"/>
                    <w:keepNext w:val="0"/>
                    <w:keepLines w:val="0"/>
                    <w:suppressLineNumbers w:val="0"/>
                    <w:spacing w:before="0" w:beforeAutospacing="0" w:after="0" w:afterAutospacing="0" w:line="240" w:lineRule="auto"/>
                    <w:ind w:left="0" w:leftChars="0" w:right="0" w:firstLine="0" w:firstLineChars="0"/>
                    <w:rPr>
                      <w:rFonts w:eastAsia="新宋体"/>
                      <w:b/>
                      <w:bCs/>
                      <w:color w:val="auto"/>
                      <w:sz w:val="21"/>
                      <w:szCs w:val="21"/>
                      <w:highlight w:val="none"/>
                    </w:rPr>
                  </w:pPr>
                  <w:r>
                    <w:rPr>
                      <w:rFonts w:eastAsia="新宋体"/>
                      <w:b/>
                      <w:bCs/>
                      <w:color w:val="auto"/>
                      <w:sz w:val="21"/>
                      <w:szCs w:val="21"/>
                      <w:highlight w:val="none"/>
                    </w:rPr>
                    <w:t>符合性</w:t>
                  </w:r>
                </w:p>
              </w:tc>
            </w:tr>
            <w:tr w14:paraId="1D947C67">
              <w:trPr>
                <w:jc w:val="center"/>
              </w:trPr>
              <w:tc>
                <w:tcPr>
                  <w:tcW w:w="472" w:type="dxa"/>
                  <w:vMerge w:val="restart"/>
                  <w:tcBorders>
                    <w:tl2br w:val="nil"/>
                    <w:tr2bl w:val="nil"/>
                  </w:tcBorders>
                  <w:vAlign w:val="center"/>
                </w:tcPr>
                <w:p w14:paraId="1A248EA2">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空间布局约束</w:t>
                  </w:r>
                </w:p>
              </w:tc>
              <w:tc>
                <w:tcPr>
                  <w:tcW w:w="4701" w:type="dxa"/>
                  <w:tcBorders>
                    <w:tl2br w:val="nil"/>
                    <w:tr2bl w:val="nil"/>
                  </w:tcBorders>
                  <w:vAlign w:val="center"/>
                </w:tcPr>
                <w:p w14:paraId="34D5250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ascii="Times New Roman" w:hAnsi="Times New Roman" w:eastAsia="新宋体" w:cs="Times New Roman"/>
                      <w:color w:val="auto"/>
                      <w:sz w:val="21"/>
                      <w:szCs w:val="21"/>
                      <w:highlight w:val="none"/>
                    </w:rPr>
                    <w:t>按照《省政府关于印发江苏省生态空间管控区域规划的通知》（苏政发</w:t>
                  </w:r>
                  <w:r>
                    <w:rPr>
                      <w:rFonts w:hint="eastAsia" w:ascii="Times New Roman" w:hAnsi="Times New Roman" w:eastAsia="新宋体" w:cs="Times New Roman"/>
                      <w:color w:val="auto"/>
                      <w:sz w:val="21"/>
                      <w:szCs w:val="21"/>
                      <w:highlight w:val="none"/>
                      <w:lang w:eastAsia="zh-CN"/>
                    </w:rPr>
                    <w:t>〔2020〕1号</w:t>
                  </w:r>
                  <w:r>
                    <w:rPr>
                      <w:rFonts w:ascii="Times New Roman" w:hAnsi="Times New Roman" w:eastAsia="新宋体" w:cs="Times New Roman"/>
                      <w:color w:val="auto"/>
                      <w:sz w:val="21"/>
                      <w:szCs w:val="21"/>
                      <w:highlight w:val="none"/>
                    </w:rPr>
                    <w:t>）、《省政府关于印发江苏省国家级生态保护红线规划的通知》（苏政发</w:t>
                  </w:r>
                  <w:r>
                    <w:rPr>
                      <w:rFonts w:hint="eastAsia" w:ascii="Times New Roman" w:hAnsi="Times New Roman" w:eastAsia="新宋体" w:cs="Times New Roman"/>
                      <w:color w:val="auto"/>
                      <w:sz w:val="21"/>
                      <w:szCs w:val="21"/>
                      <w:highlight w:val="none"/>
                      <w:lang w:eastAsia="zh-CN"/>
                    </w:rPr>
                    <w:t>〔2018〕74号</w:t>
                  </w:r>
                  <w:r>
                    <w:rPr>
                      <w:rFonts w:ascii="Times New Roman" w:hAnsi="Times New Roman" w:eastAsia="新宋体" w:cs="Times New Roman"/>
                      <w:color w:val="auto"/>
                      <w:sz w:val="21"/>
                      <w:szCs w:val="21"/>
                      <w:highlight w:val="none"/>
                    </w:rPr>
                    <w:t>），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全省陆域生态空间总面积23216.24平方公里，占全省陆域国土面积的22.49%。其中国家级生态保护红线陆域面积为8474.27平方公里，占全省陆域国土面积的8.21%；生态空间管控区域面积为14741.97平方公里，占全省陆域国土面积的14.28%</w:t>
                  </w:r>
                </w:p>
              </w:tc>
              <w:tc>
                <w:tcPr>
                  <w:tcW w:w="2331" w:type="dxa"/>
                  <w:tcBorders>
                    <w:tl2br w:val="nil"/>
                    <w:tr2bl w:val="nil"/>
                  </w:tcBorders>
                  <w:vAlign w:val="center"/>
                </w:tcPr>
                <w:p w14:paraId="2A8BE083">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eastAsia="新宋体"/>
                      <w:color w:val="auto"/>
                      <w:sz w:val="21"/>
                      <w:szCs w:val="21"/>
                      <w:highlight w:val="none"/>
                    </w:rPr>
                    <w:t>，不涉及《江苏省国家级生态保护红线规划》</w:t>
                  </w:r>
                  <w:r>
                    <w:rPr>
                      <w:rStyle w:val="97"/>
                      <w:rFonts w:eastAsia="新宋体"/>
                      <w:color w:val="auto"/>
                      <w:highlight w:val="none"/>
                    </w:rPr>
                    <w:t>及</w:t>
                  </w:r>
                  <w:r>
                    <w:rPr>
                      <w:rFonts w:eastAsia="新宋体"/>
                      <w:color w:val="auto"/>
                      <w:sz w:val="21"/>
                      <w:szCs w:val="21"/>
                      <w:highlight w:val="none"/>
                    </w:rPr>
                    <w:t>《江苏省生态空间管控区域规划》中管控区范围，不涉及重要生态功能保护区</w:t>
                  </w:r>
                  <w:r>
                    <w:rPr>
                      <w:rFonts w:hint="eastAsia" w:eastAsia="新宋体"/>
                      <w:color w:val="auto"/>
                      <w:sz w:val="21"/>
                      <w:szCs w:val="21"/>
                      <w:highlight w:val="none"/>
                      <w:lang w:eastAsia="zh-CN"/>
                    </w:rPr>
                    <w:t>。</w:t>
                  </w:r>
                </w:p>
              </w:tc>
              <w:tc>
                <w:tcPr>
                  <w:tcW w:w="496" w:type="dxa"/>
                  <w:tcBorders>
                    <w:tl2br w:val="nil"/>
                    <w:tr2bl w:val="nil"/>
                  </w:tcBorders>
                  <w:vAlign w:val="center"/>
                </w:tcPr>
                <w:p w14:paraId="7C6BFC25">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10C02763">
              <w:trPr>
                <w:jc w:val="center"/>
              </w:trPr>
              <w:tc>
                <w:tcPr>
                  <w:tcW w:w="472" w:type="dxa"/>
                  <w:vMerge w:val="continue"/>
                  <w:tcBorders>
                    <w:tl2br w:val="nil"/>
                    <w:tr2bl w:val="nil"/>
                  </w:tcBorders>
                  <w:vAlign w:val="center"/>
                </w:tcPr>
                <w:p w14:paraId="6B441568">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191B78DA">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牢牢把握推动长江经济带发展“</w:t>
                  </w:r>
                  <w:r>
                    <w:rPr>
                      <w:rFonts w:hint="eastAsia" w:eastAsia="新宋体"/>
                      <w:color w:val="auto"/>
                      <w:sz w:val="21"/>
                      <w:szCs w:val="21"/>
                      <w:highlight w:val="none"/>
                      <w:lang w:eastAsia="zh-CN"/>
                    </w:rPr>
                    <w:t>共抓大保护、不搞大开发</w:t>
                  </w:r>
                  <w:r>
                    <w:rPr>
                      <w:rFonts w:eastAsia="新宋体"/>
                      <w:color w:val="auto"/>
                      <w:sz w:val="21"/>
                      <w:szCs w:val="21"/>
                      <w:highlight w:val="none"/>
                    </w:rPr>
                    <w:t>”战略导向，对省域范围内需要重点保护的岸线、河段和区域实行严格管控，管住控好排放量大、耗能高、产能过剩的产业，推动长江经济带高质量发展</w:t>
                  </w:r>
                </w:p>
              </w:tc>
              <w:tc>
                <w:tcPr>
                  <w:tcW w:w="2331" w:type="dxa"/>
                  <w:tcBorders>
                    <w:tl2br w:val="nil"/>
                    <w:tr2bl w:val="nil"/>
                  </w:tcBorders>
                  <w:vAlign w:val="center"/>
                </w:tcPr>
                <w:p w14:paraId="3949CAEE">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eastAsia="新宋体"/>
                      <w:color w:val="auto"/>
                      <w:sz w:val="21"/>
                      <w:szCs w:val="21"/>
                      <w:highlight w:val="none"/>
                    </w:rPr>
                    <w:t>，不在省域范围需要重点保护的岸线、河段和区域实行严格管控区域，且项目不属于排放量大、耗能高、产能过剩产业</w:t>
                  </w:r>
                  <w:r>
                    <w:rPr>
                      <w:rFonts w:hint="eastAsia" w:eastAsia="新宋体"/>
                      <w:color w:val="auto"/>
                      <w:sz w:val="21"/>
                      <w:szCs w:val="21"/>
                      <w:highlight w:val="none"/>
                      <w:lang w:eastAsia="zh-CN"/>
                    </w:rPr>
                    <w:t>。</w:t>
                  </w:r>
                </w:p>
              </w:tc>
              <w:tc>
                <w:tcPr>
                  <w:tcW w:w="496" w:type="dxa"/>
                  <w:tcBorders>
                    <w:tl2br w:val="nil"/>
                    <w:tr2bl w:val="nil"/>
                  </w:tcBorders>
                  <w:vAlign w:val="center"/>
                </w:tcPr>
                <w:p w14:paraId="19F41FF7">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042D71C4">
              <w:trPr>
                <w:jc w:val="center"/>
              </w:trPr>
              <w:tc>
                <w:tcPr>
                  <w:tcW w:w="472" w:type="dxa"/>
                  <w:vMerge w:val="continue"/>
                  <w:tcBorders>
                    <w:tl2br w:val="nil"/>
                    <w:tr2bl w:val="nil"/>
                  </w:tcBorders>
                  <w:vAlign w:val="center"/>
                </w:tcPr>
                <w:p w14:paraId="5602317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2154BC85">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2331" w:type="dxa"/>
                  <w:tcBorders>
                    <w:tl2br w:val="nil"/>
                    <w:tr2bl w:val="nil"/>
                  </w:tcBorders>
                  <w:vAlign w:val="center"/>
                </w:tcPr>
                <w:p w14:paraId="1FA3DCB1">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项目不在长江干支流两侧1公里范围内</w:t>
                  </w:r>
                  <w:r>
                    <w:rPr>
                      <w:rFonts w:hint="eastAsia" w:eastAsia="新宋体"/>
                      <w:color w:val="auto"/>
                      <w:sz w:val="21"/>
                      <w:szCs w:val="21"/>
                      <w:highlight w:val="none"/>
                      <w:lang w:eastAsia="zh-CN"/>
                    </w:rPr>
                    <w:t>。</w:t>
                  </w:r>
                </w:p>
              </w:tc>
              <w:tc>
                <w:tcPr>
                  <w:tcW w:w="496" w:type="dxa"/>
                  <w:tcBorders>
                    <w:tl2br w:val="nil"/>
                    <w:tr2bl w:val="nil"/>
                  </w:tcBorders>
                  <w:vAlign w:val="center"/>
                </w:tcPr>
                <w:p w14:paraId="0A5BEF60">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428F7C99">
              <w:trPr>
                <w:jc w:val="center"/>
              </w:trPr>
              <w:tc>
                <w:tcPr>
                  <w:tcW w:w="472" w:type="dxa"/>
                  <w:vMerge w:val="continue"/>
                  <w:tcBorders>
                    <w:tl2br w:val="nil"/>
                    <w:tr2bl w:val="nil"/>
                  </w:tcBorders>
                  <w:vAlign w:val="center"/>
                </w:tcPr>
                <w:p w14:paraId="6ADA6D80">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780FF8C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2331" w:type="dxa"/>
                  <w:tcBorders>
                    <w:tl2br w:val="nil"/>
                    <w:tr2bl w:val="nil"/>
                  </w:tcBorders>
                  <w:vAlign w:val="center"/>
                </w:tcPr>
                <w:p w14:paraId="04B4E3AF">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项目不属于钢铁行业</w:t>
                  </w:r>
                  <w:r>
                    <w:rPr>
                      <w:rFonts w:hint="eastAsia" w:eastAsia="新宋体"/>
                      <w:color w:val="auto"/>
                      <w:sz w:val="21"/>
                      <w:szCs w:val="21"/>
                      <w:highlight w:val="none"/>
                      <w:lang w:eastAsia="zh-CN"/>
                    </w:rPr>
                    <w:t>。</w:t>
                  </w:r>
                </w:p>
              </w:tc>
              <w:tc>
                <w:tcPr>
                  <w:tcW w:w="496" w:type="dxa"/>
                  <w:tcBorders>
                    <w:tl2br w:val="nil"/>
                    <w:tr2bl w:val="nil"/>
                  </w:tcBorders>
                  <w:vAlign w:val="center"/>
                </w:tcPr>
                <w:p w14:paraId="0FBCD8F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28A46377">
              <w:trPr>
                <w:jc w:val="center"/>
              </w:trPr>
              <w:tc>
                <w:tcPr>
                  <w:tcW w:w="472" w:type="dxa"/>
                  <w:vMerge w:val="continue"/>
                  <w:tcBorders>
                    <w:tl2br w:val="nil"/>
                    <w:tr2bl w:val="nil"/>
                  </w:tcBorders>
                  <w:vAlign w:val="center"/>
                </w:tcPr>
                <w:p w14:paraId="1D31DE59">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66316682">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对列入国家和省规划，涉及生态保护红线和相关法定保护区的重大民生项目、重大基础设施项目（交通基础设施项目等），应优化空间布局（选线）、主动避让；确实无法避让的，应采取无害化方式（如无害化穿越、跨越方式等），依法依规履行行政审批手续，强化减缓生态环境影响和生态补偿措施</w:t>
                  </w:r>
                </w:p>
              </w:tc>
              <w:tc>
                <w:tcPr>
                  <w:tcW w:w="2331" w:type="dxa"/>
                  <w:tcBorders>
                    <w:tl2br w:val="nil"/>
                    <w:tr2bl w:val="nil"/>
                  </w:tcBorders>
                  <w:vAlign w:val="center"/>
                </w:tcPr>
                <w:p w14:paraId="5D11878D">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项目不涉及生态保护红线和相关法定保护区</w:t>
                  </w:r>
                  <w:r>
                    <w:rPr>
                      <w:rFonts w:hint="eastAsia" w:eastAsia="新宋体"/>
                      <w:color w:val="auto"/>
                      <w:sz w:val="21"/>
                      <w:szCs w:val="21"/>
                      <w:highlight w:val="none"/>
                      <w:lang w:eastAsia="zh-CN"/>
                    </w:rPr>
                    <w:t>。</w:t>
                  </w:r>
                </w:p>
              </w:tc>
              <w:tc>
                <w:tcPr>
                  <w:tcW w:w="496" w:type="dxa"/>
                  <w:tcBorders>
                    <w:tl2br w:val="nil"/>
                    <w:tr2bl w:val="nil"/>
                  </w:tcBorders>
                  <w:vAlign w:val="center"/>
                </w:tcPr>
                <w:p w14:paraId="48892A3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028D04F2">
              <w:trPr>
                <w:jc w:val="center"/>
              </w:trPr>
              <w:tc>
                <w:tcPr>
                  <w:tcW w:w="472" w:type="dxa"/>
                  <w:vMerge w:val="restart"/>
                  <w:tcBorders>
                    <w:tl2br w:val="nil"/>
                    <w:tr2bl w:val="nil"/>
                  </w:tcBorders>
                  <w:vAlign w:val="center"/>
                </w:tcPr>
                <w:p w14:paraId="6F9A2D0E">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污染物排放管控</w:t>
                  </w:r>
                </w:p>
              </w:tc>
              <w:tc>
                <w:tcPr>
                  <w:tcW w:w="4701" w:type="dxa"/>
                  <w:tcBorders>
                    <w:tl2br w:val="nil"/>
                    <w:tr2bl w:val="nil"/>
                  </w:tcBorders>
                  <w:vAlign w:val="center"/>
                </w:tcPr>
                <w:p w14:paraId="5D050CC9">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坚持生态环境质量只能更好、不能变坏，实施污染物总量控制，以环境容量定产业、定项目、定规模，确保开发行为不突破生态环境承载力。</w:t>
                  </w:r>
                </w:p>
              </w:tc>
              <w:tc>
                <w:tcPr>
                  <w:tcW w:w="2331" w:type="dxa"/>
                  <w:vMerge w:val="restart"/>
                  <w:tcBorders>
                    <w:tl2br w:val="nil"/>
                    <w:tr2bl w:val="nil"/>
                  </w:tcBorders>
                  <w:vAlign w:val="center"/>
                </w:tcPr>
                <w:p w14:paraId="6983B4E0">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根据</w:t>
                  </w:r>
                  <w:r>
                    <w:rPr>
                      <w:rFonts w:eastAsia="新宋体"/>
                      <w:color w:val="auto"/>
                      <w:sz w:val="21"/>
                      <w:szCs w:val="21"/>
                      <w:highlight w:val="none"/>
                      <w:lang w:val="zh-CN"/>
                    </w:rPr>
                    <w:t>《</w:t>
                  </w:r>
                  <w:r>
                    <w:rPr>
                      <w:rFonts w:eastAsia="新宋体"/>
                      <w:color w:val="auto"/>
                      <w:sz w:val="21"/>
                      <w:szCs w:val="21"/>
                      <w:highlight w:val="none"/>
                    </w:rPr>
                    <w:t>建设项目主要污染物排放总量指标审核及管理暂行办法</w:t>
                  </w:r>
                  <w:r>
                    <w:rPr>
                      <w:rFonts w:eastAsia="新宋体"/>
                      <w:color w:val="auto"/>
                      <w:sz w:val="21"/>
                      <w:szCs w:val="21"/>
                      <w:highlight w:val="none"/>
                      <w:lang w:val="zh-CN"/>
                    </w:rPr>
                    <w:t>》（</w:t>
                  </w:r>
                  <w:r>
                    <w:rPr>
                      <w:rFonts w:eastAsia="新宋体"/>
                      <w:color w:val="auto"/>
                      <w:sz w:val="21"/>
                      <w:szCs w:val="21"/>
                      <w:highlight w:val="none"/>
                    </w:rPr>
                    <w:t>环发</w:t>
                  </w:r>
                  <w:r>
                    <w:rPr>
                      <w:rFonts w:hint="eastAsia" w:eastAsia="新宋体"/>
                      <w:color w:val="auto"/>
                      <w:sz w:val="21"/>
                      <w:szCs w:val="21"/>
                      <w:highlight w:val="none"/>
                      <w:lang w:eastAsia="zh-CN"/>
                    </w:rPr>
                    <w:t>〔2014〕197号</w:t>
                  </w:r>
                  <w:r>
                    <w:rPr>
                      <w:rFonts w:eastAsia="新宋体"/>
                      <w:color w:val="auto"/>
                      <w:sz w:val="21"/>
                      <w:szCs w:val="21"/>
                      <w:highlight w:val="none"/>
                      <w:lang w:val="zh-CN"/>
                    </w:rPr>
                    <w:t>），</w:t>
                  </w:r>
                  <w:r>
                    <w:rPr>
                      <w:rFonts w:eastAsia="新宋体"/>
                      <w:color w:val="auto"/>
                      <w:sz w:val="21"/>
                      <w:szCs w:val="21"/>
                      <w:highlight w:val="none"/>
                    </w:rPr>
                    <w:t>项目污染物总量</w:t>
                  </w:r>
                  <w:r>
                    <w:rPr>
                      <w:rFonts w:hint="eastAsia" w:eastAsia="新宋体"/>
                      <w:color w:val="auto"/>
                      <w:sz w:val="21"/>
                      <w:szCs w:val="21"/>
                      <w:highlight w:val="none"/>
                    </w:rPr>
                    <w:t>在涟水县范围内平衡</w:t>
                  </w:r>
                  <w:r>
                    <w:rPr>
                      <w:rFonts w:eastAsia="新宋体"/>
                      <w:color w:val="auto"/>
                      <w:sz w:val="21"/>
                      <w:szCs w:val="21"/>
                      <w:highlight w:val="none"/>
                    </w:rPr>
                    <w:t>，项目建设不突破生态环境承载力</w:t>
                  </w:r>
                  <w:r>
                    <w:rPr>
                      <w:rFonts w:hint="eastAsia" w:eastAsia="新宋体"/>
                      <w:color w:val="auto"/>
                      <w:sz w:val="21"/>
                      <w:szCs w:val="21"/>
                      <w:highlight w:val="none"/>
                      <w:lang w:eastAsia="zh-CN"/>
                    </w:rPr>
                    <w:t>。</w:t>
                  </w:r>
                </w:p>
              </w:tc>
              <w:tc>
                <w:tcPr>
                  <w:tcW w:w="496" w:type="dxa"/>
                  <w:vMerge w:val="restart"/>
                  <w:tcBorders>
                    <w:tl2br w:val="nil"/>
                    <w:tr2bl w:val="nil"/>
                  </w:tcBorders>
                  <w:vAlign w:val="center"/>
                </w:tcPr>
                <w:p w14:paraId="0DC0F4CB">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54575B95">
              <w:trPr>
                <w:jc w:val="center"/>
              </w:trPr>
              <w:tc>
                <w:tcPr>
                  <w:tcW w:w="472" w:type="dxa"/>
                  <w:vMerge w:val="continue"/>
                  <w:tcBorders>
                    <w:tl2br w:val="nil"/>
                    <w:tr2bl w:val="nil"/>
                  </w:tcBorders>
                  <w:vAlign w:val="center"/>
                </w:tcPr>
                <w:p w14:paraId="447F805F">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612C2F00">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2020年主要污染物排放总量要求：全省二氧化硫、氮氧化物、挥发性有机物、化学需氧量、氨氮、总磷、总氮排放总量分别为66.8万吨、85.4万吨、149.6万吨、91.2万吨、11.9万吨、29.2万吨、2.7万吨。</w:t>
                  </w:r>
                </w:p>
              </w:tc>
              <w:tc>
                <w:tcPr>
                  <w:tcW w:w="2331" w:type="dxa"/>
                  <w:vMerge w:val="continue"/>
                  <w:tcBorders>
                    <w:tl2br w:val="nil"/>
                    <w:tr2bl w:val="nil"/>
                  </w:tcBorders>
                  <w:vAlign w:val="center"/>
                </w:tcPr>
                <w:p w14:paraId="603623E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96" w:type="dxa"/>
                  <w:vMerge w:val="continue"/>
                  <w:tcBorders>
                    <w:tl2br w:val="nil"/>
                    <w:tr2bl w:val="nil"/>
                  </w:tcBorders>
                  <w:vAlign w:val="center"/>
                </w:tcPr>
                <w:p w14:paraId="5D6FB5DA">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r>
            <w:tr w14:paraId="7FC7D936">
              <w:trPr>
                <w:jc w:val="center"/>
              </w:trPr>
              <w:tc>
                <w:tcPr>
                  <w:tcW w:w="472" w:type="dxa"/>
                  <w:vMerge w:val="restart"/>
                  <w:tcBorders>
                    <w:tl2br w:val="nil"/>
                    <w:tr2bl w:val="nil"/>
                  </w:tcBorders>
                  <w:vAlign w:val="center"/>
                </w:tcPr>
                <w:p w14:paraId="5EA628E7">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环境风险防控</w:t>
                  </w:r>
                </w:p>
              </w:tc>
              <w:tc>
                <w:tcPr>
                  <w:tcW w:w="4701" w:type="dxa"/>
                  <w:tcBorders>
                    <w:tl2br w:val="nil"/>
                    <w:tr2bl w:val="nil"/>
                  </w:tcBorders>
                  <w:vAlign w:val="center"/>
                </w:tcPr>
                <w:p w14:paraId="2E2677C8">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强化饮用水水源环境风险管控。县级以上城市全部建成应急水源或双水源供水</w:t>
                  </w:r>
                </w:p>
              </w:tc>
              <w:tc>
                <w:tcPr>
                  <w:tcW w:w="2331" w:type="dxa"/>
                  <w:tcBorders>
                    <w:tl2br w:val="nil"/>
                    <w:tr2bl w:val="nil"/>
                  </w:tcBorders>
                  <w:vAlign w:val="center"/>
                </w:tcPr>
                <w:p w14:paraId="43AC960A">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项目不涉及饮用水水源</w:t>
                  </w:r>
                  <w:r>
                    <w:rPr>
                      <w:rFonts w:hint="eastAsia" w:eastAsia="新宋体"/>
                      <w:color w:val="auto"/>
                      <w:sz w:val="21"/>
                      <w:szCs w:val="21"/>
                      <w:highlight w:val="none"/>
                      <w:lang w:eastAsia="zh-CN"/>
                    </w:rPr>
                    <w:t>。</w:t>
                  </w:r>
                </w:p>
              </w:tc>
              <w:tc>
                <w:tcPr>
                  <w:tcW w:w="496" w:type="dxa"/>
                  <w:tcBorders>
                    <w:tl2br w:val="nil"/>
                    <w:tr2bl w:val="nil"/>
                  </w:tcBorders>
                  <w:vAlign w:val="center"/>
                </w:tcPr>
                <w:p w14:paraId="336D688F">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7B9C57CA">
              <w:trPr>
                <w:jc w:val="center"/>
              </w:trPr>
              <w:tc>
                <w:tcPr>
                  <w:tcW w:w="472" w:type="dxa"/>
                  <w:vMerge w:val="continue"/>
                  <w:tcBorders>
                    <w:tl2br w:val="nil"/>
                    <w:tr2bl w:val="nil"/>
                  </w:tcBorders>
                  <w:vAlign w:val="center"/>
                </w:tcPr>
                <w:p w14:paraId="7D27A233">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4D7256A6">
                  <w:pPr>
                    <w:pStyle w:val="3895"/>
                    <w:keepNext w:val="0"/>
                    <w:keepLines w:val="0"/>
                    <w:suppressLineNumbers w:val="0"/>
                    <w:spacing w:before="0" w:beforeAutospacing="0" w:after="0" w:afterAutospacing="0" w:line="240" w:lineRule="auto"/>
                    <w:ind w:left="0" w:leftChars="0" w:right="0" w:firstLine="0" w:firstLineChars="0"/>
                    <w:rPr>
                      <w:rFonts w:eastAsia="新宋体"/>
                      <w:smallCaps/>
                      <w:color w:val="auto"/>
                      <w:sz w:val="21"/>
                      <w:szCs w:val="21"/>
                      <w:highlight w:val="none"/>
                    </w:rPr>
                  </w:pPr>
                  <w:r>
                    <w:rPr>
                      <w:rFonts w:eastAsia="新宋体"/>
                      <w:color w:val="auto"/>
                      <w:sz w:val="21"/>
                      <w:szCs w:val="21"/>
                      <w:highlight w:val="none"/>
                    </w:rPr>
                    <w:t>强化化工行业环境风险管控。重点加强化工园区、涉及大宗危化品使用企业、贮存和运输危化品的港口码头、尾矿库、集中式污水处理厂、危废处理企业的环境风险管控；严厉打击危险废物非法转移、处置和倾倒行为；加强关闭搬迁化工企业及遗留地块的调查评估、风险管控、治理修复。</w:t>
                  </w:r>
                </w:p>
              </w:tc>
              <w:tc>
                <w:tcPr>
                  <w:tcW w:w="2331" w:type="dxa"/>
                  <w:tcBorders>
                    <w:tl2br w:val="nil"/>
                    <w:tr2bl w:val="nil"/>
                  </w:tcBorders>
                  <w:vAlign w:val="center"/>
                </w:tcPr>
                <w:p w14:paraId="6EA9E3BD">
                  <w:pPr>
                    <w:pStyle w:val="3895"/>
                    <w:keepNext w:val="0"/>
                    <w:keepLines w:val="0"/>
                    <w:suppressLineNumbers w:val="0"/>
                    <w:spacing w:before="0" w:beforeAutospacing="0" w:after="0" w:afterAutospacing="0" w:line="240" w:lineRule="auto"/>
                    <w:ind w:left="0" w:leftChars="0" w:right="0" w:firstLine="0" w:firstLineChars="0"/>
                    <w:rPr>
                      <w:rFonts w:hint="eastAsia" w:eastAsia="新宋体"/>
                      <w:smallCaps/>
                      <w:color w:val="auto"/>
                      <w:sz w:val="21"/>
                      <w:szCs w:val="21"/>
                      <w:highlight w:val="none"/>
                      <w:lang w:eastAsia="zh-CN"/>
                    </w:rPr>
                  </w:pPr>
                  <w:r>
                    <w:rPr>
                      <w:rFonts w:hint="eastAsia" w:eastAsia="新宋体"/>
                      <w:smallCaps/>
                      <w:color w:val="auto"/>
                      <w:sz w:val="21"/>
                      <w:szCs w:val="21"/>
                      <w:highlight w:val="none"/>
                    </w:rPr>
                    <w:t>拟按规范执行</w:t>
                  </w:r>
                  <w:r>
                    <w:rPr>
                      <w:rFonts w:hint="eastAsia" w:eastAsia="新宋体"/>
                      <w:smallCaps/>
                      <w:color w:val="auto"/>
                      <w:sz w:val="21"/>
                      <w:szCs w:val="21"/>
                      <w:highlight w:val="none"/>
                      <w:lang w:eastAsia="zh-CN"/>
                    </w:rPr>
                    <w:t>。</w:t>
                  </w:r>
                </w:p>
              </w:tc>
              <w:tc>
                <w:tcPr>
                  <w:tcW w:w="496" w:type="dxa"/>
                  <w:tcBorders>
                    <w:tl2br w:val="nil"/>
                    <w:tr2bl w:val="nil"/>
                  </w:tcBorders>
                  <w:vAlign w:val="center"/>
                </w:tcPr>
                <w:p w14:paraId="25D9BD30">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5E317F6D">
              <w:trPr>
                <w:jc w:val="center"/>
              </w:trPr>
              <w:tc>
                <w:tcPr>
                  <w:tcW w:w="472" w:type="dxa"/>
                  <w:vMerge w:val="continue"/>
                  <w:tcBorders>
                    <w:tl2br w:val="nil"/>
                    <w:tr2bl w:val="nil"/>
                  </w:tcBorders>
                  <w:vAlign w:val="center"/>
                </w:tcPr>
                <w:p w14:paraId="243B251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7C82775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强化环境事故应急管理。深化跨部门、跨区域环境应急协调联动，分区域建立环境应急物资储备库。各级工业园区（集聚区）和企业的环境应急装备和储备物资应纳入储备体系。</w:t>
                  </w:r>
                </w:p>
              </w:tc>
              <w:tc>
                <w:tcPr>
                  <w:tcW w:w="2331" w:type="dxa"/>
                  <w:tcBorders>
                    <w:tl2br w:val="nil"/>
                    <w:tr2bl w:val="nil"/>
                  </w:tcBorders>
                  <w:vAlign w:val="center"/>
                </w:tcPr>
                <w:p w14:paraId="154772C8">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eastAsia="新宋体"/>
                      <w:color w:val="auto"/>
                      <w:sz w:val="21"/>
                      <w:szCs w:val="21"/>
                      <w:highlight w:val="none"/>
                    </w:rPr>
                    <w:t>，规划区应配备相应的应急装备和应急物资</w:t>
                  </w:r>
                  <w:r>
                    <w:rPr>
                      <w:rFonts w:hint="eastAsia" w:eastAsia="新宋体"/>
                      <w:color w:val="auto"/>
                      <w:sz w:val="21"/>
                      <w:szCs w:val="21"/>
                      <w:highlight w:val="none"/>
                      <w:lang w:eastAsia="zh-CN"/>
                    </w:rPr>
                    <w:t>。</w:t>
                  </w:r>
                </w:p>
              </w:tc>
              <w:tc>
                <w:tcPr>
                  <w:tcW w:w="496" w:type="dxa"/>
                  <w:tcBorders>
                    <w:tl2br w:val="nil"/>
                    <w:tr2bl w:val="nil"/>
                  </w:tcBorders>
                  <w:vAlign w:val="center"/>
                </w:tcPr>
                <w:p w14:paraId="1D0FB8D8">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509E3EDD">
              <w:trPr>
                <w:jc w:val="center"/>
              </w:trPr>
              <w:tc>
                <w:tcPr>
                  <w:tcW w:w="472" w:type="dxa"/>
                  <w:vMerge w:val="continue"/>
                  <w:tcBorders>
                    <w:tl2br w:val="nil"/>
                    <w:tr2bl w:val="nil"/>
                  </w:tcBorders>
                  <w:vAlign w:val="center"/>
                </w:tcPr>
                <w:p w14:paraId="0AE7E8E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68191A05">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强化环境风险防控能力建设。按照统一信息平台、统一监管力度、统一应急等级、系统应急救援的思路，在沿江发展带、沿海发展带、环太湖等地区构建区域性环境风险预警应急响应机制，实施区域突发环境风险预警联防联控。</w:t>
                  </w:r>
                </w:p>
              </w:tc>
              <w:tc>
                <w:tcPr>
                  <w:tcW w:w="2331" w:type="dxa"/>
                  <w:tcBorders>
                    <w:tl2br w:val="nil"/>
                    <w:tr2bl w:val="nil"/>
                  </w:tcBorders>
                  <w:vAlign w:val="center"/>
                </w:tcPr>
                <w:p w14:paraId="0F11250D">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eastAsia="新宋体"/>
                      <w:color w:val="auto"/>
                      <w:sz w:val="21"/>
                      <w:szCs w:val="21"/>
                      <w:highlight w:val="none"/>
                    </w:rPr>
                    <w:t>，本项目严格建设自身环境风险防控体系，并与园区环境风险防控体系形成联动机制</w:t>
                  </w:r>
                  <w:r>
                    <w:rPr>
                      <w:rFonts w:hint="eastAsia" w:eastAsia="新宋体"/>
                      <w:color w:val="auto"/>
                      <w:sz w:val="21"/>
                      <w:szCs w:val="21"/>
                      <w:highlight w:val="none"/>
                      <w:lang w:eastAsia="zh-CN"/>
                    </w:rPr>
                    <w:t>。</w:t>
                  </w:r>
                </w:p>
              </w:tc>
              <w:tc>
                <w:tcPr>
                  <w:tcW w:w="496" w:type="dxa"/>
                  <w:tcBorders>
                    <w:tl2br w:val="nil"/>
                    <w:tr2bl w:val="nil"/>
                  </w:tcBorders>
                  <w:vAlign w:val="center"/>
                </w:tcPr>
                <w:p w14:paraId="3B07121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7222C390">
              <w:trPr>
                <w:jc w:val="center"/>
              </w:trPr>
              <w:tc>
                <w:tcPr>
                  <w:tcW w:w="472" w:type="dxa"/>
                  <w:vMerge w:val="restart"/>
                  <w:tcBorders>
                    <w:tl2br w:val="nil"/>
                    <w:tr2bl w:val="nil"/>
                  </w:tcBorders>
                  <w:vAlign w:val="center"/>
                </w:tcPr>
                <w:p w14:paraId="409D448A">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资源利用效率要求</w:t>
                  </w:r>
                </w:p>
              </w:tc>
              <w:tc>
                <w:tcPr>
                  <w:tcW w:w="4701" w:type="dxa"/>
                  <w:tcBorders>
                    <w:tl2br w:val="nil"/>
                    <w:tr2bl w:val="nil"/>
                  </w:tcBorders>
                  <w:vAlign w:val="center"/>
                </w:tcPr>
                <w:p w14:paraId="2603F0DE">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水资源利用总量及效率要求：到2020年，全省用水总量不得超过524.15亿立方米。全省万元地区生产总值用水量、万元工业增加值用水量达到国家最严格水资源管理考核要求。到2020年，全省矿井水、洗煤废水70%以上综合利用，高耗水行业达到先进定额标准，工业水循环利用率达到90%</w:t>
                  </w:r>
                </w:p>
              </w:tc>
              <w:tc>
                <w:tcPr>
                  <w:tcW w:w="2331" w:type="dxa"/>
                  <w:tcBorders>
                    <w:tl2br w:val="nil"/>
                    <w:tr2bl w:val="nil"/>
                  </w:tcBorders>
                  <w:vAlign w:val="center"/>
                </w:tcPr>
                <w:p w14:paraId="40C0391A">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hint="eastAsia" w:eastAsia="新宋体"/>
                      <w:color w:val="auto"/>
                      <w:sz w:val="21"/>
                      <w:szCs w:val="21"/>
                      <w:highlight w:val="none"/>
                    </w:rPr>
                    <w:t>对照《</w:t>
                  </w:r>
                  <w:r>
                    <w:rPr>
                      <w:rFonts w:eastAsia="新宋体"/>
                      <w:color w:val="auto"/>
                      <w:sz w:val="21"/>
                      <w:szCs w:val="21"/>
                      <w:highlight w:val="none"/>
                    </w:rPr>
                    <w:t>“十四五”节水型社会建设规划</w:t>
                  </w:r>
                  <w:r>
                    <w:rPr>
                      <w:rFonts w:hint="eastAsia" w:eastAsia="新宋体"/>
                      <w:color w:val="auto"/>
                      <w:sz w:val="21"/>
                      <w:szCs w:val="21"/>
                      <w:highlight w:val="none"/>
                    </w:rPr>
                    <w:t>》项目不属于高耗水行业</w:t>
                  </w:r>
                  <w:r>
                    <w:rPr>
                      <w:rFonts w:hint="eastAsia" w:eastAsia="新宋体"/>
                      <w:color w:val="auto"/>
                      <w:sz w:val="21"/>
                      <w:szCs w:val="21"/>
                      <w:highlight w:val="none"/>
                      <w:lang w:eastAsia="zh-CN"/>
                    </w:rPr>
                    <w:t>。</w:t>
                  </w:r>
                </w:p>
              </w:tc>
              <w:tc>
                <w:tcPr>
                  <w:tcW w:w="496" w:type="dxa"/>
                  <w:tcBorders>
                    <w:tl2br w:val="nil"/>
                    <w:tr2bl w:val="nil"/>
                  </w:tcBorders>
                  <w:vAlign w:val="center"/>
                </w:tcPr>
                <w:p w14:paraId="1B30CB53">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147E382F">
              <w:trPr>
                <w:jc w:val="center"/>
              </w:trPr>
              <w:tc>
                <w:tcPr>
                  <w:tcW w:w="472" w:type="dxa"/>
                  <w:vMerge w:val="continue"/>
                  <w:tcBorders>
                    <w:tl2br w:val="nil"/>
                    <w:tr2bl w:val="nil"/>
                  </w:tcBorders>
                  <w:vAlign w:val="center"/>
                </w:tcPr>
                <w:p w14:paraId="70851631">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28705FC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土地资源总量要求：到2020年，全省耕地保有量不低于456.87万公顷，永久基本农田保护面积不低于390.67万公顷。</w:t>
                  </w:r>
                </w:p>
              </w:tc>
              <w:tc>
                <w:tcPr>
                  <w:tcW w:w="2331" w:type="dxa"/>
                  <w:tcBorders>
                    <w:tl2br w:val="nil"/>
                    <w:tr2bl w:val="nil"/>
                  </w:tcBorders>
                  <w:vAlign w:val="center"/>
                </w:tcPr>
                <w:p w14:paraId="27278BF8">
                  <w:pPr>
                    <w:pStyle w:val="3895"/>
                    <w:keepNext w:val="0"/>
                    <w:keepLines w:val="0"/>
                    <w:suppressLineNumbers w:val="0"/>
                    <w:spacing w:before="0" w:beforeAutospacing="0" w:after="0" w:afterAutospacing="0" w:line="240" w:lineRule="auto"/>
                    <w:ind w:left="0" w:leftChars="0" w:right="0" w:firstLine="0" w:firstLineChars="0"/>
                    <w:rPr>
                      <w:rFonts w:eastAsia="新宋体"/>
                      <w:smallCaps/>
                      <w:color w:val="auto"/>
                      <w:sz w:val="21"/>
                      <w:szCs w:val="21"/>
                      <w:highlight w:val="none"/>
                    </w:rPr>
                  </w:pPr>
                  <w:r>
                    <w:rPr>
                      <w:rFonts w:eastAsia="新宋体"/>
                      <w:color w:val="auto"/>
                      <w:sz w:val="21"/>
                      <w:szCs w:val="21"/>
                      <w:highlight w:val="none"/>
                    </w:rPr>
                    <w:t>本项目不涉及基本农田，项目位于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eastAsia="新宋体"/>
                      <w:color w:val="auto"/>
                      <w:sz w:val="21"/>
                      <w:szCs w:val="21"/>
                      <w:highlight w:val="none"/>
                    </w:rPr>
                    <w:t>，为规划工业用地。</w:t>
                  </w:r>
                </w:p>
              </w:tc>
              <w:tc>
                <w:tcPr>
                  <w:tcW w:w="496" w:type="dxa"/>
                  <w:tcBorders>
                    <w:tl2br w:val="nil"/>
                    <w:tr2bl w:val="nil"/>
                  </w:tcBorders>
                  <w:vAlign w:val="center"/>
                </w:tcPr>
                <w:p w14:paraId="737415D4">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2860B121">
              <w:trPr>
                <w:jc w:val="center"/>
              </w:trPr>
              <w:tc>
                <w:tcPr>
                  <w:tcW w:w="472" w:type="dxa"/>
                  <w:vMerge w:val="continue"/>
                  <w:tcBorders>
                    <w:tl2br w:val="nil"/>
                    <w:tr2bl w:val="nil"/>
                  </w:tcBorders>
                  <w:vAlign w:val="center"/>
                </w:tcPr>
                <w:p w14:paraId="003B8EF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701" w:type="dxa"/>
                  <w:tcBorders>
                    <w:tl2br w:val="nil"/>
                    <w:tr2bl w:val="nil"/>
                  </w:tcBorders>
                  <w:vAlign w:val="center"/>
                </w:tcPr>
                <w:p w14:paraId="143C1059">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禁燃区要求：在禁燃区内，禁止销售、燃用高污染燃料；禁止新建、扩建燃用高污染燃料的设施，已建成的，应当在城市人民政府规定的期限内改用天然气、页岩气、液化石油气、电或者其他清洁能源。</w:t>
                  </w:r>
                </w:p>
              </w:tc>
              <w:tc>
                <w:tcPr>
                  <w:tcW w:w="2331" w:type="dxa"/>
                  <w:tcBorders>
                    <w:tl2br w:val="nil"/>
                    <w:tr2bl w:val="nil"/>
                  </w:tcBorders>
                  <w:vAlign w:val="center"/>
                </w:tcPr>
                <w:p w14:paraId="67809101">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本项目不使用高污染燃料。</w:t>
                  </w:r>
                </w:p>
              </w:tc>
              <w:tc>
                <w:tcPr>
                  <w:tcW w:w="496" w:type="dxa"/>
                  <w:tcBorders>
                    <w:tl2br w:val="nil"/>
                    <w:tr2bl w:val="nil"/>
                  </w:tcBorders>
                  <w:vAlign w:val="center"/>
                </w:tcPr>
                <w:p w14:paraId="1263131B">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bl>
          <w:p w14:paraId="2A91DC49">
            <w:pPr>
              <w:keepNext w:val="0"/>
              <w:keepLines w:val="0"/>
              <w:suppressLineNumbers w:val="0"/>
              <w:adjustRightInd w:val="0"/>
              <w:spacing w:before="0" w:beforeLines="50" w:beforeAutospacing="0" w:after="0" w:afterAutospacing="0" w:line="360" w:lineRule="auto"/>
              <w:ind w:left="0" w:right="0" w:firstLine="482" w:firstLineChars="200"/>
              <w:outlineLvl w:val="2"/>
              <w:rPr>
                <w:b/>
                <w:color w:val="auto"/>
                <w:sz w:val="24"/>
                <w:highlight w:val="none"/>
              </w:rPr>
            </w:pPr>
            <w:r>
              <w:rPr>
                <w:rFonts w:hint="eastAsia" w:ascii="宋体" w:hAnsi="宋体" w:eastAsia="宋体" w:cs="宋体"/>
                <w:b/>
                <w:bCs/>
                <w:color w:val="auto"/>
                <w:sz w:val="24"/>
                <w:highlight w:val="none"/>
              </w:rPr>
              <w:t>④</w:t>
            </w:r>
            <w:r>
              <w:rPr>
                <w:b/>
                <w:color w:val="auto"/>
                <w:sz w:val="24"/>
                <w:highlight w:val="none"/>
              </w:rPr>
              <w:t>与《关于印发淮安市“三线一单”生态环境分区管控方案的通知》（淮政发〔2020〕16号）</w:t>
            </w:r>
            <w:r>
              <w:rPr>
                <w:rFonts w:hint="eastAsia"/>
                <w:b/>
                <w:color w:val="auto"/>
                <w:sz w:val="24"/>
                <w:highlight w:val="none"/>
              </w:rPr>
              <w:t>及其修改单（淮政办函</w:t>
            </w:r>
            <w:r>
              <w:rPr>
                <w:rFonts w:hint="eastAsia"/>
                <w:b/>
                <w:color w:val="auto"/>
                <w:sz w:val="24"/>
                <w:highlight w:val="none"/>
                <w:lang w:eastAsia="zh-CN"/>
              </w:rPr>
              <w:t>〔2022〕5号）</w:t>
            </w:r>
            <w:r>
              <w:rPr>
                <w:b/>
                <w:color w:val="auto"/>
                <w:sz w:val="24"/>
                <w:highlight w:val="none"/>
              </w:rPr>
              <w:t>相符性分析</w:t>
            </w:r>
          </w:p>
          <w:p w14:paraId="690E9C4A">
            <w:pPr>
              <w:keepNext w:val="0"/>
              <w:keepLines w:val="0"/>
              <w:suppressLineNumbers w:val="0"/>
              <w:adjustRightInd w:val="0"/>
              <w:snapToGrid w:val="0"/>
              <w:spacing w:before="0" w:beforeAutospacing="0" w:after="0" w:afterAutospacing="0" w:line="360" w:lineRule="auto"/>
              <w:ind w:left="0" w:right="0" w:firstLine="480" w:firstLineChars="200"/>
              <w:outlineLvl w:val="2"/>
              <w:rPr>
                <w:b/>
                <w:color w:val="auto"/>
                <w:sz w:val="24"/>
                <w:highlight w:val="none"/>
              </w:rPr>
            </w:pPr>
            <w:r>
              <w:rPr>
                <w:rFonts w:hAnsi="宋体"/>
                <w:color w:val="auto"/>
                <w:sz w:val="24"/>
                <w:highlight w:val="none"/>
              </w:rPr>
              <w:t>本项目位于</w:t>
            </w:r>
            <w:r>
              <w:rPr>
                <w:rFonts w:hint="eastAsia" w:hAnsi="宋体"/>
                <w:color w:val="auto"/>
                <w:sz w:val="24"/>
                <w:highlight w:val="none"/>
              </w:rPr>
              <w:t>淮安市</w:t>
            </w:r>
            <w:r>
              <w:rPr>
                <w:rFonts w:hint="eastAsia" w:hAnsi="宋体"/>
                <w:color w:val="auto"/>
                <w:sz w:val="24"/>
                <w:szCs w:val="24"/>
                <w:highlight w:val="none"/>
                <w:lang w:eastAsia="zh-CN"/>
              </w:rPr>
              <w:t>涟水县经济开发区模架产业园北侧、科佳五轴机床东侧</w:t>
            </w:r>
            <w:r>
              <w:rPr>
                <w:rFonts w:hAnsi="宋体"/>
                <w:color w:val="auto"/>
                <w:sz w:val="24"/>
                <w:szCs w:val="24"/>
                <w:highlight w:val="none"/>
              </w:rPr>
              <w:t>，属于重</w:t>
            </w:r>
            <w:r>
              <w:rPr>
                <w:rFonts w:hAnsi="宋体"/>
                <w:color w:val="auto"/>
                <w:sz w:val="24"/>
                <w:highlight w:val="none"/>
              </w:rPr>
              <w:t>点管控单元，</w:t>
            </w:r>
            <w:r>
              <w:rPr>
                <w:color w:val="auto"/>
                <w:sz w:val="24"/>
                <w:highlight w:val="none"/>
              </w:rPr>
              <w:t>项目与淮政发〔2020〕16号</w:t>
            </w:r>
            <w:r>
              <w:rPr>
                <w:rFonts w:hint="eastAsia"/>
                <w:bCs/>
                <w:color w:val="auto"/>
                <w:sz w:val="24"/>
                <w:highlight w:val="none"/>
              </w:rPr>
              <w:t>及其修改单（淮政办函</w:t>
            </w:r>
            <w:r>
              <w:rPr>
                <w:rFonts w:hint="eastAsia"/>
                <w:bCs/>
                <w:color w:val="auto"/>
                <w:sz w:val="24"/>
                <w:highlight w:val="none"/>
                <w:lang w:eastAsia="zh-CN"/>
              </w:rPr>
              <w:t>〔2022〕5号）</w:t>
            </w:r>
            <w:r>
              <w:rPr>
                <w:color w:val="auto"/>
                <w:sz w:val="24"/>
                <w:highlight w:val="none"/>
              </w:rPr>
              <w:t>相符性分析见表1-</w:t>
            </w:r>
            <w:r>
              <w:rPr>
                <w:rFonts w:hint="eastAsia"/>
                <w:color w:val="auto"/>
                <w:sz w:val="24"/>
                <w:highlight w:val="none"/>
              </w:rPr>
              <w:t>6</w:t>
            </w:r>
            <w:r>
              <w:rPr>
                <w:rFonts w:hAnsi="宋体"/>
                <w:color w:val="auto"/>
                <w:sz w:val="24"/>
                <w:highlight w:val="none"/>
              </w:rPr>
              <w:t>。</w:t>
            </w:r>
          </w:p>
          <w:p w14:paraId="325486A0">
            <w:pPr>
              <w:keepNext w:val="0"/>
              <w:keepLines w:val="0"/>
              <w:suppressLineNumbers w:val="0"/>
              <w:shd w:val="clear" w:color="auto" w:fill="FFFFFF"/>
              <w:adjustRightIn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1-</w:t>
            </w:r>
            <w:r>
              <w:rPr>
                <w:rFonts w:hint="eastAsia"/>
                <w:b/>
                <w:color w:val="auto"/>
                <w:sz w:val="24"/>
                <w:highlight w:val="none"/>
              </w:rPr>
              <w:t xml:space="preserve">6 </w:t>
            </w:r>
            <w:r>
              <w:rPr>
                <w:b/>
                <w:color w:val="auto"/>
                <w:sz w:val="24"/>
                <w:highlight w:val="none"/>
              </w:rPr>
              <w:t>与淮政发〔2020〕16号</w:t>
            </w:r>
            <w:r>
              <w:rPr>
                <w:rFonts w:hint="eastAsia"/>
                <w:b/>
                <w:color w:val="auto"/>
                <w:sz w:val="24"/>
                <w:highlight w:val="none"/>
              </w:rPr>
              <w:t>及其修改单（淮政办函</w:t>
            </w:r>
            <w:r>
              <w:rPr>
                <w:rFonts w:hint="eastAsia"/>
                <w:b/>
                <w:color w:val="auto"/>
                <w:sz w:val="24"/>
                <w:highlight w:val="none"/>
                <w:lang w:eastAsia="zh-CN"/>
              </w:rPr>
              <w:t>〔2022〕5号）</w:t>
            </w:r>
            <w:r>
              <w:rPr>
                <w:b/>
                <w:color w:val="auto"/>
                <w:sz w:val="24"/>
                <w:highlight w:val="none"/>
              </w:rPr>
              <w:t>相符性分析</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
              <w:gridCol w:w="3527"/>
              <w:gridCol w:w="2879"/>
              <w:gridCol w:w="383"/>
            </w:tblGrid>
            <w:tr w14:paraId="785E6757">
              <w:trPr>
                <w:tblHeader/>
                <w:jc w:val="center"/>
              </w:trPr>
              <w:tc>
                <w:tcPr>
                  <w:tcW w:w="266" w:type="pct"/>
                  <w:tcBorders>
                    <w:tl2br w:val="nil"/>
                    <w:tr2bl w:val="nil"/>
                  </w:tcBorders>
                  <w:vAlign w:val="center"/>
                </w:tcPr>
                <w:p w14:paraId="1B4F0384">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管控类别</w:t>
                  </w:r>
                </w:p>
              </w:tc>
              <w:tc>
                <w:tcPr>
                  <w:tcW w:w="2459" w:type="pct"/>
                  <w:tcBorders>
                    <w:tl2br w:val="nil"/>
                    <w:tr2bl w:val="nil"/>
                  </w:tcBorders>
                  <w:vAlign w:val="center"/>
                </w:tcPr>
                <w:p w14:paraId="2C3E1EBD">
                  <w:pPr>
                    <w:keepNext w:val="0"/>
                    <w:keepLines w:val="0"/>
                    <w:suppressLineNumbers w:val="0"/>
                    <w:wordWrap w:val="0"/>
                    <w:spacing w:before="0" w:beforeAutospacing="0" w:after="0" w:afterAutospacing="0"/>
                    <w:ind w:left="0" w:right="0"/>
                    <w:jc w:val="center"/>
                    <w:rPr>
                      <w:color w:val="auto"/>
                      <w:szCs w:val="21"/>
                      <w:highlight w:val="none"/>
                    </w:rPr>
                  </w:pPr>
                  <w:r>
                    <w:rPr>
                      <w:color w:val="auto"/>
                      <w:szCs w:val="21"/>
                      <w:highlight w:val="none"/>
                    </w:rPr>
                    <w:t>重点管控要求</w:t>
                  </w:r>
                </w:p>
              </w:tc>
              <w:tc>
                <w:tcPr>
                  <w:tcW w:w="2007" w:type="pct"/>
                  <w:tcBorders>
                    <w:tl2br w:val="nil"/>
                    <w:tr2bl w:val="nil"/>
                  </w:tcBorders>
                  <w:vAlign w:val="center"/>
                </w:tcPr>
                <w:p w14:paraId="09F2C3C0">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b/>
                      <w:bCs/>
                      <w:color w:val="auto"/>
                      <w:sz w:val="21"/>
                      <w:szCs w:val="21"/>
                      <w:highlight w:val="none"/>
                    </w:rPr>
                  </w:pPr>
                  <w:r>
                    <w:rPr>
                      <w:rFonts w:ascii="Times New Roman" w:hAnsi="Times New Roman" w:eastAsia="新宋体" w:cs="Times New Roman"/>
                      <w:b/>
                      <w:bCs/>
                      <w:color w:val="auto"/>
                      <w:sz w:val="21"/>
                      <w:szCs w:val="21"/>
                      <w:highlight w:val="none"/>
                    </w:rPr>
                    <w:t>项目情况</w:t>
                  </w:r>
                </w:p>
              </w:tc>
              <w:tc>
                <w:tcPr>
                  <w:tcW w:w="267" w:type="pct"/>
                  <w:tcBorders>
                    <w:tl2br w:val="nil"/>
                    <w:tr2bl w:val="nil"/>
                  </w:tcBorders>
                  <w:vAlign w:val="center"/>
                </w:tcPr>
                <w:p w14:paraId="2DE79B9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b/>
                      <w:bCs/>
                      <w:color w:val="auto"/>
                      <w:sz w:val="21"/>
                      <w:szCs w:val="21"/>
                      <w:highlight w:val="none"/>
                    </w:rPr>
                  </w:pPr>
                  <w:r>
                    <w:rPr>
                      <w:rFonts w:ascii="Times New Roman" w:hAnsi="Times New Roman" w:eastAsia="新宋体" w:cs="Times New Roman"/>
                      <w:b/>
                      <w:bCs/>
                      <w:color w:val="auto"/>
                      <w:sz w:val="21"/>
                      <w:szCs w:val="21"/>
                      <w:highlight w:val="none"/>
                    </w:rPr>
                    <w:t>符合性</w:t>
                  </w:r>
                </w:p>
              </w:tc>
            </w:tr>
            <w:tr w14:paraId="2A0683CB">
              <w:trPr>
                <w:jc w:val="center"/>
              </w:trPr>
              <w:tc>
                <w:tcPr>
                  <w:tcW w:w="266" w:type="pct"/>
                  <w:vMerge w:val="restart"/>
                  <w:tcBorders>
                    <w:tl2br w:val="nil"/>
                    <w:tr2bl w:val="nil"/>
                  </w:tcBorders>
                  <w:vAlign w:val="center"/>
                </w:tcPr>
                <w:p w14:paraId="19F5F5FE">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空间布局约束</w:t>
                  </w:r>
                </w:p>
              </w:tc>
              <w:tc>
                <w:tcPr>
                  <w:tcW w:w="2459" w:type="pct"/>
                  <w:tcBorders>
                    <w:tl2br w:val="nil"/>
                    <w:tr2bl w:val="nil"/>
                  </w:tcBorders>
                  <w:vAlign w:val="center"/>
                </w:tcPr>
                <w:p w14:paraId="0973CB75">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严格执行《中共淮安市委淮安市人民政府关于全面加强生态环境保护坚决打好污染防治攻坚战的实施意见》（淮发〔2018〕33号）、《淮安市“两减六治三提升”专项行动方案》（淮发〔2017〕26号）、《淮安市土壤污染防治工作方案》（淮政发〔2017〕86号）、《淮安市水污染防治工作方案》（淮政发〔2016〕95号）等文件要求。</w:t>
                  </w:r>
                </w:p>
              </w:tc>
              <w:tc>
                <w:tcPr>
                  <w:tcW w:w="2007" w:type="pct"/>
                  <w:tcBorders>
                    <w:tl2br w:val="nil"/>
                    <w:tr2bl w:val="nil"/>
                  </w:tcBorders>
                  <w:vAlign w:val="center"/>
                </w:tcPr>
                <w:p w14:paraId="6BD57A9F">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建设符合《中共淮安市委淮安市人民政府关于全面加强生态环境保护坚决打好污染防治攻坚战的实施意见》（淮发〔2018〕33号）、《淮安市土壤污染防治工作方案》（淮政发〔2017〕86号）、《淮安市水污染防治工作方案》（淮政发〔2016〕95号）等文件要求</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06D2255C">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4D5E6B36">
              <w:trPr>
                <w:jc w:val="center"/>
              </w:trPr>
              <w:tc>
                <w:tcPr>
                  <w:tcW w:w="266" w:type="pct"/>
                  <w:vMerge w:val="continue"/>
                  <w:tcBorders>
                    <w:tl2br w:val="nil"/>
                    <w:tr2bl w:val="nil"/>
                  </w:tcBorders>
                  <w:vAlign w:val="center"/>
                </w:tcPr>
                <w:p w14:paraId="00A71C3C">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16F975DB">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严格执行《中共淮安市委淮安市人民政府关于优化全市空间功能定位和产业布局的意见》（淮发〔2016〕37号）、《淮安市产业结构调整指导目录（2018</w:t>
                  </w:r>
                  <w:r>
                    <w:rPr>
                      <w:rFonts w:hint="eastAsia" w:ascii="Times New Roman" w:hAnsi="Times New Roman" w:eastAsia="新宋体" w:cs="Times New Roman"/>
                      <w:color w:val="auto"/>
                      <w:sz w:val="21"/>
                      <w:szCs w:val="21"/>
                      <w:highlight w:val="none"/>
                      <w:lang w:eastAsia="zh-CN"/>
                    </w:rPr>
                    <w:t>—</w:t>
                  </w:r>
                  <w:r>
                    <w:rPr>
                      <w:rFonts w:ascii="Times New Roman" w:hAnsi="Times New Roman" w:eastAsia="新宋体" w:cs="Times New Roman"/>
                      <w:color w:val="auto"/>
                      <w:sz w:val="21"/>
                      <w:szCs w:val="21"/>
                      <w:highlight w:val="none"/>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tc>
              <w:tc>
                <w:tcPr>
                  <w:tcW w:w="2007" w:type="pct"/>
                  <w:tcBorders>
                    <w:tl2br w:val="nil"/>
                    <w:tr2bl w:val="nil"/>
                  </w:tcBorders>
                  <w:vAlign w:val="center"/>
                </w:tcPr>
                <w:p w14:paraId="47281968">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ascii="Times New Roman" w:hAnsi="Times New Roman" w:eastAsia="新宋体" w:cs="Times New Roman"/>
                      <w:color w:val="auto"/>
                      <w:sz w:val="21"/>
                      <w:szCs w:val="21"/>
                      <w:highlight w:val="none"/>
                    </w:rPr>
                    <w:t>，不属于《中共淮安市委淮安市人民政府关于优化全市空间功能定位和产业布局的意见》（淮发〔2016〕37号）、</w:t>
                  </w:r>
                  <w:r>
                    <w:rPr>
                      <w:rFonts w:hint="eastAsia" w:ascii="Times New Roman" w:hAnsi="Times New Roman" w:eastAsia="新宋体" w:cs="Times New Roman"/>
                      <w:color w:val="auto"/>
                      <w:sz w:val="21"/>
                      <w:szCs w:val="21"/>
                      <w:highlight w:val="none"/>
                      <w:lang w:eastAsia="zh-CN"/>
                    </w:rPr>
                    <w:t>《产业结构调整指导目录（2024年本）》</w:t>
                  </w:r>
                  <w:r>
                    <w:rPr>
                      <w:rFonts w:hint="eastAsia" w:ascii="Times New Roman" w:hAnsi="Times New Roman" w:eastAsia="新宋体" w:cs="Times New Roman"/>
                      <w:color w:val="auto"/>
                      <w:sz w:val="21"/>
                      <w:szCs w:val="21"/>
                      <w:highlight w:val="none"/>
                    </w:rPr>
                    <w:t>等限制、禁止类项目</w:t>
                  </w:r>
                  <w:r>
                    <w:rPr>
                      <w:rFonts w:ascii="Times New Roman" w:hAnsi="Times New Roman" w:eastAsia="新宋体" w:cs="Times New Roman"/>
                      <w:color w:val="auto"/>
                      <w:sz w:val="21"/>
                      <w:szCs w:val="21"/>
                      <w:highlight w:val="none"/>
                    </w:rPr>
                    <w:t>，不属于产能过剩、高耗能、高污染及技术落后产业</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0C3C5D07">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5F812D2B">
              <w:trPr>
                <w:jc w:val="center"/>
              </w:trPr>
              <w:tc>
                <w:tcPr>
                  <w:tcW w:w="266" w:type="pct"/>
                  <w:vMerge w:val="continue"/>
                  <w:tcBorders>
                    <w:tl2br w:val="nil"/>
                    <w:tr2bl w:val="nil"/>
                  </w:tcBorders>
                  <w:vAlign w:val="center"/>
                </w:tcPr>
                <w:p w14:paraId="5CF577C6">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50ABC90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tc>
              <w:tc>
                <w:tcPr>
                  <w:tcW w:w="2007" w:type="pct"/>
                  <w:tcBorders>
                    <w:tl2br w:val="nil"/>
                    <w:tr2bl w:val="nil"/>
                  </w:tcBorders>
                  <w:vAlign w:val="center"/>
                </w:tcPr>
                <w:p w14:paraId="4B0C4640">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cs="Times New Roman" w:eastAsiaTheme="minorEastAsia"/>
                      <w:color w:val="auto"/>
                      <w:sz w:val="21"/>
                      <w:szCs w:val="21"/>
                      <w:highlight w:val="none"/>
                      <w:lang w:eastAsia="zh-CN"/>
                    </w:rPr>
                  </w:pPr>
                  <w:r>
                    <w:rPr>
                      <w:rFonts w:ascii="Times New Roman" w:hAnsi="Times New Roman" w:eastAsia="新宋体" w:cs="Times New Roman"/>
                      <w:color w:val="auto"/>
                      <w:sz w:val="21"/>
                      <w:szCs w:val="21"/>
                      <w:highlight w:val="none"/>
                    </w:rPr>
                    <w:t>项目不属于化工项目，项目位于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hint="eastAsia"/>
                      <w:color w:val="auto"/>
                      <w:sz w:val="21"/>
                      <w:szCs w:val="21"/>
                      <w:highlight w:val="none"/>
                      <w:lang w:eastAsia="zh-CN"/>
                    </w:rPr>
                    <w:t>。</w:t>
                  </w:r>
                </w:p>
              </w:tc>
              <w:tc>
                <w:tcPr>
                  <w:tcW w:w="267" w:type="pct"/>
                  <w:tcBorders>
                    <w:tl2br w:val="nil"/>
                    <w:tr2bl w:val="nil"/>
                  </w:tcBorders>
                  <w:vAlign w:val="center"/>
                </w:tcPr>
                <w:p w14:paraId="29349843">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30E966CC">
              <w:trPr>
                <w:jc w:val="center"/>
              </w:trPr>
              <w:tc>
                <w:tcPr>
                  <w:tcW w:w="266" w:type="pct"/>
                  <w:vMerge w:val="continue"/>
                  <w:tcBorders>
                    <w:tl2br w:val="nil"/>
                    <w:tr2bl w:val="nil"/>
                  </w:tcBorders>
                  <w:vAlign w:val="center"/>
                </w:tcPr>
                <w:p w14:paraId="064605F7">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48CB111F">
                  <w:pPr>
                    <w:pStyle w:val="81"/>
                    <w:keepNext w:val="0"/>
                    <w:keepLines w:val="0"/>
                    <w:suppressLineNumbers w:val="0"/>
                    <w:adjustRightInd w:val="0"/>
                    <w:snapToGrid w:val="0"/>
                    <w:spacing w:before="0" w:beforeAutospacing="0" w:after="0" w:afterAutospacing="0"/>
                    <w:ind w:left="0" w:right="0"/>
                    <w:rPr>
                      <w:rFonts w:ascii="Times New Roman" w:hAnsi="Times New Roman" w:eastAsia="新宋体" w:cs="Times New Roman"/>
                      <w:color w:val="auto"/>
                      <w:sz w:val="21"/>
                      <w:szCs w:val="21"/>
                      <w:highlight w:val="none"/>
                    </w:rPr>
                  </w:pPr>
                  <w:bookmarkStart w:id="18" w:name="_Toc32505"/>
                  <w:bookmarkStart w:id="19" w:name="_Toc17856"/>
                  <w:r>
                    <w:rPr>
                      <w:rFonts w:ascii="Times New Roman" w:hAnsi="Times New Roman" w:eastAsia="新宋体" w:cs="Times New Roman"/>
                      <w:color w:val="auto"/>
                      <w:sz w:val="21"/>
                      <w:szCs w:val="21"/>
                      <w:highlight w:val="none"/>
                    </w:rPr>
                    <w:t>根据《中共淮安市委 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w:t>
                  </w:r>
                  <w:bookmarkEnd w:id="18"/>
                  <w:bookmarkEnd w:id="19"/>
                </w:p>
              </w:tc>
              <w:tc>
                <w:tcPr>
                  <w:tcW w:w="2007" w:type="pct"/>
                  <w:tcBorders>
                    <w:tl2br w:val="nil"/>
                    <w:tr2bl w:val="nil"/>
                  </w:tcBorders>
                  <w:vAlign w:val="center"/>
                </w:tcPr>
                <w:p w14:paraId="1328ED43">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ascii="Times New Roman" w:hAnsi="Times New Roman" w:eastAsia="新宋体" w:cs="Times New Roman"/>
                      <w:color w:val="auto"/>
                      <w:sz w:val="21"/>
                      <w:szCs w:val="21"/>
                      <w:highlight w:val="none"/>
                    </w:rPr>
                    <w:t>，不在京杭大运河沿岸两侧1公里范围，且项目为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hint="eastAsia"/>
                      <w:color w:val="auto"/>
                      <w:sz w:val="21"/>
                      <w:szCs w:val="21"/>
                      <w:highlight w:val="none"/>
                    </w:rPr>
                    <w:t>，</w:t>
                  </w:r>
                  <w:r>
                    <w:rPr>
                      <w:rFonts w:ascii="Times New Roman" w:hAnsi="Times New Roman" w:eastAsia="新宋体" w:cs="Times New Roman"/>
                      <w:color w:val="auto"/>
                      <w:sz w:val="21"/>
                      <w:szCs w:val="21"/>
                      <w:highlight w:val="none"/>
                    </w:rPr>
                    <w:t>不属于化工企业</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621883B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6FE1DE53">
              <w:trPr>
                <w:jc w:val="center"/>
              </w:trPr>
              <w:tc>
                <w:tcPr>
                  <w:tcW w:w="266" w:type="pct"/>
                  <w:vMerge w:val="continue"/>
                  <w:tcBorders>
                    <w:tl2br w:val="nil"/>
                    <w:tr2bl w:val="nil"/>
                  </w:tcBorders>
                  <w:vAlign w:val="center"/>
                </w:tcPr>
                <w:p w14:paraId="03079C60">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4C6AEBCB">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供地和污染物排放总量的情况下可以实施产业政策鼓励类、允许类的技术改造项目。</w:t>
                  </w:r>
                </w:p>
              </w:tc>
              <w:tc>
                <w:tcPr>
                  <w:tcW w:w="2007" w:type="pct"/>
                  <w:tcBorders>
                    <w:tl2br w:val="nil"/>
                    <w:tr2bl w:val="nil"/>
                  </w:tcBorders>
                  <w:vAlign w:val="center"/>
                </w:tcPr>
                <w:p w14:paraId="48D62E76">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cs="Times New Roman" w:eastAsiaTheme="minorEastAsia"/>
                      <w:color w:val="auto"/>
                      <w:sz w:val="21"/>
                      <w:szCs w:val="21"/>
                      <w:highlight w:val="none"/>
                      <w:lang w:eastAsia="zh-CN"/>
                    </w:rPr>
                  </w:pPr>
                  <w:r>
                    <w:rPr>
                      <w:rFonts w:ascii="Times New Roman" w:hAnsi="Times New Roman" w:eastAsia="新宋体" w:cs="Times New Roman"/>
                      <w:color w:val="auto"/>
                      <w:sz w:val="21"/>
                      <w:szCs w:val="21"/>
                      <w:highlight w:val="none"/>
                    </w:rPr>
                    <w:t>项目不属于化工企业，且项目位于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hint="eastAsia"/>
                      <w:color w:val="auto"/>
                      <w:sz w:val="21"/>
                      <w:szCs w:val="21"/>
                      <w:highlight w:val="none"/>
                      <w:lang w:eastAsia="zh-CN"/>
                    </w:rPr>
                    <w:t>。</w:t>
                  </w:r>
                </w:p>
              </w:tc>
              <w:tc>
                <w:tcPr>
                  <w:tcW w:w="267" w:type="pct"/>
                  <w:tcBorders>
                    <w:tl2br w:val="nil"/>
                    <w:tr2bl w:val="nil"/>
                  </w:tcBorders>
                  <w:vAlign w:val="center"/>
                </w:tcPr>
                <w:p w14:paraId="18BFBE1A">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4C2BA898">
              <w:trPr>
                <w:jc w:val="center"/>
              </w:trPr>
              <w:tc>
                <w:tcPr>
                  <w:tcW w:w="266" w:type="pct"/>
                  <w:vMerge w:val="restart"/>
                  <w:tcBorders>
                    <w:tl2br w:val="nil"/>
                    <w:tr2bl w:val="nil"/>
                  </w:tcBorders>
                  <w:vAlign w:val="center"/>
                </w:tcPr>
                <w:p w14:paraId="53F03C89">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污染物排放管控</w:t>
                  </w:r>
                </w:p>
              </w:tc>
              <w:tc>
                <w:tcPr>
                  <w:tcW w:w="2459" w:type="pct"/>
                  <w:tcBorders>
                    <w:tl2br w:val="nil"/>
                    <w:tr2bl w:val="nil"/>
                  </w:tcBorders>
                  <w:vAlign w:val="center"/>
                </w:tcPr>
                <w:p w14:paraId="4CA761B9">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tc>
              <w:tc>
                <w:tcPr>
                  <w:tcW w:w="2007" w:type="pct"/>
                  <w:tcBorders>
                    <w:tl2br w:val="nil"/>
                    <w:tr2bl w:val="nil"/>
                  </w:tcBorders>
                  <w:vAlign w:val="center"/>
                </w:tcPr>
                <w:p w14:paraId="7BF317E8">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根据</w:t>
                  </w:r>
                  <w:r>
                    <w:rPr>
                      <w:rFonts w:ascii="Times New Roman" w:hAnsi="Times New Roman" w:eastAsia="新宋体" w:cs="Times New Roman"/>
                      <w:color w:val="auto"/>
                      <w:sz w:val="21"/>
                      <w:szCs w:val="21"/>
                      <w:highlight w:val="none"/>
                      <w:lang w:val="zh-CN"/>
                    </w:rPr>
                    <w:t>《</w:t>
                  </w:r>
                  <w:r>
                    <w:rPr>
                      <w:rFonts w:ascii="Times New Roman" w:hAnsi="Times New Roman" w:eastAsia="新宋体" w:cs="Times New Roman"/>
                      <w:color w:val="auto"/>
                      <w:sz w:val="21"/>
                      <w:szCs w:val="21"/>
                      <w:highlight w:val="none"/>
                    </w:rPr>
                    <w:t>建设项目主要污染物排放总量指标审核及管理暂行办法</w:t>
                  </w:r>
                  <w:r>
                    <w:rPr>
                      <w:rFonts w:ascii="Times New Roman" w:hAnsi="Times New Roman" w:eastAsia="新宋体" w:cs="Times New Roman"/>
                      <w:color w:val="auto"/>
                      <w:sz w:val="21"/>
                      <w:szCs w:val="21"/>
                      <w:highlight w:val="none"/>
                      <w:lang w:val="zh-CN"/>
                    </w:rPr>
                    <w:t>》（</w:t>
                  </w:r>
                  <w:r>
                    <w:rPr>
                      <w:rFonts w:ascii="Times New Roman" w:hAnsi="Times New Roman" w:eastAsia="新宋体" w:cs="Times New Roman"/>
                      <w:color w:val="auto"/>
                      <w:sz w:val="21"/>
                      <w:szCs w:val="21"/>
                      <w:highlight w:val="none"/>
                    </w:rPr>
                    <w:t>环发</w:t>
                  </w:r>
                  <w:r>
                    <w:rPr>
                      <w:rFonts w:hint="eastAsia" w:ascii="Times New Roman" w:hAnsi="Times New Roman" w:eastAsia="新宋体" w:cs="Times New Roman"/>
                      <w:color w:val="auto"/>
                      <w:sz w:val="21"/>
                      <w:szCs w:val="21"/>
                      <w:highlight w:val="none"/>
                      <w:lang w:eastAsia="zh-CN"/>
                    </w:rPr>
                    <w:t>〔2014〕197号</w:t>
                  </w:r>
                  <w:r>
                    <w:rPr>
                      <w:rFonts w:ascii="Times New Roman" w:hAnsi="Times New Roman" w:eastAsia="新宋体" w:cs="Times New Roman"/>
                      <w:color w:val="auto"/>
                      <w:sz w:val="21"/>
                      <w:szCs w:val="21"/>
                      <w:highlight w:val="none"/>
                      <w:lang w:val="zh-CN"/>
                    </w:rPr>
                    <w:t>），</w:t>
                  </w:r>
                  <w:r>
                    <w:rPr>
                      <w:rFonts w:ascii="Times New Roman" w:hAnsi="Times New Roman" w:eastAsia="新宋体" w:cs="Times New Roman"/>
                      <w:color w:val="auto"/>
                      <w:sz w:val="21"/>
                      <w:szCs w:val="21"/>
                      <w:highlight w:val="none"/>
                    </w:rPr>
                    <w:t>项目污染物总量由江苏涟水县范围内平衡</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764DC7E6">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相符</w:t>
                  </w:r>
                </w:p>
              </w:tc>
            </w:tr>
            <w:tr w14:paraId="76F99A47">
              <w:trPr>
                <w:jc w:val="center"/>
              </w:trPr>
              <w:tc>
                <w:tcPr>
                  <w:tcW w:w="266" w:type="pct"/>
                  <w:vMerge w:val="continue"/>
                  <w:tcBorders>
                    <w:tl2br w:val="nil"/>
                    <w:tr2bl w:val="nil"/>
                  </w:tcBorders>
                  <w:vAlign w:val="center"/>
                </w:tcPr>
                <w:p w14:paraId="49988AEB">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08F1C1B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新增源排放</w:t>
                  </w:r>
                  <w:r>
                    <w:rPr>
                      <w:rFonts w:hint="eastAsia" w:ascii="Times New Roman" w:hAnsi="Times New Roman" w:eastAsia="新宋体" w:cs="Times New Roman"/>
                      <w:color w:val="auto"/>
                      <w:sz w:val="21"/>
                      <w:szCs w:val="21"/>
                      <w:highlight w:val="none"/>
                      <w:lang w:eastAsia="zh-CN"/>
                    </w:rPr>
                    <w:t>标准限值</w:t>
                  </w:r>
                  <w:r>
                    <w:rPr>
                      <w:rFonts w:ascii="Times New Roman" w:hAnsi="Times New Roman" w:eastAsia="新宋体" w:cs="Times New Roman"/>
                      <w:color w:val="auto"/>
                      <w:sz w:val="21"/>
                      <w:szCs w:val="21"/>
                      <w:highlight w:val="none"/>
                    </w:rPr>
                    <w:t>：根据《淮安市打赢蓝天保卫战三年行动计划实施方案》（淮政发〔2018〕113号），全市范围内二氧化硫、氮氧化物、颗粒物、VOCs全面执行大气污染物特别排放限值。</w:t>
                  </w:r>
                </w:p>
              </w:tc>
              <w:tc>
                <w:tcPr>
                  <w:tcW w:w="2007" w:type="pct"/>
                  <w:tcBorders>
                    <w:tl2br w:val="nil"/>
                    <w:tr2bl w:val="nil"/>
                  </w:tcBorders>
                  <w:vAlign w:val="center"/>
                </w:tcPr>
                <w:p w14:paraId="45D48913">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项目排放污染物主要为</w:t>
                  </w:r>
                  <w:r>
                    <w:rPr>
                      <w:rFonts w:hint="eastAsia" w:ascii="Times New Roman" w:hAnsi="Times New Roman" w:eastAsia="新宋体" w:cs="Times New Roman"/>
                      <w:color w:val="auto"/>
                      <w:sz w:val="21"/>
                      <w:szCs w:val="21"/>
                      <w:highlight w:val="none"/>
                    </w:rPr>
                    <w:t>颗粒物、</w:t>
                  </w:r>
                  <w:r>
                    <w:rPr>
                      <w:rFonts w:ascii="Times New Roman" w:hAnsi="Times New Roman" w:eastAsia="新宋体" w:cs="Times New Roman"/>
                      <w:color w:val="auto"/>
                      <w:sz w:val="21"/>
                      <w:szCs w:val="21"/>
                      <w:highlight w:val="none"/>
                    </w:rPr>
                    <w:t>NMHC，</w:t>
                  </w:r>
                  <w:r>
                    <w:rPr>
                      <w:rFonts w:hint="default" w:ascii="Times New Roman" w:hAnsi="Times New Roman" w:cs="Times New Roman"/>
                      <w:color w:val="auto"/>
                      <w:sz w:val="21"/>
                      <w:szCs w:val="21"/>
                      <w:highlight w:val="none"/>
                    </w:rPr>
                    <w:t>项</w:t>
                  </w:r>
                  <w:r>
                    <w:rPr>
                      <w:rFonts w:hint="default" w:ascii="Times New Roman" w:hAnsi="Times New Roman" w:eastAsia="新宋体" w:cs="Times New Roman"/>
                      <w:color w:val="auto"/>
                      <w:sz w:val="21"/>
                      <w:szCs w:val="21"/>
                      <w:highlight w:val="none"/>
                    </w:rPr>
                    <w:t>目</w:t>
                  </w:r>
                  <w:r>
                    <w:rPr>
                      <w:rFonts w:hint="eastAsia" w:ascii="Times New Roman" w:hAnsi="Times New Roman" w:eastAsia="新宋体" w:cs="Times New Roman"/>
                      <w:color w:val="auto"/>
                      <w:sz w:val="21"/>
                      <w:szCs w:val="21"/>
                      <w:highlight w:val="none"/>
                      <w:lang w:val="en-US" w:eastAsia="zh-CN"/>
                    </w:rPr>
                    <w:t>下料</w:t>
                  </w:r>
                  <w:r>
                    <w:rPr>
                      <w:rFonts w:hint="default" w:ascii="Times New Roman" w:hAnsi="Times New Roman" w:eastAsia="新宋体" w:cs="Times New Roman"/>
                      <w:color w:val="auto"/>
                      <w:sz w:val="21"/>
                      <w:szCs w:val="21"/>
                      <w:highlight w:val="none"/>
                    </w:rPr>
                    <w:t>、</w:t>
                  </w:r>
                  <w:r>
                    <w:rPr>
                      <w:rFonts w:hint="default" w:ascii="Times New Roman" w:hAnsi="Times New Roman" w:cs="Times New Roman"/>
                      <w:color w:val="auto"/>
                      <w:sz w:val="21"/>
                      <w:szCs w:val="21"/>
                      <w:highlight w:val="none"/>
                    </w:rPr>
                    <w:t>打磨、焊接工序产生的颗粒物执行江苏省《大气污染物综合排放标准》（DB32/4041-2021）表3单位边界大气污染物排放监控浓度限值；喷漆、</w:t>
                  </w:r>
                  <w:r>
                    <w:rPr>
                      <w:rFonts w:hint="default" w:ascii="Times New Roman" w:hAnsi="Times New Roman" w:cs="Times New Roman"/>
                      <w:color w:val="auto"/>
                      <w:sz w:val="21"/>
                      <w:szCs w:val="21"/>
                      <w:highlight w:val="none"/>
                      <w:lang w:val="en-US" w:eastAsia="zh-CN"/>
                    </w:rPr>
                    <w:t>烘干</w:t>
                  </w:r>
                  <w:r>
                    <w:rPr>
                      <w:rFonts w:hint="default" w:ascii="Times New Roman" w:hAnsi="Times New Roman" w:cs="Times New Roman"/>
                      <w:color w:val="auto"/>
                      <w:sz w:val="21"/>
                      <w:szCs w:val="21"/>
                      <w:highlight w:val="none"/>
                    </w:rPr>
                    <w:t>、喷塑、固化工序产生的颗粒物、NMHC执行</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 w:val="21"/>
                      <w:szCs w:val="21"/>
                      <w:highlight w:val="none"/>
                    </w:rPr>
                    <w:t>表1大气污染物排放限值及《大气污染物综合排放标准》（DB32/4041-2021）表3单位边界大气污染物排放监控浓度限值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厂区内NMHC无组织排放执行</w:t>
                  </w: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厂区内VOCs无组织排放限值。</w:t>
                  </w:r>
                </w:p>
              </w:tc>
              <w:tc>
                <w:tcPr>
                  <w:tcW w:w="267" w:type="pct"/>
                  <w:tcBorders>
                    <w:tl2br w:val="nil"/>
                    <w:tr2bl w:val="nil"/>
                  </w:tcBorders>
                  <w:vAlign w:val="center"/>
                </w:tcPr>
                <w:p w14:paraId="0A9A8244">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smallCaps/>
                      <w:color w:val="auto"/>
                      <w:sz w:val="21"/>
                      <w:szCs w:val="21"/>
                      <w:highlight w:val="none"/>
                    </w:rPr>
                    <w:t>相符</w:t>
                  </w:r>
                </w:p>
              </w:tc>
            </w:tr>
            <w:tr w14:paraId="5CA82C75">
              <w:trPr>
                <w:trHeight w:val="4327" w:hRule="atLeast"/>
                <w:jc w:val="center"/>
              </w:trPr>
              <w:tc>
                <w:tcPr>
                  <w:tcW w:w="266" w:type="pct"/>
                  <w:vMerge w:val="restart"/>
                  <w:tcBorders>
                    <w:tl2br w:val="nil"/>
                    <w:tr2bl w:val="nil"/>
                  </w:tcBorders>
                  <w:vAlign w:val="center"/>
                </w:tcPr>
                <w:p w14:paraId="0B81D55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环境风险防控</w:t>
                  </w:r>
                </w:p>
              </w:tc>
              <w:tc>
                <w:tcPr>
                  <w:tcW w:w="2459" w:type="pct"/>
                  <w:tcBorders>
                    <w:tl2br w:val="nil"/>
                    <w:tr2bl w:val="nil"/>
                  </w:tcBorders>
                  <w:vAlign w:val="center"/>
                </w:tcPr>
                <w:p w14:paraId="780C23A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2007" w:type="pct"/>
                  <w:tcBorders>
                    <w:tl2br w:val="nil"/>
                    <w:tr2bl w:val="nil"/>
                  </w:tcBorders>
                  <w:vAlign w:val="center"/>
                </w:tcPr>
                <w:p w14:paraId="1BAB427D">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ascii="Times New Roman" w:hAnsi="Times New Roman" w:eastAsia="新宋体" w:cs="Times New Roman"/>
                      <w:color w:val="auto"/>
                      <w:sz w:val="21"/>
                      <w:szCs w:val="21"/>
                      <w:highlight w:val="none"/>
                    </w:rPr>
                    <w:t>，不属于重点污染企业，项目建成后应尽快落实环境风险评价制度，同时配备相应的应急物资和装备，并严格执行环境风险防范制度</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469D8F7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3F330BF8">
              <w:trPr>
                <w:jc w:val="center"/>
              </w:trPr>
              <w:tc>
                <w:tcPr>
                  <w:tcW w:w="266" w:type="pct"/>
                  <w:vMerge w:val="restart"/>
                  <w:tcBorders>
                    <w:tl2br w:val="nil"/>
                    <w:tr2bl w:val="nil"/>
                  </w:tcBorders>
                  <w:vAlign w:val="center"/>
                </w:tcPr>
                <w:p w14:paraId="71421B15">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资源利用效率要求</w:t>
                  </w:r>
                </w:p>
              </w:tc>
              <w:tc>
                <w:tcPr>
                  <w:tcW w:w="2459" w:type="pct"/>
                  <w:tcBorders>
                    <w:tl2br w:val="nil"/>
                    <w:tr2bl w:val="nil"/>
                  </w:tcBorders>
                  <w:vAlign w:val="center"/>
                </w:tcPr>
                <w:p w14:paraId="569F8AF2">
                  <w:pPr>
                    <w:pStyle w:val="81"/>
                    <w:keepNext w:val="0"/>
                    <w:keepLines w:val="0"/>
                    <w:suppressLineNumbers w:val="0"/>
                    <w:adjustRightInd w:val="0"/>
                    <w:snapToGrid w:val="0"/>
                    <w:spacing w:before="0" w:beforeAutospacing="0" w:after="0" w:afterAutospacing="0"/>
                    <w:ind w:left="0" w:right="0"/>
                    <w:rPr>
                      <w:rFonts w:ascii="Times New Roman" w:hAnsi="Times New Roman" w:eastAsia="新宋体" w:cs="Times New Roman"/>
                      <w:color w:val="auto"/>
                      <w:sz w:val="21"/>
                      <w:szCs w:val="21"/>
                      <w:highlight w:val="none"/>
                    </w:rPr>
                  </w:pPr>
                  <w:bookmarkStart w:id="20" w:name="_Toc27154"/>
                  <w:bookmarkStart w:id="21" w:name="_Toc5840"/>
                  <w:r>
                    <w:rPr>
                      <w:rFonts w:ascii="Times New Roman" w:hAnsi="Times New Roman" w:eastAsia="新宋体" w:cs="Times New Roman"/>
                      <w:color w:val="auto"/>
                      <w:sz w:val="21"/>
                      <w:szCs w:val="21"/>
                      <w:highlight w:val="none"/>
                    </w:rPr>
                    <w:t>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w:t>
                  </w:r>
                  <w:bookmarkEnd w:id="20"/>
                  <w:bookmarkEnd w:id="21"/>
                </w:p>
              </w:tc>
              <w:tc>
                <w:tcPr>
                  <w:tcW w:w="2007" w:type="pct"/>
                  <w:tcBorders>
                    <w:tl2br w:val="nil"/>
                    <w:tr2bl w:val="nil"/>
                  </w:tcBorders>
                  <w:vAlign w:val="center"/>
                </w:tcPr>
                <w:p w14:paraId="40A9DF71">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对照《“十四五”节水型社会建设规划》</w:t>
                  </w:r>
                  <w:r>
                    <w:rPr>
                      <w:rFonts w:hint="eastAsia" w:ascii="Times New Roman" w:hAnsi="Times New Roman" w:eastAsia="新宋体" w:cs="Times New Roman"/>
                      <w:color w:val="auto"/>
                      <w:sz w:val="21"/>
                      <w:szCs w:val="21"/>
                      <w:highlight w:val="none"/>
                      <w:lang w:eastAsia="zh-CN"/>
                    </w:rPr>
                    <w:t>，</w:t>
                  </w:r>
                  <w:r>
                    <w:rPr>
                      <w:rFonts w:ascii="Times New Roman" w:hAnsi="Times New Roman" w:eastAsia="新宋体" w:cs="Times New Roman"/>
                      <w:color w:val="auto"/>
                      <w:sz w:val="21"/>
                      <w:szCs w:val="21"/>
                      <w:highlight w:val="none"/>
                    </w:rPr>
                    <w:t>项目不属于高耗水行业</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50B947BC">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7B88C371">
              <w:trPr>
                <w:jc w:val="center"/>
              </w:trPr>
              <w:tc>
                <w:tcPr>
                  <w:tcW w:w="266" w:type="pct"/>
                  <w:vMerge w:val="continue"/>
                  <w:tcBorders>
                    <w:tl2br w:val="nil"/>
                    <w:tr2bl w:val="nil"/>
                  </w:tcBorders>
                  <w:vAlign w:val="center"/>
                </w:tcPr>
                <w:p w14:paraId="1F14CAD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308D0714">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地下水开采要求：根据《淮安市“两减六治三提升”专项行动方案》（淮发〔2017〕26号），到2020年，淮安市地下水超采区全面达到用水总量控制和水位红线控制要求，累计压缩地下水开采量3952.3万立方米。</w:t>
                  </w:r>
                </w:p>
              </w:tc>
              <w:tc>
                <w:tcPr>
                  <w:tcW w:w="2007" w:type="pct"/>
                  <w:tcBorders>
                    <w:tl2br w:val="nil"/>
                    <w:tr2bl w:val="nil"/>
                  </w:tcBorders>
                  <w:vAlign w:val="center"/>
                </w:tcPr>
                <w:p w14:paraId="7B59EDF2">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smallCaps/>
                      <w:color w:val="auto"/>
                      <w:sz w:val="21"/>
                      <w:szCs w:val="21"/>
                      <w:highlight w:val="none"/>
                      <w:lang w:eastAsia="zh-CN"/>
                    </w:rPr>
                  </w:pPr>
                  <w:r>
                    <w:rPr>
                      <w:rFonts w:ascii="Times New Roman" w:hAnsi="Times New Roman" w:eastAsia="新宋体" w:cs="Times New Roman"/>
                      <w:smallCaps/>
                      <w:color w:val="auto"/>
                      <w:sz w:val="21"/>
                      <w:szCs w:val="21"/>
                      <w:highlight w:val="none"/>
                    </w:rPr>
                    <w:t>本项目不涉及开采地下水</w:t>
                  </w:r>
                  <w:r>
                    <w:rPr>
                      <w:rFonts w:hint="eastAsia" w:ascii="Times New Roman" w:hAnsi="Times New Roman" w:eastAsia="新宋体" w:cs="Times New Roman"/>
                      <w:smallCaps/>
                      <w:color w:val="auto"/>
                      <w:sz w:val="21"/>
                      <w:szCs w:val="21"/>
                      <w:highlight w:val="none"/>
                      <w:lang w:eastAsia="zh-CN"/>
                    </w:rPr>
                    <w:t>。</w:t>
                  </w:r>
                </w:p>
              </w:tc>
              <w:tc>
                <w:tcPr>
                  <w:tcW w:w="267" w:type="pct"/>
                  <w:tcBorders>
                    <w:tl2br w:val="nil"/>
                    <w:tr2bl w:val="nil"/>
                  </w:tcBorders>
                  <w:vAlign w:val="center"/>
                </w:tcPr>
                <w:p w14:paraId="630F1C23">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7B1632B2">
              <w:trPr>
                <w:jc w:val="center"/>
              </w:trPr>
              <w:tc>
                <w:tcPr>
                  <w:tcW w:w="266" w:type="pct"/>
                  <w:vMerge w:val="continue"/>
                  <w:tcBorders>
                    <w:tl2br w:val="nil"/>
                    <w:tr2bl w:val="nil"/>
                  </w:tcBorders>
                  <w:vAlign w:val="center"/>
                </w:tcPr>
                <w:p w14:paraId="31702F1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653B7DD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土地资源利用总量及效率要求：根据《淮安市土地利用总体规划（2006</w:t>
                  </w:r>
                  <w:r>
                    <w:rPr>
                      <w:rFonts w:hint="eastAsia" w:ascii="Times New Roman" w:hAnsi="Times New Roman" w:eastAsia="新宋体" w:cs="Times New Roman"/>
                      <w:color w:val="auto"/>
                      <w:sz w:val="21"/>
                      <w:szCs w:val="21"/>
                      <w:highlight w:val="none"/>
                      <w:lang w:eastAsia="zh-CN"/>
                    </w:rPr>
                    <w:t>—</w:t>
                  </w:r>
                  <w:r>
                    <w:rPr>
                      <w:rFonts w:ascii="Times New Roman" w:hAnsi="Times New Roman" w:eastAsia="新宋体" w:cs="Times New Roman"/>
                      <w:color w:val="auto"/>
                      <w:sz w:val="21"/>
                      <w:szCs w:val="21"/>
                      <w:highlight w:val="none"/>
                    </w:rPr>
                    <w:t>2020年）调整方案》，到2020年，淮安市耕地保有量不得低于47.6027万公顷，永久基本农田保护面积不低于39.4699万公顷，开发强度不得高于18%。</w:t>
                  </w:r>
                </w:p>
              </w:tc>
              <w:tc>
                <w:tcPr>
                  <w:tcW w:w="2007" w:type="pct"/>
                  <w:tcBorders>
                    <w:tl2br w:val="nil"/>
                    <w:tr2bl w:val="nil"/>
                  </w:tcBorders>
                  <w:vAlign w:val="center"/>
                </w:tcPr>
                <w:p w14:paraId="3769D741">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cs="Times New Roman" w:eastAsiaTheme="minorEastAsia"/>
                      <w:color w:val="auto"/>
                      <w:sz w:val="21"/>
                      <w:szCs w:val="21"/>
                      <w:highlight w:val="none"/>
                      <w:lang w:eastAsia="zh-CN"/>
                    </w:rPr>
                  </w:pPr>
                  <w:r>
                    <w:rPr>
                      <w:rFonts w:ascii="Times New Roman" w:hAnsi="Times New Roman" w:eastAsia="新宋体" w:cs="Times New Roman"/>
                      <w:color w:val="auto"/>
                      <w:sz w:val="21"/>
                      <w:szCs w:val="21"/>
                      <w:highlight w:val="none"/>
                    </w:rPr>
                    <w:t>本项目不涉及基本农田，项目位于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hint="eastAsia"/>
                      <w:color w:val="auto"/>
                      <w:sz w:val="21"/>
                      <w:szCs w:val="21"/>
                      <w:highlight w:val="none"/>
                      <w:lang w:eastAsia="zh-CN"/>
                    </w:rPr>
                    <w:t>。</w:t>
                  </w:r>
                </w:p>
              </w:tc>
              <w:tc>
                <w:tcPr>
                  <w:tcW w:w="267" w:type="pct"/>
                  <w:tcBorders>
                    <w:tl2br w:val="nil"/>
                    <w:tr2bl w:val="nil"/>
                  </w:tcBorders>
                  <w:vAlign w:val="center"/>
                </w:tcPr>
                <w:p w14:paraId="5C02966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57C07750">
              <w:trPr>
                <w:jc w:val="center"/>
              </w:trPr>
              <w:tc>
                <w:tcPr>
                  <w:tcW w:w="266" w:type="pct"/>
                  <w:vMerge w:val="continue"/>
                  <w:tcBorders>
                    <w:tl2br w:val="nil"/>
                    <w:tr2bl w:val="nil"/>
                  </w:tcBorders>
                  <w:vAlign w:val="center"/>
                </w:tcPr>
                <w:p w14:paraId="23C9DA0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0EBCB6D8">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禁燃区要求：根据《江苏省大气污染防治条例》，禁燃区禁止新建、扩建燃用高污染燃料的项目和设施，已建成的应逐步或依法限期改用天然气、电或者其他清洁能源。</w:t>
                  </w:r>
                </w:p>
              </w:tc>
              <w:tc>
                <w:tcPr>
                  <w:tcW w:w="2007" w:type="pct"/>
                  <w:tcBorders>
                    <w:tl2br w:val="nil"/>
                    <w:tr2bl w:val="nil"/>
                  </w:tcBorders>
                  <w:vAlign w:val="center"/>
                </w:tcPr>
                <w:p w14:paraId="6A11BB97">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本项目不涉及高污染燃料</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569837B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28E26CFA">
              <w:trPr>
                <w:jc w:val="center"/>
              </w:trPr>
              <w:tc>
                <w:tcPr>
                  <w:tcW w:w="266" w:type="pct"/>
                  <w:vMerge w:val="continue"/>
                  <w:tcBorders>
                    <w:tl2br w:val="nil"/>
                    <w:tr2bl w:val="nil"/>
                  </w:tcBorders>
                  <w:vAlign w:val="center"/>
                </w:tcPr>
                <w:p w14:paraId="5153717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459" w:type="pct"/>
                  <w:tcBorders>
                    <w:tl2br w:val="nil"/>
                    <w:tr2bl w:val="nil"/>
                  </w:tcBorders>
                  <w:vAlign w:val="center"/>
                </w:tcPr>
                <w:p w14:paraId="3AEBECC8">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能耗要求：根据《淮安市打赢蓝天保卫战三年行动计划实施方案》（淮政发〔2018〕113号），新建高耗能项目单位产品（产值）能耗要达到国际先进水平。</w:t>
                  </w:r>
                </w:p>
              </w:tc>
              <w:tc>
                <w:tcPr>
                  <w:tcW w:w="2007" w:type="pct"/>
                  <w:tcBorders>
                    <w:tl2br w:val="nil"/>
                    <w:tr2bl w:val="nil"/>
                  </w:tcBorders>
                  <w:vAlign w:val="center"/>
                </w:tcPr>
                <w:p w14:paraId="6986418D">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ascii="Times New Roman" w:hAnsi="Times New Roman" w:eastAsia="新宋体" w:cs="Times New Roman"/>
                      <w:color w:val="auto"/>
                      <w:sz w:val="21"/>
                      <w:szCs w:val="21"/>
                      <w:highlight w:val="none"/>
                    </w:rPr>
                    <w:t>，不属于高耗能项目</w:t>
                  </w:r>
                  <w:r>
                    <w:rPr>
                      <w:rFonts w:hint="eastAsia" w:ascii="Times New Roman" w:hAnsi="Times New Roman" w:eastAsia="新宋体" w:cs="Times New Roman"/>
                      <w:color w:val="auto"/>
                      <w:sz w:val="21"/>
                      <w:szCs w:val="21"/>
                      <w:highlight w:val="none"/>
                      <w:lang w:eastAsia="zh-CN"/>
                    </w:rPr>
                    <w:t>。</w:t>
                  </w:r>
                </w:p>
              </w:tc>
              <w:tc>
                <w:tcPr>
                  <w:tcW w:w="267" w:type="pct"/>
                  <w:tcBorders>
                    <w:tl2br w:val="nil"/>
                    <w:tr2bl w:val="nil"/>
                  </w:tcBorders>
                  <w:vAlign w:val="center"/>
                </w:tcPr>
                <w:p w14:paraId="7A79F58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bl>
          <w:p w14:paraId="247059C2">
            <w:pPr>
              <w:keepNext w:val="0"/>
              <w:keepLines w:val="0"/>
              <w:suppressLineNumbers w:val="0"/>
              <w:adjustRightIn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经分析，项目与《关于印发淮安市</w:t>
            </w:r>
            <w:r>
              <w:rPr>
                <w:color w:val="auto"/>
                <w:sz w:val="24"/>
                <w:highlight w:val="none"/>
              </w:rPr>
              <w:t>“</w:t>
            </w:r>
            <w:r>
              <w:rPr>
                <w:rFonts w:hAnsi="宋体"/>
                <w:color w:val="auto"/>
                <w:sz w:val="24"/>
                <w:highlight w:val="none"/>
              </w:rPr>
              <w:t>三线一单</w:t>
            </w:r>
            <w:r>
              <w:rPr>
                <w:color w:val="auto"/>
                <w:sz w:val="24"/>
                <w:highlight w:val="none"/>
              </w:rPr>
              <w:t>”</w:t>
            </w:r>
            <w:r>
              <w:rPr>
                <w:rFonts w:hAnsi="宋体"/>
                <w:color w:val="auto"/>
                <w:sz w:val="24"/>
                <w:highlight w:val="none"/>
              </w:rPr>
              <w:t>生态环境分区管控方案的通知》（</w:t>
            </w:r>
            <w:r>
              <w:rPr>
                <w:color w:val="auto"/>
                <w:sz w:val="24"/>
                <w:highlight w:val="none"/>
              </w:rPr>
              <w:t>淮政发〔2020〕16号</w:t>
            </w:r>
            <w:r>
              <w:rPr>
                <w:rFonts w:hint="eastAsia"/>
                <w:bCs/>
                <w:color w:val="auto"/>
                <w:sz w:val="24"/>
                <w:highlight w:val="none"/>
              </w:rPr>
              <w:t>及其修改单（淮政办函</w:t>
            </w:r>
            <w:r>
              <w:rPr>
                <w:rFonts w:hint="eastAsia"/>
                <w:bCs/>
                <w:color w:val="auto"/>
                <w:sz w:val="24"/>
                <w:highlight w:val="none"/>
                <w:lang w:eastAsia="zh-CN"/>
              </w:rPr>
              <w:t>〔2022〕5号）</w:t>
            </w:r>
            <w:r>
              <w:rPr>
                <w:rFonts w:hAnsi="宋体"/>
                <w:color w:val="auto"/>
                <w:sz w:val="24"/>
                <w:highlight w:val="none"/>
              </w:rPr>
              <w:t>相符。</w:t>
            </w:r>
          </w:p>
          <w:p w14:paraId="7E65E71E">
            <w:pPr>
              <w:keepNext w:val="0"/>
              <w:keepLines w:val="0"/>
              <w:suppressLineNumbers w:val="0"/>
              <w:adjustRightInd w:val="0"/>
              <w:snapToGrid w:val="0"/>
              <w:spacing w:before="0" w:beforeLines="50" w:beforeAutospacing="0" w:after="0" w:afterAutospacing="0" w:line="360" w:lineRule="auto"/>
              <w:ind w:left="0" w:right="0" w:firstLine="434" w:firstLineChars="180"/>
              <w:rPr>
                <w:b/>
                <w:color w:val="auto"/>
                <w:sz w:val="24"/>
                <w:highlight w:val="none"/>
              </w:rPr>
            </w:pPr>
            <w:r>
              <w:rPr>
                <w:rFonts w:hint="eastAsia" w:ascii="宋体" w:hAnsi="宋体" w:eastAsia="宋体" w:cs="宋体"/>
                <w:b/>
                <w:color w:val="auto"/>
                <w:sz w:val="24"/>
                <w:highlight w:val="none"/>
              </w:rPr>
              <w:t>⑤</w:t>
            </w:r>
            <w:r>
              <w:rPr>
                <w:b/>
                <w:color w:val="auto"/>
                <w:sz w:val="24"/>
                <w:highlight w:val="none"/>
              </w:rPr>
              <w:t>项目与《</w:t>
            </w:r>
            <w:r>
              <w:rPr>
                <w:rFonts w:hint="eastAsia"/>
                <w:b/>
                <w:color w:val="auto"/>
                <w:sz w:val="24"/>
                <w:highlight w:val="none"/>
              </w:rPr>
              <w:t>江苏省2023年度生态环境分区管控动态更新成果公告</w:t>
            </w:r>
            <w:r>
              <w:rPr>
                <w:b/>
                <w:color w:val="auto"/>
                <w:sz w:val="24"/>
                <w:highlight w:val="none"/>
              </w:rPr>
              <w:t>》相符性分析</w:t>
            </w:r>
          </w:p>
          <w:p w14:paraId="05CD5EA8">
            <w:pPr>
              <w:keepNext w:val="0"/>
              <w:keepLines w:val="0"/>
              <w:suppressLineNumbers w:val="0"/>
              <w:adjustRightInd w:val="0"/>
              <w:snapToGrid w:val="0"/>
              <w:spacing w:before="0" w:beforeAutospacing="0" w:after="0" w:afterAutospacing="0" w:line="360" w:lineRule="auto"/>
              <w:ind w:left="0" w:right="0" w:firstLine="432" w:firstLineChars="180"/>
              <w:rPr>
                <w:color w:val="auto"/>
                <w:sz w:val="24"/>
                <w:szCs w:val="24"/>
                <w:highlight w:val="none"/>
              </w:rPr>
            </w:pPr>
            <w:r>
              <w:rPr>
                <w:rFonts w:hint="eastAsia"/>
                <w:color w:val="auto"/>
                <w:sz w:val="24"/>
                <w:szCs w:val="24"/>
                <w:highlight w:val="none"/>
              </w:rPr>
              <w:t>本项目位于淮安市</w:t>
            </w:r>
            <w:r>
              <w:rPr>
                <w:rFonts w:hint="eastAsia" w:hAnsi="宋体"/>
                <w:color w:val="auto"/>
                <w:sz w:val="24"/>
                <w:szCs w:val="24"/>
                <w:highlight w:val="none"/>
                <w:lang w:eastAsia="zh-CN"/>
              </w:rPr>
              <w:t>涟水县经济开发区模架产业园北侧、科佳五轴机床东侧</w:t>
            </w:r>
            <w:r>
              <w:rPr>
                <w:rFonts w:hint="eastAsia"/>
                <w:color w:val="auto"/>
                <w:sz w:val="24"/>
                <w:szCs w:val="24"/>
                <w:highlight w:val="none"/>
              </w:rPr>
              <w:t>，</w:t>
            </w:r>
            <w:r>
              <w:rPr>
                <w:rFonts w:ascii="宋体" w:hAnsi="宋体"/>
                <w:color w:val="auto"/>
                <w:sz w:val="24"/>
                <w:szCs w:val="24"/>
                <w:highlight w:val="none"/>
              </w:rPr>
              <w:t>经查询江苏省生态环境分区管控综合服务系统</w:t>
            </w:r>
            <w:r>
              <w:rPr>
                <w:rFonts w:hint="eastAsia" w:ascii="宋体" w:hAnsi="宋体"/>
                <w:color w:val="auto"/>
                <w:sz w:val="24"/>
                <w:szCs w:val="24"/>
                <w:highlight w:val="none"/>
                <w:lang w:eastAsia="zh-CN"/>
              </w:rPr>
              <w:t>，</w:t>
            </w:r>
            <w:r>
              <w:rPr>
                <w:rFonts w:hint="eastAsia" w:ascii="宋体" w:hAnsi="宋体"/>
                <w:color w:val="auto"/>
                <w:sz w:val="24"/>
                <w:szCs w:val="24"/>
                <w:highlight w:val="none"/>
              </w:rPr>
              <w:t>属于</w:t>
            </w:r>
            <w:r>
              <w:rPr>
                <w:rFonts w:hint="eastAsia" w:ascii="宋体" w:hAnsi="宋体" w:cs="宋体"/>
                <w:color w:val="auto"/>
                <w:sz w:val="24"/>
                <w:szCs w:val="24"/>
                <w:highlight w:val="none"/>
              </w:rPr>
              <w:t>涟水县新港电子产业科技园范围内</w:t>
            </w:r>
            <w:r>
              <w:rPr>
                <w:color w:val="auto"/>
                <w:sz w:val="24"/>
                <w:szCs w:val="24"/>
                <w:highlight w:val="none"/>
              </w:rPr>
              <w:t>，属于重点管控单元</w:t>
            </w:r>
            <w:r>
              <w:rPr>
                <w:rFonts w:hint="eastAsia"/>
                <w:color w:val="auto"/>
                <w:sz w:val="24"/>
                <w:szCs w:val="24"/>
                <w:highlight w:val="none"/>
                <w:lang w:val="en-US" w:eastAsia="zh-CN"/>
              </w:rPr>
              <w:t>，</w:t>
            </w:r>
            <w:r>
              <w:rPr>
                <w:color w:val="auto"/>
                <w:sz w:val="24"/>
                <w:szCs w:val="24"/>
                <w:highlight w:val="none"/>
              </w:rPr>
              <w:t>项目与</w:t>
            </w:r>
            <w:r>
              <w:rPr>
                <w:rFonts w:hint="eastAsia"/>
                <w:color w:val="auto"/>
                <w:sz w:val="24"/>
                <w:szCs w:val="24"/>
                <w:highlight w:val="none"/>
              </w:rPr>
              <w:t>《江苏省2023年度生态环境分区管控动态更新成果公告》</w:t>
            </w:r>
            <w:r>
              <w:rPr>
                <w:color w:val="auto"/>
                <w:sz w:val="24"/>
                <w:szCs w:val="24"/>
                <w:highlight w:val="none"/>
              </w:rPr>
              <w:t>相符性分析见表1-</w:t>
            </w:r>
            <w:r>
              <w:rPr>
                <w:rFonts w:hint="eastAsia"/>
                <w:color w:val="auto"/>
                <w:sz w:val="24"/>
                <w:szCs w:val="24"/>
                <w:highlight w:val="none"/>
              </w:rPr>
              <w:t>7</w:t>
            </w:r>
            <w:r>
              <w:rPr>
                <w:color w:val="auto"/>
                <w:sz w:val="24"/>
                <w:szCs w:val="24"/>
                <w:highlight w:val="none"/>
              </w:rPr>
              <w:t>。</w:t>
            </w:r>
          </w:p>
          <w:p w14:paraId="3D4DF11D">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b/>
                <w:color w:val="auto"/>
                <w:sz w:val="24"/>
                <w:highlight w:val="none"/>
              </w:rPr>
              <w:t>表1-</w:t>
            </w:r>
            <w:r>
              <w:rPr>
                <w:rFonts w:hint="eastAsia"/>
                <w:b/>
                <w:color w:val="auto"/>
                <w:sz w:val="24"/>
                <w:highlight w:val="none"/>
              </w:rPr>
              <w:t>7</w:t>
            </w:r>
            <w:r>
              <w:rPr>
                <w:b/>
                <w:color w:val="auto"/>
                <w:sz w:val="24"/>
                <w:highlight w:val="none"/>
              </w:rPr>
              <w:t xml:space="preserve">  项目与</w:t>
            </w:r>
            <w:r>
              <w:rPr>
                <w:rFonts w:hint="eastAsia"/>
                <w:b/>
                <w:color w:val="auto"/>
                <w:sz w:val="24"/>
                <w:highlight w:val="none"/>
              </w:rPr>
              <w:t>江苏省2023年度生态环境分区管控动态更新成果公告</w:t>
            </w:r>
            <w:r>
              <w:rPr>
                <w:b/>
                <w:color w:val="auto"/>
                <w:sz w:val="24"/>
                <w:highlight w:val="none"/>
              </w:rPr>
              <w:t>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661"/>
              <w:gridCol w:w="3329"/>
              <w:gridCol w:w="2185"/>
              <w:gridCol w:w="999"/>
            </w:tblGrid>
            <w:tr w14:paraId="6DA68413">
              <w:trPr>
                <w:trHeight w:val="340" w:hRule="atLeast"/>
                <w:jc w:val="center"/>
              </w:trPr>
              <w:tc>
                <w:tcPr>
                  <w:tcW w:w="461" w:type="pct"/>
                  <w:vAlign w:val="center"/>
                </w:tcPr>
                <w:p w14:paraId="73D859EF">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类型</w:t>
                  </w:r>
                </w:p>
              </w:tc>
              <w:tc>
                <w:tcPr>
                  <w:tcW w:w="2320" w:type="pct"/>
                  <w:vAlign w:val="center"/>
                </w:tcPr>
                <w:p w14:paraId="5436E592">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重点管控要求</w:t>
                  </w:r>
                </w:p>
              </w:tc>
              <w:tc>
                <w:tcPr>
                  <w:tcW w:w="1523" w:type="pct"/>
                  <w:vAlign w:val="center"/>
                </w:tcPr>
                <w:p w14:paraId="3C07A98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建设项目情况</w:t>
                  </w:r>
                </w:p>
              </w:tc>
              <w:tc>
                <w:tcPr>
                  <w:tcW w:w="696" w:type="pct"/>
                  <w:vAlign w:val="center"/>
                </w:tcPr>
                <w:p w14:paraId="7853CB6B">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相符性分析</w:t>
                  </w:r>
                </w:p>
              </w:tc>
            </w:tr>
            <w:tr w14:paraId="6FC36FD4">
              <w:trPr>
                <w:trHeight w:val="340" w:hRule="atLeast"/>
                <w:jc w:val="center"/>
              </w:trPr>
              <w:tc>
                <w:tcPr>
                  <w:tcW w:w="461" w:type="pct"/>
                  <w:vAlign w:val="center"/>
                </w:tcPr>
                <w:p w14:paraId="3FFDCC8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空间布局约束</w:t>
                  </w:r>
                </w:p>
              </w:tc>
              <w:tc>
                <w:tcPr>
                  <w:tcW w:w="2320" w:type="pct"/>
                  <w:vAlign w:val="center"/>
                </w:tcPr>
                <w:p w14:paraId="30437497">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优先发展：符合涟水新港电子产业科技园规划产业定位（计算机、通信和其他电子设备制造业（代码C39），以智能终端、新型电子元器件、新型电子材料等领域高端应用需求为导向，优先发展计算机制造（代码C391）、智能消费设备制造（代码C396）、电子器件制造（代码C397）、电子元件及电子专用材料制造（代码C398）、其他电子设备制造（代码C399）、互联网和相关服务（代码I64）、软件和信息技术服务业（代码I65）、专业技术服务业（代码I74）、科技推广和应用服务业（代码I75））。</w:t>
                  </w:r>
                </w:p>
                <w:p w14:paraId="4C03BE79">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（2）禁止发展：禁止专业电镀项目；使用高VOCs含量的胶粘剂等项目。</w:t>
                  </w:r>
                </w:p>
              </w:tc>
              <w:tc>
                <w:tcPr>
                  <w:tcW w:w="1523" w:type="pct"/>
                  <w:vAlign w:val="center"/>
                </w:tcPr>
                <w:p w14:paraId="4CAAF254">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本项目</w:t>
                  </w:r>
                  <w:r>
                    <w:rPr>
                      <w:color w:val="auto"/>
                      <w:kern w:val="0"/>
                      <w:szCs w:val="21"/>
                      <w:highlight w:val="none"/>
                    </w:rPr>
                    <w:t>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color w:val="auto"/>
                      <w:szCs w:val="21"/>
                      <w:highlight w:val="none"/>
                    </w:rPr>
                    <w:t>，</w:t>
                  </w:r>
                  <w:r>
                    <w:rPr>
                      <w:rFonts w:hint="eastAsia"/>
                      <w:color w:val="auto"/>
                    </w:rPr>
                    <w:t>不属于园区限制引入和禁止引入的产业，属于允许类产业</w:t>
                  </w:r>
                  <w:r>
                    <w:rPr>
                      <w:rFonts w:hint="eastAsia" w:ascii="宋体" w:hAnsi="宋体"/>
                      <w:bCs/>
                      <w:color w:val="auto"/>
                      <w:highlight w:val="none"/>
                    </w:rPr>
                    <w:t>，</w:t>
                  </w:r>
                  <w:r>
                    <w:rPr>
                      <w:rFonts w:hint="eastAsia" w:ascii="宋体" w:hAnsi="宋体"/>
                      <w:color w:val="auto"/>
                      <w:szCs w:val="21"/>
                      <w:highlight w:val="none"/>
                    </w:rPr>
                    <w:t>不涉及电镀，不使用胶粘剂，不属于禁止发展</w:t>
                  </w:r>
                  <w:r>
                    <w:rPr>
                      <w:color w:val="auto"/>
                      <w:szCs w:val="21"/>
                      <w:highlight w:val="none"/>
                    </w:rPr>
                    <w:t>。</w:t>
                  </w:r>
                </w:p>
              </w:tc>
              <w:tc>
                <w:tcPr>
                  <w:tcW w:w="696" w:type="pct"/>
                  <w:vAlign w:val="center"/>
                </w:tcPr>
                <w:p w14:paraId="79308F7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r w14:paraId="2CCA2602">
              <w:trPr>
                <w:trHeight w:val="340" w:hRule="atLeast"/>
                <w:jc w:val="center"/>
              </w:trPr>
              <w:tc>
                <w:tcPr>
                  <w:tcW w:w="461" w:type="pct"/>
                  <w:vAlign w:val="center"/>
                </w:tcPr>
                <w:p w14:paraId="35E5CD6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污染物排放管控</w:t>
                  </w:r>
                </w:p>
              </w:tc>
              <w:tc>
                <w:tcPr>
                  <w:tcW w:w="2320" w:type="pct"/>
                  <w:vAlign w:val="center"/>
                </w:tcPr>
                <w:p w14:paraId="4C3CDFE0">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（1）大气污染物排放总量：近期二氧化硫0.23吨/年，氮氧化物9.68吨/年，颗粒物21.31吨/年，挥发性有机物29.76吨/年；远期二氧化硫0.38吨/年，氮氧化物13.6吨/年，颗粒物33.83吨/年，挥发性有机物42.22吨/年。</w:t>
                  </w:r>
                </w:p>
                <w:p w14:paraId="524500B3">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2）水污染物排放总量：近期废水量141.99万吨/年，化学需氧量71吨/年，氨氮7.1吨/年，总磷0.05吨/年，总氮19.77吨/年；远期废水量202.27万吨/年，化学需氧量101.14吨/年，氨氮10.11吨/年，总磷0.09吨/年，总氮27.64吨/年。</w:t>
                  </w:r>
                </w:p>
                <w:p w14:paraId="503F8DE8">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（3）固体废物产生量：近期一般工业固废5928.7吨/年，危险废物30335.49吨/年，生活垃圾1200吨/年；远期一般工业固废8211.48吨/年，危险废物41323.97吨/年，生活垃圾2100吨/年。</w:t>
                  </w:r>
                </w:p>
              </w:tc>
              <w:tc>
                <w:tcPr>
                  <w:tcW w:w="1523" w:type="pct"/>
                  <w:vAlign w:val="center"/>
                </w:tcPr>
                <w:p w14:paraId="68D193F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建设项目新增的颗粒物、VOCs</w:t>
                  </w:r>
                  <w:r>
                    <w:rPr>
                      <w:rFonts w:ascii="宋体" w:hAnsi="宋体"/>
                      <w:color w:val="auto"/>
                      <w:szCs w:val="21"/>
                      <w:highlight w:val="none"/>
                    </w:rPr>
                    <w:t>由</w:t>
                  </w:r>
                  <w:r>
                    <w:rPr>
                      <w:rFonts w:hint="eastAsia" w:ascii="宋体" w:hAnsi="宋体"/>
                      <w:color w:val="auto"/>
                      <w:szCs w:val="21"/>
                      <w:highlight w:val="none"/>
                    </w:rPr>
                    <w:t>淮安市涟水生态环境局</w:t>
                  </w:r>
                  <w:r>
                    <w:rPr>
                      <w:rFonts w:ascii="宋体" w:hAnsi="宋体"/>
                      <w:color w:val="auto"/>
                      <w:szCs w:val="21"/>
                      <w:highlight w:val="none"/>
                    </w:rPr>
                    <w:t>从境内企业削减总量中替代平衡。</w:t>
                  </w:r>
                  <w:r>
                    <w:rPr>
                      <w:rFonts w:hint="eastAsia" w:cs="Times New Roman"/>
                      <w:color w:val="auto"/>
                      <w:szCs w:val="21"/>
                      <w:highlight w:val="none"/>
                      <w:lang w:val="en-US" w:eastAsia="zh-CN"/>
                    </w:rPr>
                    <w:t>综合生活污水</w:t>
                  </w:r>
                  <w:r>
                    <w:rPr>
                      <w:rFonts w:hint="eastAsia"/>
                      <w:color w:val="auto"/>
                      <w:lang w:eastAsia="zh-CN"/>
                    </w:rPr>
                    <w:t>不需要进行总量</w:t>
                  </w:r>
                  <w:r>
                    <w:rPr>
                      <w:rFonts w:hint="eastAsia"/>
                      <w:color w:val="auto"/>
                      <w:lang w:val="en-US" w:eastAsia="zh-CN"/>
                    </w:rPr>
                    <w:t>申请</w:t>
                  </w:r>
                  <w:r>
                    <w:rPr>
                      <w:rFonts w:hint="eastAsia"/>
                      <w:color w:val="auto"/>
                      <w:lang w:eastAsia="zh-CN"/>
                    </w:rPr>
                    <w:t>，所需总量在污水处理厂剩余总量中平衡。</w:t>
                  </w:r>
                </w:p>
              </w:tc>
              <w:tc>
                <w:tcPr>
                  <w:tcW w:w="696" w:type="pct"/>
                  <w:vAlign w:val="center"/>
                </w:tcPr>
                <w:p w14:paraId="77C71A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r w14:paraId="3DB66400">
              <w:trPr>
                <w:trHeight w:val="340" w:hRule="atLeast"/>
                <w:jc w:val="center"/>
              </w:trPr>
              <w:tc>
                <w:tcPr>
                  <w:tcW w:w="461" w:type="pct"/>
                  <w:vAlign w:val="center"/>
                </w:tcPr>
                <w:p w14:paraId="710FF5F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环境风险防控</w:t>
                  </w:r>
                </w:p>
              </w:tc>
              <w:tc>
                <w:tcPr>
                  <w:tcW w:w="2320" w:type="pct"/>
                  <w:vAlign w:val="center"/>
                </w:tcPr>
                <w:p w14:paraId="008A43C1">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（1）园区和企业编制环境风险应急预案，对重点风险源编制环境风险评估报告。区内涉重金属企业应完善"单元</w:t>
                  </w:r>
                  <w:r>
                    <w:rPr>
                      <w:rFonts w:hint="eastAsia"/>
                      <w:color w:val="auto"/>
                      <w:szCs w:val="21"/>
                      <w:highlight w:val="none"/>
                      <w:lang w:eastAsia="zh-CN"/>
                    </w:rPr>
                    <w:t>－</w:t>
                  </w:r>
                  <w:r>
                    <w:rPr>
                      <w:rFonts w:hint="eastAsia"/>
                      <w:color w:val="auto"/>
                      <w:szCs w:val="21"/>
                      <w:highlight w:val="none"/>
                    </w:rPr>
                    <w:t>厂区</w:t>
                  </w:r>
                  <w:r>
                    <w:rPr>
                      <w:rFonts w:hint="eastAsia"/>
                      <w:color w:val="auto"/>
                      <w:szCs w:val="21"/>
                      <w:highlight w:val="none"/>
                      <w:lang w:eastAsia="zh-CN"/>
                    </w:rPr>
                    <w:t>－</w:t>
                  </w:r>
                  <w:r>
                    <w:rPr>
                      <w:rFonts w:hint="eastAsia"/>
                      <w:color w:val="auto"/>
                      <w:szCs w:val="21"/>
                      <w:highlight w:val="none"/>
                    </w:rPr>
                    <w:t>开发区"环境风险防控三级措施，按时对应急预案进行更新与备案。</w:t>
                  </w:r>
                </w:p>
                <w:p w14:paraId="63D464DC">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（2）建立有毒有害气体预警体系，建立重点监控区域预警和应急机制，涉及有毒有害气体的企业全部安装毒害气体监控预警装置并与当地生态环境主管部门或园区管理平台联网，加强监控。</w:t>
                  </w:r>
                </w:p>
                <w:p w14:paraId="0CC4010F">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（3）建立突发水污染事件应急防范体系，编制三级防控体系建设方案，建设突发水污染事件三级防控体系建设。</w:t>
                  </w:r>
                </w:p>
                <w:p w14:paraId="1951CFA1">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4）建立突发环境事件隐患排查整改及突发环境事件应急管理长效机制。将园区突发环境事件隐患排查及整改、环境应急物资管理、环境应急演练拉练、环境应急预案备案及修编等工作，纳入园区管理平台进行信息化管理。园区要做好污染防治过程中的安全防范，组织对园区建设的重点环保治理设施和项目开展安全风险评估和隐患排查治理，督促园区内企业对污染防治设施开展安全风险评估和隐患排查治理。</w:t>
                  </w:r>
                </w:p>
                <w:p w14:paraId="216CF986">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5）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p w14:paraId="2A8E37AA">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6）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163F603C">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（7）禁止无法落实危险废物处置途径的项目入园。</w:t>
                  </w:r>
                </w:p>
              </w:tc>
              <w:tc>
                <w:tcPr>
                  <w:tcW w:w="1523" w:type="pct"/>
                  <w:vAlign w:val="center"/>
                </w:tcPr>
                <w:p w14:paraId="49BDF9E8">
                  <w:pPr>
                    <w:keepNext w:val="0"/>
                    <w:keepLines w:val="0"/>
                    <w:suppressLineNumbers w:val="0"/>
                    <w:spacing w:before="0" w:beforeAutospacing="0" w:after="0" w:afterAutospacing="0"/>
                    <w:ind w:left="0" w:right="0"/>
                    <w:rPr>
                      <w:color w:val="auto"/>
                      <w:szCs w:val="21"/>
                      <w:highlight w:val="none"/>
                    </w:rPr>
                  </w:pPr>
                  <w:r>
                    <w:rPr>
                      <w:rFonts w:hint="eastAsia" w:ascii="宋体" w:hAnsi="宋体"/>
                      <w:color w:val="auto"/>
                      <w:szCs w:val="21"/>
                      <w:highlight w:val="none"/>
                    </w:rPr>
                    <w:t>建设项目位于</w:t>
                  </w:r>
                  <w:r>
                    <w:rPr>
                      <w:rFonts w:hint="eastAsia"/>
                      <w:color w:val="auto"/>
                      <w:sz w:val="21"/>
                      <w:szCs w:val="21"/>
                      <w:highlight w:val="none"/>
                    </w:rPr>
                    <w:t>淮安市</w:t>
                  </w:r>
                  <w:r>
                    <w:rPr>
                      <w:rFonts w:hint="eastAsia" w:hAnsi="宋体"/>
                      <w:color w:val="auto"/>
                      <w:sz w:val="21"/>
                      <w:szCs w:val="21"/>
                      <w:highlight w:val="none"/>
                      <w:lang w:eastAsia="zh-CN"/>
                    </w:rPr>
                    <w:t>涟水县经济开发区模架产业园北侧、科佳五轴机床东侧</w:t>
                  </w:r>
                  <w:r>
                    <w:rPr>
                      <w:rFonts w:hint="eastAsia" w:ascii="宋体" w:hAnsi="宋体"/>
                      <w:color w:val="auto"/>
                      <w:szCs w:val="21"/>
                      <w:highlight w:val="none"/>
                    </w:rPr>
                    <w:t>，属于</w:t>
                  </w:r>
                  <w:r>
                    <w:rPr>
                      <w:rFonts w:hint="eastAsia" w:ascii="宋体" w:hAnsi="宋体"/>
                      <w:bCs/>
                      <w:color w:val="auto"/>
                      <w:szCs w:val="21"/>
                      <w:highlight w:val="none"/>
                    </w:rPr>
                    <w:t>新港电子产业科技园</w:t>
                  </w:r>
                  <w:r>
                    <w:rPr>
                      <w:rFonts w:hint="eastAsia" w:ascii="宋体" w:hAnsi="宋体"/>
                      <w:color w:val="auto"/>
                      <w:szCs w:val="21"/>
                      <w:highlight w:val="none"/>
                    </w:rPr>
                    <w:t>范围</w:t>
                  </w:r>
                  <w:r>
                    <w:rPr>
                      <w:rFonts w:hint="eastAsia" w:ascii="宋体" w:hAnsi="宋体" w:cs="宋体"/>
                      <w:color w:val="auto"/>
                      <w:szCs w:val="21"/>
                      <w:highlight w:val="none"/>
                    </w:rPr>
                    <w:t>。</w:t>
                  </w:r>
                  <w:r>
                    <w:rPr>
                      <w:color w:val="auto"/>
                      <w:szCs w:val="21"/>
                      <w:highlight w:val="none"/>
                    </w:rPr>
                    <w:t>企业将通过规范设置灭火器、消防设施并定期检查维护，加强企业内部隐患排查、应急物资维护，可有效减少风险事故概率，减轻风险事故后果；项目不涉及有毒有害气体排放，不涉及储罐；项目</w:t>
                  </w:r>
                  <w:r>
                    <w:rPr>
                      <w:rFonts w:hint="eastAsia"/>
                      <w:color w:val="auto"/>
                      <w:szCs w:val="21"/>
                      <w:highlight w:val="none"/>
                      <w:lang w:val="en-US" w:eastAsia="zh-CN"/>
                    </w:rPr>
                    <w:t>综合生活污水</w:t>
                  </w:r>
                  <w:r>
                    <w:rPr>
                      <w:rFonts w:hint="eastAsia" w:ascii="宋体" w:hAnsi="宋体" w:cs="宋体"/>
                      <w:color w:val="auto"/>
                      <w:szCs w:val="21"/>
                      <w:highlight w:val="none"/>
                    </w:rPr>
                    <w:t>经</w:t>
                  </w:r>
                  <w:r>
                    <w:rPr>
                      <w:rFonts w:hint="eastAsia" w:ascii="宋体" w:hAnsi="宋体" w:cs="宋体"/>
                      <w:color w:val="auto"/>
                      <w:szCs w:val="21"/>
                      <w:highlight w:val="none"/>
                      <w:lang w:val="en-US" w:eastAsia="zh-CN"/>
                    </w:rPr>
                    <w:t>隔油池+</w:t>
                  </w:r>
                  <w:r>
                    <w:rPr>
                      <w:rFonts w:hint="eastAsia" w:ascii="宋体" w:hAnsi="宋体" w:cs="宋体"/>
                      <w:color w:val="auto"/>
                      <w:szCs w:val="21"/>
                      <w:highlight w:val="none"/>
                    </w:rPr>
                    <w:t>化粪池处理后接管至涟水经济开发区西区污水处理厂深度处理，尾水达标后排入公兴河。一般工业固废收集后外售综合利用，危险废物收集后委托有资质单位处置，生活垃圾由环卫部门定期清运</w:t>
                  </w:r>
                  <w:r>
                    <w:rPr>
                      <w:rFonts w:hint="eastAsia" w:ascii="宋体" w:hAnsi="宋体" w:cs="宋体"/>
                      <w:color w:val="auto"/>
                      <w:szCs w:val="21"/>
                      <w:highlight w:val="none"/>
                      <w:lang w:eastAsia="zh-CN"/>
                    </w:rPr>
                    <w:t>。</w:t>
                  </w:r>
                </w:p>
              </w:tc>
              <w:tc>
                <w:tcPr>
                  <w:tcW w:w="696" w:type="pct"/>
                  <w:vAlign w:val="center"/>
                </w:tcPr>
                <w:p w14:paraId="4D2F4A3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r w14:paraId="6E45816F">
              <w:trPr>
                <w:trHeight w:val="340" w:hRule="atLeast"/>
                <w:jc w:val="center"/>
              </w:trPr>
              <w:tc>
                <w:tcPr>
                  <w:tcW w:w="461" w:type="pct"/>
                  <w:vAlign w:val="center"/>
                </w:tcPr>
                <w:p w14:paraId="2EB8A85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资源</w:t>
                  </w:r>
                  <w:r>
                    <w:rPr>
                      <w:rFonts w:hint="eastAsia"/>
                      <w:color w:val="auto"/>
                      <w:szCs w:val="21"/>
                      <w:highlight w:val="none"/>
                    </w:rPr>
                    <w:t>开发</w:t>
                  </w:r>
                  <w:r>
                    <w:rPr>
                      <w:color w:val="auto"/>
                      <w:szCs w:val="21"/>
                      <w:highlight w:val="none"/>
                    </w:rPr>
                    <w:t>效率要求</w:t>
                  </w:r>
                </w:p>
              </w:tc>
              <w:tc>
                <w:tcPr>
                  <w:tcW w:w="2320" w:type="pct"/>
                  <w:vAlign w:val="center"/>
                </w:tcPr>
                <w:p w14:paraId="2BB5EDA8">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（1）单位工业增加值新鲜水耗≤8立方米/万元，园区</w:t>
                  </w:r>
                  <w:r>
                    <w:rPr>
                      <w:rFonts w:hint="eastAsia"/>
                      <w:color w:val="auto"/>
                      <w:szCs w:val="21"/>
                      <w:highlight w:val="none"/>
                      <w:lang w:eastAsia="zh-CN"/>
                    </w:rPr>
                    <w:t>污水处理厂</w:t>
                  </w:r>
                  <w:r>
                    <w:rPr>
                      <w:rFonts w:hint="eastAsia"/>
                      <w:color w:val="auto"/>
                      <w:szCs w:val="21"/>
                      <w:highlight w:val="none"/>
                    </w:rPr>
                    <w:t>中水回用率达到55%，园区工业用水总量31300立方米/日。</w:t>
                  </w:r>
                </w:p>
                <w:p w14:paraId="38BCDB02">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（2）土地资源可利用园区总面积上线1.7781平方公里，建设用地总面积上线1.7452平方公里，工业用地总面积上线1.4389平方公里，单位工业用地工业增加值≥9亿元/平方公里。</w:t>
                  </w:r>
                </w:p>
              </w:tc>
              <w:tc>
                <w:tcPr>
                  <w:tcW w:w="1523" w:type="pct"/>
                  <w:vAlign w:val="center"/>
                </w:tcPr>
                <w:p w14:paraId="728B4F16">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项目</w:t>
                  </w:r>
                  <w:r>
                    <w:rPr>
                      <w:rFonts w:hint="eastAsia"/>
                      <w:color w:val="auto"/>
                      <w:szCs w:val="21"/>
                      <w:highlight w:val="none"/>
                    </w:rPr>
                    <w:t>使用水、电能，</w:t>
                  </w:r>
                  <w:r>
                    <w:rPr>
                      <w:color w:val="auto"/>
                      <w:szCs w:val="21"/>
                      <w:highlight w:val="none"/>
                    </w:rPr>
                    <w:t>严格落实园区土地资源利用各项指标要求</w:t>
                  </w:r>
                  <w:r>
                    <w:rPr>
                      <w:rFonts w:hint="eastAsia"/>
                      <w:color w:val="auto"/>
                      <w:szCs w:val="21"/>
                      <w:highlight w:val="none"/>
                      <w:lang w:eastAsia="zh-CN"/>
                    </w:rPr>
                    <w:t>。</w:t>
                  </w:r>
                </w:p>
              </w:tc>
              <w:tc>
                <w:tcPr>
                  <w:tcW w:w="696" w:type="pct"/>
                  <w:vAlign w:val="center"/>
                </w:tcPr>
                <w:p w14:paraId="0F77784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bl>
          <w:p w14:paraId="52EA90A4">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szCs w:val="24"/>
                <w:highlight w:val="none"/>
              </w:rPr>
            </w:pPr>
            <w:r>
              <w:rPr>
                <w:color w:val="auto"/>
                <w:sz w:val="24"/>
                <w:szCs w:val="24"/>
                <w:highlight w:val="none"/>
              </w:rPr>
              <w:t>根据上表分析可知，本项目与江苏省生态环境分区管控综合服务系统查询结</w:t>
            </w:r>
            <w:r>
              <w:rPr>
                <w:rFonts w:hint="eastAsia"/>
                <w:color w:val="auto"/>
                <w:sz w:val="24"/>
                <w:szCs w:val="24"/>
                <w:highlight w:val="none"/>
                <w:lang w:eastAsia="zh-CN"/>
              </w:rPr>
              <w:t>果和</w:t>
            </w:r>
            <w:r>
              <w:rPr>
                <w:rFonts w:hint="eastAsia"/>
                <w:bCs/>
                <w:color w:val="auto"/>
                <w:sz w:val="24"/>
                <w:szCs w:val="24"/>
                <w:highlight w:val="none"/>
              </w:rPr>
              <w:t>管控要求</w:t>
            </w:r>
            <w:r>
              <w:rPr>
                <w:color w:val="auto"/>
                <w:sz w:val="24"/>
                <w:szCs w:val="24"/>
                <w:highlight w:val="none"/>
              </w:rPr>
              <w:t>是相符的。</w:t>
            </w:r>
          </w:p>
          <w:p w14:paraId="308F9BE1">
            <w:pPr>
              <w:pStyle w:val="34"/>
              <w:keepNext w:val="0"/>
              <w:keepLines w:val="0"/>
              <w:suppressLineNumbers w:val="0"/>
              <w:spacing w:before="0" w:beforeAutospacing="0" w:afterAutospacing="0"/>
              <w:ind w:left="0" w:right="0"/>
              <w:jc w:val="center"/>
              <w:rPr>
                <w:rFonts w:hint="eastAsia" w:eastAsiaTheme="minorEastAsia"/>
                <w:color w:val="auto"/>
                <w:lang w:eastAsia="zh-CN"/>
              </w:rPr>
            </w:pPr>
          </w:p>
          <w:p w14:paraId="1E2C0E9C">
            <w:pPr>
              <w:keepNext w:val="0"/>
              <w:keepLines w:val="0"/>
              <w:suppressLineNumbers w:val="0"/>
              <w:adjustRightInd w:val="0"/>
              <w:snapToGrid w:val="0"/>
              <w:spacing w:before="0" w:beforeAutospacing="0" w:after="0" w:afterAutospacing="0" w:line="360" w:lineRule="auto"/>
              <w:ind w:left="0" w:right="0"/>
              <w:jc w:val="center"/>
              <w:outlineLvl w:val="2"/>
              <w:rPr>
                <w:rFonts w:hint="default" w:ascii="Times New Roman" w:hAnsi="Times New Roman" w:eastAsia="宋体" w:cs="Times New Roman"/>
                <w:b/>
                <w:bCs/>
                <w:color w:val="auto"/>
                <w:kern w:val="2"/>
                <w:sz w:val="24"/>
                <w:szCs w:val="24"/>
                <w:highlight w:val="none"/>
                <w:lang w:val="en-US" w:eastAsia="zh-CN" w:bidi="ar-SA"/>
              </w:rPr>
            </w:pPr>
            <w:bookmarkStart w:id="22" w:name="_Toc16747"/>
            <w:r>
              <w:rPr>
                <w:rFonts w:hint="default" w:ascii="Times New Roman" w:hAnsi="Times New Roman" w:eastAsia="宋体" w:cs="Times New Roman"/>
                <w:b/>
                <w:bCs/>
                <w:color w:val="auto"/>
                <w:kern w:val="2"/>
                <w:sz w:val="24"/>
                <w:szCs w:val="24"/>
                <w:highlight w:val="none"/>
                <w:lang w:val="en-US" w:eastAsia="zh-CN" w:bidi="ar-SA"/>
              </w:rPr>
              <w:drawing>
                <wp:inline distT="0" distB="0" distL="114300" distR="114300">
                  <wp:extent cx="4358640" cy="2810510"/>
                  <wp:effectExtent l="0" t="0" r="10160" b="8890"/>
                  <wp:docPr id="2" name="图片 2" descr="c85d391f1d13b9bfb70a067307e02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5d391f1d13b9bfb70a067307e0259e"/>
                          <pic:cNvPicPr>
                            <a:picLocks noChangeAspect="1"/>
                          </pic:cNvPicPr>
                        </pic:nvPicPr>
                        <pic:blipFill>
                          <a:blip r:embed="rId11"/>
                          <a:stretch>
                            <a:fillRect/>
                          </a:stretch>
                        </pic:blipFill>
                        <pic:spPr>
                          <a:xfrm>
                            <a:off x="0" y="0"/>
                            <a:ext cx="4358640" cy="2810510"/>
                          </a:xfrm>
                          <a:prstGeom prst="rect">
                            <a:avLst/>
                          </a:prstGeom>
                        </pic:spPr>
                      </pic:pic>
                    </a:graphicData>
                  </a:graphic>
                </wp:inline>
              </w:drawing>
            </w:r>
          </w:p>
          <w:p w14:paraId="5079F5FA">
            <w:pPr>
              <w:keepNext w:val="0"/>
              <w:keepLines w:val="0"/>
              <w:suppressLineNumbers w:val="0"/>
              <w:adjustRightInd w:val="0"/>
              <w:snapToGrid w:val="0"/>
              <w:spacing w:before="0" w:beforeAutospacing="0" w:after="0" w:afterAutospacing="0" w:line="360" w:lineRule="auto"/>
              <w:ind w:left="0" w:right="0" w:firstLine="482" w:firstLineChars="200"/>
              <w:jc w:val="center"/>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图1  江苏省生态环境分区管控综合服务系统查询结果图</w:t>
            </w:r>
            <w:bookmarkEnd w:id="22"/>
          </w:p>
          <w:p w14:paraId="497D72C9">
            <w:pPr>
              <w:pStyle w:val="389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eastAsia="宋体" w:cs="Times New Roman"/>
                <w:b/>
                <w:bCs/>
                <w:color w:val="auto"/>
                <w:kern w:val="2"/>
                <w:szCs w:val="24"/>
                <w:highlight w:val="none"/>
              </w:rPr>
            </w:pPr>
            <w:r>
              <w:rPr>
                <w:rFonts w:hint="eastAsia" w:ascii="宋体" w:hAnsi="宋体" w:eastAsia="宋体" w:cs="宋体"/>
                <w:b/>
                <w:bCs/>
                <w:color w:val="auto"/>
                <w:highlight w:val="none"/>
              </w:rPr>
              <w:t>⑥</w:t>
            </w:r>
            <w:r>
              <w:rPr>
                <w:rFonts w:eastAsia="宋体" w:cs="Times New Roman"/>
                <w:b/>
                <w:bCs/>
                <w:color w:val="auto"/>
                <w:kern w:val="2"/>
                <w:szCs w:val="24"/>
                <w:highlight w:val="none"/>
              </w:rPr>
              <w:t>与《淮安市生态环境分区管控动态更新成果》（2023版）符合性分析</w:t>
            </w:r>
          </w:p>
          <w:p w14:paraId="6D691472">
            <w:pPr>
              <w:pStyle w:val="389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eastAsia="宋体" w:cs="Times New Roman"/>
                <w:color w:val="auto"/>
                <w:kern w:val="2"/>
                <w:szCs w:val="24"/>
                <w:highlight w:val="none"/>
              </w:rPr>
            </w:pPr>
            <w:bookmarkStart w:id="23" w:name="_Hlk167806064"/>
            <w:r>
              <w:rPr>
                <w:rFonts w:eastAsia="宋体" w:cs="Times New Roman"/>
                <w:color w:val="auto"/>
                <w:kern w:val="2"/>
                <w:szCs w:val="24"/>
                <w:highlight w:val="none"/>
              </w:rPr>
              <w:t>本项目与《淮安市生态环境分区管控动态更新成果》（2023版）的相符性分析见表1-8。</w:t>
            </w:r>
          </w:p>
          <w:bookmarkEnd w:id="23"/>
          <w:p w14:paraId="61861FA0">
            <w:pPr>
              <w:pStyle w:val="389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eastAsia="宋体"/>
                <w:color w:val="auto"/>
                <w:highlight w:val="none"/>
              </w:rPr>
            </w:pPr>
            <w:r>
              <w:rPr>
                <w:rFonts w:eastAsia="宋体"/>
                <w:color w:val="auto"/>
                <w:highlight w:val="none"/>
              </w:rPr>
              <w:t>表1-8 与《淮安市生态环境分区管控动态更新成果》（2023版）相符性分析</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2"/>
              <w:gridCol w:w="4018"/>
              <w:gridCol w:w="1853"/>
              <w:gridCol w:w="681"/>
            </w:tblGrid>
            <w:tr w14:paraId="4910BA4C">
              <w:trPr>
                <w:trHeight w:val="23" w:hRule="atLeast"/>
              </w:trPr>
              <w:tc>
                <w:tcPr>
                  <w:tcW w:w="669" w:type="dxa"/>
                  <w:vAlign w:val="center"/>
                </w:tcPr>
                <w:p w14:paraId="1443704D">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bookmarkStart w:id="24" w:name="_Hlk167806220"/>
                  <w:r>
                    <w:rPr>
                      <w:b/>
                      <w:bCs/>
                      <w:color w:val="auto"/>
                      <w:kern w:val="0"/>
                      <w:szCs w:val="21"/>
                      <w:highlight w:val="none"/>
                    </w:rPr>
                    <w:t>管控类别</w:t>
                  </w:r>
                </w:p>
              </w:tc>
              <w:tc>
                <w:tcPr>
                  <w:tcW w:w="4465" w:type="dxa"/>
                  <w:vAlign w:val="center"/>
                </w:tcPr>
                <w:p w14:paraId="59C91A90">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r>
                    <w:rPr>
                      <w:b/>
                      <w:bCs/>
                      <w:color w:val="auto"/>
                      <w:kern w:val="0"/>
                      <w:szCs w:val="21"/>
                      <w:highlight w:val="none"/>
                    </w:rPr>
                    <w:t>重点管控要求</w:t>
                  </w:r>
                </w:p>
              </w:tc>
              <w:tc>
                <w:tcPr>
                  <w:tcW w:w="2045" w:type="dxa"/>
                  <w:vAlign w:val="center"/>
                </w:tcPr>
                <w:p w14:paraId="63D31507">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r>
                    <w:rPr>
                      <w:b/>
                      <w:bCs/>
                      <w:color w:val="auto"/>
                      <w:kern w:val="0"/>
                      <w:szCs w:val="21"/>
                      <w:highlight w:val="none"/>
                    </w:rPr>
                    <w:t>符合性分析</w:t>
                  </w:r>
                </w:p>
              </w:tc>
              <w:tc>
                <w:tcPr>
                  <w:tcW w:w="735" w:type="dxa"/>
                  <w:vAlign w:val="center"/>
                </w:tcPr>
                <w:p w14:paraId="3469343C">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r>
                    <w:rPr>
                      <w:b/>
                      <w:bCs/>
                      <w:color w:val="auto"/>
                      <w:kern w:val="0"/>
                      <w:szCs w:val="21"/>
                      <w:highlight w:val="none"/>
                    </w:rPr>
                    <w:t>符合情况</w:t>
                  </w:r>
                </w:p>
              </w:tc>
            </w:tr>
            <w:tr w14:paraId="4DEB4253">
              <w:trPr>
                <w:trHeight w:val="23" w:hRule="atLeast"/>
              </w:trPr>
              <w:tc>
                <w:tcPr>
                  <w:tcW w:w="669" w:type="dxa"/>
                  <w:vAlign w:val="center"/>
                </w:tcPr>
                <w:p w14:paraId="129FAFB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空间布局约束</w:t>
                  </w:r>
                </w:p>
              </w:tc>
              <w:tc>
                <w:tcPr>
                  <w:tcW w:w="4465" w:type="dxa"/>
                  <w:vAlign w:val="center"/>
                </w:tcPr>
                <w:p w14:paraId="2BFE4A8A">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p w14:paraId="305348CD">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2.严格执行《</w:t>
                  </w:r>
                  <w:r>
                    <w:rPr>
                      <w:rFonts w:hint="eastAsia"/>
                      <w:color w:val="auto"/>
                      <w:kern w:val="0"/>
                      <w:szCs w:val="21"/>
                      <w:highlight w:val="none"/>
                      <w:lang w:eastAsia="zh-CN"/>
                    </w:rPr>
                    <w:t>〈</w:t>
                  </w:r>
                  <w:r>
                    <w:rPr>
                      <w:color w:val="auto"/>
                      <w:kern w:val="0"/>
                      <w:szCs w:val="21"/>
                      <w:highlight w:val="none"/>
                    </w:rPr>
                    <w:t>长江经济带发展负面清单指南（试行，2022年版）</w:t>
                  </w:r>
                  <w:r>
                    <w:rPr>
                      <w:rFonts w:hint="eastAsia"/>
                      <w:color w:val="auto"/>
                      <w:kern w:val="0"/>
                      <w:szCs w:val="21"/>
                      <w:highlight w:val="none"/>
                      <w:lang w:eastAsia="zh-CN"/>
                    </w:rPr>
                    <w:t>〉</w:t>
                  </w:r>
                  <w:r>
                    <w:rPr>
                      <w:color w:val="auto"/>
                      <w:kern w:val="0"/>
                      <w:szCs w:val="21"/>
                      <w:highlight w:val="none"/>
                    </w:rPr>
                    <w:t>江苏省实施细则》（苏长江办发〔2022〕55号）中相关要求。</w:t>
                  </w:r>
                </w:p>
                <w:p w14:paraId="476D5F42">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3.严格执行《淮安市国土空间总体规划（2021</w:t>
                  </w:r>
                  <w:r>
                    <w:rPr>
                      <w:rFonts w:hint="eastAsia"/>
                      <w:color w:val="auto"/>
                      <w:kern w:val="0"/>
                      <w:szCs w:val="21"/>
                      <w:highlight w:val="none"/>
                      <w:lang w:eastAsia="zh-CN"/>
                    </w:rPr>
                    <w:t>—</w:t>
                  </w:r>
                  <w:r>
                    <w:rPr>
                      <w:color w:val="auto"/>
                      <w:kern w:val="0"/>
                      <w:szCs w:val="21"/>
                      <w:highlight w:val="none"/>
                    </w:rPr>
                    <w:t>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p w14:paraId="68F84103">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4.根据《大运河淮安段核心监控区国土空间管控细则》（淮政规〔2022〕8号），核心监控区内，实行国土空间准入正负面清单管理制度，控制开发规模和强度，禁止不符合主体功能定位的各类开发活动。</w:t>
                  </w:r>
                </w:p>
              </w:tc>
              <w:tc>
                <w:tcPr>
                  <w:tcW w:w="2045" w:type="dxa"/>
                  <w:vAlign w:val="center"/>
                </w:tcPr>
                <w:p w14:paraId="1A8EAA20">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本项目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p w14:paraId="182F632F">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2.本项目不属于《</w:t>
                  </w:r>
                  <w:r>
                    <w:rPr>
                      <w:rFonts w:hint="eastAsia"/>
                      <w:color w:val="auto"/>
                      <w:kern w:val="0"/>
                      <w:szCs w:val="21"/>
                      <w:highlight w:val="none"/>
                      <w:lang w:eastAsia="zh-CN"/>
                    </w:rPr>
                    <w:t>〈</w:t>
                  </w:r>
                  <w:r>
                    <w:rPr>
                      <w:color w:val="auto"/>
                      <w:kern w:val="0"/>
                      <w:szCs w:val="21"/>
                      <w:highlight w:val="none"/>
                    </w:rPr>
                    <w:t>长江经济带发展负面清单指南（试行，2022年版）</w:t>
                  </w:r>
                  <w:r>
                    <w:rPr>
                      <w:rFonts w:hint="eastAsia"/>
                      <w:color w:val="auto"/>
                      <w:kern w:val="0"/>
                      <w:szCs w:val="21"/>
                      <w:highlight w:val="none"/>
                      <w:lang w:eastAsia="zh-CN"/>
                    </w:rPr>
                    <w:t>〉</w:t>
                  </w:r>
                  <w:r>
                    <w:rPr>
                      <w:color w:val="auto"/>
                      <w:kern w:val="0"/>
                      <w:szCs w:val="21"/>
                      <w:highlight w:val="none"/>
                    </w:rPr>
                    <w:t>江苏省实施细则》（苏长江办发〔2022〕55号）中禁止项目。</w:t>
                  </w:r>
                </w:p>
                <w:p w14:paraId="6229FD0B">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 本项目符合《淮安市国土空间总体规划（2021</w:t>
                  </w:r>
                  <w:r>
                    <w:rPr>
                      <w:rFonts w:hint="eastAsia"/>
                      <w:color w:val="auto"/>
                      <w:kern w:val="0"/>
                      <w:szCs w:val="21"/>
                      <w:highlight w:val="none"/>
                      <w:lang w:eastAsia="zh-CN"/>
                    </w:rPr>
                    <w:t>—</w:t>
                  </w:r>
                  <w:r>
                    <w:rPr>
                      <w:color w:val="auto"/>
                      <w:kern w:val="0"/>
                      <w:szCs w:val="21"/>
                      <w:highlight w:val="none"/>
                    </w:rPr>
                    <w:t>2035年）》中“三区三线”管控要求，不涉及永久基本农田，不涉及生态红线。</w:t>
                  </w:r>
                </w:p>
                <w:p w14:paraId="68C742E0">
                  <w:pPr>
                    <w:keepNext w:val="0"/>
                    <w:keepLines w:val="0"/>
                    <w:suppressLineNumbers w:val="0"/>
                    <w:spacing w:before="0" w:beforeAutospacing="0" w:after="0" w:afterAutospacing="0"/>
                    <w:ind w:left="0" w:right="0"/>
                    <w:rPr>
                      <w:color w:val="auto"/>
                      <w:szCs w:val="21"/>
                      <w:highlight w:val="none"/>
                    </w:rPr>
                  </w:pPr>
                  <w:r>
                    <w:rPr>
                      <w:color w:val="auto"/>
                      <w:kern w:val="0"/>
                      <w:szCs w:val="21"/>
                      <w:highlight w:val="none"/>
                    </w:rPr>
                    <w:t>4. 本项目不在大运河淮安段核心监控区内。</w:t>
                  </w:r>
                </w:p>
              </w:tc>
              <w:tc>
                <w:tcPr>
                  <w:tcW w:w="735" w:type="dxa"/>
                  <w:vAlign w:val="center"/>
                </w:tcPr>
                <w:p w14:paraId="4637B2F0">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tr w14:paraId="3768FA75">
              <w:trPr>
                <w:trHeight w:val="23" w:hRule="atLeast"/>
              </w:trPr>
              <w:tc>
                <w:tcPr>
                  <w:tcW w:w="669" w:type="dxa"/>
                  <w:vAlign w:val="center"/>
                </w:tcPr>
                <w:p w14:paraId="6F3FB6C5">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污染物排放管控</w:t>
                  </w:r>
                </w:p>
              </w:tc>
              <w:tc>
                <w:tcPr>
                  <w:tcW w:w="4465" w:type="dxa"/>
                  <w:vAlign w:val="center"/>
                </w:tcPr>
                <w:p w14:paraId="0B190C06">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szCs w:val="21"/>
                      <w:highlight w:val="none"/>
                    </w:rPr>
                    <w:t>根据《江苏省“十四五”节能减排综合实施方案》（苏政传发〔2022〕224号），到2025年，氮氧化物、挥发性有机物、化学需氧量、氨氮、总氮、总磷等主要污染物重点工程减排量分别达到5425吨、4333吨、10059吨、584吨、1225吨、134吨。</w:t>
                  </w:r>
                </w:p>
              </w:tc>
              <w:tc>
                <w:tcPr>
                  <w:tcW w:w="2045" w:type="dxa"/>
                  <w:vAlign w:val="center"/>
                </w:tcPr>
                <w:p w14:paraId="0EADE0F8">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本项目污染物总量在涟水县内平衡。</w:t>
                  </w:r>
                </w:p>
              </w:tc>
              <w:tc>
                <w:tcPr>
                  <w:tcW w:w="735" w:type="dxa"/>
                  <w:vAlign w:val="center"/>
                </w:tcPr>
                <w:p w14:paraId="69B970B2">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tr w14:paraId="1A624A43">
              <w:trPr>
                <w:trHeight w:val="23" w:hRule="atLeast"/>
              </w:trPr>
              <w:tc>
                <w:tcPr>
                  <w:tcW w:w="669" w:type="dxa"/>
                  <w:vAlign w:val="center"/>
                </w:tcPr>
                <w:p w14:paraId="5AA2674C">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环境风险防控</w:t>
                  </w:r>
                </w:p>
              </w:tc>
              <w:tc>
                <w:tcPr>
                  <w:tcW w:w="4465" w:type="dxa"/>
                  <w:vAlign w:val="center"/>
                </w:tcPr>
                <w:p w14:paraId="719F372A">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p w14:paraId="176AE047">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推进环境风险企业隐患排查。完善环境应急指挥体系，建成区域环境应急基地和应急物资储备库。</w:t>
                  </w:r>
                </w:p>
              </w:tc>
              <w:tc>
                <w:tcPr>
                  <w:tcW w:w="2045" w:type="dxa"/>
                  <w:vAlign w:val="center"/>
                </w:tcPr>
                <w:p w14:paraId="16911A23">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本项目建成后</w:t>
                  </w:r>
                  <w:r>
                    <w:rPr>
                      <w:rFonts w:hint="eastAsia"/>
                      <w:color w:val="auto"/>
                      <w:kern w:val="0"/>
                      <w:szCs w:val="21"/>
                    </w:rPr>
                    <w:t>本项目建立完善的环境应急措施，并将应急装备和储备物资纳入储备体系，积极响应市、县、开发区突发环境事件应急响应体系，并积极参加定期组织的演练，从而提高应急处置能力</w:t>
                  </w:r>
                  <w:r>
                    <w:rPr>
                      <w:color w:val="auto"/>
                      <w:kern w:val="0"/>
                      <w:szCs w:val="21"/>
                      <w:highlight w:val="none"/>
                    </w:rPr>
                    <w:t>。</w:t>
                  </w:r>
                </w:p>
              </w:tc>
              <w:tc>
                <w:tcPr>
                  <w:tcW w:w="735" w:type="dxa"/>
                  <w:vAlign w:val="center"/>
                </w:tcPr>
                <w:p w14:paraId="3D6E8B7B">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tr w14:paraId="54A8FFE6">
              <w:trPr>
                <w:trHeight w:val="23" w:hRule="atLeast"/>
              </w:trPr>
              <w:tc>
                <w:tcPr>
                  <w:tcW w:w="669" w:type="dxa"/>
                  <w:vAlign w:val="center"/>
                </w:tcPr>
                <w:p w14:paraId="7E8ED5EA">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资源利用效率要求</w:t>
                  </w:r>
                </w:p>
              </w:tc>
              <w:tc>
                <w:tcPr>
                  <w:tcW w:w="4465" w:type="dxa"/>
                  <w:vAlign w:val="center"/>
                </w:tcPr>
                <w:p w14:paraId="08D76764">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水资源利用总量及效率要求：根据《江苏省水利厅江苏省发改委关于印发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p w14:paraId="28CEDEE2">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2.土地资源利用总量及效率要求：根据《淮安市国土空间总体规划（2021</w:t>
                  </w:r>
                  <w:r>
                    <w:rPr>
                      <w:rFonts w:hint="eastAsia"/>
                      <w:color w:val="auto"/>
                      <w:kern w:val="0"/>
                      <w:szCs w:val="21"/>
                      <w:highlight w:val="none"/>
                      <w:lang w:eastAsia="zh-CN"/>
                    </w:rPr>
                    <w:t>—</w:t>
                  </w:r>
                  <w:r>
                    <w:rPr>
                      <w:color w:val="auto"/>
                      <w:kern w:val="0"/>
                      <w:szCs w:val="21"/>
                      <w:highlight w:val="none"/>
                    </w:rPr>
                    <w:t>2035年）》，淮安市耕地保有量不少于697.3500万亩，永久基本农田保护面积不低于596.0050万亩，控制全市城镇开发边界扩展倍数不高于1.3599。</w:t>
                  </w:r>
                </w:p>
                <w:p w14:paraId="21303957">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p w14:paraId="1B88B41E">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4.禁燃区要求：根据《江苏省大气污染防治条例》，禁燃区禁止新建、扩建燃用高污染燃料的项目和设施，已建成的应逐步或依法限期改用天然气、电或者其他清洁能源。</w:t>
                  </w:r>
                </w:p>
              </w:tc>
              <w:tc>
                <w:tcPr>
                  <w:tcW w:w="2045" w:type="dxa"/>
                  <w:vAlign w:val="center"/>
                </w:tcPr>
                <w:p w14:paraId="56CDF8A2">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w:t>
                  </w:r>
                  <w:r>
                    <w:rPr>
                      <w:color w:val="auto"/>
                      <w:kern w:val="0"/>
                      <w:szCs w:val="21"/>
                    </w:rPr>
                    <w:t>本项目不属于高耗水、高耗能和重污染的建设项目</w:t>
                  </w:r>
                  <w:r>
                    <w:rPr>
                      <w:color w:val="auto"/>
                      <w:kern w:val="0"/>
                      <w:szCs w:val="21"/>
                      <w:highlight w:val="none"/>
                    </w:rPr>
                    <w:t>，水源来自市政自来水，不会突破当地资源利用上线。</w:t>
                  </w:r>
                </w:p>
                <w:p w14:paraId="479B2154">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2本项目所在地用地性质为工业用地，不占用基本农田，不影响区域土地资源总量。</w:t>
                  </w:r>
                </w:p>
                <w:p w14:paraId="05CB7B1F">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3.本项目主要消耗能源为电能，不使用高污染燃料</w:t>
                  </w:r>
                </w:p>
              </w:tc>
              <w:tc>
                <w:tcPr>
                  <w:tcW w:w="735" w:type="dxa"/>
                  <w:vAlign w:val="center"/>
                </w:tcPr>
                <w:p w14:paraId="612BE1CF">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bookmarkEnd w:id="24"/>
          </w:tbl>
          <w:p w14:paraId="58882321">
            <w:pPr>
              <w:keepNext w:val="0"/>
              <w:keepLines w:val="0"/>
              <w:suppressLineNumbers w:val="0"/>
              <w:adjustRightInd w:val="0"/>
              <w:spacing w:before="0" w:beforeAutospacing="0" w:after="0" w:afterAutospacing="0" w:line="360" w:lineRule="auto"/>
              <w:ind w:left="0" w:right="0" w:firstLine="482" w:firstLineChars="200"/>
              <w:outlineLvl w:val="2"/>
              <w:rPr>
                <w:rFonts w:ascii="宋体" w:hAnsi="宋体" w:eastAsia="宋体"/>
                <w:color w:val="auto"/>
                <w:sz w:val="24"/>
                <w:highlight w:val="none"/>
              </w:rPr>
            </w:pPr>
            <w:r>
              <w:rPr>
                <w:rFonts w:hint="eastAsia" w:ascii="宋体" w:hAnsi="宋体" w:eastAsia="宋体" w:cs="宋体"/>
                <w:b/>
                <w:bCs/>
                <w:color w:val="auto"/>
                <w:sz w:val="24"/>
                <w:highlight w:val="none"/>
              </w:rPr>
              <w:t>⑦</w:t>
            </w:r>
            <w:r>
              <w:rPr>
                <w:rFonts w:hint="eastAsia"/>
                <w:b/>
                <w:color w:val="auto"/>
                <w:sz w:val="24"/>
                <w:highlight w:val="none"/>
              </w:rPr>
              <w:t>与《关于印发</w:t>
            </w:r>
            <w:r>
              <w:rPr>
                <w:rFonts w:hint="eastAsia"/>
                <w:b/>
                <w:color w:val="auto"/>
                <w:sz w:val="24"/>
                <w:highlight w:val="none"/>
                <w:lang w:eastAsia="zh-CN"/>
              </w:rPr>
              <w:t>〈</w:t>
            </w:r>
            <w:r>
              <w:rPr>
                <w:rFonts w:hint="eastAsia"/>
                <w:b/>
                <w:color w:val="auto"/>
                <w:sz w:val="24"/>
                <w:highlight w:val="none"/>
              </w:rPr>
              <w:t>淮安市环境管控单元生态环境准入清单</w:t>
            </w:r>
            <w:r>
              <w:rPr>
                <w:rFonts w:hint="eastAsia"/>
                <w:b/>
                <w:color w:val="auto"/>
                <w:sz w:val="24"/>
                <w:highlight w:val="none"/>
                <w:lang w:eastAsia="zh-CN"/>
              </w:rPr>
              <w:t>〉的通知》</w:t>
            </w:r>
            <w:r>
              <w:rPr>
                <w:rFonts w:hint="eastAsia"/>
                <w:b/>
                <w:color w:val="auto"/>
                <w:sz w:val="24"/>
                <w:highlight w:val="none"/>
              </w:rPr>
              <w:t>（淮政发〔2020〕264号）相符性分析</w:t>
            </w:r>
          </w:p>
          <w:p w14:paraId="0325C2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宋体" w:hAnsi="宋体" w:eastAsia="宋体"/>
                <w:color w:val="auto"/>
                <w:sz w:val="24"/>
                <w:highlight w:val="none"/>
              </w:rPr>
              <w:t>项目与《关于印发</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淮安市环</w:t>
            </w:r>
            <w:r>
              <w:rPr>
                <w:rFonts w:hint="default" w:ascii="Times New Roman" w:hAnsi="Times New Roman" w:eastAsia="宋体" w:cs="Times New Roman"/>
                <w:color w:val="auto"/>
                <w:sz w:val="24"/>
                <w:highlight w:val="none"/>
              </w:rPr>
              <w:t>境管控单元生态环境准入清单</w:t>
            </w:r>
            <w:r>
              <w:rPr>
                <w:rFonts w:hint="eastAsia" w:eastAsia="宋体" w:cs="Times New Roman"/>
                <w:color w:val="auto"/>
                <w:sz w:val="24"/>
                <w:highlight w:val="none"/>
                <w:lang w:eastAsia="zh-CN"/>
              </w:rPr>
              <w:t>〉的通知》</w:t>
            </w:r>
            <w:r>
              <w:rPr>
                <w:rFonts w:hint="default" w:ascii="Times New Roman" w:hAnsi="Times New Roman" w:eastAsia="宋体" w:cs="Times New Roman"/>
                <w:color w:val="auto"/>
                <w:sz w:val="24"/>
                <w:highlight w:val="none"/>
              </w:rPr>
              <w:t>（淮政发〔2020〕264号）相符性</w:t>
            </w:r>
            <w:r>
              <w:rPr>
                <w:rFonts w:hint="default" w:ascii="Times New Roman" w:hAnsi="Times New Roman" w:eastAsia="宋体" w:cs="Times New Roman"/>
                <w:color w:val="auto"/>
                <w:sz w:val="24"/>
                <w:szCs w:val="24"/>
                <w:highlight w:val="none"/>
              </w:rPr>
              <w:t>分析见</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14:paraId="3967E0BA">
            <w:pPr>
              <w:keepNext w:val="0"/>
              <w:keepLines w:val="0"/>
              <w:suppressLineNumbers w:val="0"/>
              <w:spacing w:before="0" w:beforeAutospacing="0" w:after="0" w:afterAutospacing="0"/>
              <w:ind w:left="0" w:right="0"/>
              <w:jc w:val="center"/>
              <w:rPr>
                <w:rFonts w:hAnsi="宋体"/>
                <w:b/>
                <w:color w:val="auto"/>
                <w:sz w:val="24"/>
                <w:highlight w:val="none"/>
              </w:rPr>
            </w:pPr>
            <w:r>
              <w:rPr>
                <w:rFonts w:hint="default" w:ascii="Times New Roman" w:hAnsi="Times New Roman" w:eastAsia="宋体" w:cs="Times New Roman"/>
                <w:b/>
                <w:bCs/>
                <w:color w:val="auto"/>
                <w:sz w:val="24"/>
                <w:highlight w:val="none"/>
              </w:rPr>
              <w:t>表1-</w:t>
            </w:r>
            <w:r>
              <w:rPr>
                <w:rFonts w:hint="eastAsia" w:ascii="Times New Roman" w:hAnsi="Times New Roman" w:eastAsia="宋体" w:cs="Times New Roman"/>
                <w:b/>
                <w:bCs/>
                <w:color w:val="auto"/>
                <w:sz w:val="24"/>
                <w:highlight w:val="none"/>
                <w:lang w:val="en-US" w:eastAsia="zh-CN"/>
              </w:rPr>
              <w:t>9</w:t>
            </w:r>
            <w:r>
              <w:rPr>
                <w:rFonts w:hint="eastAsia" w:ascii="Times New Roman" w:hAnsi="Times New Roman" w:eastAsia="宋体" w:cs="Times New Roman"/>
                <w:color w:val="auto"/>
                <w:sz w:val="24"/>
                <w:highlight w:val="none"/>
              </w:rPr>
              <w:t xml:space="preserve"> </w:t>
            </w:r>
            <w:r>
              <w:rPr>
                <w:rFonts w:hint="eastAsia"/>
                <w:b/>
                <w:color w:val="auto"/>
                <w:sz w:val="24"/>
                <w:highlight w:val="none"/>
              </w:rPr>
              <w:t xml:space="preserve"> </w:t>
            </w:r>
            <w:r>
              <w:rPr>
                <w:rFonts w:hAnsi="宋体"/>
                <w:b/>
                <w:color w:val="auto"/>
                <w:sz w:val="24"/>
                <w:highlight w:val="none"/>
              </w:rPr>
              <w:t>项目与淮政发〔</w:t>
            </w:r>
            <w:r>
              <w:rPr>
                <w:b/>
                <w:color w:val="auto"/>
                <w:sz w:val="24"/>
                <w:highlight w:val="none"/>
              </w:rPr>
              <w:t>2020</w:t>
            </w:r>
            <w:r>
              <w:rPr>
                <w:rFonts w:hAnsi="宋体"/>
                <w:b/>
                <w:color w:val="auto"/>
                <w:sz w:val="24"/>
                <w:highlight w:val="none"/>
              </w:rPr>
              <w:t>〕</w:t>
            </w:r>
            <w:r>
              <w:rPr>
                <w:rFonts w:hint="eastAsia"/>
                <w:b/>
                <w:color w:val="auto"/>
                <w:sz w:val="24"/>
                <w:highlight w:val="none"/>
              </w:rPr>
              <w:t>264</w:t>
            </w:r>
            <w:r>
              <w:rPr>
                <w:rFonts w:hAnsi="宋体"/>
                <w:b/>
                <w:color w:val="auto"/>
                <w:sz w:val="24"/>
                <w:highlight w:val="none"/>
              </w:rPr>
              <w:t>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70"/>
              <w:gridCol w:w="673"/>
              <w:gridCol w:w="267"/>
              <w:gridCol w:w="336"/>
              <w:gridCol w:w="1515"/>
              <w:gridCol w:w="804"/>
              <w:gridCol w:w="1349"/>
              <w:gridCol w:w="842"/>
              <w:gridCol w:w="1018"/>
            </w:tblGrid>
            <w:tr w14:paraId="6421AE88">
              <w:trPr>
                <w:trHeight w:val="333" w:hRule="atLeast"/>
                <w:jc w:val="center"/>
              </w:trPr>
              <w:tc>
                <w:tcPr>
                  <w:tcW w:w="257" w:type="pct"/>
                  <w:vMerge w:val="restart"/>
                  <w:vAlign w:val="center"/>
                </w:tcPr>
                <w:p w14:paraId="5F7C60BA">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序号</w:t>
                  </w:r>
                </w:p>
              </w:tc>
              <w:tc>
                <w:tcPr>
                  <w:tcW w:w="469" w:type="pct"/>
                  <w:vMerge w:val="restart"/>
                  <w:vAlign w:val="center"/>
                </w:tcPr>
                <w:p w14:paraId="5C3C938C">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环境管控单元名称</w:t>
                  </w:r>
                </w:p>
              </w:tc>
              <w:tc>
                <w:tcPr>
                  <w:tcW w:w="186" w:type="pct"/>
                  <w:tcBorders>
                    <w:bottom w:val="single" w:color="auto" w:sz="4" w:space="0"/>
                  </w:tcBorders>
                  <w:vAlign w:val="center"/>
                </w:tcPr>
                <w:p w14:paraId="68F637C0">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行政区域</w:t>
                  </w:r>
                </w:p>
              </w:tc>
              <w:tc>
                <w:tcPr>
                  <w:tcW w:w="234" w:type="pct"/>
                  <w:vMerge w:val="restart"/>
                  <w:vAlign w:val="center"/>
                </w:tcPr>
                <w:p w14:paraId="5242488B">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管控单元分类</w:t>
                  </w:r>
                </w:p>
              </w:tc>
              <w:tc>
                <w:tcPr>
                  <w:tcW w:w="3143" w:type="pct"/>
                  <w:gridSpan w:val="4"/>
                  <w:vAlign w:val="center"/>
                </w:tcPr>
                <w:p w14:paraId="53231693">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管控要求</w:t>
                  </w:r>
                </w:p>
              </w:tc>
              <w:tc>
                <w:tcPr>
                  <w:tcW w:w="709" w:type="pct"/>
                  <w:vMerge w:val="restart"/>
                  <w:vAlign w:val="center"/>
                </w:tcPr>
                <w:p w14:paraId="57CA0651">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相符性分析</w:t>
                  </w:r>
                </w:p>
              </w:tc>
            </w:tr>
            <w:tr w14:paraId="7E4E5B09">
              <w:trPr>
                <w:trHeight w:val="365" w:hRule="atLeast"/>
                <w:jc w:val="center"/>
              </w:trPr>
              <w:tc>
                <w:tcPr>
                  <w:tcW w:w="257" w:type="pct"/>
                  <w:vMerge w:val="continue"/>
                  <w:vAlign w:val="center"/>
                </w:tcPr>
                <w:p w14:paraId="43C1F685">
                  <w:pPr>
                    <w:keepNext w:val="0"/>
                    <w:keepLines w:val="0"/>
                    <w:suppressLineNumbers w:val="0"/>
                    <w:spacing w:before="0" w:beforeAutospacing="0" w:after="0" w:afterAutospacing="0"/>
                    <w:ind w:left="0" w:right="0"/>
                    <w:jc w:val="center"/>
                    <w:rPr>
                      <w:b/>
                      <w:bCs/>
                      <w:color w:val="auto"/>
                      <w:szCs w:val="21"/>
                      <w:highlight w:val="none"/>
                    </w:rPr>
                  </w:pPr>
                </w:p>
              </w:tc>
              <w:tc>
                <w:tcPr>
                  <w:tcW w:w="469" w:type="pct"/>
                  <w:vMerge w:val="continue"/>
                  <w:vAlign w:val="center"/>
                </w:tcPr>
                <w:p w14:paraId="79FD0553">
                  <w:pPr>
                    <w:keepNext w:val="0"/>
                    <w:keepLines w:val="0"/>
                    <w:suppressLineNumbers w:val="0"/>
                    <w:spacing w:before="0" w:beforeAutospacing="0" w:after="0" w:afterAutospacing="0"/>
                    <w:ind w:left="0" w:right="0"/>
                    <w:jc w:val="center"/>
                    <w:rPr>
                      <w:b/>
                      <w:bCs/>
                      <w:color w:val="auto"/>
                      <w:szCs w:val="21"/>
                      <w:highlight w:val="none"/>
                    </w:rPr>
                  </w:pPr>
                </w:p>
              </w:tc>
              <w:tc>
                <w:tcPr>
                  <w:tcW w:w="186" w:type="pct"/>
                  <w:tcBorders>
                    <w:top w:val="single" w:color="auto" w:sz="4" w:space="0"/>
                  </w:tcBorders>
                  <w:vAlign w:val="center"/>
                </w:tcPr>
                <w:p w14:paraId="10BABDB4">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县</w:t>
                  </w:r>
                </w:p>
              </w:tc>
              <w:tc>
                <w:tcPr>
                  <w:tcW w:w="234" w:type="pct"/>
                  <w:vMerge w:val="continue"/>
                  <w:vAlign w:val="center"/>
                </w:tcPr>
                <w:p w14:paraId="52A50801">
                  <w:pPr>
                    <w:keepNext w:val="0"/>
                    <w:keepLines w:val="0"/>
                    <w:suppressLineNumbers w:val="0"/>
                    <w:spacing w:before="0" w:beforeAutospacing="0" w:after="0" w:afterAutospacing="0"/>
                    <w:ind w:left="0" w:right="0"/>
                    <w:jc w:val="center"/>
                    <w:rPr>
                      <w:b/>
                      <w:bCs/>
                      <w:color w:val="auto"/>
                      <w:szCs w:val="21"/>
                      <w:highlight w:val="none"/>
                    </w:rPr>
                  </w:pPr>
                </w:p>
              </w:tc>
              <w:tc>
                <w:tcPr>
                  <w:tcW w:w="1055" w:type="pct"/>
                  <w:tcBorders>
                    <w:top w:val="single" w:color="auto" w:sz="4" w:space="0"/>
                  </w:tcBorders>
                  <w:vAlign w:val="center"/>
                </w:tcPr>
                <w:p w14:paraId="630E9625">
                  <w:pPr>
                    <w:keepNext w:val="0"/>
                    <w:keepLines w:val="0"/>
                    <w:suppressLineNumbers w:val="0"/>
                    <w:spacing w:before="0" w:beforeAutospacing="0" w:after="0" w:afterAutospacing="0"/>
                    <w:ind w:left="0" w:right="0"/>
                    <w:jc w:val="center"/>
                    <w:rPr>
                      <w:b/>
                      <w:bCs/>
                      <w:color w:val="auto"/>
                      <w:szCs w:val="21"/>
                      <w:highlight w:val="none"/>
                    </w:rPr>
                  </w:pPr>
                  <w:r>
                    <w:rPr>
                      <w:color w:val="auto"/>
                      <w:szCs w:val="21"/>
                      <w:highlight w:val="none"/>
                    </w:rPr>
                    <w:t>空间布局约束</w:t>
                  </w:r>
                </w:p>
              </w:tc>
              <w:tc>
                <w:tcPr>
                  <w:tcW w:w="560" w:type="pct"/>
                  <w:tcBorders>
                    <w:top w:val="single" w:color="auto" w:sz="4" w:space="0"/>
                  </w:tcBorders>
                  <w:vAlign w:val="center"/>
                </w:tcPr>
                <w:p w14:paraId="13981008">
                  <w:pPr>
                    <w:keepNext w:val="0"/>
                    <w:keepLines w:val="0"/>
                    <w:suppressLineNumbers w:val="0"/>
                    <w:spacing w:before="0" w:beforeAutospacing="0" w:after="0" w:afterAutospacing="0"/>
                    <w:ind w:left="0" w:right="0"/>
                    <w:jc w:val="center"/>
                    <w:rPr>
                      <w:b/>
                      <w:bCs/>
                      <w:color w:val="auto"/>
                      <w:szCs w:val="21"/>
                      <w:highlight w:val="none"/>
                    </w:rPr>
                  </w:pPr>
                  <w:r>
                    <w:rPr>
                      <w:color w:val="auto"/>
                      <w:szCs w:val="21"/>
                      <w:highlight w:val="none"/>
                    </w:rPr>
                    <w:t>污染物排放管控</w:t>
                  </w:r>
                </w:p>
              </w:tc>
              <w:tc>
                <w:tcPr>
                  <w:tcW w:w="940" w:type="pct"/>
                  <w:tcBorders>
                    <w:top w:val="single" w:color="auto" w:sz="4" w:space="0"/>
                  </w:tcBorders>
                  <w:vAlign w:val="center"/>
                </w:tcPr>
                <w:p w14:paraId="0C0B4E4D">
                  <w:pPr>
                    <w:keepNext w:val="0"/>
                    <w:keepLines w:val="0"/>
                    <w:suppressLineNumbers w:val="0"/>
                    <w:spacing w:before="0" w:beforeAutospacing="0" w:after="0" w:afterAutospacing="0"/>
                    <w:ind w:left="0" w:right="0"/>
                    <w:jc w:val="center"/>
                    <w:rPr>
                      <w:b/>
                      <w:bCs/>
                      <w:color w:val="auto"/>
                      <w:szCs w:val="21"/>
                      <w:highlight w:val="none"/>
                    </w:rPr>
                  </w:pPr>
                  <w:r>
                    <w:rPr>
                      <w:color w:val="auto"/>
                      <w:szCs w:val="21"/>
                      <w:highlight w:val="none"/>
                    </w:rPr>
                    <w:t>环境风险防控</w:t>
                  </w:r>
                </w:p>
              </w:tc>
              <w:tc>
                <w:tcPr>
                  <w:tcW w:w="586" w:type="pct"/>
                  <w:tcBorders>
                    <w:top w:val="single" w:color="auto" w:sz="4" w:space="0"/>
                  </w:tcBorders>
                  <w:vAlign w:val="center"/>
                </w:tcPr>
                <w:p w14:paraId="13A8B4D5">
                  <w:pPr>
                    <w:keepNext w:val="0"/>
                    <w:keepLines w:val="0"/>
                    <w:suppressLineNumbers w:val="0"/>
                    <w:spacing w:before="0" w:beforeAutospacing="0" w:after="0" w:afterAutospacing="0"/>
                    <w:ind w:left="0" w:right="0"/>
                    <w:jc w:val="center"/>
                    <w:rPr>
                      <w:b/>
                      <w:bCs/>
                      <w:color w:val="auto"/>
                      <w:szCs w:val="21"/>
                      <w:highlight w:val="none"/>
                    </w:rPr>
                  </w:pPr>
                  <w:r>
                    <w:rPr>
                      <w:color w:val="auto"/>
                      <w:szCs w:val="21"/>
                      <w:highlight w:val="none"/>
                    </w:rPr>
                    <w:t>资源利用效率要求</w:t>
                  </w:r>
                </w:p>
              </w:tc>
              <w:tc>
                <w:tcPr>
                  <w:tcW w:w="709" w:type="pct"/>
                  <w:vMerge w:val="continue"/>
                  <w:vAlign w:val="center"/>
                </w:tcPr>
                <w:p w14:paraId="61AB0B67">
                  <w:pPr>
                    <w:keepNext w:val="0"/>
                    <w:keepLines w:val="0"/>
                    <w:suppressLineNumbers w:val="0"/>
                    <w:spacing w:before="0" w:beforeAutospacing="0" w:after="0" w:afterAutospacing="0"/>
                    <w:ind w:left="0" w:right="0"/>
                    <w:jc w:val="center"/>
                    <w:rPr>
                      <w:b/>
                      <w:bCs/>
                      <w:color w:val="auto"/>
                      <w:szCs w:val="21"/>
                      <w:highlight w:val="none"/>
                    </w:rPr>
                  </w:pPr>
                </w:p>
              </w:tc>
            </w:tr>
            <w:tr w14:paraId="0DA1C5A6">
              <w:trPr>
                <w:trHeight w:val="340" w:hRule="atLeast"/>
                <w:jc w:val="center"/>
              </w:trPr>
              <w:tc>
                <w:tcPr>
                  <w:tcW w:w="257" w:type="pct"/>
                  <w:vAlign w:val="center"/>
                </w:tcPr>
                <w:p w14:paraId="0254A9B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141</w:t>
                  </w:r>
                </w:p>
              </w:tc>
              <w:tc>
                <w:tcPr>
                  <w:tcW w:w="469" w:type="pct"/>
                  <w:vAlign w:val="center"/>
                </w:tcPr>
                <w:p w14:paraId="340558F3">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lang w:val="en-US" w:eastAsia="zh-CN"/>
                    </w:rPr>
                    <w:t>涟水新港电子</w:t>
                  </w:r>
                  <w:r>
                    <w:rPr>
                      <w:rFonts w:hint="eastAsia" w:asciiTheme="minorEastAsia" w:hAnsiTheme="minorEastAsia"/>
                      <w:color w:val="auto"/>
                      <w:szCs w:val="21"/>
                      <w:highlight w:val="none"/>
                    </w:rPr>
                    <w:t>产业</w:t>
                  </w:r>
                  <w:r>
                    <w:rPr>
                      <w:rFonts w:hint="eastAsia" w:asciiTheme="minorEastAsia" w:hAnsiTheme="minorEastAsia"/>
                      <w:color w:val="auto"/>
                      <w:szCs w:val="21"/>
                      <w:highlight w:val="none"/>
                      <w:lang w:val="en-US" w:eastAsia="zh-CN"/>
                    </w:rPr>
                    <w:t>科技</w:t>
                  </w:r>
                  <w:r>
                    <w:rPr>
                      <w:rFonts w:hint="eastAsia" w:asciiTheme="minorEastAsia" w:hAnsiTheme="minorEastAsia"/>
                      <w:color w:val="auto"/>
                      <w:szCs w:val="21"/>
                      <w:highlight w:val="none"/>
                    </w:rPr>
                    <w:t>园</w:t>
                  </w:r>
                </w:p>
              </w:tc>
              <w:tc>
                <w:tcPr>
                  <w:tcW w:w="186" w:type="pct"/>
                  <w:vAlign w:val="center"/>
                </w:tcPr>
                <w:p w14:paraId="620D865C">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涟水县</w:t>
                  </w:r>
                </w:p>
              </w:tc>
              <w:tc>
                <w:tcPr>
                  <w:tcW w:w="234" w:type="pct"/>
                  <w:vAlign w:val="center"/>
                </w:tcPr>
                <w:p w14:paraId="76AC9C2F">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重点管控单元</w:t>
                  </w:r>
                </w:p>
              </w:tc>
              <w:tc>
                <w:tcPr>
                  <w:tcW w:w="1055" w:type="pct"/>
                  <w:vAlign w:val="center"/>
                </w:tcPr>
                <w:p w14:paraId="3852C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asciiTheme="minorEastAsia" w:hAnsiTheme="minorEastAsia"/>
                      <w:color w:val="auto"/>
                      <w:szCs w:val="21"/>
                      <w:highlight w:val="none"/>
                      <w:lang w:val="zh-CN"/>
                    </w:rPr>
                  </w:pPr>
                  <w:r>
                    <w:rPr>
                      <w:rFonts w:hint="default" w:ascii="Times New Roman" w:hAnsi="Times New Roman" w:cs="Times New Roman"/>
                      <w:color w:val="auto"/>
                      <w:sz w:val="21"/>
                      <w:szCs w:val="21"/>
                      <w:highlight w:val="none"/>
                      <w:lang w:val="en-US" w:eastAsia="zh-CN"/>
                    </w:rPr>
                    <w:t>优先发展：新港电子产业园主导产业为PCB制造业以及与PCB相关的上下游产业（模具、模具零件以及外壳组件制造等），配套发展现代物流仓储中心。</w:t>
                  </w:r>
                  <w:r>
                    <w:rPr>
                      <w:rFonts w:hint="eastAsia"/>
                      <w:color w:val="auto"/>
                      <w:sz w:val="21"/>
                      <w:szCs w:val="21"/>
                      <w:highlight w:val="none"/>
                      <w:lang w:val="en-US" w:eastAsia="zh-CN"/>
                    </w:rPr>
                    <w:t>禁止发展：新港电子产业园禁止引入PCB产业及PCB上下游产业中不符合国家政策、不符合产业定位、不满足清洁生产水平一级标准、工艺落后、含有毒有害氰化物电镀工艺（氰化金钾电镀金及氰化亚金钾镀金暂缓淘汰，银、铜基合金及镀铜打底工艺暂缓淘汰）。</w:t>
                  </w:r>
                </w:p>
              </w:tc>
              <w:tc>
                <w:tcPr>
                  <w:tcW w:w="560" w:type="pct"/>
                  <w:vAlign w:val="center"/>
                </w:tcPr>
                <w:p w14:paraId="407C1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（1）大气污染物排放总量：二氧化硫</w:t>
                  </w:r>
                  <w:r>
                    <w:rPr>
                      <w:rFonts w:hint="default" w:ascii="Times New Roman" w:hAnsi="Times New Roman" w:cs="Times New Roman"/>
                      <w:color w:val="auto"/>
                      <w:szCs w:val="21"/>
                      <w:highlight w:val="none"/>
                      <w:lang w:val="en-US" w:eastAsia="zh-CN"/>
                    </w:rPr>
                    <w:t>1.920147</w:t>
                  </w:r>
                  <w:r>
                    <w:rPr>
                      <w:rFonts w:hint="default" w:ascii="Times New Roman" w:hAnsi="Times New Roman" w:cs="Times New Roman"/>
                      <w:color w:val="auto"/>
                      <w:szCs w:val="21"/>
                      <w:highlight w:val="none"/>
                    </w:rPr>
                    <w:t>吨/年，</w:t>
                  </w:r>
                  <w:r>
                    <w:rPr>
                      <w:rFonts w:hint="default" w:ascii="Times New Roman" w:hAnsi="Times New Roman" w:cs="Times New Roman"/>
                      <w:color w:val="auto"/>
                      <w:szCs w:val="21"/>
                      <w:highlight w:val="none"/>
                      <w:lang w:val="en-US" w:eastAsia="zh-CN"/>
                    </w:rPr>
                    <w:t>烟（粉）尘127.1012</w:t>
                  </w:r>
                  <w:r>
                    <w:rPr>
                      <w:rFonts w:hint="default" w:ascii="Times New Roman" w:hAnsi="Times New Roman" w:cs="Times New Roman"/>
                      <w:color w:val="auto"/>
                      <w:szCs w:val="21"/>
                      <w:highlight w:val="none"/>
                    </w:rPr>
                    <w:t>吨/年，氮氧化物</w:t>
                  </w:r>
                  <w:r>
                    <w:rPr>
                      <w:rFonts w:hint="default" w:ascii="Times New Roman" w:hAnsi="Times New Roman" w:cs="Times New Roman"/>
                      <w:color w:val="auto"/>
                      <w:szCs w:val="21"/>
                      <w:highlight w:val="none"/>
                      <w:lang w:val="en-US" w:eastAsia="zh-CN"/>
                    </w:rPr>
                    <w:t>10.3627</w:t>
                  </w:r>
                  <w:r>
                    <w:rPr>
                      <w:rFonts w:hint="default" w:ascii="Times New Roman" w:hAnsi="Times New Roman" w:cs="Times New Roman"/>
                      <w:color w:val="auto"/>
                      <w:szCs w:val="21"/>
                      <w:highlight w:val="none"/>
                    </w:rPr>
                    <w:t>吨/年。</w:t>
                  </w:r>
                </w:p>
                <w:p w14:paraId="4D316C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heme="minorEastAsia" w:hAnsiTheme="minorEastAsia"/>
                      <w:color w:val="auto"/>
                      <w:szCs w:val="21"/>
                      <w:highlight w:val="none"/>
                    </w:rPr>
                  </w:pPr>
                  <w:r>
                    <w:rPr>
                      <w:rFonts w:hint="default" w:ascii="Times New Roman" w:hAnsi="Times New Roman" w:cs="Times New Roman"/>
                      <w:color w:val="auto"/>
                      <w:szCs w:val="21"/>
                      <w:highlight w:val="none"/>
                    </w:rPr>
                    <w:t>（2）水污染物排放总量：化学需氧量</w:t>
                  </w:r>
                  <w:r>
                    <w:rPr>
                      <w:rFonts w:hint="default" w:ascii="Times New Roman" w:hAnsi="Times New Roman" w:cs="Times New Roman"/>
                      <w:color w:val="auto"/>
                      <w:szCs w:val="21"/>
                      <w:highlight w:val="none"/>
                      <w:lang w:val="en-US" w:eastAsia="zh-CN"/>
                    </w:rPr>
                    <w:t>108.04</w:t>
                  </w:r>
                  <w:r>
                    <w:rPr>
                      <w:rFonts w:hint="default" w:ascii="Times New Roman" w:hAnsi="Times New Roman" w:cs="Times New Roman"/>
                      <w:color w:val="auto"/>
                      <w:szCs w:val="21"/>
                      <w:highlight w:val="none"/>
                    </w:rPr>
                    <w:t>吨/年，氨氮</w:t>
                  </w:r>
                  <w:r>
                    <w:rPr>
                      <w:rFonts w:hint="default" w:ascii="Times New Roman" w:hAnsi="Times New Roman" w:cs="Times New Roman"/>
                      <w:color w:val="auto"/>
                      <w:szCs w:val="21"/>
                      <w:highlight w:val="none"/>
                      <w:lang w:val="en-US" w:eastAsia="zh-CN"/>
                    </w:rPr>
                    <w:t>20.258</w:t>
                  </w:r>
                  <w:r>
                    <w:rPr>
                      <w:rFonts w:hint="default" w:ascii="Times New Roman" w:hAnsi="Times New Roman" w:cs="Times New Roman"/>
                      <w:color w:val="auto"/>
                      <w:szCs w:val="21"/>
                      <w:highlight w:val="none"/>
                    </w:rPr>
                    <w:t>吨/年</w:t>
                  </w:r>
                  <w:r>
                    <w:rPr>
                      <w:rFonts w:hint="default" w:ascii="Times New Roman" w:hAnsi="Times New Roman" w:cs="Times New Roman"/>
                      <w:color w:val="auto"/>
                      <w:szCs w:val="21"/>
                      <w:highlight w:val="none"/>
                      <w:lang w:eastAsia="zh-CN"/>
                    </w:rPr>
                    <w:t>。</w:t>
                  </w:r>
                </w:p>
              </w:tc>
              <w:tc>
                <w:tcPr>
                  <w:tcW w:w="940" w:type="pct"/>
                  <w:vAlign w:val="center"/>
                </w:tcPr>
                <w:p w14:paraId="5D3AB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heme="minorEastAsia" w:hAnsiTheme="minorEastAsia"/>
                      <w:color w:val="auto"/>
                      <w:szCs w:val="21"/>
                      <w:highlight w:val="none"/>
                    </w:rPr>
                  </w:pPr>
                  <w:r>
                    <w:rPr>
                      <w:rFonts w:hint="eastAsia"/>
                      <w:color w:val="auto"/>
                      <w:sz w:val="21"/>
                      <w:szCs w:val="21"/>
                      <w:highlight w:val="none"/>
                      <w:lang w:val="en-US" w:eastAsia="zh-CN"/>
                    </w:rPr>
                    <w:t>开发区及入区企业均应制定并落实各类事故风险防范措施及应急预案。区内各企业须按规范要求建设贮存、使用危险化学品的生产装置，杜绝泄漏物料进行环境；储备必需的设备物资，并定期组织实战演练，最大限度地防止和减轻事故的危害，确保开发区环境安全。排放工业废水的企业应设置足够容量的事故污水池，严禁污水超标排放。</w:t>
                  </w:r>
                </w:p>
              </w:tc>
              <w:tc>
                <w:tcPr>
                  <w:tcW w:w="586" w:type="pct"/>
                  <w:vAlign w:val="center"/>
                </w:tcPr>
                <w:p w14:paraId="5E02306E">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禁止销售使用燃料为“</w:t>
                  </w:r>
                  <w:r>
                    <w:rPr>
                      <w:rFonts w:hint="eastAsia" w:asciiTheme="minorEastAsia" w:hAnsiTheme="minorEastAsia"/>
                      <w:color w:val="auto"/>
                      <w:szCs w:val="21"/>
                      <w:highlight w:val="none"/>
                      <w:lang w:eastAsia="zh-CN"/>
                    </w:rPr>
                    <w:t>Ⅱ类</w:t>
                  </w:r>
                  <w:r>
                    <w:rPr>
                      <w:rFonts w:hint="eastAsia" w:asciiTheme="minorEastAsia" w:hAnsiTheme="minorEastAsia"/>
                      <w:color w:val="auto"/>
                      <w:szCs w:val="21"/>
                      <w:highlight w:val="none"/>
                    </w:rPr>
                    <w:t>”（较严），具体包括：①除单台出力大于等于20蒸吨/小时锅炉以外燃用的煤炭及其制品。②石油焦、油页岩、 原油、重油、渣油、煤焦油</w:t>
                  </w:r>
                </w:p>
              </w:tc>
              <w:tc>
                <w:tcPr>
                  <w:tcW w:w="709" w:type="pct"/>
                  <w:vAlign w:val="center"/>
                </w:tcPr>
                <w:p w14:paraId="15F6A8C3">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符合，本项目为</w:t>
                  </w:r>
                  <w:r>
                    <w:rPr>
                      <w:rFonts w:hint="eastAsia" w:hAnsi="宋体"/>
                      <w:color w:val="auto"/>
                      <w:sz w:val="21"/>
                      <w:szCs w:val="21"/>
                      <w:highlight w:val="none"/>
                      <w:lang w:eastAsia="zh-CN"/>
                    </w:rPr>
                    <w:t>智能整机设备</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color w:val="auto"/>
                      <w:szCs w:val="21"/>
                      <w:highlight w:val="none"/>
                    </w:rPr>
                    <w:t>，</w:t>
                  </w:r>
                  <w:r>
                    <w:rPr>
                      <w:rFonts w:hint="eastAsia"/>
                      <w:color w:val="auto"/>
                    </w:rPr>
                    <w:t>不属于园区限制引入和禁止引入的产业，属于允许类产业</w:t>
                  </w:r>
                  <w:r>
                    <w:rPr>
                      <w:rFonts w:hint="eastAsia" w:asciiTheme="minorEastAsia" w:hAnsiTheme="minorEastAsia"/>
                      <w:color w:val="auto"/>
                      <w:szCs w:val="21"/>
                      <w:highlight w:val="none"/>
                    </w:rPr>
                    <w:t>，所需的总量在涟水县剩余总量范围内平衡；项目拟设置一定的应急物资并建立相应防范体系以应对环境风险事故，本项目不涉及燃料的使用。</w:t>
                  </w:r>
                </w:p>
              </w:tc>
            </w:tr>
          </w:tbl>
          <w:p w14:paraId="2D196245">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highlight w:val="none"/>
              </w:rPr>
            </w:pPr>
            <w:r>
              <w:rPr>
                <w:color w:val="auto"/>
                <w:sz w:val="24"/>
                <w:highlight w:val="none"/>
              </w:rPr>
              <w:t>经分析，项目与关于印发《淮安市环境管控单元生态环境准入清单》的通知（淮政发〔2020〕264号）相符。</w:t>
            </w:r>
          </w:p>
          <w:p w14:paraId="09DD8CB3">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sz w:val="24"/>
                <w:highlight w:val="none"/>
              </w:rPr>
            </w:pPr>
            <w:r>
              <w:rPr>
                <w:rFonts w:hint="eastAsia"/>
                <w:b/>
                <w:color w:val="auto"/>
                <w:sz w:val="24"/>
                <w:highlight w:val="none"/>
              </w:rPr>
              <w:t>2</w:t>
            </w:r>
            <w:r>
              <w:rPr>
                <w:b/>
                <w:color w:val="auto"/>
                <w:sz w:val="24"/>
                <w:highlight w:val="none"/>
              </w:rPr>
              <w:t>.</w:t>
            </w:r>
            <w:r>
              <w:rPr>
                <w:rFonts w:hAnsi="宋体"/>
                <w:b/>
                <w:color w:val="auto"/>
                <w:sz w:val="24"/>
                <w:highlight w:val="none"/>
              </w:rPr>
              <w:t>与环境质量底线相符性</w:t>
            </w:r>
          </w:p>
          <w:p w14:paraId="57C551FC">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olor w:val="auto"/>
                <w:sz w:val="24"/>
                <w:szCs w:val="32"/>
                <w:highlight w:val="none"/>
              </w:rPr>
            </w:pPr>
            <w:r>
              <w:rPr>
                <w:rFonts w:hint="eastAsia"/>
                <w:color w:val="auto"/>
                <w:sz w:val="24"/>
              </w:rPr>
              <w:t>（1）</w:t>
            </w:r>
            <w:r>
              <w:rPr>
                <w:color w:val="auto"/>
                <w:sz w:val="24"/>
              </w:rPr>
              <w:t>大气环境</w:t>
            </w:r>
          </w:p>
          <w:p w14:paraId="33137222">
            <w:pPr>
              <w:keepNext w:val="0"/>
              <w:keepLines w:val="0"/>
              <w:widowControl/>
              <w:suppressLineNumbers w:val="0"/>
              <w:spacing w:before="0" w:beforeAutospacing="0" w:after="0" w:afterAutospacing="0" w:line="360" w:lineRule="auto"/>
              <w:ind w:left="0" w:right="0" w:firstLine="480" w:firstLineChars="200"/>
              <w:rPr>
                <w:rFonts w:hint="eastAsia"/>
                <w:color w:val="auto"/>
                <w:sz w:val="24"/>
              </w:rPr>
            </w:pPr>
            <w:r>
              <w:rPr>
                <w:rFonts w:hint="eastAsia" w:eastAsia="宋体"/>
                <w:color w:val="auto"/>
                <w:sz w:val="24"/>
                <w:szCs w:val="32"/>
                <w:highlight w:val="none"/>
              </w:rPr>
              <w:t>根据</w:t>
            </w:r>
            <w:r>
              <w:rPr>
                <w:bCs/>
                <w:color w:val="auto"/>
                <w:sz w:val="24"/>
              </w:rPr>
              <w:t>淮安市涟水生态环境局</w:t>
            </w:r>
            <w:r>
              <w:rPr>
                <w:color w:val="auto"/>
                <w:sz w:val="24"/>
                <w:szCs w:val="20"/>
              </w:rPr>
              <w:t>公布的</w:t>
            </w:r>
            <w:r>
              <w:rPr>
                <w:rFonts w:hint="eastAsia" w:eastAsia="宋体"/>
                <w:color w:val="auto"/>
                <w:sz w:val="24"/>
                <w:szCs w:val="32"/>
                <w:highlight w:val="none"/>
              </w:rPr>
              <w:t>《</w:t>
            </w:r>
            <w:r>
              <w:rPr>
                <w:rFonts w:eastAsia="宋体"/>
                <w:color w:val="auto"/>
                <w:sz w:val="24"/>
                <w:szCs w:val="32"/>
                <w:highlight w:val="none"/>
              </w:rPr>
              <w:t>202</w:t>
            </w:r>
            <w:r>
              <w:rPr>
                <w:rFonts w:hint="eastAsia" w:eastAsia="宋体"/>
                <w:color w:val="auto"/>
                <w:sz w:val="24"/>
                <w:szCs w:val="32"/>
                <w:highlight w:val="none"/>
                <w:lang w:val="en-US" w:eastAsia="zh-CN"/>
              </w:rPr>
              <w:t>4</w:t>
            </w:r>
            <w:r>
              <w:rPr>
                <w:rFonts w:hint="eastAsia" w:eastAsia="宋体"/>
                <w:color w:val="auto"/>
                <w:sz w:val="24"/>
                <w:szCs w:val="32"/>
                <w:highlight w:val="none"/>
              </w:rPr>
              <w:t>年</w:t>
            </w:r>
            <w:r>
              <w:rPr>
                <w:color w:val="auto"/>
                <w:sz w:val="24"/>
                <w:szCs w:val="20"/>
              </w:rPr>
              <w:t>涟水县环境质量状况</w:t>
            </w:r>
            <w:r>
              <w:rPr>
                <w:rFonts w:hint="eastAsia" w:eastAsia="宋体"/>
                <w:color w:val="auto"/>
                <w:sz w:val="24"/>
                <w:szCs w:val="32"/>
                <w:highlight w:val="none"/>
              </w:rPr>
              <w:t>公报》</w:t>
            </w:r>
            <w:r>
              <w:rPr>
                <w:color w:val="auto"/>
                <w:sz w:val="24"/>
                <w:szCs w:val="20"/>
              </w:rPr>
              <w:t>，2024年涟水县2024年优良天数307天，污染天数59天，PM</w:t>
            </w:r>
            <w:r>
              <w:rPr>
                <w:color w:val="auto"/>
                <w:sz w:val="24"/>
                <w:szCs w:val="20"/>
                <w:vertAlign w:val="subscript"/>
              </w:rPr>
              <w:t>2.5</w:t>
            </w:r>
            <w:r>
              <w:rPr>
                <w:color w:val="auto"/>
                <w:sz w:val="24"/>
                <w:szCs w:val="20"/>
              </w:rPr>
              <w:t>均值为34.8μg/m</w:t>
            </w:r>
            <w:r>
              <w:rPr>
                <w:color w:val="auto"/>
                <w:sz w:val="24"/>
                <w:szCs w:val="20"/>
                <w:vertAlign w:val="superscript"/>
              </w:rPr>
              <w:t>3</w:t>
            </w:r>
            <w:r>
              <w:rPr>
                <w:color w:val="auto"/>
                <w:sz w:val="24"/>
                <w:szCs w:val="20"/>
              </w:rPr>
              <w:t xml:space="preserve"> </w:t>
            </w:r>
            <w:r>
              <w:rPr>
                <w:rFonts w:hint="eastAsia"/>
                <w:color w:val="auto"/>
                <w:sz w:val="24"/>
                <w:szCs w:val="20"/>
                <w:lang w:eastAsia="zh-CN"/>
              </w:rPr>
              <w:t>（</w:t>
            </w:r>
            <w:r>
              <w:rPr>
                <w:color w:val="auto"/>
                <w:sz w:val="24"/>
                <w:szCs w:val="20"/>
              </w:rPr>
              <w:t>年度目标值31μg/m</w:t>
            </w:r>
            <w:r>
              <w:rPr>
                <w:color w:val="auto"/>
                <w:sz w:val="24"/>
                <w:szCs w:val="20"/>
                <w:vertAlign w:val="superscript"/>
              </w:rPr>
              <w:t>3</w:t>
            </w:r>
            <w:r>
              <w:rPr>
                <w:rFonts w:hint="eastAsia"/>
                <w:color w:val="auto"/>
                <w:sz w:val="24"/>
                <w:szCs w:val="20"/>
                <w:vertAlign w:val="superscript"/>
                <w:lang w:eastAsia="zh-CN"/>
              </w:rPr>
              <w:t>）</w:t>
            </w:r>
            <w:r>
              <w:rPr>
                <w:color w:val="auto"/>
                <w:sz w:val="24"/>
                <w:szCs w:val="20"/>
              </w:rPr>
              <w:t>，同比下降6.6%；优良天数比率为83.9%</w:t>
            </w:r>
            <w:r>
              <w:rPr>
                <w:rFonts w:hint="eastAsia"/>
                <w:color w:val="auto"/>
                <w:sz w:val="24"/>
                <w:szCs w:val="20"/>
                <w:lang w:eastAsia="zh-CN"/>
              </w:rPr>
              <w:t>（</w:t>
            </w:r>
            <w:r>
              <w:rPr>
                <w:color w:val="auto"/>
                <w:sz w:val="24"/>
                <w:szCs w:val="20"/>
              </w:rPr>
              <w:t>年度目标值81.5%</w:t>
            </w:r>
            <w:r>
              <w:rPr>
                <w:rFonts w:hint="eastAsia"/>
                <w:color w:val="auto"/>
                <w:sz w:val="24"/>
                <w:szCs w:val="20"/>
                <w:lang w:eastAsia="zh-CN"/>
              </w:rPr>
              <w:t>）</w:t>
            </w:r>
            <w:r>
              <w:rPr>
                <w:color w:val="auto"/>
                <w:sz w:val="24"/>
                <w:szCs w:val="20"/>
              </w:rPr>
              <w:t>，同比上升6.6%。</w:t>
            </w:r>
            <w:r>
              <w:rPr>
                <w:color w:val="auto"/>
                <w:sz w:val="24"/>
              </w:rPr>
              <w:t>全市细颗粒物（PM</w:t>
            </w:r>
            <w:r>
              <w:rPr>
                <w:color w:val="auto"/>
                <w:sz w:val="24"/>
                <w:vertAlign w:val="subscript"/>
              </w:rPr>
              <w:t>2.</w:t>
            </w:r>
            <w:r>
              <w:rPr>
                <w:rFonts w:hint="eastAsia"/>
                <w:color w:val="auto"/>
                <w:sz w:val="24"/>
                <w:vertAlign w:val="subscript"/>
                <w:lang w:eastAsia="zh-CN"/>
              </w:rPr>
              <w:t>5）</w:t>
            </w:r>
            <w:r>
              <w:rPr>
                <w:color w:val="auto"/>
                <w:sz w:val="24"/>
              </w:rPr>
              <w:t>可吸入颗粒物（PM</w:t>
            </w:r>
            <w:r>
              <w:rPr>
                <w:color w:val="auto"/>
                <w:sz w:val="24"/>
                <w:vertAlign w:val="subscript"/>
              </w:rPr>
              <w:t>10</w:t>
            </w:r>
            <w:r>
              <w:rPr>
                <w:color w:val="auto"/>
                <w:sz w:val="24"/>
              </w:rPr>
              <w:t>）、二氧化硫（SO</w:t>
            </w:r>
            <w:r>
              <w:rPr>
                <w:color w:val="auto"/>
                <w:sz w:val="24"/>
                <w:vertAlign w:val="subscript"/>
              </w:rPr>
              <w:t>2</w:t>
            </w:r>
            <w:r>
              <w:rPr>
                <w:color w:val="auto"/>
                <w:sz w:val="24"/>
              </w:rPr>
              <w:t>）、二氧化氮（NO</w:t>
            </w:r>
            <w:r>
              <w:rPr>
                <w:color w:val="auto"/>
                <w:sz w:val="24"/>
                <w:vertAlign w:val="subscript"/>
              </w:rPr>
              <w:t>2</w:t>
            </w:r>
            <w:r>
              <w:rPr>
                <w:color w:val="auto"/>
                <w:sz w:val="24"/>
              </w:rPr>
              <w:t>）、一氧化碳（CO）和臭氧（O</w:t>
            </w:r>
            <w:r>
              <w:rPr>
                <w:color w:val="auto"/>
                <w:sz w:val="24"/>
                <w:vertAlign w:val="subscript"/>
              </w:rPr>
              <w:t>3</w:t>
            </w:r>
            <w:r>
              <w:rPr>
                <w:color w:val="auto"/>
                <w:sz w:val="24"/>
              </w:rPr>
              <w:t>）浓度年均浓度分别为 35 微克/立方米、58 微克/立方米、7 微克/立方米、18 微克/立方米、0.7毫克/立方米、105微克/立方米。除臭氧有所下降外，其他指标基本没有变化，优良天数上升。可吸入颗粒物</w:t>
            </w:r>
            <w:r>
              <w:rPr>
                <w:rFonts w:hint="eastAsia"/>
                <w:color w:val="auto"/>
                <w:sz w:val="24"/>
                <w:lang w:eastAsia="zh-CN"/>
              </w:rPr>
              <w:t>（</w:t>
            </w:r>
            <w:r>
              <w:rPr>
                <w:color w:val="auto"/>
                <w:sz w:val="24"/>
              </w:rPr>
              <w:t>PM</w:t>
            </w:r>
            <w:r>
              <w:rPr>
                <w:color w:val="auto"/>
                <w:sz w:val="24"/>
                <w:vertAlign w:val="subscript"/>
              </w:rPr>
              <w:t>10</w:t>
            </w:r>
            <w:r>
              <w:rPr>
                <w:rFonts w:hint="eastAsia"/>
                <w:color w:val="auto"/>
                <w:sz w:val="24"/>
                <w:vertAlign w:val="subscript"/>
                <w:lang w:eastAsia="zh-CN"/>
              </w:rPr>
              <w:t>）</w:t>
            </w:r>
            <w:r>
              <w:rPr>
                <w:color w:val="auto"/>
                <w:sz w:val="24"/>
              </w:rPr>
              <w:t>、颗粒物</w:t>
            </w:r>
            <w:r>
              <w:rPr>
                <w:rFonts w:hint="eastAsia"/>
                <w:color w:val="auto"/>
                <w:sz w:val="24"/>
                <w:lang w:eastAsia="zh-CN"/>
              </w:rPr>
              <w:t>（</w:t>
            </w:r>
            <w:r>
              <w:rPr>
                <w:color w:val="auto"/>
                <w:sz w:val="24"/>
              </w:rPr>
              <w:t>PM</w:t>
            </w:r>
            <w:r>
              <w:rPr>
                <w:color w:val="auto"/>
                <w:sz w:val="24"/>
                <w:vertAlign w:val="subscript"/>
              </w:rPr>
              <w:t>2.</w:t>
            </w:r>
            <w:r>
              <w:rPr>
                <w:rFonts w:hint="eastAsia"/>
                <w:color w:val="auto"/>
                <w:sz w:val="24"/>
                <w:vertAlign w:val="subscript"/>
                <w:lang w:eastAsia="zh-CN"/>
              </w:rPr>
              <w:t>5)</w:t>
            </w:r>
            <w:r>
              <w:rPr>
                <w:color w:val="auto"/>
                <w:sz w:val="24"/>
              </w:rPr>
              <w:t>二氧化硫</w:t>
            </w:r>
            <w:r>
              <w:rPr>
                <w:rFonts w:hint="eastAsia"/>
                <w:color w:val="auto"/>
                <w:sz w:val="24"/>
                <w:lang w:eastAsia="zh-CN"/>
              </w:rPr>
              <w:t>（</w:t>
            </w:r>
            <w:r>
              <w:rPr>
                <w:color w:val="auto"/>
                <w:sz w:val="24"/>
              </w:rPr>
              <w:t>SO</w:t>
            </w:r>
            <w:r>
              <w:rPr>
                <w:color w:val="auto"/>
                <w:sz w:val="24"/>
                <w:vertAlign w:val="subscript"/>
              </w:rPr>
              <w:t>2</w:t>
            </w:r>
            <w:r>
              <w:rPr>
                <w:rFonts w:hint="eastAsia"/>
                <w:color w:val="auto"/>
                <w:sz w:val="24"/>
                <w:vertAlign w:val="subscript"/>
                <w:lang w:eastAsia="zh-CN"/>
              </w:rPr>
              <w:t>）</w:t>
            </w:r>
            <w:r>
              <w:rPr>
                <w:color w:val="auto"/>
                <w:sz w:val="24"/>
              </w:rPr>
              <w:t>、二氧化氮</w:t>
            </w:r>
            <w:r>
              <w:rPr>
                <w:rFonts w:hint="eastAsia"/>
                <w:color w:val="auto"/>
                <w:sz w:val="24"/>
                <w:lang w:eastAsia="zh-CN"/>
              </w:rPr>
              <w:t>（</w:t>
            </w:r>
            <w:r>
              <w:rPr>
                <w:color w:val="auto"/>
                <w:sz w:val="24"/>
              </w:rPr>
              <w:t>NO</w:t>
            </w:r>
            <w:r>
              <w:rPr>
                <w:color w:val="auto"/>
                <w:sz w:val="24"/>
                <w:vertAlign w:val="subscript"/>
              </w:rPr>
              <w:t>2</w:t>
            </w:r>
            <w:r>
              <w:rPr>
                <w:rFonts w:hint="eastAsia"/>
                <w:color w:val="auto"/>
                <w:sz w:val="24"/>
                <w:vertAlign w:val="subscript"/>
                <w:lang w:eastAsia="zh-CN"/>
              </w:rPr>
              <w:t>）</w:t>
            </w:r>
            <w:r>
              <w:rPr>
                <w:color w:val="auto"/>
                <w:sz w:val="24"/>
              </w:rPr>
              <w:t>、一氧化碳</w:t>
            </w:r>
            <w:r>
              <w:rPr>
                <w:rFonts w:hint="eastAsia"/>
                <w:color w:val="auto"/>
                <w:sz w:val="24"/>
                <w:lang w:eastAsia="zh-CN"/>
              </w:rPr>
              <w:t>（</w:t>
            </w:r>
            <w:r>
              <w:rPr>
                <w:color w:val="auto"/>
                <w:sz w:val="24"/>
              </w:rPr>
              <w:t>CO</w:t>
            </w:r>
            <w:r>
              <w:rPr>
                <w:rFonts w:hint="eastAsia"/>
                <w:color w:val="auto"/>
                <w:sz w:val="24"/>
                <w:lang w:eastAsia="zh-CN"/>
              </w:rPr>
              <w:t>）</w:t>
            </w:r>
            <w:r>
              <w:rPr>
                <w:color w:val="auto"/>
                <w:sz w:val="24"/>
              </w:rPr>
              <w:t>和臭氧</w:t>
            </w:r>
            <w:r>
              <w:rPr>
                <w:rFonts w:hint="eastAsia"/>
                <w:color w:val="auto"/>
                <w:sz w:val="24"/>
                <w:lang w:eastAsia="zh-CN"/>
              </w:rPr>
              <w:t>（</w:t>
            </w:r>
            <w:r>
              <w:rPr>
                <w:color w:val="auto"/>
                <w:sz w:val="24"/>
              </w:rPr>
              <w:t>O</w:t>
            </w:r>
            <w:r>
              <w:rPr>
                <w:color w:val="auto"/>
                <w:sz w:val="24"/>
                <w:vertAlign w:val="subscript"/>
              </w:rPr>
              <w:t>3</w:t>
            </w:r>
            <w:r>
              <w:rPr>
                <w:rFonts w:hint="eastAsia"/>
                <w:color w:val="auto"/>
                <w:sz w:val="24"/>
                <w:vertAlign w:val="subscript"/>
                <w:lang w:eastAsia="zh-CN"/>
              </w:rPr>
              <w:t>）</w:t>
            </w:r>
            <w:r>
              <w:rPr>
                <w:color w:val="auto"/>
                <w:sz w:val="24"/>
              </w:rPr>
              <w:t>污染物浓度达到国家二级标准</w:t>
            </w:r>
            <w:r>
              <w:rPr>
                <w:rFonts w:hint="eastAsia"/>
                <w:color w:val="auto"/>
                <w:sz w:val="24"/>
              </w:rPr>
              <w:t>，</w:t>
            </w:r>
            <w:r>
              <w:rPr>
                <w:color w:val="auto"/>
                <w:sz w:val="24"/>
              </w:rPr>
              <w:t>故建设项目所在地为达标区。</w:t>
            </w:r>
          </w:p>
          <w:p w14:paraId="178AA04B">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rPr>
            </w:pPr>
            <w:r>
              <w:rPr>
                <w:color w:val="auto"/>
                <w:sz w:val="24"/>
              </w:rPr>
              <w:t>（2）水环境</w:t>
            </w:r>
          </w:p>
          <w:p w14:paraId="07D82504">
            <w:pPr>
              <w:keepNext w:val="0"/>
              <w:keepLines w:val="0"/>
              <w:widowControl/>
              <w:suppressLineNumbers w:val="0"/>
              <w:spacing w:before="0" w:beforeAutospacing="0" w:after="0" w:afterAutospacing="0" w:line="360" w:lineRule="auto"/>
              <w:ind w:left="0" w:right="0" w:firstLine="480" w:firstLineChars="200"/>
              <w:rPr>
                <w:color w:val="auto"/>
                <w:sz w:val="24"/>
              </w:rPr>
            </w:pPr>
            <w:r>
              <w:rPr>
                <w:rFonts w:hint="eastAsia"/>
                <w:color w:val="auto"/>
                <w:sz w:val="24"/>
              </w:rPr>
              <w:t>根据《2024年涟水县环境质量状况公报》，涟水县全县饮用水主要由县涟缘水务有限公司供给，涟水县水源地设在涟水县古淮河保滩水源地，涟水县饮用水源水质达到《地表水环境质量标准》（GB3838-2002）中Ⅲ类水标准；黄河故道（杨庄以下段）水质达到《地表水环境质量标准》（GB3838-2002）中Ⅲ类水标准；一帆河</w:t>
            </w:r>
            <w:r>
              <w:rPr>
                <w:rFonts w:hint="eastAsia"/>
                <w:color w:val="auto"/>
                <w:sz w:val="24"/>
                <w:lang w:eastAsia="zh-CN"/>
              </w:rPr>
              <w:t>（</w:t>
            </w:r>
            <w:r>
              <w:rPr>
                <w:rFonts w:hint="eastAsia"/>
                <w:color w:val="auto"/>
                <w:sz w:val="24"/>
              </w:rPr>
              <w:t>古盐河</w:t>
            </w:r>
            <w:r>
              <w:rPr>
                <w:rFonts w:hint="eastAsia"/>
                <w:color w:val="auto"/>
                <w:sz w:val="24"/>
                <w:lang w:eastAsia="zh-CN"/>
              </w:rPr>
              <w:t>）</w:t>
            </w:r>
            <w:r>
              <w:rPr>
                <w:rFonts w:hint="eastAsia"/>
                <w:color w:val="auto"/>
              </w:rPr>
              <w:t xml:space="preserve"> </w:t>
            </w:r>
            <w:r>
              <w:rPr>
                <w:rFonts w:hint="eastAsia"/>
                <w:color w:val="auto"/>
                <w:sz w:val="24"/>
              </w:rPr>
              <w:t>水质年均值达到《地表水环境质量标准》（GB3838-2002）中Ⅳ类水标准；唐响河水质达到《地表水环境质量标准》（GB3838-2002）中Ⅲ类水标准；公兴河水质年均值达到《地表水环境质量标准》（GB3838-2002）中Ⅳ类水标准；南六塘河个别月份高锰酸盐指、生化需氧量、氨氮、总磷超标，其他因子均达到《地表水环境质量标准》（GB3838-2002）中Ⅲ类水标准；盐河个别月份高锰酸盐指数、总磷超标，其他因子均达到《地表水环境质量标准》（GB3838-2002）中Ⅲ类水标准。</w:t>
            </w:r>
          </w:p>
          <w:p w14:paraId="759E817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color w:val="auto"/>
                <w:sz w:val="24"/>
              </w:rPr>
            </w:pPr>
            <w:r>
              <w:rPr>
                <w:rFonts w:hint="eastAsia" w:hAnsi="宋体"/>
                <w:color w:val="auto"/>
                <w:sz w:val="24"/>
              </w:rPr>
              <w:t>（3）</w:t>
            </w:r>
            <w:r>
              <w:rPr>
                <w:rFonts w:hAnsi="宋体"/>
                <w:color w:val="auto"/>
                <w:sz w:val="24"/>
              </w:rPr>
              <w:t>噪声</w:t>
            </w:r>
          </w:p>
          <w:p w14:paraId="4BF4F55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lang w:bidi="ar"/>
              </w:rPr>
              <w:t>根据《2024年涟水县环境质量状况</w:t>
            </w:r>
            <w:r>
              <w:rPr>
                <w:rFonts w:hint="eastAsia"/>
                <w:color w:val="auto"/>
                <w:sz w:val="24"/>
                <w:lang w:bidi="ar"/>
              </w:rPr>
              <w:t>公报</w:t>
            </w:r>
            <w:r>
              <w:rPr>
                <w:color w:val="auto"/>
                <w:sz w:val="24"/>
                <w:lang w:bidi="ar"/>
              </w:rPr>
              <w:t>》显示，</w:t>
            </w:r>
            <w:r>
              <w:rPr>
                <w:color w:val="auto"/>
                <w:kern w:val="0"/>
                <w:sz w:val="24"/>
              </w:rPr>
              <w:t>2024年度城区环境噪声昼间等效声级Leq平均值为：55.8dB（A），与2023年度昼间等效声级相比上升了1.1 dB（A），2023年度城区环境噪声昼间等效声级Leq平均值为54.7 dB（A）。涟水县昼间城市区域环境噪声总体水平质量等级为三级，说明涟水县城市区域环境噪声总体水平对应评价为一般。</w:t>
            </w:r>
          </w:p>
          <w:p w14:paraId="56884AA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rPr>
              <w:t>本项目产生的废气、</w:t>
            </w:r>
            <w:r>
              <w:rPr>
                <w:rFonts w:hint="eastAsia"/>
                <w:color w:val="auto"/>
                <w:sz w:val="24"/>
                <w:lang w:val="en-US" w:eastAsia="zh-CN"/>
              </w:rPr>
              <w:t>废水、</w:t>
            </w:r>
            <w:r>
              <w:rPr>
                <w:color w:val="auto"/>
                <w:sz w:val="24"/>
              </w:rPr>
              <w:t>噪声、固体废物等经有效处理后，对环境影响较小，不会改变环境质量现状。</w:t>
            </w:r>
          </w:p>
          <w:p w14:paraId="3DC596B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rPr>
              <w:t>因此，项目的建设符合环境质量底线要求。</w:t>
            </w:r>
          </w:p>
          <w:p w14:paraId="2B85A936">
            <w:pPr>
              <w:keepNext w:val="0"/>
              <w:keepLines w:val="0"/>
              <w:suppressLineNumbers w:val="0"/>
              <w:wordWrap w:val="0"/>
              <w:spacing w:before="0" w:beforeAutospacing="0" w:after="0" w:afterAutospacing="0" w:line="360" w:lineRule="auto"/>
              <w:ind w:left="0" w:right="0" w:firstLine="482" w:firstLineChars="200"/>
              <w:rPr>
                <w:b/>
                <w:color w:val="auto"/>
                <w:sz w:val="24"/>
                <w:highlight w:val="none"/>
              </w:rPr>
            </w:pPr>
            <w:r>
              <w:rPr>
                <w:rFonts w:hint="eastAsia"/>
                <w:b/>
                <w:color w:val="auto"/>
                <w:sz w:val="24"/>
                <w:highlight w:val="none"/>
              </w:rPr>
              <w:t>3</w:t>
            </w:r>
            <w:r>
              <w:rPr>
                <w:b/>
                <w:color w:val="auto"/>
                <w:sz w:val="24"/>
                <w:highlight w:val="none"/>
              </w:rPr>
              <w:t>.</w:t>
            </w:r>
            <w:r>
              <w:rPr>
                <w:rFonts w:hAnsi="宋体"/>
                <w:b/>
                <w:color w:val="auto"/>
                <w:sz w:val="24"/>
                <w:highlight w:val="none"/>
              </w:rPr>
              <w:t>资源利用上线</w:t>
            </w:r>
          </w:p>
          <w:p w14:paraId="3A553D1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本项目为</w:t>
            </w:r>
            <w:r>
              <w:rPr>
                <w:rFonts w:hint="eastAsia" w:hAnsi="宋体"/>
                <w:color w:val="auto"/>
                <w:sz w:val="24"/>
                <w:highlight w:val="none"/>
                <w:lang w:eastAsia="zh-CN"/>
              </w:rPr>
              <w:t>智能整机设备</w:t>
            </w:r>
            <w:r>
              <w:rPr>
                <w:rFonts w:hint="eastAsia" w:hAnsi="宋体"/>
                <w:color w:val="auto"/>
                <w:sz w:val="24"/>
                <w:highlight w:val="none"/>
              </w:rPr>
              <w:t>生产项目</w:t>
            </w:r>
            <w:r>
              <w:rPr>
                <w:rFonts w:hAnsi="宋体"/>
                <w:color w:val="auto"/>
                <w:sz w:val="24"/>
                <w:highlight w:val="none"/>
              </w:rPr>
              <w:t>，营运过程中消耗一定量的电、水资源等，用水来自市政自来水管网供水，用电由市政电网所供给，不会达到资源利用上线；项目占地约</w:t>
            </w:r>
            <w:r>
              <w:rPr>
                <w:rFonts w:hint="eastAsia"/>
                <w:color w:val="auto"/>
                <w:sz w:val="24"/>
                <w:highlight w:val="none"/>
                <w:lang w:val="en-US" w:eastAsia="zh-CN"/>
              </w:rPr>
              <w:t>33333</w:t>
            </w:r>
            <w:r>
              <w:rPr>
                <w:rFonts w:hint="eastAsia"/>
                <w:color w:val="auto"/>
                <w:lang w:val="en-US" w:eastAsia="zh-CN"/>
              </w:rPr>
              <w:t>.</w:t>
            </w:r>
            <w:r>
              <w:rPr>
                <w:rFonts w:hint="eastAsia"/>
                <w:color w:val="auto"/>
                <w:sz w:val="24"/>
                <w:highlight w:val="none"/>
                <w:lang w:val="en-US" w:eastAsia="zh-CN"/>
              </w:rPr>
              <w:t>33</w:t>
            </w:r>
            <w:r>
              <w:rPr>
                <w:color w:val="auto"/>
                <w:sz w:val="24"/>
                <w:highlight w:val="none"/>
              </w:rPr>
              <w:t>m</w:t>
            </w:r>
            <w:r>
              <w:rPr>
                <w:color w:val="auto"/>
                <w:sz w:val="24"/>
                <w:highlight w:val="none"/>
                <w:vertAlign w:val="superscript"/>
              </w:rPr>
              <w:t>2</w:t>
            </w:r>
            <w:r>
              <w:rPr>
                <w:rFonts w:hAnsi="宋体"/>
                <w:color w:val="auto"/>
                <w:sz w:val="24"/>
                <w:highlight w:val="none"/>
              </w:rPr>
              <w:t>，不占用基本农田，不影响区域土地资源总量。</w:t>
            </w:r>
          </w:p>
          <w:p w14:paraId="4EA9F56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综上，本项目符合资源利用上</w:t>
            </w:r>
            <w:r>
              <w:rPr>
                <w:rFonts w:hint="eastAsia" w:hAnsi="宋体"/>
                <w:color w:val="auto"/>
                <w:sz w:val="24"/>
                <w:highlight w:val="none"/>
              </w:rPr>
              <w:t>线</w:t>
            </w:r>
            <w:r>
              <w:rPr>
                <w:rFonts w:hAnsi="宋体"/>
                <w:color w:val="auto"/>
                <w:sz w:val="24"/>
                <w:highlight w:val="none"/>
              </w:rPr>
              <w:t>要求。</w:t>
            </w:r>
          </w:p>
          <w:p w14:paraId="71C9CD41">
            <w:pPr>
              <w:keepNext w:val="0"/>
              <w:keepLines w:val="0"/>
              <w:suppressLineNumbers w:val="0"/>
              <w:wordWrap w:val="0"/>
              <w:spacing w:before="0" w:beforeAutospacing="0" w:after="0" w:afterAutospacing="0" w:line="360" w:lineRule="auto"/>
              <w:ind w:left="0" w:right="0" w:firstLine="482" w:firstLineChars="200"/>
              <w:rPr>
                <w:b/>
                <w:color w:val="auto"/>
                <w:sz w:val="24"/>
                <w:highlight w:val="none"/>
              </w:rPr>
            </w:pPr>
            <w:r>
              <w:rPr>
                <w:rFonts w:hint="eastAsia"/>
                <w:b/>
                <w:color w:val="auto"/>
                <w:sz w:val="24"/>
                <w:highlight w:val="none"/>
              </w:rPr>
              <w:t>4</w:t>
            </w:r>
            <w:r>
              <w:rPr>
                <w:b/>
                <w:color w:val="auto"/>
                <w:sz w:val="24"/>
                <w:highlight w:val="none"/>
              </w:rPr>
              <w:t>.</w:t>
            </w:r>
            <w:r>
              <w:rPr>
                <w:rFonts w:hAnsi="宋体"/>
                <w:b/>
                <w:color w:val="auto"/>
                <w:sz w:val="24"/>
                <w:highlight w:val="none"/>
              </w:rPr>
              <w:t>环境准入负面清单</w:t>
            </w:r>
          </w:p>
          <w:p w14:paraId="60DDFC4D">
            <w:pPr>
              <w:pStyle w:val="136"/>
              <w:keepNext w:val="0"/>
              <w:keepLines w:val="0"/>
              <w:suppressLineNumbers w:val="0"/>
              <w:tabs>
                <w:tab w:val="left" w:pos="1542"/>
              </w:tabs>
              <w:adjustRightInd w:val="0"/>
              <w:snapToGrid w:val="0"/>
              <w:spacing w:before="0" w:beforeAutospacing="0" w:after="0" w:afterAutospacing="0" w:line="360" w:lineRule="auto"/>
              <w:ind w:left="0" w:right="0" w:firstLine="476"/>
              <w:rPr>
                <w:rFonts w:eastAsia="新宋体" w:cs="宋体"/>
                <w:color w:val="auto"/>
                <w:spacing w:val="-1"/>
                <w:sz w:val="24"/>
                <w:highlight w:val="none"/>
              </w:rPr>
            </w:pPr>
            <w:r>
              <w:rPr>
                <w:rFonts w:hint="eastAsia" w:ascii="宋体" w:hAnsi="宋体" w:eastAsia="宋体" w:cs="宋体"/>
                <w:color w:val="auto"/>
                <w:spacing w:val="-1"/>
                <w:sz w:val="24"/>
                <w:highlight w:val="none"/>
              </w:rPr>
              <w:t>①</w:t>
            </w:r>
            <w:r>
              <w:rPr>
                <w:rFonts w:hint="eastAsia" w:eastAsia="新宋体" w:cs="宋体"/>
                <w:color w:val="auto"/>
                <w:spacing w:val="-1"/>
                <w:sz w:val="24"/>
                <w:highlight w:val="none"/>
              </w:rPr>
              <w:t>与园区环境准入清单相符性</w:t>
            </w:r>
          </w:p>
          <w:p w14:paraId="1126978F">
            <w:pPr>
              <w:pStyle w:val="136"/>
              <w:keepNext w:val="0"/>
              <w:keepLines w:val="0"/>
              <w:suppressLineNumbers w:val="0"/>
              <w:tabs>
                <w:tab w:val="left" w:pos="1542"/>
              </w:tabs>
              <w:adjustRightInd w:val="0"/>
              <w:snapToGrid w:val="0"/>
              <w:spacing w:before="0" w:beforeAutospacing="0" w:after="0" w:afterAutospacing="0" w:line="360" w:lineRule="auto"/>
              <w:ind w:left="0" w:right="0" w:firstLine="476"/>
              <w:rPr>
                <w:rFonts w:eastAsia="新宋体" w:cs="宋体"/>
                <w:color w:val="auto"/>
                <w:spacing w:val="-1"/>
                <w:sz w:val="24"/>
                <w:highlight w:val="none"/>
              </w:rPr>
            </w:pPr>
            <w:r>
              <w:rPr>
                <w:rFonts w:hint="eastAsia" w:eastAsia="新宋体" w:cs="宋体"/>
                <w:color w:val="auto"/>
                <w:spacing w:val="-1"/>
                <w:sz w:val="24"/>
                <w:highlight w:val="none"/>
              </w:rPr>
              <w:t>本项目与“</w:t>
            </w:r>
            <w:r>
              <w:rPr>
                <w:rFonts w:hint="eastAsia" w:ascii="宋体" w:hAnsi="宋体" w:cs="宋体"/>
                <w:color w:val="auto"/>
                <w:sz w:val="24"/>
                <w:szCs w:val="24"/>
                <w:highlight w:val="none"/>
              </w:rPr>
              <w:t>涟水县新港电子产业科技园</w:t>
            </w:r>
            <w:r>
              <w:rPr>
                <w:rFonts w:hint="eastAsia" w:eastAsia="新宋体" w:cs="宋体"/>
                <w:color w:val="auto"/>
                <w:spacing w:val="-1"/>
                <w:sz w:val="24"/>
                <w:highlight w:val="none"/>
              </w:rPr>
              <w:t>生态环境准入清单”的相符性详见表1-</w:t>
            </w:r>
            <w:r>
              <w:rPr>
                <w:rFonts w:hint="eastAsia" w:eastAsia="新宋体" w:cs="宋体"/>
                <w:color w:val="auto"/>
                <w:spacing w:val="-1"/>
                <w:sz w:val="24"/>
                <w:highlight w:val="none"/>
                <w:lang w:val="en-US" w:eastAsia="zh-CN"/>
              </w:rPr>
              <w:t>10</w:t>
            </w:r>
            <w:r>
              <w:rPr>
                <w:rFonts w:hint="eastAsia" w:eastAsia="新宋体" w:cs="宋体"/>
                <w:color w:val="auto"/>
                <w:spacing w:val="-1"/>
                <w:sz w:val="24"/>
                <w:highlight w:val="none"/>
              </w:rPr>
              <w:t>。</w:t>
            </w:r>
          </w:p>
          <w:p w14:paraId="573FD0A4">
            <w:pPr>
              <w:pStyle w:val="136"/>
              <w:keepNext w:val="0"/>
              <w:keepLines w:val="0"/>
              <w:pageBreakBefore w:val="0"/>
              <w:widowControl w:val="0"/>
              <w:suppressLineNumbers w:val="0"/>
              <w:tabs>
                <w:tab w:val="left" w:pos="1542"/>
              </w:tabs>
              <w:kinsoku/>
              <w:wordWrap/>
              <w:overflowPunct/>
              <w:topLinePunct w:val="0"/>
              <w:autoSpaceDE/>
              <w:autoSpaceDN/>
              <w:bidi w:val="0"/>
              <w:adjustRightInd w:val="0"/>
              <w:snapToGrid w:val="0"/>
              <w:spacing w:before="0" w:beforeAutospacing="0" w:after="0" w:afterAutospacing="0" w:line="240" w:lineRule="auto"/>
              <w:ind w:left="0" w:right="0" w:firstLine="478"/>
              <w:jc w:val="center"/>
              <w:textAlignment w:val="auto"/>
              <w:rPr>
                <w:rFonts w:eastAsia="新宋体" w:cs="宋体"/>
                <w:b/>
                <w:bCs/>
                <w:color w:val="auto"/>
                <w:spacing w:val="-1"/>
                <w:sz w:val="24"/>
                <w:highlight w:val="none"/>
              </w:rPr>
            </w:pPr>
            <w:r>
              <w:rPr>
                <w:rFonts w:hint="eastAsia" w:eastAsia="新宋体" w:cs="宋体"/>
                <w:b/>
                <w:bCs/>
                <w:color w:val="auto"/>
                <w:spacing w:val="-1"/>
                <w:sz w:val="24"/>
                <w:highlight w:val="none"/>
              </w:rPr>
              <w:t>表1</w:t>
            </w:r>
            <w:r>
              <w:rPr>
                <w:rFonts w:eastAsia="新宋体" w:cs="宋体"/>
                <w:b/>
                <w:bCs/>
                <w:color w:val="auto"/>
                <w:spacing w:val="-1"/>
                <w:sz w:val="24"/>
                <w:highlight w:val="none"/>
              </w:rPr>
              <w:t>-</w:t>
            </w:r>
            <w:r>
              <w:rPr>
                <w:rFonts w:hint="eastAsia" w:eastAsia="新宋体" w:cs="宋体"/>
                <w:b/>
                <w:bCs/>
                <w:color w:val="auto"/>
                <w:spacing w:val="-1"/>
                <w:sz w:val="24"/>
                <w:highlight w:val="none"/>
                <w:lang w:val="en-US" w:eastAsia="zh-CN"/>
              </w:rPr>
              <w:t>10</w:t>
            </w:r>
            <w:r>
              <w:rPr>
                <w:rFonts w:eastAsia="新宋体" w:cs="宋体"/>
                <w:b/>
                <w:bCs/>
                <w:color w:val="auto"/>
                <w:spacing w:val="-1"/>
                <w:sz w:val="24"/>
                <w:highlight w:val="none"/>
              </w:rPr>
              <w:t xml:space="preserve"> </w:t>
            </w:r>
            <w:r>
              <w:rPr>
                <w:rFonts w:hint="eastAsia" w:eastAsia="新宋体" w:cs="宋体"/>
                <w:b/>
                <w:bCs/>
                <w:color w:val="auto"/>
                <w:spacing w:val="-1"/>
                <w:sz w:val="24"/>
                <w:highlight w:val="none"/>
              </w:rPr>
              <w:t>本项目与园区生态环境准入清单相符性分析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54"/>
              <w:gridCol w:w="723"/>
              <w:gridCol w:w="3279"/>
              <w:gridCol w:w="1946"/>
              <w:gridCol w:w="672"/>
            </w:tblGrid>
            <w:tr w14:paraId="154D939E">
              <w:trPr>
                <w:trHeight w:val="340" w:hRule="atLeast"/>
                <w:jc w:val="center"/>
              </w:trPr>
              <w:tc>
                <w:tcPr>
                  <w:tcW w:w="4556" w:type="dxa"/>
                  <w:gridSpan w:val="3"/>
                  <w:vAlign w:val="center"/>
                </w:tcPr>
                <w:p w14:paraId="6B5F533F">
                  <w:pPr>
                    <w:keepNext w:val="0"/>
                    <w:keepLines w:val="0"/>
                    <w:suppressLineNumbers w:val="0"/>
                    <w:snapToGrid w:val="0"/>
                    <w:spacing w:before="0" w:beforeAutospacing="0" w:after="0" w:afterAutospacing="0"/>
                    <w:ind w:left="0" w:right="0"/>
                    <w:jc w:val="center"/>
                    <w:rPr>
                      <w:rFonts w:ascii="宋体" w:hAnsi="宋体"/>
                      <w:b/>
                      <w:color w:val="auto"/>
                      <w:kern w:val="0"/>
                      <w:szCs w:val="21"/>
                      <w:highlight w:val="none"/>
                    </w:rPr>
                  </w:pPr>
                  <w:r>
                    <w:rPr>
                      <w:rFonts w:hint="eastAsia" w:ascii="宋体" w:hAnsi="宋体"/>
                      <w:b/>
                      <w:color w:val="auto"/>
                      <w:kern w:val="0"/>
                      <w:szCs w:val="21"/>
                      <w:highlight w:val="none"/>
                    </w:rPr>
                    <w:t>项目种类</w:t>
                  </w:r>
                </w:p>
              </w:tc>
              <w:tc>
                <w:tcPr>
                  <w:tcW w:w="1946" w:type="dxa"/>
                  <w:vAlign w:val="center"/>
                </w:tcPr>
                <w:p w14:paraId="53B8ED34">
                  <w:pPr>
                    <w:keepNext w:val="0"/>
                    <w:keepLines w:val="0"/>
                    <w:suppressLineNumbers w:val="0"/>
                    <w:snapToGrid w:val="0"/>
                    <w:spacing w:before="0" w:beforeAutospacing="0" w:after="0" w:afterAutospacing="0"/>
                    <w:ind w:left="0" w:right="0"/>
                    <w:jc w:val="center"/>
                    <w:rPr>
                      <w:rFonts w:ascii="宋体" w:hAnsi="宋体"/>
                      <w:b/>
                      <w:color w:val="auto"/>
                      <w:kern w:val="0"/>
                      <w:szCs w:val="21"/>
                      <w:highlight w:val="none"/>
                    </w:rPr>
                  </w:pPr>
                  <w:r>
                    <w:rPr>
                      <w:rFonts w:hint="eastAsia" w:ascii="宋体" w:hAnsi="宋体"/>
                      <w:b/>
                      <w:color w:val="auto"/>
                      <w:kern w:val="0"/>
                      <w:szCs w:val="21"/>
                      <w:highlight w:val="none"/>
                    </w:rPr>
                    <w:t>项目情况</w:t>
                  </w:r>
                </w:p>
              </w:tc>
              <w:tc>
                <w:tcPr>
                  <w:tcW w:w="672" w:type="dxa"/>
                  <w:vAlign w:val="center"/>
                </w:tcPr>
                <w:p w14:paraId="71FE9BC8">
                  <w:pPr>
                    <w:keepNext w:val="0"/>
                    <w:keepLines w:val="0"/>
                    <w:suppressLineNumbers w:val="0"/>
                    <w:snapToGrid w:val="0"/>
                    <w:spacing w:before="0" w:beforeAutospacing="0" w:after="0" w:afterAutospacing="0"/>
                    <w:ind w:left="0" w:right="0"/>
                    <w:jc w:val="center"/>
                    <w:rPr>
                      <w:rFonts w:ascii="宋体" w:hAnsi="宋体"/>
                      <w:b/>
                      <w:color w:val="auto"/>
                      <w:kern w:val="0"/>
                      <w:szCs w:val="21"/>
                      <w:highlight w:val="none"/>
                    </w:rPr>
                  </w:pPr>
                  <w:r>
                    <w:rPr>
                      <w:rFonts w:hint="eastAsia" w:ascii="宋体" w:hAnsi="宋体"/>
                      <w:b/>
                      <w:color w:val="auto"/>
                      <w:kern w:val="0"/>
                      <w:szCs w:val="21"/>
                      <w:highlight w:val="none"/>
                    </w:rPr>
                    <w:t>判定结果</w:t>
                  </w:r>
                </w:p>
              </w:tc>
            </w:tr>
            <w:tr w14:paraId="7D2FD029">
              <w:trPr>
                <w:trHeight w:val="340" w:hRule="atLeast"/>
                <w:jc w:val="center"/>
              </w:trPr>
              <w:tc>
                <w:tcPr>
                  <w:tcW w:w="554" w:type="dxa"/>
                  <w:vMerge w:val="restart"/>
                  <w:vAlign w:val="center"/>
                </w:tcPr>
                <w:p w14:paraId="7230F6C9">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ascii="宋体" w:hAnsi="宋体"/>
                      <w:color w:val="auto"/>
                      <w:kern w:val="0"/>
                      <w:szCs w:val="21"/>
                      <w:highlight w:val="none"/>
                    </w:rPr>
                    <w:t>产业准入</w:t>
                  </w:r>
                </w:p>
              </w:tc>
              <w:tc>
                <w:tcPr>
                  <w:tcW w:w="723" w:type="dxa"/>
                  <w:vMerge w:val="restart"/>
                  <w:vAlign w:val="center"/>
                </w:tcPr>
                <w:p w14:paraId="78A74CA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优先引入</w:t>
                  </w:r>
                </w:p>
              </w:tc>
              <w:tc>
                <w:tcPr>
                  <w:tcW w:w="3279" w:type="dxa"/>
                  <w:vAlign w:val="center"/>
                </w:tcPr>
                <w:p w14:paraId="487A19E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rPr>
                    <w:t>符合国家及地方产业政策，包括《产业结构调整指导目录</w:t>
                  </w:r>
                  <w:r>
                    <w:rPr>
                      <w:rFonts w:hint="eastAsia" w:ascii="宋体" w:hAnsi="宋体"/>
                      <w:color w:val="auto"/>
                      <w:szCs w:val="21"/>
                      <w:highlight w:val="none"/>
                      <w:lang w:eastAsia="zh-CN"/>
                    </w:rPr>
                    <w:t>》《</w:t>
                  </w:r>
                  <w:r>
                    <w:rPr>
                      <w:rFonts w:hint="eastAsia" w:ascii="宋体" w:hAnsi="宋体"/>
                      <w:color w:val="auto"/>
                      <w:szCs w:val="21"/>
                      <w:highlight w:val="none"/>
                    </w:rPr>
                    <w:t>外商投资产业指导目录</w:t>
                  </w:r>
                  <w:r>
                    <w:rPr>
                      <w:rFonts w:hint="eastAsia" w:ascii="宋体" w:hAnsi="宋体"/>
                      <w:color w:val="auto"/>
                      <w:szCs w:val="21"/>
                      <w:highlight w:val="none"/>
                      <w:lang w:eastAsia="zh-CN"/>
                    </w:rPr>
                    <w:t>》《</w:t>
                  </w:r>
                  <w:r>
                    <w:rPr>
                      <w:rFonts w:hint="eastAsia" w:ascii="宋体" w:hAnsi="宋体"/>
                      <w:color w:val="auto"/>
                      <w:szCs w:val="21"/>
                      <w:highlight w:val="none"/>
                    </w:rPr>
                    <w:t>江苏省人民政府发布核准的投资项目目录》。</w:t>
                  </w:r>
                </w:p>
              </w:tc>
              <w:tc>
                <w:tcPr>
                  <w:tcW w:w="1946" w:type="dxa"/>
                  <w:vMerge w:val="restart"/>
                  <w:vAlign w:val="center"/>
                </w:tcPr>
                <w:p w14:paraId="7B92696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kern w:val="0"/>
                      <w:szCs w:val="21"/>
                      <w:highlight w:val="none"/>
                    </w:rPr>
                    <w:t>项目属于</w:t>
                  </w:r>
                  <w:r>
                    <w:rPr>
                      <w:rFonts w:hint="eastAsia" w:ascii="宋体" w:hAnsi="宋体"/>
                      <w:color w:val="auto"/>
                      <w:szCs w:val="21"/>
                      <w:highlight w:val="none"/>
                    </w:rPr>
                    <w:t>智能</w:t>
                  </w:r>
                  <w:r>
                    <w:rPr>
                      <w:rFonts w:hint="eastAsia" w:ascii="宋体" w:hAnsi="宋体"/>
                      <w:color w:val="auto"/>
                      <w:szCs w:val="21"/>
                      <w:highlight w:val="none"/>
                      <w:lang w:val="en-US" w:eastAsia="zh-CN"/>
                    </w:rPr>
                    <w:t>设备</w:t>
                  </w:r>
                  <w:r>
                    <w:rPr>
                      <w:rFonts w:ascii="宋体" w:hAnsi="宋体"/>
                      <w:color w:val="auto"/>
                      <w:szCs w:val="21"/>
                      <w:highlight w:val="none"/>
                    </w:rPr>
                    <w:t>制造</w:t>
                  </w:r>
                  <w:r>
                    <w:rPr>
                      <w:rFonts w:hint="eastAsia" w:ascii="宋体" w:hAnsi="宋体"/>
                      <w:color w:val="auto"/>
                      <w:szCs w:val="21"/>
                      <w:highlight w:val="none"/>
                      <w:lang w:eastAsia="zh-CN"/>
                    </w:rPr>
                    <w:t>，</w:t>
                  </w:r>
                  <w:r>
                    <w:rPr>
                      <w:rFonts w:ascii="宋体" w:hAnsi="宋体"/>
                      <w:color w:val="auto"/>
                      <w:szCs w:val="21"/>
                      <w:highlight w:val="none"/>
                    </w:rPr>
                    <w:t>对照</w:t>
                  </w:r>
                  <w:r>
                    <w:rPr>
                      <w:rFonts w:hint="eastAsia" w:ascii="宋体" w:hAnsi="宋体"/>
                      <w:color w:val="auto"/>
                      <w:szCs w:val="21"/>
                      <w:highlight w:val="none"/>
                      <w:lang w:eastAsia="zh-CN"/>
                    </w:rPr>
                    <w:t>《产业结构调整指导目录（2024年本）》</w:t>
                  </w:r>
                  <w:r>
                    <w:rPr>
                      <w:rFonts w:hint="eastAsia" w:ascii="宋体" w:hAnsi="宋体"/>
                      <w:color w:val="auto"/>
                      <w:kern w:val="0"/>
                      <w:szCs w:val="21"/>
                      <w:highlight w:val="none"/>
                      <w:lang w:val="en-US" w:eastAsia="zh-CN"/>
                    </w:rPr>
                    <w:t>可知</w:t>
                  </w:r>
                  <w:r>
                    <w:rPr>
                      <w:rFonts w:ascii="宋体" w:hAnsi="宋体"/>
                      <w:color w:val="auto"/>
                      <w:kern w:val="0"/>
                      <w:szCs w:val="21"/>
                      <w:highlight w:val="none"/>
                    </w:rPr>
                    <w:t>，</w:t>
                  </w:r>
                  <w:r>
                    <w:rPr>
                      <w:rFonts w:hint="eastAsia" w:ascii="宋体" w:hAnsi="宋体"/>
                      <w:color w:val="auto"/>
                      <w:kern w:val="0"/>
                      <w:szCs w:val="21"/>
                      <w:highlight w:val="none"/>
                      <w:lang w:val="en-US" w:eastAsia="zh-CN"/>
                    </w:rPr>
                    <w:t>项目</w:t>
                  </w:r>
                  <w:r>
                    <w:rPr>
                      <w:rFonts w:hint="eastAsia"/>
                      <w:color w:val="auto"/>
                    </w:rPr>
                    <w:t>不属于</w:t>
                  </w:r>
                  <w:r>
                    <w:rPr>
                      <w:rFonts w:hint="eastAsia"/>
                      <w:color w:val="auto"/>
                      <w:lang w:val="en-US" w:eastAsia="zh-CN"/>
                    </w:rPr>
                    <w:t>鼓励类、</w:t>
                  </w:r>
                  <w:r>
                    <w:rPr>
                      <w:rFonts w:hint="eastAsia"/>
                      <w:color w:val="auto"/>
                    </w:rPr>
                    <w:t>限制</w:t>
                  </w:r>
                  <w:r>
                    <w:rPr>
                      <w:rFonts w:hint="eastAsia"/>
                      <w:color w:val="auto"/>
                      <w:lang w:val="en-US" w:eastAsia="zh-CN"/>
                    </w:rPr>
                    <w:t>类</w:t>
                  </w:r>
                  <w:r>
                    <w:rPr>
                      <w:rFonts w:hint="eastAsia"/>
                      <w:color w:val="auto"/>
                    </w:rPr>
                    <w:t>和</w:t>
                  </w:r>
                  <w:r>
                    <w:rPr>
                      <w:rFonts w:hint="eastAsia"/>
                      <w:color w:val="auto"/>
                      <w:lang w:val="en-US" w:eastAsia="zh-CN"/>
                    </w:rPr>
                    <w:t>淘汰类</w:t>
                  </w:r>
                  <w:r>
                    <w:rPr>
                      <w:rFonts w:hint="eastAsia"/>
                      <w:color w:val="auto"/>
                    </w:rPr>
                    <w:t>产业，不属于园区限制引入和禁止引入的产业，属于允许类产业</w:t>
                  </w:r>
                  <w:r>
                    <w:rPr>
                      <w:rFonts w:ascii="宋体" w:hAnsi="宋体"/>
                      <w:color w:val="auto"/>
                      <w:szCs w:val="21"/>
                      <w:highlight w:val="none"/>
                    </w:rPr>
                    <w:t>。</w:t>
                  </w:r>
                </w:p>
              </w:tc>
              <w:tc>
                <w:tcPr>
                  <w:tcW w:w="672" w:type="dxa"/>
                  <w:vMerge w:val="restart"/>
                  <w:vAlign w:val="center"/>
                </w:tcPr>
                <w:p w14:paraId="5425209B">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rPr>
                    <w:t>属于优先引入产业</w:t>
                  </w:r>
                </w:p>
              </w:tc>
            </w:tr>
            <w:tr w14:paraId="44108E39">
              <w:trPr>
                <w:trHeight w:val="340" w:hRule="atLeast"/>
                <w:jc w:val="center"/>
              </w:trPr>
              <w:tc>
                <w:tcPr>
                  <w:tcW w:w="554" w:type="dxa"/>
                  <w:vMerge w:val="continue"/>
                  <w:vAlign w:val="center"/>
                </w:tcPr>
                <w:p w14:paraId="52AB963A">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7FC7CEF2">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6DAE6CEF">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符合所属行业有关发展规划，符合电子信息行业规范条件。</w:t>
                  </w:r>
                </w:p>
              </w:tc>
              <w:tc>
                <w:tcPr>
                  <w:tcW w:w="1946" w:type="dxa"/>
                  <w:vMerge w:val="continue"/>
                  <w:vAlign w:val="center"/>
                </w:tcPr>
                <w:p w14:paraId="333DB16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34DDFD5D">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25378416">
              <w:trPr>
                <w:trHeight w:val="340" w:hRule="atLeast"/>
                <w:jc w:val="center"/>
              </w:trPr>
              <w:tc>
                <w:tcPr>
                  <w:tcW w:w="554" w:type="dxa"/>
                  <w:vMerge w:val="continue"/>
                  <w:vAlign w:val="center"/>
                </w:tcPr>
                <w:p w14:paraId="09D98C20">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260C6502">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6E56375D">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符合涟水新港电子产业科技园规划产业定位（计算机、通信和其他电子设备制造业（代码C39），以智能终端、新型电子元器件、新型电子材料等领域高端应用需求为导向，优先发展计算机制造（代码C391）、智能消费设备制造（代码C396）、电子器件制造（代码C397）、电子元件及电子专用材料制造（代码C398）、其他电子设备制造（代码C399）、互联网和相关服务（代码I64）、软件和信息技术服务业（代码I65）、专业技术服务业（代码I74）、科技推广和应用服务业（代码I75））。</w:t>
                  </w:r>
                </w:p>
              </w:tc>
              <w:tc>
                <w:tcPr>
                  <w:tcW w:w="1946" w:type="dxa"/>
                  <w:vAlign w:val="center"/>
                </w:tcPr>
                <w:p w14:paraId="57ECC1F3">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本项目为</w:t>
                  </w:r>
                  <w:r>
                    <w:rPr>
                      <w:rFonts w:hint="eastAsia" w:eastAsia="宋体"/>
                      <w:color w:val="auto"/>
                      <w:sz w:val="21"/>
                      <w:szCs w:val="21"/>
                      <w:highlight w:val="none"/>
                    </w:rPr>
                    <w:t>智能整机设备</w:t>
                  </w:r>
                  <w:r>
                    <w:rPr>
                      <w:rFonts w:hint="eastAsia" w:ascii="宋体" w:hAnsi="宋体"/>
                      <w:color w:val="auto"/>
                      <w:szCs w:val="21"/>
                      <w:highlight w:val="none"/>
                    </w:rPr>
                    <w:t>制造，</w:t>
                  </w:r>
                  <w:r>
                    <w:rPr>
                      <w:rFonts w:hint="eastAsia"/>
                      <w:color w:val="auto"/>
                    </w:rPr>
                    <w:t>不属于园区限制引入和禁止引入的产业，属于允许类产业</w:t>
                  </w:r>
                  <w:r>
                    <w:rPr>
                      <w:rFonts w:hint="eastAsia" w:ascii="宋体" w:hAnsi="宋体"/>
                      <w:color w:val="auto"/>
                      <w:szCs w:val="21"/>
                      <w:highlight w:val="none"/>
                    </w:rPr>
                    <w:t>。</w:t>
                  </w:r>
                </w:p>
              </w:tc>
              <w:tc>
                <w:tcPr>
                  <w:tcW w:w="672" w:type="dxa"/>
                  <w:vMerge w:val="continue"/>
                  <w:vAlign w:val="center"/>
                </w:tcPr>
                <w:p w14:paraId="297A0197">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7A1EC2EB">
              <w:trPr>
                <w:trHeight w:val="340" w:hRule="atLeast"/>
                <w:jc w:val="center"/>
              </w:trPr>
              <w:tc>
                <w:tcPr>
                  <w:tcW w:w="554" w:type="dxa"/>
                  <w:vMerge w:val="continue"/>
                  <w:vAlign w:val="center"/>
                </w:tcPr>
                <w:p w14:paraId="6EECDF58">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restart"/>
                  <w:vAlign w:val="center"/>
                </w:tcPr>
                <w:p w14:paraId="2F0A647D">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禁止引入</w:t>
                  </w:r>
                </w:p>
              </w:tc>
              <w:tc>
                <w:tcPr>
                  <w:tcW w:w="3279" w:type="dxa"/>
                  <w:vAlign w:val="center"/>
                </w:tcPr>
                <w:p w14:paraId="3803678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rPr>
                    <w:t>禁止专业电镀项目。</w:t>
                  </w:r>
                </w:p>
              </w:tc>
              <w:tc>
                <w:tcPr>
                  <w:tcW w:w="1946" w:type="dxa"/>
                  <w:vAlign w:val="center"/>
                </w:tcPr>
                <w:p w14:paraId="1675EAD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本项目不涉及电镀</w:t>
                  </w:r>
                </w:p>
              </w:tc>
              <w:tc>
                <w:tcPr>
                  <w:tcW w:w="672" w:type="dxa"/>
                  <w:vMerge w:val="restart"/>
                  <w:vAlign w:val="center"/>
                </w:tcPr>
                <w:p w14:paraId="6DC72497">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r>
                    <w:rPr>
                      <w:rFonts w:ascii="宋体" w:hAnsi="宋体"/>
                      <w:color w:val="auto"/>
                      <w:kern w:val="0"/>
                      <w:szCs w:val="21"/>
                      <w:highlight w:val="none"/>
                    </w:rPr>
                    <w:t>不属于</w:t>
                  </w:r>
                </w:p>
              </w:tc>
            </w:tr>
            <w:tr w14:paraId="68A38126">
              <w:trPr>
                <w:trHeight w:val="340" w:hRule="atLeast"/>
                <w:jc w:val="center"/>
              </w:trPr>
              <w:tc>
                <w:tcPr>
                  <w:tcW w:w="554" w:type="dxa"/>
                  <w:vMerge w:val="continue"/>
                  <w:vAlign w:val="center"/>
                </w:tcPr>
                <w:p w14:paraId="4142229C">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695BB14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38075FCD">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lang w:eastAsia="zh-CN"/>
                    </w:rPr>
                    <w:t>2.</w:t>
                  </w:r>
                  <w:r>
                    <w:rPr>
                      <w:rFonts w:hint="eastAsia" w:ascii="宋体" w:hAnsi="宋体"/>
                      <w:color w:val="auto"/>
                      <w:kern w:val="0"/>
                      <w:szCs w:val="21"/>
                      <w:highlight w:val="none"/>
                    </w:rPr>
                    <w:t>《产业结构调整指导目录（2019年本）》</w:t>
                  </w:r>
                </w:p>
                <w:p w14:paraId="745E0971">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rPr>
                    <w:t>（2021年修订）、《江苏省工业和信息产业结构调整指导目录（2012年本）》（2013年修正）、《江苏省工业和信息产业结构调整限制淘汰目录和能耗限额》等淘汰类或负面清单项目；列入《外商投资准入特别管理措施（负面清单）（2021年版）》的产业；采用落后的、淘汰的生产工艺或生产设备，清洁生产达不到国内先进水平的项目；《长江经济带发展负面清单指南（试行，2022年版）》列明的禁止建设的产业以及江苏省产业政策中明确列入淘汰的项目。</w:t>
                  </w:r>
                </w:p>
              </w:tc>
              <w:tc>
                <w:tcPr>
                  <w:tcW w:w="1946" w:type="dxa"/>
                  <w:vMerge w:val="restart"/>
                  <w:vAlign w:val="center"/>
                </w:tcPr>
                <w:p w14:paraId="15EF5D15">
                  <w:pPr>
                    <w:keepNext w:val="0"/>
                    <w:keepLines w:val="0"/>
                    <w:suppressLineNumbers w:val="0"/>
                    <w:snapToGrid w:val="0"/>
                    <w:spacing w:before="0" w:beforeAutospacing="0" w:after="0" w:afterAutospacing="0"/>
                    <w:ind w:left="0" w:right="0"/>
                    <w:jc w:val="center"/>
                    <w:rPr>
                      <w:rFonts w:hint="eastAsia" w:ascii="宋体" w:hAnsi="宋体"/>
                      <w:color w:val="auto"/>
                      <w:kern w:val="0"/>
                      <w:szCs w:val="21"/>
                      <w:highlight w:val="none"/>
                      <w:lang w:bidi="zh-CN"/>
                    </w:rPr>
                  </w:pPr>
                  <w:r>
                    <w:rPr>
                      <w:rFonts w:ascii="宋体" w:hAnsi="宋体"/>
                      <w:color w:val="auto"/>
                      <w:kern w:val="0"/>
                      <w:szCs w:val="21"/>
                      <w:highlight w:val="none"/>
                    </w:rPr>
                    <w:t>项目属于</w:t>
                  </w:r>
                  <w:r>
                    <w:rPr>
                      <w:rFonts w:hint="eastAsia" w:eastAsia="宋体"/>
                      <w:color w:val="auto"/>
                      <w:sz w:val="21"/>
                      <w:szCs w:val="21"/>
                      <w:highlight w:val="none"/>
                    </w:rPr>
                    <w:t>智能整机设备</w:t>
                  </w:r>
                  <w:r>
                    <w:rPr>
                      <w:rFonts w:ascii="宋体" w:hAnsi="宋体"/>
                      <w:color w:val="auto"/>
                      <w:szCs w:val="21"/>
                      <w:highlight w:val="none"/>
                    </w:rPr>
                    <w:t>制造</w:t>
                  </w:r>
                  <w:r>
                    <w:rPr>
                      <w:rFonts w:hint="eastAsia" w:ascii="宋体" w:hAnsi="宋体"/>
                      <w:color w:val="auto"/>
                      <w:kern w:val="0"/>
                      <w:szCs w:val="21"/>
                      <w:highlight w:val="none"/>
                      <w:lang w:bidi="zh-CN"/>
                    </w:rPr>
                    <w:t>，</w:t>
                  </w:r>
                  <w:r>
                    <w:rPr>
                      <w:rFonts w:ascii="宋体" w:hAnsi="宋体"/>
                      <w:color w:val="auto"/>
                      <w:szCs w:val="21"/>
                      <w:highlight w:val="none"/>
                    </w:rPr>
                    <w:t>对照</w:t>
                  </w:r>
                  <w:r>
                    <w:rPr>
                      <w:rFonts w:hint="eastAsia" w:ascii="宋体" w:hAnsi="宋体"/>
                      <w:color w:val="auto"/>
                      <w:szCs w:val="21"/>
                      <w:highlight w:val="none"/>
                      <w:lang w:eastAsia="zh-CN"/>
                    </w:rPr>
                    <w:t>《产业结构调整指导目录（2024年本）》</w:t>
                  </w:r>
                  <w:r>
                    <w:rPr>
                      <w:rFonts w:hint="eastAsia" w:ascii="宋体" w:hAnsi="宋体"/>
                      <w:color w:val="auto"/>
                      <w:kern w:val="0"/>
                      <w:szCs w:val="21"/>
                      <w:highlight w:val="none"/>
                      <w:lang w:val="en-US" w:eastAsia="zh-CN"/>
                    </w:rPr>
                    <w:t>可知</w:t>
                  </w:r>
                  <w:r>
                    <w:rPr>
                      <w:rFonts w:ascii="宋体" w:hAnsi="宋体"/>
                      <w:color w:val="auto"/>
                      <w:kern w:val="0"/>
                      <w:szCs w:val="21"/>
                      <w:highlight w:val="none"/>
                    </w:rPr>
                    <w:t>，</w:t>
                  </w:r>
                </w:p>
                <w:p w14:paraId="6B78C282">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kern w:val="0"/>
                      <w:szCs w:val="21"/>
                      <w:highlight w:val="none"/>
                      <w:lang w:val="en-US" w:eastAsia="zh-CN"/>
                    </w:rPr>
                    <w:t>项目</w:t>
                  </w:r>
                  <w:r>
                    <w:rPr>
                      <w:rFonts w:hint="eastAsia"/>
                      <w:color w:val="auto"/>
                    </w:rPr>
                    <w:t>不属于</w:t>
                  </w:r>
                  <w:r>
                    <w:rPr>
                      <w:rFonts w:hint="eastAsia"/>
                      <w:color w:val="auto"/>
                      <w:lang w:val="en-US" w:eastAsia="zh-CN"/>
                    </w:rPr>
                    <w:t>鼓励类、</w:t>
                  </w:r>
                  <w:r>
                    <w:rPr>
                      <w:rFonts w:hint="eastAsia"/>
                      <w:color w:val="auto"/>
                    </w:rPr>
                    <w:t>限制</w:t>
                  </w:r>
                  <w:r>
                    <w:rPr>
                      <w:rFonts w:hint="eastAsia"/>
                      <w:color w:val="auto"/>
                      <w:lang w:val="en-US" w:eastAsia="zh-CN"/>
                    </w:rPr>
                    <w:t>类</w:t>
                  </w:r>
                  <w:r>
                    <w:rPr>
                      <w:rFonts w:hint="eastAsia"/>
                      <w:color w:val="auto"/>
                    </w:rPr>
                    <w:t>和</w:t>
                  </w:r>
                  <w:r>
                    <w:rPr>
                      <w:rFonts w:hint="eastAsia"/>
                      <w:color w:val="auto"/>
                      <w:lang w:val="en-US" w:eastAsia="zh-CN"/>
                    </w:rPr>
                    <w:t>淘汰类</w:t>
                  </w:r>
                  <w:r>
                    <w:rPr>
                      <w:rFonts w:hint="eastAsia"/>
                      <w:color w:val="auto"/>
                    </w:rPr>
                    <w:t>产业，不属于园区限制引入和禁止引入的产业，属于允许类产业</w:t>
                  </w:r>
                  <w:r>
                    <w:rPr>
                      <w:rFonts w:ascii="宋体" w:hAnsi="宋体"/>
                      <w:color w:val="auto"/>
                      <w:szCs w:val="21"/>
                      <w:highlight w:val="none"/>
                    </w:rPr>
                    <w:t>。</w:t>
                  </w:r>
                </w:p>
              </w:tc>
              <w:tc>
                <w:tcPr>
                  <w:tcW w:w="672" w:type="dxa"/>
                  <w:vMerge w:val="continue"/>
                  <w:vAlign w:val="center"/>
                </w:tcPr>
                <w:p w14:paraId="5B9AB197">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66AC8887">
              <w:trPr>
                <w:trHeight w:val="340" w:hRule="atLeast"/>
                <w:jc w:val="center"/>
              </w:trPr>
              <w:tc>
                <w:tcPr>
                  <w:tcW w:w="554" w:type="dxa"/>
                  <w:vMerge w:val="continue"/>
                  <w:vAlign w:val="center"/>
                </w:tcPr>
                <w:p w14:paraId="0F3092FD">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7181750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632348DB">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lang w:eastAsia="zh-CN"/>
                    </w:rPr>
                    <w:t>3.</w:t>
                  </w:r>
                  <w:r>
                    <w:rPr>
                      <w:rFonts w:hint="eastAsia" w:ascii="宋体" w:hAnsi="宋体"/>
                      <w:color w:val="auto"/>
                      <w:kern w:val="0"/>
                      <w:szCs w:val="21"/>
                      <w:highlight w:val="none"/>
                    </w:rPr>
                    <w:t>不符合国家、江苏省有关法律法规规定，严重浪费资源、污染环境、不具备安全生产条件，需要淘汰的落后工艺技术、装备及产品。</w:t>
                  </w:r>
                </w:p>
              </w:tc>
              <w:tc>
                <w:tcPr>
                  <w:tcW w:w="1946" w:type="dxa"/>
                  <w:vMerge w:val="continue"/>
                  <w:vAlign w:val="center"/>
                </w:tcPr>
                <w:p w14:paraId="065F85F1">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22167CAA">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2ABCB338">
              <w:trPr>
                <w:trHeight w:val="340" w:hRule="atLeast"/>
                <w:jc w:val="center"/>
              </w:trPr>
              <w:tc>
                <w:tcPr>
                  <w:tcW w:w="554" w:type="dxa"/>
                  <w:vMerge w:val="continue"/>
                  <w:vAlign w:val="center"/>
                </w:tcPr>
                <w:p w14:paraId="68345759">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764F1C4D">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2F470EF7">
                  <w:pPr>
                    <w:keepNext w:val="0"/>
                    <w:keepLines w:val="0"/>
                    <w:suppressLineNumbers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使用高VOCs含量的胶粘剂等项目。</w:t>
                  </w:r>
                </w:p>
              </w:tc>
              <w:tc>
                <w:tcPr>
                  <w:tcW w:w="1946" w:type="dxa"/>
                  <w:vAlign w:val="center"/>
                </w:tcPr>
                <w:p w14:paraId="561A97FD">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本项目不涉及胶粘剂的使用。</w:t>
                  </w:r>
                </w:p>
              </w:tc>
              <w:tc>
                <w:tcPr>
                  <w:tcW w:w="672" w:type="dxa"/>
                  <w:vMerge w:val="continue"/>
                  <w:vAlign w:val="center"/>
                </w:tcPr>
                <w:p w14:paraId="15E2FA24">
                  <w:pPr>
                    <w:keepNext w:val="0"/>
                    <w:keepLines w:val="0"/>
                    <w:widowControl/>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03BD4F7A">
              <w:trPr>
                <w:trHeight w:val="340" w:hRule="atLeast"/>
                <w:jc w:val="center"/>
              </w:trPr>
              <w:tc>
                <w:tcPr>
                  <w:tcW w:w="1277" w:type="dxa"/>
                  <w:gridSpan w:val="2"/>
                  <w:vMerge w:val="restart"/>
                  <w:vAlign w:val="center"/>
                </w:tcPr>
                <w:p w14:paraId="440AD0BA">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空间布局约束</w:t>
                  </w:r>
                </w:p>
              </w:tc>
              <w:tc>
                <w:tcPr>
                  <w:tcW w:w="3279" w:type="dxa"/>
                  <w:vAlign w:val="center"/>
                </w:tcPr>
                <w:p w14:paraId="692C1680">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rPr>
                    <w:t>开发内防护绿地和水域，提出限制占用的管理要求。</w:t>
                  </w:r>
                </w:p>
              </w:tc>
              <w:tc>
                <w:tcPr>
                  <w:tcW w:w="1946" w:type="dxa"/>
                  <w:vAlign w:val="center"/>
                </w:tcPr>
                <w:p w14:paraId="634CEC4C">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rPr>
                    <w:t>本项目</w:t>
                  </w:r>
                  <w:r>
                    <w:rPr>
                      <w:rFonts w:hint="eastAsia" w:ascii="宋体" w:hAnsi="宋体"/>
                      <w:color w:val="auto"/>
                      <w:sz w:val="21"/>
                      <w:szCs w:val="21"/>
                      <w:highlight w:val="none"/>
                    </w:rPr>
                    <w:t>位于</w:t>
                  </w:r>
                  <w:r>
                    <w:rPr>
                      <w:rFonts w:hint="eastAsia" w:hAnsi="宋体"/>
                      <w:color w:val="auto"/>
                      <w:sz w:val="21"/>
                      <w:szCs w:val="21"/>
                      <w:highlight w:val="none"/>
                      <w:lang w:eastAsia="zh-CN"/>
                    </w:rPr>
                    <w:t>淮安市涟水县经济开发区模架产业园北侧、科佳五轴机床东侧</w:t>
                  </w:r>
                  <w:r>
                    <w:rPr>
                      <w:rFonts w:hint="eastAsia" w:ascii="宋体" w:hAnsi="宋体"/>
                      <w:color w:val="auto"/>
                      <w:sz w:val="21"/>
                      <w:szCs w:val="21"/>
                      <w:highlight w:val="none"/>
                    </w:rPr>
                    <w:t>，属于</w:t>
                  </w:r>
                  <w:r>
                    <w:rPr>
                      <w:rFonts w:hint="eastAsia" w:ascii="宋体" w:hAnsi="宋体"/>
                      <w:bCs/>
                      <w:color w:val="auto"/>
                      <w:sz w:val="21"/>
                      <w:szCs w:val="21"/>
                      <w:highlight w:val="none"/>
                    </w:rPr>
                    <w:t>新港电子产业科技园</w:t>
                  </w:r>
                  <w:r>
                    <w:rPr>
                      <w:rFonts w:hint="eastAsia" w:ascii="宋体" w:hAnsi="宋体"/>
                      <w:color w:val="auto"/>
                      <w:sz w:val="21"/>
                      <w:szCs w:val="21"/>
                      <w:highlight w:val="none"/>
                    </w:rPr>
                    <w:t>范围</w:t>
                  </w:r>
                  <w:r>
                    <w:rPr>
                      <w:rFonts w:hint="eastAsia" w:ascii="宋体" w:hAnsi="宋体"/>
                      <w:color w:val="auto"/>
                      <w:szCs w:val="21"/>
                      <w:highlight w:val="none"/>
                    </w:rPr>
                    <w:t>，不占用绿地及水域。</w:t>
                  </w:r>
                </w:p>
              </w:tc>
              <w:tc>
                <w:tcPr>
                  <w:tcW w:w="672" w:type="dxa"/>
                  <w:vMerge w:val="restart"/>
                  <w:vAlign w:val="center"/>
                </w:tcPr>
                <w:p w14:paraId="3CDE2BD7">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ascii="宋体" w:hAnsi="宋体"/>
                      <w:color w:val="auto"/>
                      <w:kern w:val="0"/>
                      <w:szCs w:val="21"/>
                      <w:highlight w:val="none"/>
                    </w:rPr>
                    <w:t>符合</w:t>
                  </w:r>
                </w:p>
              </w:tc>
            </w:tr>
            <w:tr w14:paraId="29783DC0">
              <w:trPr>
                <w:trHeight w:val="340" w:hRule="atLeast"/>
                <w:jc w:val="center"/>
              </w:trPr>
              <w:tc>
                <w:tcPr>
                  <w:tcW w:w="1277" w:type="dxa"/>
                  <w:gridSpan w:val="2"/>
                  <w:vMerge w:val="continue"/>
                  <w:vAlign w:val="center"/>
                </w:tcPr>
                <w:p w14:paraId="63F6A430">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473A7663">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本次规划范围属于《江苏省“三线一单”生态环境分区管控方案》重点管控单元、《淮安市“三线一单”生态环境分区管控方案》重点管控单元，按照相关管控方案执行。</w:t>
                  </w:r>
                </w:p>
              </w:tc>
              <w:tc>
                <w:tcPr>
                  <w:tcW w:w="1946" w:type="dxa"/>
                  <w:vAlign w:val="center"/>
                </w:tcPr>
                <w:p w14:paraId="4959D015">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rPr>
                    <w:t>根据前文分析，本项目满足江苏省及淮安市生态管控要求。</w:t>
                  </w:r>
                </w:p>
              </w:tc>
              <w:tc>
                <w:tcPr>
                  <w:tcW w:w="672" w:type="dxa"/>
                  <w:vMerge w:val="continue"/>
                  <w:vAlign w:val="center"/>
                </w:tcPr>
                <w:p w14:paraId="2CC05CD1">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53A02150">
              <w:trPr>
                <w:trHeight w:val="340" w:hRule="atLeast"/>
                <w:jc w:val="center"/>
              </w:trPr>
              <w:tc>
                <w:tcPr>
                  <w:tcW w:w="1277" w:type="dxa"/>
                  <w:gridSpan w:val="2"/>
                  <w:vMerge w:val="continue"/>
                  <w:vAlign w:val="center"/>
                </w:tcPr>
                <w:p w14:paraId="6400E1C9">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5121283D">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东侧、北侧靠近居民区域应发展无污染、低污染型产业。</w:t>
                  </w:r>
                </w:p>
              </w:tc>
              <w:tc>
                <w:tcPr>
                  <w:tcW w:w="1946" w:type="dxa"/>
                  <w:vAlign w:val="center"/>
                </w:tcPr>
                <w:p w14:paraId="11C7D0F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w:t>
                  </w:r>
                  <w:r>
                    <w:rPr>
                      <w:rFonts w:hint="eastAsia" w:cs="Times New Roman"/>
                      <w:color w:val="auto"/>
                      <w:kern w:val="0"/>
                      <w:szCs w:val="21"/>
                      <w:highlight w:val="none"/>
                      <w:lang w:val="en-US" w:eastAsia="zh-CN"/>
                    </w:rPr>
                    <w:t>50m</w:t>
                  </w:r>
                  <w:r>
                    <w:rPr>
                      <w:rFonts w:hint="default" w:ascii="Times New Roman" w:hAnsi="Times New Roman" w:cs="Times New Roman"/>
                      <w:color w:val="auto"/>
                      <w:kern w:val="0"/>
                      <w:szCs w:val="21"/>
                      <w:highlight w:val="none"/>
                    </w:rPr>
                    <w:t>卫生防护距离之内</w:t>
                  </w:r>
                  <w:r>
                    <w:rPr>
                      <w:rFonts w:hint="default" w:ascii="Times New Roman" w:hAnsi="Times New Roman" w:cs="Times New Roman"/>
                      <w:color w:val="auto"/>
                      <w:kern w:val="0"/>
                      <w:szCs w:val="21"/>
                      <w:highlight w:val="none"/>
                      <w:lang w:val="en-US" w:eastAsia="zh-CN"/>
                    </w:rPr>
                    <w:t>不涉及居民区</w:t>
                  </w:r>
                  <w:r>
                    <w:rPr>
                      <w:rFonts w:hint="default" w:ascii="Times New Roman" w:hAnsi="Times New Roman" w:cs="Times New Roman"/>
                      <w:color w:val="auto"/>
                      <w:kern w:val="0"/>
                      <w:szCs w:val="21"/>
                      <w:highlight w:val="none"/>
                    </w:rPr>
                    <w:t>。</w:t>
                  </w:r>
                </w:p>
              </w:tc>
              <w:tc>
                <w:tcPr>
                  <w:tcW w:w="672" w:type="dxa"/>
                  <w:vMerge w:val="continue"/>
                  <w:vAlign w:val="center"/>
                </w:tcPr>
                <w:p w14:paraId="5960C48A">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3A0E61C9">
              <w:trPr>
                <w:trHeight w:val="340" w:hRule="atLeast"/>
                <w:jc w:val="center"/>
              </w:trPr>
              <w:tc>
                <w:tcPr>
                  <w:tcW w:w="554" w:type="dxa"/>
                  <w:vMerge w:val="restart"/>
                  <w:vAlign w:val="center"/>
                </w:tcPr>
                <w:p w14:paraId="4032BFE2">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rPr>
                    <w:t>污染物排放管控</w:t>
                  </w:r>
                </w:p>
              </w:tc>
              <w:tc>
                <w:tcPr>
                  <w:tcW w:w="723" w:type="dxa"/>
                  <w:vMerge w:val="restart"/>
                  <w:vAlign w:val="center"/>
                </w:tcPr>
                <w:p w14:paraId="36270D0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总体要求</w:t>
                  </w:r>
                </w:p>
              </w:tc>
              <w:tc>
                <w:tcPr>
                  <w:tcW w:w="3279" w:type="dxa"/>
                  <w:vAlign w:val="center"/>
                </w:tcPr>
                <w:p w14:paraId="04B84FC3">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rPr>
                    <w:t>工业项目排放污染物必须达到国家和地方规定的污染物排放标准。</w:t>
                  </w:r>
                </w:p>
              </w:tc>
              <w:tc>
                <w:tcPr>
                  <w:tcW w:w="1946" w:type="dxa"/>
                  <w:vMerge w:val="restart"/>
                  <w:vAlign w:val="center"/>
                </w:tcPr>
                <w:p w14:paraId="03D0994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rPr>
                    <w:t>项目</w:t>
                  </w:r>
                  <w:r>
                    <w:rPr>
                      <w:rFonts w:hint="default" w:ascii="宋体" w:hAnsi="宋体"/>
                      <w:color w:val="auto"/>
                      <w:kern w:val="0"/>
                      <w:szCs w:val="21"/>
                      <w:highlight w:val="none"/>
                      <w:lang w:val="en-US" w:eastAsia="zh-CN"/>
                    </w:rPr>
                    <w:t>下料</w:t>
                  </w:r>
                  <w:r>
                    <w:rPr>
                      <w:rFonts w:hint="default" w:ascii="宋体" w:hAnsi="宋体"/>
                      <w:color w:val="auto"/>
                      <w:kern w:val="0"/>
                      <w:szCs w:val="21"/>
                      <w:highlight w:val="none"/>
                    </w:rPr>
                    <w:t>、</w:t>
                  </w:r>
                  <w:r>
                    <w:rPr>
                      <w:rFonts w:hint="default" w:ascii="Times New Roman" w:hAnsi="Times New Roman" w:cs="Times New Roman"/>
                      <w:color w:val="auto"/>
                      <w:sz w:val="21"/>
                      <w:szCs w:val="21"/>
                      <w:highlight w:val="none"/>
                    </w:rPr>
                    <w:t>打磨、焊接工序产生的颗粒物执行江苏省《大气污染物综合排放标准》（DB32/4041-2021）表3单位边界大气污染物排放监控浓度限值；喷漆、</w:t>
                  </w:r>
                  <w:r>
                    <w:rPr>
                      <w:rFonts w:hint="default" w:ascii="Times New Roman" w:hAnsi="Times New Roman" w:cs="Times New Roman"/>
                      <w:color w:val="auto"/>
                      <w:sz w:val="21"/>
                      <w:szCs w:val="21"/>
                      <w:highlight w:val="none"/>
                      <w:lang w:val="en-US" w:eastAsia="zh-CN"/>
                    </w:rPr>
                    <w:t>烘干</w:t>
                  </w:r>
                  <w:r>
                    <w:rPr>
                      <w:rFonts w:hint="default" w:ascii="Times New Roman" w:hAnsi="Times New Roman" w:cs="Times New Roman"/>
                      <w:color w:val="auto"/>
                      <w:sz w:val="21"/>
                      <w:szCs w:val="21"/>
                      <w:highlight w:val="none"/>
                    </w:rPr>
                    <w:t>、喷塑、固化工序产生的颗粒物、NMHC执行</w:t>
                  </w: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 w:val="21"/>
                      <w:szCs w:val="21"/>
                      <w:highlight w:val="none"/>
                    </w:rPr>
                    <w:t>表1大气污染物排放限值及《大气污染物综合排放标准》（DB32/4041-2021）表3单位边界大气污染物排放监控浓度限值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厂区内NMHC无组织排放执行</w:t>
                  </w: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厂区内VOCs无组织排放限值</w:t>
                  </w:r>
                  <w:r>
                    <w:rPr>
                      <w:rFonts w:hint="default" w:ascii="Times New Roman" w:hAnsi="Times New Roman" w:cs="Times New Roman"/>
                      <w:color w:val="auto"/>
                      <w:szCs w:val="21"/>
                      <w:highlight w:val="none"/>
                    </w:rPr>
                    <w:t>。</w:t>
                  </w:r>
                </w:p>
              </w:tc>
              <w:tc>
                <w:tcPr>
                  <w:tcW w:w="672" w:type="dxa"/>
                  <w:vMerge w:val="restart"/>
                  <w:vAlign w:val="center"/>
                </w:tcPr>
                <w:p w14:paraId="5BD5C299">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hint="eastAsia" w:ascii="宋体" w:hAnsi="宋体"/>
                      <w:color w:val="auto"/>
                      <w:kern w:val="0"/>
                      <w:szCs w:val="21"/>
                      <w:highlight w:val="none"/>
                    </w:rPr>
                    <w:t>符合</w:t>
                  </w:r>
                </w:p>
              </w:tc>
            </w:tr>
            <w:tr w14:paraId="53DAC607">
              <w:trPr>
                <w:trHeight w:val="340" w:hRule="atLeast"/>
                <w:jc w:val="center"/>
              </w:trPr>
              <w:tc>
                <w:tcPr>
                  <w:tcW w:w="554" w:type="dxa"/>
                  <w:vMerge w:val="continue"/>
                  <w:vAlign w:val="center"/>
                </w:tcPr>
                <w:p w14:paraId="59FC4E67">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09867E46">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4DC6B79F">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新建企业生产技术和工艺、水耗能耗物耗</w:t>
                  </w:r>
                  <w:r>
                    <w:rPr>
                      <w:rFonts w:hint="eastAsia" w:ascii="宋体" w:hAnsi="宋体"/>
                      <w:color w:val="auto"/>
                      <w:szCs w:val="21"/>
                      <w:highlight w:val="none"/>
                      <w:lang w:eastAsia="zh-CN"/>
                    </w:rPr>
                    <w:t>、生</w:t>
                  </w:r>
                  <w:r>
                    <w:rPr>
                      <w:rFonts w:hint="eastAsia" w:ascii="宋体" w:hAnsi="宋体"/>
                      <w:color w:val="auto"/>
                      <w:szCs w:val="21"/>
                      <w:highlight w:val="none"/>
                    </w:rPr>
                    <w:t>产排污情况及环境管理等方面应达到国内先进水平（有清洁生产标准的不得低于国内清洁生产先进水平，有国家效率指南的执行国家先进/标杆水平）。</w:t>
                  </w:r>
                </w:p>
              </w:tc>
              <w:tc>
                <w:tcPr>
                  <w:tcW w:w="1946" w:type="dxa"/>
                  <w:vMerge w:val="continue"/>
                  <w:vAlign w:val="center"/>
                </w:tcPr>
                <w:p w14:paraId="06D83F74">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672" w:type="dxa"/>
                  <w:vMerge w:val="continue"/>
                  <w:vAlign w:val="center"/>
                </w:tcPr>
                <w:p w14:paraId="43983820">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2B97A7F4">
              <w:trPr>
                <w:trHeight w:val="340" w:hRule="atLeast"/>
                <w:jc w:val="center"/>
              </w:trPr>
              <w:tc>
                <w:tcPr>
                  <w:tcW w:w="554" w:type="dxa"/>
                  <w:vMerge w:val="continue"/>
                  <w:vAlign w:val="center"/>
                </w:tcPr>
                <w:p w14:paraId="0FB93F9F">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60458F29">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185BB57C">
                  <w:pPr>
                    <w:keepNext w:val="0"/>
                    <w:keepLines w:val="0"/>
                    <w:suppressLineNumbers w:val="0"/>
                    <w:snapToGrid w:val="0"/>
                    <w:spacing w:before="0" w:beforeAutospacing="0" w:after="0" w:afterAutospacing="0"/>
                    <w:ind w:left="0" w:right="0"/>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对列入《优先控制化学品名录（第一批）</w:t>
                  </w:r>
                  <w:r>
                    <w:rPr>
                      <w:rFonts w:hint="eastAsia" w:ascii="宋体" w:hAnsi="宋体"/>
                      <w:color w:val="auto"/>
                      <w:szCs w:val="21"/>
                      <w:highlight w:val="none"/>
                      <w:lang w:eastAsia="zh-CN"/>
                    </w:rPr>
                    <w:t>》《</w:t>
                  </w:r>
                  <w:r>
                    <w:rPr>
                      <w:rFonts w:hint="eastAsia" w:ascii="宋体" w:hAnsi="宋体"/>
                      <w:color w:val="auto"/>
                      <w:szCs w:val="21"/>
                      <w:highlight w:val="none"/>
                    </w:rPr>
                    <w:t>优先控制化学品名录（第二批）》的化学品，应当针对其产生环境与健康风险的主要环节，采取风险管控措施。</w:t>
                  </w:r>
                </w:p>
              </w:tc>
              <w:tc>
                <w:tcPr>
                  <w:tcW w:w="1946" w:type="dxa"/>
                  <w:vAlign w:val="center"/>
                </w:tcPr>
                <w:p w14:paraId="0A085705">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ascii="宋体" w:hAnsi="宋体"/>
                      <w:color w:val="auto"/>
                      <w:kern w:val="0"/>
                      <w:szCs w:val="21"/>
                      <w:highlight w:val="none"/>
                    </w:rPr>
                    <w:t>本项目不涉及。</w:t>
                  </w:r>
                </w:p>
              </w:tc>
              <w:tc>
                <w:tcPr>
                  <w:tcW w:w="672" w:type="dxa"/>
                  <w:vMerge w:val="continue"/>
                  <w:vAlign w:val="center"/>
                </w:tcPr>
                <w:p w14:paraId="5099CC9F">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3924C11F">
              <w:trPr>
                <w:trHeight w:val="340" w:hRule="atLeast"/>
                <w:jc w:val="center"/>
              </w:trPr>
              <w:tc>
                <w:tcPr>
                  <w:tcW w:w="554" w:type="dxa"/>
                  <w:vMerge w:val="continue"/>
                  <w:vAlign w:val="center"/>
                </w:tcPr>
                <w:p w14:paraId="57EF8A34">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restart"/>
                  <w:vAlign w:val="center"/>
                </w:tcPr>
                <w:p w14:paraId="471174A9">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环境质量</w:t>
                  </w:r>
                </w:p>
              </w:tc>
              <w:tc>
                <w:tcPr>
                  <w:tcW w:w="3279" w:type="dxa"/>
                  <w:vAlign w:val="center"/>
                </w:tcPr>
                <w:p w14:paraId="787BCC9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大气环境质量达到《环境空气质量标准》二级标准、《环境影响评价技术导则大气环境》（HJ2.2-2018）附录D其他污染物空气质量浓度参考限值等。</w:t>
                  </w:r>
                </w:p>
              </w:tc>
              <w:tc>
                <w:tcPr>
                  <w:tcW w:w="1946" w:type="dxa"/>
                  <w:vMerge w:val="restart"/>
                  <w:vAlign w:val="center"/>
                </w:tcPr>
                <w:p w14:paraId="570A710B">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r>
                    <w:rPr>
                      <w:rFonts w:ascii="宋体" w:hAnsi="宋体"/>
                      <w:color w:val="auto"/>
                      <w:szCs w:val="21"/>
                      <w:highlight w:val="none"/>
                    </w:rPr>
                    <w:t>根据</w:t>
                  </w:r>
                  <w:r>
                    <w:rPr>
                      <w:rFonts w:hint="default" w:ascii="Times New Roman" w:hAnsi="Times New Roman" w:cs="Times New Roman"/>
                      <w:color w:val="auto"/>
                      <w:sz w:val="21"/>
                      <w:szCs w:val="21"/>
                      <w:highlight w:val="none"/>
                    </w:rPr>
                    <w:t>《</w:t>
                  </w:r>
                  <w:r>
                    <w:rPr>
                      <w:rFonts w:hint="eastAsia"/>
                      <w:color w:val="auto"/>
                      <w:sz w:val="21"/>
                      <w:szCs w:val="21"/>
                    </w:rPr>
                    <w:t>2024年涟水县环境质量状况公报</w:t>
                  </w:r>
                  <w:r>
                    <w:rPr>
                      <w:rFonts w:hint="default" w:ascii="Times New Roman" w:hAnsi="Times New Roman" w:cs="Times New Roman"/>
                      <w:color w:val="auto"/>
                      <w:sz w:val="21"/>
                      <w:szCs w:val="21"/>
                      <w:highlight w:val="none"/>
                    </w:rPr>
                    <w:t>》，</w:t>
                  </w:r>
                  <w:r>
                    <w:rPr>
                      <w:color w:val="auto"/>
                      <w:sz w:val="21"/>
                      <w:szCs w:val="21"/>
                    </w:rPr>
                    <w:t>可吸入颗粒物</w:t>
                  </w:r>
                  <w:r>
                    <w:rPr>
                      <w:rFonts w:hint="eastAsia"/>
                      <w:color w:val="auto"/>
                      <w:sz w:val="21"/>
                      <w:szCs w:val="21"/>
                      <w:lang w:eastAsia="zh-CN"/>
                    </w:rPr>
                    <w:t>（</w:t>
                  </w:r>
                  <w:r>
                    <w:rPr>
                      <w:color w:val="auto"/>
                      <w:sz w:val="21"/>
                      <w:szCs w:val="21"/>
                    </w:rPr>
                    <w:t>PM</w:t>
                  </w:r>
                  <w:r>
                    <w:rPr>
                      <w:color w:val="auto"/>
                      <w:sz w:val="21"/>
                      <w:szCs w:val="21"/>
                      <w:vertAlign w:val="subscript"/>
                    </w:rPr>
                    <w:t>10</w:t>
                  </w:r>
                  <w:r>
                    <w:rPr>
                      <w:rFonts w:hint="eastAsia"/>
                      <w:color w:val="auto"/>
                      <w:sz w:val="21"/>
                      <w:szCs w:val="21"/>
                      <w:vertAlign w:val="subscript"/>
                      <w:lang w:eastAsia="zh-CN"/>
                    </w:rPr>
                    <w:t>）</w:t>
                  </w:r>
                  <w:r>
                    <w:rPr>
                      <w:color w:val="auto"/>
                      <w:sz w:val="21"/>
                      <w:szCs w:val="21"/>
                    </w:rPr>
                    <w:t>、颗粒物</w:t>
                  </w:r>
                  <w:r>
                    <w:rPr>
                      <w:rFonts w:hint="eastAsia"/>
                      <w:color w:val="auto"/>
                      <w:sz w:val="21"/>
                      <w:szCs w:val="21"/>
                      <w:lang w:eastAsia="zh-CN"/>
                    </w:rPr>
                    <w:t>（</w:t>
                  </w:r>
                  <w:r>
                    <w:rPr>
                      <w:color w:val="auto"/>
                      <w:sz w:val="21"/>
                      <w:szCs w:val="21"/>
                    </w:rPr>
                    <w:t>PM</w:t>
                  </w:r>
                  <w:r>
                    <w:rPr>
                      <w:color w:val="auto"/>
                      <w:sz w:val="21"/>
                      <w:szCs w:val="21"/>
                      <w:vertAlign w:val="subscript"/>
                    </w:rPr>
                    <w:t>2.</w:t>
                  </w:r>
                  <w:r>
                    <w:rPr>
                      <w:rFonts w:hint="eastAsia"/>
                      <w:color w:val="auto"/>
                      <w:sz w:val="21"/>
                      <w:szCs w:val="21"/>
                      <w:vertAlign w:val="subscript"/>
                      <w:lang w:eastAsia="zh-CN"/>
                    </w:rPr>
                    <w:t>5)</w:t>
                  </w:r>
                  <w:r>
                    <w:rPr>
                      <w:color w:val="auto"/>
                      <w:sz w:val="21"/>
                      <w:szCs w:val="21"/>
                    </w:rPr>
                    <w:t>二氧化硫</w:t>
                  </w:r>
                  <w:r>
                    <w:rPr>
                      <w:rFonts w:hint="eastAsia"/>
                      <w:color w:val="auto"/>
                      <w:sz w:val="21"/>
                      <w:szCs w:val="21"/>
                      <w:lang w:eastAsia="zh-CN"/>
                    </w:rPr>
                    <w:t>（</w:t>
                  </w:r>
                  <w:r>
                    <w:rPr>
                      <w:color w:val="auto"/>
                      <w:sz w:val="21"/>
                      <w:szCs w:val="21"/>
                    </w:rPr>
                    <w:t>SO</w:t>
                  </w:r>
                  <w:r>
                    <w:rPr>
                      <w:color w:val="auto"/>
                      <w:sz w:val="21"/>
                      <w:szCs w:val="21"/>
                      <w:vertAlign w:val="subscript"/>
                    </w:rPr>
                    <w:t>2</w:t>
                  </w:r>
                  <w:r>
                    <w:rPr>
                      <w:rFonts w:hint="eastAsia"/>
                      <w:color w:val="auto"/>
                      <w:sz w:val="21"/>
                      <w:szCs w:val="21"/>
                      <w:vertAlign w:val="subscript"/>
                      <w:lang w:eastAsia="zh-CN"/>
                    </w:rPr>
                    <w:t>）</w:t>
                  </w:r>
                  <w:r>
                    <w:rPr>
                      <w:color w:val="auto"/>
                      <w:sz w:val="21"/>
                      <w:szCs w:val="21"/>
                    </w:rPr>
                    <w:t>、二氧化氮</w:t>
                  </w:r>
                  <w:r>
                    <w:rPr>
                      <w:rFonts w:hint="eastAsia"/>
                      <w:color w:val="auto"/>
                      <w:sz w:val="21"/>
                      <w:szCs w:val="21"/>
                      <w:lang w:eastAsia="zh-CN"/>
                    </w:rPr>
                    <w:t>（</w:t>
                  </w:r>
                  <w:r>
                    <w:rPr>
                      <w:color w:val="auto"/>
                      <w:sz w:val="21"/>
                      <w:szCs w:val="21"/>
                    </w:rPr>
                    <w:t>NO</w:t>
                  </w:r>
                  <w:r>
                    <w:rPr>
                      <w:color w:val="auto"/>
                      <w:sz w:val="21"/>
                      <w:szCs w:val="21"/>
                      <w:vertAlign w:val="subscript"/>
                    </w:rPr>
                    <w:t>2</w:t>
                  </w:r>
                  <w:r>
                    <w:rPr>
                      <w:rFonts w:hint="eastAsia"/>
                      <w:color w:val="auto"/>
                      <w:sz w:val="21"/>
                      <w:szCs w:val="21"/>
                      <w:vertAlign w:val="subscript"/>
                      <w:lang w:eastAsia="zh-CN"/>
                    </w:rPr>
                    <w:t>）</w:t>
                  </w:r>
                  <w:r>
                    <w:rPr>
                      <w:color w:val="auto"/>
                      <w:sz w:val="21"/>
                      <w:szCs w:val="21"/>
                    </w:rPr>
                    <w:t>、一氧化碳</w:t>
                  </w:r>
                  <w:r>
                    <w:rPr>
                      <w:rFonts w:hint="eastAsia"/>
                      <w:color w:val="auto"/>
                      <w:sz w:val="21"/>
                      <w:szCs w:val="21"/>
                      <w:lang w:eastAsia="zh-CN"/>
                    </w:rPr>
                    <w:t>（</w:t>
                  </w:r>
                  <w:r>
                    <w:rPr>
                      <w:color w:val="auto"/>
                      <w:sz w:val="21"/>
                      <w:szCs w:val="21"/>
                    </w:rPr>
                    <w:t>CO</w:t>
                  </w:r>
                  <w:r>
                    <w:rPr>
                      <w:rFonts w:hint="eastAsia"/>
                      <w:color w:val="auto"/>
                      <w:sz w:val="21"/>
                      <w:szCs w:val="21"/>
                      <w:lang w:eastAsia="zh-CN"/>
                    </w:rPr>
                    <w:t>）</w:t>
                  </w:r>
                  <w:r>
                    <w:rPr>
                      <w:color w:val="auto"/>
                      <w:sz w:val="21"/>
                      <w:szCs w:val="21"/>
                    </w:rPr>
                    <w:t>和臭氧</w:t>
                  </w:r>
                  <w:r>
                    <w:rPr>
                      <w:rFonts w:hint="eastAsia"/>
                      <w:color w:val="auto"/>
                      <w:sz w:val="21"/>
                      <w:szCs w:val="21"/>
                      <w:lang w:eastAsia="zh-CN"/>
                    </w:rPr>
                    <w:t>（</w:t>
                  </w:r>
                  <w:r>
                    <w:rPr>
                      <w:color w:val="auto"/>
                      <w:sz w:val="21"/>
                      <w:szCs w:val="21"/>
                    </w:rPr>
                    <w:t>O</w:t>
                  </w:r>
                  <w:r>
                    <w:rPr>
                      <w:color w:val="auto"/>
                      <w:sz w:val="21"/>
                      <w:szCs w:val="21"/>
                      <w:vertAlign w:val="subscript"/>
                    </w:rPr>
                    <w:t>3</w:t>
                  </w:r>
                  <w:r>
                    <w:rPr>
                      <w:rFonts w:hint="eastAsia"/>
                      <w:color w:val="auto"/>
                      <w:sz w:val="21"/>
                      <w:szCs w:val="21"/>
                      <w:vertAlign w:val="subscript"/>
                      <w:lang w:eastAsia="zh-CN"/>
                    </w:rPr>
                    <w:t>）</w:t>
                  </w:r>
                  <w:r>
                    <w:rPr>
                      <w:color w:val="auto"/>
                      <w:sz w:val="21"/>
                      <w:szCs w:val="21"/>
                    </w:rPr>
                    <w:t>污染物浓度达到国家二级标准</w:t>
                  </w:r>
                  <w:r>
                    <w:rPr>
                      <w:rFonts w:hint="eastAsia"/>
                      <w:color w:val="auto"/>
                      <w:sz w:val="21"/>
                      <w:szCs w:val="21"/>
                    </w:rPr>
                    <w:t>，</w:t>
                  </w:r>
                  <w:r>
                    <w:rPr>
                      <w:color w:val="auto"/>
                      <w:sz w:val="21"/>
                      <w:szCs w:val="21"/>
                    </w:rPr>
                    <w:t>故建设项目所在地为达标区。</w:t>
                  </w:r>
                </w:p>
              </w:tc>
              <w:tc>
                <w:tcPr>
                  <w:tcW w:w="672" w:type="dxa"/>
                  <w:vMerge w:val="continue"/>
                  <w:vAlign w:val="center"/>
                </w:tcPr>
                <w:p w14:paraId="37A879D7">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41A37163">
              <w:trPr>
                <w:trHeight w:val="340" w:hRule="atLeast"/>
                <w:jc w:val="center"/>
              </w:trPr>
              <w:tc>
                <w:tcPr>
                  <w:tcW w:w="554" w:type="dxa"/>
                  <w:vMerge w:val="continue"/>
                  <w:vAlign w:val="center"/>
                </w:tcPr>
                <w:p w14:paraId="1E232FFC">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723" w:type="dxa"/>
                  <w:vMerge w:val="continue"/>
                  <w:vAlign w:val="center"/>
                </w:tcPr>
                <w:p w14:paraId="574E48F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5DA2EF0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建设用地满足《土壤环境质量建设用地土壤污染风险管控标准》（GB36600-2018）筛选值中的第一类、第二类用地标准。</w:t>
                  </w:r>
                </w:p>
              </w:tc>
              <w:tc>
                <w:tcPr>
                  <w:tcW w:w="1946" w:type="dxa"/>
                  <w:vMerge w:val="continue"/>
                  <w:vAlign w:val="center"/>
                </w:tcPr>
                <w:p w14:paraId="4E03CB71">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c>
                <w:tcPr>
                  <w:tcW w:w="672" w:type="dxa"/>
                  <w:vMerge w:val="continue"/>
                  <w:vAlign w:val="center"/>
                </w:tcPr>
                <w:p w14:paraId="0B00A338">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7A38F51B">
              <w:trPr>
                <w:trHeight w:val="340" w:hRule="atLeast"/>
                <w:jc w:val="center"/>
              </w:trPr>
              <w:tc>
                <w:tcPr>
                  <w:tcW w:w="554" w:type="dxa"/>
                  <w:vMerge w:val="continue"/>
                  <w:vAlign w:val="center"/>
                </w:tcPr>
                <w:p w14:paraId="063A73D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723" w:type="dxa"/>
                  <w:vMerge w:val="restart"/>
                  <w:vAlign w:val="center"/>
                </w:tcPr>
                <w:p w14:paraId="06F2A2B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污染物排放总量</w:t>
                  </w:r>
                </w:p>
              </w:tc>
              <w:tc>
                <w:tcPr>
                  <w:tcW w:w="3279" w:type="dxa"/>
                  <w:vAlign w:val="center"/>
                </w:tcPr>
                <w:p w14:paraId="29EA9999">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rPr>
                    <w:t>园区规划实施过程中将对铅、汞、镉、铬和砷五种重点重金属污染物排放量实施总量控制，入区项目涉及重点污染物排放的企业，应按《关于进一步加强重金属污染防控的意见》（环固体</w:t>
                  </w:r>
                  <w:r>
                    <w:rPr>
                      <w:rFonts w:hint="eastAsia" w:ascii="宋体" w:hAnsi="宋体"/>
                      <w:color w:val="auto"/>
                      <w:szCs w:val="21"/>
                      <w:highlight w:val="none"/>
                      <w:lang w:eastAsia="zh-CN"/>
                    </w:rPr>
                    <w:t>〔2022〕</w:t>
                  </w:r>
                  <w:r>
                    <w:rPr>
                      <w:rFonts w:hint="eastAsia" w:ascii="宋体" w:hAnsi="宋体"/>
                      <w:color w:val="auto"/>
                      <w:szCs w:val="21"/>
                      <w:highlight w:val="none"/>
                    </w:rPr>
                    <w:t>17 号）、《省生态环境厅印发关于进一步加强重金属污染防控工作的实施方案的通知》（苏环办</w:t>
                  </w:r>
                  <w:r>
                    <w:rPr>
                      <w:rFonts w:hint="eastAsia" w:ascii="宋体" w:hAnsi="宋体"/>
                      <w:color w:val="auto"/>
                      <w:szCs w:val="21"/>
                      <w:highlight w:val="none"/>
                      <w:lang w:eastAsia="zh-CN"/>
                    </w:rPr>
                    <w:t>〔</w:t>
                  </w:r>
                  <w:r>
                    <w:rPr>
                      <w:rFonts w:hint="eastAsia" w:ascii="宋体" w:hAnsi="宋体"/>
                      <w:color w:val="auto"/>
                      <w:szCs w:val="21"/>
                      <w:highlight w:val="none"/>
                    </w:rPr>
                    <w:t>2022</w:t>
                  </w:r>
                  <w:r>
                    <w:rPr>
                      <w:rFonts w:hint="eastAsia" w:ascii="宋体" w:hAnsi="宋体"/>
                      <w:color w:val="auto"/>
                      <w:szCs w:val="21"/>
                      <w:highlight w:val="none"/>
                      <w:lang w:eastAsia="zh-CN"/>
                    </w:rPr>
                    <w:t>〕</w:t>
                  </w:r>
                  <w:r>
                    <w:rPr>
                      <w:rFonts w:hint="eastAsia" w:ascii="宋体" w:hAnsi="宋体"/>
                      <w:color w:val="auto"/>
                      <w:szCs w:val="21"/>
                      <w:highlight w:val="none"/>
                    </w:rPr>
                    <w:t>155号）要求明确重点重金属污染物排放总量及来源。</w:t>
                  </w:r>
                </w:p>
              </w:tc>
              <w:tc>
                <w:tcPr>
                  <w:tcW w:w="1946" w:type="dxa"/>
                  <w:vMerge w:val="restart"/>
                  <w:vAlign w:val="center"/>
                </w:tcPr>
                <w:p w14:paraId="44FEC5BB">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本项目不涉及重金属，项目将按要求严格落实污染物排放总量控制制度，把主要污染物排放总量指标作为建设项目环境影响评价审批的前置条件。在环境影响评价文件审批前，须取得主要污染物排放总量指标</w:t>
                  </w:r>
                  <w:r>
                    <w:rPr>
                      <w:rFonts w:hint="eastAsia" w:ascii="宋体" w:hAnsi="宋体"/>
                      <w:color w:val="auto"/>
                      <w:szCs w:val="21"/>
                      <w:highlight w:val="none"/>
                    </w:rPr>
                    <w:t>；</w:t>
                  </w:r>
                  <w:r>
                    <w:rPr>
                      <w:rFonts w:ascii="宋体" w:hAnsi="宋体"/>
                      <w:color w:val="auto"/>
                      <w:szCs w:val="21"/>
                      <w:highlight w:val="none"/>
                    </w:rPr>
                    <w:t>项目危险废物委托有资质单位安全处置，一般固废委外综合利用或者环卫清运，实现固废零排放。</w:t>
                  </w:r>
                </w:p>
              </w:tc>
              <w:tc>
                <w:tcPr>
                  <w:tcW w:w="672" w:type="dxa"/>
                  <w:vMerge w:val="continue"/>
                  <w:vAlign w:val="center"/>
                </w:tcPr>
                <w:p w14:paraId="04D447EA">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30EEAD7C">
              <w:trPr>
                <w:trHeight w:val="340" w:hRule="atLeast"/>
                <w:jc w:val="center"/>
              </w:trPr>
              <w:tc>
                <w:tcPr>
                  <w:tcW w:w="554" w:type="dxa"/>
                  <w:vMerge w:val="continue"/>
                  <w:vAlign w:val="center"/>
                </w:tcPr>
                <w:p w14:paraId="0C3BE259">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723" w:type="dxa"/>
                  <w:vMerge w:val="continue"/>
                  <w:vAlign w:val="center"/>
                </w:tcPr>
                <w:p w14:paraId="42258CF4">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5ACF8A4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废气污染物：近期SO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0.23t/a、NOx9.68t/a、颗粒物21.31t/a、VOCs29.76t/a；远期SO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0.38t/a、NOx13.6t/a、颗粒物33.83t/a、VOCs42.22t/a。</w:t>
                  </w:r>
                </w:p>
              </w:tc>
              <w:tc>
                <w:tcPr>
                  <w:tcW w:w="1946" w:type="dxa"/>
                  <w:vMerge w:val="continue"/>
                  <w:vAlign w:val="center"/>
                </w:tcPr>
                <w:p w14:paraId="562F521D">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37A06616">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5E7A5375">
              <w:trPr>
                <w:trHeight w:val="340" w:hRule="atLeast"/>
                <w:jc w:val="center"/>
              </w:trPr>
              <w:tc>
                <w:tcPr>
                  <w:tcW w:w="554" w:type="dxa"/>
                  <w:vMerge w:val="continue"/>
                  <w:vAlign w:val="center"/>
                </w:tcPr>
                <w:p w14:paraId="5A4BDCB3">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723" w:type="dxa"/>
                  <w:vMerge w:val="continue"/>
                  <w:vAlign w:val="center"/>
                </w:tcPr>
                <w:p w14:paraId="4780E85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2247F23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3.</w:t>
                  </w:r>
                  <w:r>
                    <w:rPr>
                      <w:rFonts w:hint="default" w:ascii="Times New Roman" w:hAnsi="Times New Roman" w:cs="Times New Roman"/>
                      <w:color w:val="auto"/>
                      <w:szCs w:val="21"/>
                      <w:highlight w:val="none"/>
                    </w:rPr>
                    <w:t>废水污染物：近期排放量：污水141.99 万t/a，COD71t/a、氨氮7.1t/a、总磷0.05t/a、总氮19.77t/a；远期排放量：污水202.27万t/a，COD101.14t/a、氨氮 10.11t/a、总磷0.09t/a、总氮27.64t/a。</w:t>
                  </w:r>
                </w:p>
              </w:tc>
              <w:tc>
                <w:tcPr>
                  <w:tcW w:w="1946" w:type="dxa"/>
                  <w:vMerge w:val="continue"/>
                  <w:vAlign w:val="center"/>
                </w:tcPr>
                <w:p w14:paraId="014DE1F5">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49BD45B4">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35D94F60">
              <w:trPr>
                <w:trHeight w:val="340" w:hRule="atLeast"/>
                <w:jc w:val="center"/>
              </w:trPr>
              <w:tc>
                <w:tcPr>
                  <w:tcW w:w="554" w:type="dxa"/>
                  <w:vMerge w:val="continue"/>
                  <w:vAlign w:val="center"/>
                </w:tcPr>
                <w:p w14:paraId="2E2B377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723" w:type="dxa"/>
                  <w:vMerge w:val="continue"/>
                  <w:vAlign w:val="center"/>
                </w:tcPr>
                <w:p w14:paraId="43859F0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1388B3C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固体废物：近期产生量：一般工业固废5928.7t/a、危废废物30335.49t/a、生活垃圾1200t/a；远期产生量：一般工业固废8211.48t/a、危废废物41323.97t/a、生活垃圾2100t/a。</w:t>
                  </w:r>
                </w:p>
              </w:tc>
              <w:tc>
                <w:tcPr>
                  <w:tcW w:w="1946" w:type="dxa"/>
                  <w:vMerge w:val="continue"/>
                  <w:vAlign w:val="center"/>
                </w:tcPr>
                <w:p w14:paraId="17A9A267">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59AA12B9">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219250D8">
              <w:trPr>
                <w:trHeight w:val="340" w:hRule="atLeast"/>
                <w:jc w:val="center"/>
              </w:trPr>
              <w:tc>
                <w:tcPr>
                  <w:tcW w:w="554" w:type="dxa"/>
                  <w:vMerge w:val="continue"/>
                  <w:vAlign w:val="center"/>
                </w:tcPr>
                <w:p w14:paraId="0F92523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723" w:type="dxa"/>
                  <w:vMerge w:val="continue"/>
                  <w:vAlign w:val="center"/>
                </w:tcPr>
                <w:p w14:paraId="5372706A">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107BA46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cs="Times New Roman"/>
                      <w:color w:val="auto"/>
                      <w:szCs w:val="21"/>
                      <w:highlight w:val="none"/>
                    </w:rPr>
                    <w:t>入驻园区的企业必须取得污染物排放总量指标，园区污染物总量达到限值后，不得引进排放同类污染物的企业，园区同类企业不得进行改、扩建（对环境或总量削减有改善除外</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tc>
              <w:tc>
                <w:tcPr>
                  <w:tcW w:w="1946" w:type="dxa"/>
                  <w:vMerge w:val="continue"/>
                  <w:vAlign w:val="center"/>
                </w:tcPr>
                <w:p w14:paraId="7C74AF26">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21227879">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3C42D748">
              <w:trPr>
                <w:trHeight w:val="340" w:hRule="atLeast"/>
                <w:jc w:val="center"/>
              </w:trPr>
              <w:tc>
                <w:tcPr>
                  <w:tcW w:w="1277" w:type="dxa"/>
                  <w:gridSpan w:val="2"/>
                  <w:vMerge w:val="restart"/>
                  <w:vAlign w:val="center"/>
                </w:tcPr>
                <w:p w14:paraId="18F49B6C">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环境风险防控</w:t>
                  </w:r>
                </w:p>
              </w:tc>
              <w:tc>
                <w:tcPr>
                  <w:tcW w:w="3279" w:type="dxa"/>
                  <w:vAlign w:val="center"/>
                </w:tcPr>
                <w:p w14:paraId="305D3733">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rPr>
                    <w:t>园区和企业编制环境风险应急预案，对重点风险源编制环境风险评估报告。区内涉重金属企业应完善“单元</w:t>
                  </w:r>
                  <w:r>
                    <w:rPr>
                      <w:rFonts w:hint="eastAsia" w:ascii="宋体" w:hAnsi="宋体"/>
                      <w:color w:val="auto"/>
                      <w:szCs w:val="21"/>
                      <w:highlight w:val="none"/>
                      <w:lang w:eastAsia="zh-CN"/>
                    </w:rPr>
                    <w:t>－</w:t>
                  </w:r>
                  <w:r>
                    <w:rPr>
                      <w:rFonts w:hint="eastAsia" w:ascii="宋体" w:hAnsi="宋体"/>
                      <w:color w:val="auto"/>
                      <w:szCs w:val="21"/>
                      <w:highlight w:val="none"/>
                    </w:rPr>
                    <w:t>厂区</w:t>
                  </w:r>
                  <w:r>
                    <w:rPr>
                      <w:rFonts w:hint="eastAsia" w:ascii="宋体" w:hAnsi="宋体"/>
                      <w:color w:val="auto"/>
                      <w:szCs w:val="21"/>
                      <w:highlight w:val="none"/>
                      <w:lang w:eastAsia="zh-CN"/>
                    </w:rPr>
                    <w:t>－</w:t>
                  </w:r>
                  <w:r>
                    <w:rPr>
                      <w:rFonts w:hint="eastAsia" w:ascii="宋体" w:hAnsi="宋体"/>
                      <w:color w:val="auto"/>
                      <w:szCs w:val="21"/>
                      <w:highlight w:val="none"/>
                    </w:rPr>
                    <w:t>开发区”环境风险防控三级措施，按时对应急预案进行更新与备案。</w:t>
                  </w:r>
                </w:p>
              </w:tc>
              <w:tc>
                <w:tcPr>
                  <w:tcW w:w="1946" w:type="dxa"/>
                  <w:vAlign w:val="center"/>
                </w:tcPr>
                <w:p w14:paraId="5A29742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s="宋体"/>
                      <w:color w:val="auto"/>
                      <w:szCs w:val="21"/>
                      <w:highlight w:val="none"/>
                    </w:rPr>
                    <w:t>项目配备应急消防设施，定期开展应急演练</w:t>
                  </w:r>
                  <w:r>
                    <w:rPr>
                      <w:rFonts w:ascii="宋体" w:hAnsi="宋体"/>
                      <w:color w:val="auto"/>
                      <w:szCs w:val="21"/>
                      <w:highlight w:val="none"/>
                    </w:rPr>
                    <w:t>，熟练应急物资的使用</w:t>
                  </w:r>
                  <w:r>
                    <w:rPr>
                      <w:rFonts w:hint="eastAsia" w:ascii="宋体" w:hAnsi="宋体" w:cs="宋体"/>
                      <w:color w:val="auto"/>
                      <w:szCs w:val="21"/>
                      <w:highlight w:val="none"/>
                    </w:rPr>
                    <w:t>。</w:t>
                  </w:r>
                </w:p>
              </w:tc>
              <w:tc>
                <w:tcPr>
                  <w:tcW w:w="672" w:type="dxa"/>
                  <w:vMerge w:val="continue"/>
                  <w:vAlign w:val="center"/>
                </w:tcPr>
                <w:p w14:paraId="45A11D31">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56E66B52">
              <w:trPr>
                <w:trHeight w:val="340" w:hRule="atLeast"/>
                <w:jc w:val="center"/>
              </w:trPr>
              <w:tc>
                <w:tcPr>
                  <w:tcW w:w="1277" w:type="dxa"/>
                  <w:gridSpan w:val="2"/>
                  <w:vMerge w:val="continue"/>
                  <w:vAlign w:val="center"/>
                </w:tcPr>
                <w:p w14:paraId="3079874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144525C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建立有毒有害气体预警体系，建立重点监控区域预警和应急机制，涉及有毒有害气体的企业全部安装毒害气体监控预警装置并与当地生态环境主管部门或园区管理平台联网，加强监控。</w:t>
                  </w:r>
                </w:p>
              </w:tc>
              <w:tc>
                <w:tcPr>
                  <w:tcW w:w="1946" w:type="dxa"/>
                  <w:vAlign w:val="center"/>
                </w:tcPr>
                <w:p w14:paraId="61CA6E7F">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本项目不涉及有毒有害物质。</w:t>
                  </w:r>
                </w:p>
              </w:tc>
              <w:tc>
                <w:tcPr>
                  <w:tcW w:w="672" w:type="dxa"/>
                  <w:vMerge w:val="continue"/>
                  <w:vAlign w:val="center"/>
                </w:tcPr>
                <w:p w14:paraId="48CEF58B">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3C398484">
              <w:trPr>
                <w:trHeight w:val="340" w:hRule="atLeast"/>
                <w:jc w:val="center"/>
              </w:trPr>
              <w:tc>
                <w:tcPr>
                  <w:tcW w:w="1277" w:type="dxa"/>
                  <w:gridSpan w:val="2"/>
                  <w:vMerge w:val="continue"/>
                  <w:vAlign w:val="center"/>
                </w:tcPr>
                <w:p w14:paraId="7837C790">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7C1EAD91">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建立突发水污染事件应急防范体系，编制三级防控体系建设方案，建设突发水污染事件三级防控体系建设。</w:t>
                  </w:r>
                </w:p>
              </w:tc>
              <w:tc>
                <w:tcPr>
                  <w:tcW w:w="1946" w:type="dxa"/>
                  <w:vAlign w:val="center"/>
                </w:tcPr>
                <w:p w14:paraId="64655E4B">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本项目按要求执行</w:t>
                  </w:r>
                </w:p>
              </w:tc>
              <w:tc>
                <w:tcPr>
                  <w:tcW w:w="672" w:type="dxa"/>
                  <w:vMerge w:val="continue"/>
                  <w:vAlign w:val="center"/>
                </w:tcPr>
                <w:p w14:paraId="2A0CCCBE">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20F9630E">
              <w:trPr>
                <w:trHeight w:val="340" w:hRule="atLeast"/>
                <w:jc w:val="center"/>
              </w:trPr>
              <w:tc>
                <w:tcPr>
                  <w:tcW w:w="1277" w:type="dxa"/>
                  <w:gridSpan w:val="2"/>
                  <w:vMerge w:val="continue"/>
                  <w:vAlign w:val="center"/>
                </w:tcPr>
                <w:p w14:paraId="7D2F18C5">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5D756761">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建立突发环境事件隐患排查整改及突发环境事件应急管理长效机制。将园区突发环境事件隐患排查及整改、环境应急物资管理、环境应急演练拉练、环境应急预案备案及修编等工作，纳入园区管理平台进行信息化管理。园区要做好污染防治过程中的安全防范，组织对园区建设的重点环保治理设施和项目开展安全风险评估和隐患排查治理，督促园区内企业对污染防治设施开展安全风险评估和隐患排查治理。</w:t>
                  </w:r>
                </w:p>
              </w:tc>
              <w:tc>
                <w:tcPr>
                  <w:tcW w:w="1946" w:type="dxa"/>
                  <w:vAlign w:val="center"/>
                </w:tcPr>
                <w:p w14:paraId="4C2D1962">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s="宋体"/>
                      <w:color w:val="auto"/>
                      <w:szCs w:val="21"/>
                      <w:highlight w:val="none"/>
                    </w:rPr>
                    <w:t>项目配备应急消防设施，定期开展应急演练</w:t>
                  </w:r>
                  <w:r>
                    <w:rPr>
                      <w:rFonts w:ascii="宋体" w:hAnsi="宋体"/>
                      <w:color w:val="auto"/>
                      <w:szCs w:val="21"/>
                      <w:highlight w:val="none"/>
                    </w:rPr>
                    <w:t>，熟练应急物资的使用</w:t>
                  </w:r>
                  <w:r>
                    <w:rPr>
                      <w:rFonts w:hint="eastAsia" w:ascii="宋体" w:hAnsi="宋体" w:cs="宋体"/>
                      <w:color w:val="auto"/>
                      <w:szCs w:val="21"/>
                      <w:highlight w:val="none"/>
                    </w:rPr>
                    <w:t>。</w:t>
                  </w:r>
                </w:p>
              </w:tc>
              <w:tc>
                <w:tcPr>
                  <w:tcW w:w="672" w:type="dxa"/>
                  <w:vMerge w:val="continue"/>
                  <w:vAlign w:val="center"/>
                </w:tcPr>
                <w:p w14:paraId="023A5B3E">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1DA92616">
              <w:trPr>
                <w:trHeight w:val="340" w:hRule="atLeast"/>
                <w:jc w:val="center"/>
              </w:trPr>
              <w:tc>
                <w:tcPr>
                  <w:tcW w:w="1277" w:type="dxa"/>
                  <w:gridSpan w:val="2"/>
                  <w:vMerge w:val="continue"/>
                  <w:vAlign w:val="center"/>
                </w:tcPr>
                <w:p w14:paraId="08BCE553">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3ED55C10">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tc>
              <w:tc>
                <w:tcPr>
                  <w:tcW w:w="1946" w:type="dxa"/>
                  <w:vAlign w:val="center"/>
                </w:tcPr>
                <w:p w14:paraId="3D615353">
                  <w:pPr>
                    <w:keepNext w:val="0"/>
                    <w:keepLines w:val="0"/>
                    <w:suppressLineNumbers w:val="0"/>
                    <w:spacing w:before="0" w:beforeAutospacing="0" w:after="0" w:afterAutospacing="0"/>
                    <w:ind w:left="0" w:right="0"/>
                    <w:jc w:val="center"/>
                    <w:rPr>
                      <w:rFonts w:ascii="宋体" w:hAnsi="宋体"/>
                      <w:bCs/>
                      <w:color w:val="auto"/>
                      <w:szCs w:val="21"/>
                      <w:highlight w:val="none"/>
                    </w:rPr>
                  </w:pPr>
                  <w:r>
                    <w:rPr>
                      <w:rFonts w:hint="default" w:ascii="Times New Roman" w:hAnsi="Times New Roman" w:eastAsia="宋体" w:cs="Times New Roman"/>
                      <w:color w:val="auto"/>
                      <w:kern w:val="0"/>
                      <w:sz w:val="21"/>
                      <w:szCs w:val="21"/>
                      <w:lang w:val="en-US" w:eastAsia="zh-CN" w:bidi="ar"/>
                    </w:rPr>
                    <w:t>本项目50米</w:t>
                  </w:r>
                  <w:r>
                    <w:rPr>
                      <w:rFonts w:hint="eastAsia" w:eastAsia="宋体" w:cs="Times New Roman"/>
                      <w:color w:val="auto"/>
                      <w:kern w:val="0"/>
                      <w:sz w:val="21"/>
                      <w:szCs w:val="21"/>
                      <w:lang w:val="en-US" w:eastAsia="zh-CN" w:bidi="ar"/>
                    </w:rPr>
                    <w:t>卫生防护距离</w:t>
                  </w:r>
                  <w:r>
                    <w:rPr>
                      <w:rFonts w:hint="default" w:ascii="Times New Roman" w:hAnsi="Times New Roman" w:eastAsia="宋体" w:cs="Times New Roman"/>
                      <w:color w:val="auto"/>
                      <w:kern w:val="0"/>
                      <w:sz w:val="21"/>
                      <w:szCs w:val="21"/>
                      <w:lang w:val="en-US" w:eastAsia="zh-CN" w:bidi="ar"/>
                    </w:rPr>
                    <w:t>范围内不涉及居住、商住、学校等需要保护的目标。</w:t>
                  </w:r>
                </w:p>
              </w:tc>
              <w:tc>
                <w:tcPr>
                  <w:tcW w:w="672" w:type="dxa"/>
                  <w:vMerge w:val="continue"/>
                  <w:vAlign w:val="center"/>
                </w:tcPr>
                <w:p w14:paraId="5B81DE6F">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50E59B9B">
              <w:trPr>
                <w:trHeight w:val="340" w:hRule="atLeast"/>
                <w:jc w:val="center"/>
              </w:trPr>
              <w:tc>
                <w:tcPr>
                  <w:tcW w:w="1277" w:type="dxa"/>
                  <w:gridSpan w:val="2"/>
                  <w:vMerge w:val="continue"/>
                  <w:vAlign w:val="center"/>
                </w:tcPr>
                <w:p w14:paraId="2149619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5AF7D4BE">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1946" w:type="dxa"/>
                  <w:vMerge w:val="restart"/>
                  <w:vAlign w:val="center"/>
                </w:tcPr>
                <w:p w14:paraId="58A0F02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本项目不涉及。</w:t>
                  </w:r>
                </w:p>
              </w:tc>
              <w:tc>
                <w:tcPr>
                  <w:tcW w:w="672" w:type="dxa"/>
                  <w:vMerge w:val="continue"/>
                  <w:vAlign w:val="center"/>
                </w:tcPr>
                <w:p w14:paraId="3D241624">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r w14:paraId="18854687">
              <w:trPr>
                <w:trHeight w:val="340" w:hRule="atLeast"/>
                <w:jc w:val="center"/>
              </w:trPr>
              <w:tc>
                <w:tcPr>
                  <w:tcW w:w="1277" w:type="dxa"/>
                  <w:gridSpan w:val="2"/>
                  <w:vMerge w:val="continue"/>
                  <w:vAlign w:val="center"/>
                </w:tcPr>
                <w:p w14:paraId="049DE616">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3279" w:type="dxa"/>
                  <w:vAlign w:val="center"/>
                </w:tcPr>
                <w:p w14:paraId="37B0F148">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禁止无法落实危险废物处置途径的项目入园。</w:t>
                  </w:r>
                </w:p>
              </w:tc>
              <w:tc>
                <w:tcPr>
                  <w:tcW w:w="1946" w:type="dxa"/>
                  <w:vMerge w:val="continue"/>
                  <w:vAlign w:val="center"/>
                </w:tcPr>
                <w:p w14:paraId="2644ED3F">
                  <w:pPr>
                    <w:keepNext w:val="0"/>
                    <w:keepLines w:val="0"/>
                    <w:suppressLineNumbers w:val="0"/>
                    <w:snapToGrid w:val="0"/>
                    <w:spacing w:before="0" w:beforeAutospacing="0" w:after="0" w:afterAutospacing="0"/>
                    <w:ind w:left="0" w:right="0"/>
                    <w:jc w:val="center"/>
                    <w:rPr>
                      <w:rFonts w:ascii="宋体" w:hAnsi="宋体"/>
                      <w:color w:val="auto"/>
                      <w:szCs w:val="21"/>
                      <w:highlight w:val="none"/>
                    </w:rPr>
                  </w:pPr>
                </w:p>
              </w:tc>
              <w:tc>
                <w:tcPr>
                  <w:tcW w:w="672" w:type="dxa"/>
                  <w:vMerge w:val="continue"/>
                  <w:vAlign w:val="center"/>
                </w:tcPr>
                <w:p w14:paraId="5D6B7B22">
                  <w:pPr>
                    <w:keepNext w:val="0"/>
                    <w:keepLines w:val="0"/>
                    <w:suppressLineNumbers w:val="0"/>
                    <w:snapToGrid w:val="0"/>
                    <w:spacing w:before="0" w:beforeAutospacing="0" w:after="0" w:afterAutospacing="0"/>
                    <w:ind w:left="0" w:right="0"/>
                    <w:jc w:val="center"/>
                    <w:rPr>
                      <w:rFonts w:ascii="宋体" w:hAnsi="宋体"/>
                      <w:color w:val="auto"/>
                      <w:kern w:val="0"/>
                      <w:szCs w:val="21"/>
                      <w:highlight w:val="none"/>
                    </w:rPr>
                  </w:pPr>
                </w:p>
              </w:tc>
            </w:tr>
          </w:tbl>
          <w:p w14:paraId="69CFC5FB">
            <w:pPr>
              <w:pStyle w:val="136"/>
              <w:keepNext w:val="0"/>
              <w:keepLines w:val="0"/>
              <w:suppressLineNumbers w:val="0"/>
              <w:tabs>
                <w:tab w:val="left" w:pos="1542"/>
              </w:tabs>
              <w:adjustRightInd w:val="0"/>
              <w:snapToGrid w:val="0"/>
              <w:spacing w:before="0" w:beforeAutospacing="0" w:after="0" w:afterAutospacing="0" w:line="360" w:lineRule="auto"/>
              <w:ind w:left="0" w:right="0" w:firstLine="476"/>
              <w:rPr>
                <w:rFonts w:eastAsia="新宋体"/>
                <w:color w:val="auto"/>
                <w:spacing w:val="-1"/>
                <w:sz w:val="24"/>
                <w:highlight w:val="none"/>
              </w:rPr>
            </w:pPr>
            <w:r>
              <w:rPr>
                <w:rFonts w:hint="eastAsia" w:eastAsia="新宋体" w:cs="宋体"/>
                <w:color w:val="auto"/>
                <w:spacing w:val="-1"/>
                <w:sz w:val="24"/>
                <w:highlight w:val="none"/>
              </w:rPr>
              <w:t>②</w:t>
            </w:r>
            <w:r>
              <w:rPr>
                <w:rFonts w:eastAsia="新宋体"/>
                <w:color w:val="auto"/>
                <w:spacing w:val="-1"/>
                <w:sz w:val="24"/>
                <w:highlight w:val="none"/>
              </w:rPr>
              <w:t>与其他环境准入负面清单对照表</w:t>
            </w:r>
          </w:p>
          <w:p w14:paraId="36A17756">
            <w:pPr>
              <w:pStyle w:val="136"/>
              <w:keepNext w:val="0"/>
              <w:keepLines w:val="0"/>
              <w:suppressLineNumbers w:val="0"/>
              <w:tabs>
                <w:tab w:val="left" w:pos="1542"/>
              </w:tabs>
              <w:adjustRightInd w:val="0"/>
              <w:snapToGrid w:val="0"/>
              <w:spacing w:before="0" w:beforeAutospacing="0" w:after="0" w:afterAutospacing="0" w:line="360" w:lineRule="auto"/>
              <w:ind w:left="0" w:right="0" w:firstLine="476"/>
              <w:rPr>
                <w:rFonts w:eastAsia="新宋体"/>
                <w:color w:val="auto"/>
                <w:spacing w:val="-1"/>
                <w:sz w:val="24"/>
                <w:highlight w:val="none"/>
              </w:rPr>
            </w:pPr>
            <w:r>
              <w:rPr>
                <w:rFonts w:eastAsia="新宋体"/>
                <w:color w:val="auto"/>
                <w:spacing w:val="-1"/>
                <w:sz w:val="24"/>
                <w:highlight w:val="none"/>
              </w:rPr>
              <w:t>项目对照国家及地方产业政策和准入负面清单的相符性分析见表1-</w:t>
            </w:r>
            <w:r>
              <w:rPr>
                <w:rFonts w:hint="eastAsia" w:eastAsia="新宋体"/>
                <w:color w:val="auto"/>
                <w:spacing w:val="-1"/>
                <w:sz w:val="24"/>
                <w:highlight w:val="none"/>
              </w:rPr>
              <w:t>1</w:t>
            </w:r>
            <w:r>
              <w:rPr>
                <w:rFonts w:hint="eastAsia" w:eastAsia="新宋体"/>
                <w:color w:val="auto"/>
                <w:spacing w:val="-1"/>
                <w:sz w:val="24"/>
                <w:highlight w:val="none"/>
                <w:lang w:val="en-US" w:eastAsia="zh-CN"/>
              </w:rPr>
              <w:t>1</w:t>
            </w:r>
            <w:r>
              <w:rPr>
                <w:rFonts w:eastAsia="新宋体"/>
                <w:color w:val="auto"/>
                <w:spacing w:val="-1"/>
                <w:sz w:val="24"/>
                <w:highlight w:val="none"/>
              </w:rPr>
              <w:t>。</w:t>
            </w:r>
          </w:p>
          <w:p w14:paraId="7468C36F">
            <w:pPr>
              <w:pStyle w:val="136"/>
              <w:keepNext w:val="0"/>
              <w:keepLines w:val="0"/>
              <w:suppressLineNumbers w:val="0"/>
              <w:tabs>
                <w:tab w:val="left" w:pos="1542"/>
              </w:tabs>
              <w:adjustRightInd w:val="0"/>
              <w:snapToGrid w:val="0"/>
              <w:spacing w:before="0" w:beforeAutospacing="0" w:after="0" w:afterAutospacing="0"/>
              <w:ind w:left="0" w:right="0" w:firstLine="0" w:firstLineChars="0"/>
              <w:jc w:val="center"/>
              <w:rPr>
                <w:rFonts w:hAnsi="宋体"/>
                <w:b/>
                <w:color w:val="auto"/>
                <w:sz w:val="24"/>
                <w:highlight w:val="none"/>
              </w:rPr>
            </w:pPr>
            <w:r>
              <w:rPr>
                <w:rFonts w:eastAsia="新宋体"/>
                <w:b/>
                <w:bCs/>
                <w:color w:val="auto"/>
                <w:spacing w:val="-1"/>
                <w:sz w:val="24"/>
                <w:highlight w:val="none"/>
              </w:rPr>
              <w:t>表1-</w:t>
            </w:r>
            <w:r>
              <w:rPr>
                <w:rFonts w:hint="eastAsia" w:eastAsia="新宋体"/>
                <w:b/>
                <w:bCs/>
                <w:color w:val="auto"/>
                <w:spacing w:val="-1"/>
                <w:sz w:val="24"/>
                <w:highlight w:val="none"/>
              </w:rPr>
              <w:t>1</w:t>
            </w:r>
            <w:r>
              <w:rPr>
                <w:rFonts w:hint="eastAsia" w:eastAsia="新宋体"/>
                <w:b/>
                <w:bCs/>
                <w:color w:val="auto"/>
                <w:spacing w:val="-1"/>
                <w:sz w:val="24"/>
                <w:highlight w:val="none"/>
                <w:lang w:val="en-US" w:eastAsia="zh-CN"/>
              </w:rPr>
              <w:t>1</w:t>
            </w:r>
            <w:r>
              <w:rPr>
                <w:rFonts w:eastAsia="新宋体"/>
                <w:b/>
                <w:bCs/>
                <w:color w:val="auto"/>
                <w:spacing w:val="-1"/>
                <w:sz w:val="24"/>
                <w:highlight w:val="none"/>
              </w:rPr>
              <w:t xml:space="preserve"> 与国家及地方政策和准入清单相符性分析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11"/>
              <w:gridCol w:w="4045"/>
              <w:gridCol w:w="2234"/>
              <w:gridCol w:w="584"/>
            </w:tblGrid>
            <w:tr w14:paraId="6149FE0A">
              <w:trPr>
                <w:trHeight w:val="340" w:hRule="atLeast"/>
                <w:jc w:val="center"/>
              </w:trPr>
              <w:tc>
                <w:tcPr>
                  <w:tcW w:w="216" w:type="pct"/>
                  <w:vAlign w:val="center"/>
                </w:tcPr>
                <w:p w14:paraId="331BABDF">
                  <w:pPr>
                    <w:keepNext w:val="0"/>
                    <w:keepLines w:val="0"/>
                    <w:suppressLineNumbers w:val="0"/>
                    <w:adjustRightInd w:val="0"/>
                    <w:snapToGrid w:val="0"/>
                    <w:spacing w:before="0" w:beforeAutospacing="0" w:after="0" w:afterAutospacing="0"/>
                    <w:ind w:left="0" w:right="0"/>
                    <w:rPr>
                      <w:color w:val="auto"/>
                      <w:szCs w:val="21"/>
                      <w:highlight w:val="none"/>
                    </w:rPr>
                  </w:pPr>
                  <w:r>
                    <w:rPr>
                      <w:rFonts w:hAnsi="宋体"/>
                      <w:color w:val="auto"/>
                      <w:szCs w:val="21"/>
                      <w:highlight w:val="none"/>
                    </w:rPr>
                    <w:t>序号</w:t>
                  </w:r>
                </w:p>
              </w:tc>
              <w:tc>
                <w:tcPr>
                  <w:tcW w:w="2819" w:type="pct"/>
                  <w:vAlign w:val="center"/>
                </w:tcPr>
                <w:p w14:paraId="250639B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文件</w:t>
                  </w:r>
                </w:p>
              </w:tc>
              <w:tc>
                <w:tcPr>
                  <w:tcW w:w="1557" w:type="pct"/>
                  <w:vAlign w:val="center"/>
                </w:tcPr>
                <w:p w14:paraId="43E701A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本项目相符性分析</w:t>
                  </w:r>
                </w:p>
              </w:tc>
              <w:tc>
                <w:tcPr>
                  <w:tcW w:w="407" w:type="pct"/>
                  <w:vAlign w:val="center"/>
                </w:tcPr>
                <w:p w14:paraId="17B9E49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判定</w:t>
                  </w:r>
                </w:p>
                <w:p w14:paraId="2164C34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结果</w:t>
                  </w:r>
                </w:p>
              </w:tc>
            </w:tr>
            <w:tr w14:paraId="32014E4E">
              <w:trPr>
                <w:trHeight w:val="340" w:hRule="atLeast"/>
                <w:jc w:val="center"/>
              </w:trPr>
              <w:tc>
                <w:tcPr>
                  <w:tcW w:w="216" w:type="pct"/>
                  <w:vAlign w:val="center"/>
                </w:tcPr>
                <w:p w14:paraId="68720D2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2819" w:type="pct"/>
                  <w:vAlign w:val="center"/>
                </w:tcPr>
                <w:p w14:paraId="6A0E1619">
                  <w:pPr>
                    <w:keepNext w:val="0"/>
                    <w:keepLines w:val="0"/>
                    <w:suppressLineNumbers w:val="0"/>
                    <w:adjustRightInd w:val="0"/>
                    <w:snapToGrid w:val="0"/>
                    <w:spacing w:before="0" w:beforeAutospacing="0" w:after="0" w:afterAutospacing="0"/>
                    <w:ind w:left="0" w:right="0"/>
                    <w:jc w:val="center"/>
                    <w:rPr>
                      <w:color w:val="auto"/>
                      <w:szCs w:val="21"/>
                      <w:highlight w:val="none"/>
                    </w:rPr>
                  </w:pPr>
                  <w:bookmarkStart w:id="25" w:name="_Hlk156288006"/>
                  <w:r>
                    <w:rPr>
                      <w:rFonts w:hint="eastAsia"/>
                      <w:color w:val="auto"/>
                      <w:szCs w:val="21"/>
                      <w:highlight w:val="none"/>
                      <w:lang w:eastAsia="zh-CN"/>
                    </w:rPr>
                    <w:t>《产业结构调整指导目录（2024年本）》</w:t>
                  </w:r>
                  <w:bookmarkEnd w:id="25"/>
                </w:p>
              </w:tc>
              <w:tc>
                <w:tcPr>
                  <w:tcW w:w="1557" w:type="pct"/>
                  <w:vAlign w:val="center"/>
                </w:tcPr>
                <w:p w14:paraId="5603513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不属于限制类、淘汰类项目</w:t>
                  </w:r>
                </w:p>
              </w:tc>
              <w:tc>
                <w:tcPr>
                  <w:tcW w:w="407" w:type="pct"/>
                  <w:vAlign w:val="center"/>
                </w:tcPr>
                <w:p w14:paraId="0C00646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47CB928E">
              <w:trPr>
                <w:trHeight w:val="340" w:hRule="atLeast"/>
                <w:jc w:val="center"/>
              </w:trPr>
              <w:tc>
                <w:tcPr>
                  <w:tcW w:w="216" w:type="pct"/>
                  <w:vAlign w:val="center"/>
                </w:tcPr>
                <w:p w14:paraId="4607F77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2819" w:type="pct"/>
                  <w:vAlign w:val="center"/>
                </w:tcPr>
                <w:p w14:paraId="1FCD6C3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苏办发〔</w:t>
                  </w:r>
                  <w:r>
                    <w:rPr>
                      <w:color w:val="auto"/>
                      <w:szCs w:val="21"/>
                      <w:highlight w:val="none"/>
                    </w:rPr>
                    <w:t>2018</w:t>
                  </w:r>
                  <w:r>
                    <w:rPr>
                      <w:rFonts w:hAnsi="宋体"/>
                      <w:color w:val="auto"/>
                      <w:szCs w:val="21"/>
                      <w:highlight w:val="none"/>
                    </w:rPr>
                    <w:t>〕</w:t>
                  </w:r>
                  <w:r>
                    <w:rPr>
                      <w:color w:val="auto"/>
                      <w:szCs w:val="21"/>
                      <w:highlight w:val="none"/>
                    </w:rPr>
                    <w:t>32</w:t>
                  </w:r>
                  <w:r>
                    <w:rPr>
                      <w:rFonts w:hAnsi="宋体"/>
                      <w:color w:val="auto"/>
                      <w:szCs w:val="21"/>
                      <w:highlight w:val="none"/>
                    </w:rPr>
                    <w:t>号附件</w:t>
                  </w:r>
                  <w:r>
                    <w:rPr>
                      <w:color w:val="auto"/>
                      <w:szCs w:val="21"/>
                      <w:highlight w:val="none"/>
                    </w:rPr>
                    <w:t>3</w:t>
                  </w:r>
                </w:p>
                <w:p w14:paraId="3EFE52C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《江苏省产业结构调整限制、淘汰和禁止目录》</w:t>
                  </w:r>
                </w:p>
              </w:tc>
              <w:tc>
                <w:tcPr>
                  <w:tcW w:w="1557" w:type="pct"/>
                  <w:vAlign w:val="center"/>
                </w:tcPr>
                <w:p w14:paraId="386EC0A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不属于限制类、淘汰类项目</w:t>
                  </w:r>
                </w:p>
              </w:tc>
              <w:tc>
                <w:tcPr>
                  <w:tcW w:w="407" w:type="pct"/>
                  <w:vAlign w:val="center"/>
                </w:tcPr>
                <w:p w14:paraId="19C6699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063D234B">
              <w:trPr>
                <w:trHeight w:val="340" w:hRule="atLeast"/>
                <w:jc w:val="center"/>
              </w:trPr>
              <w:tc>
                <w:tcPr>
                  <w:tcW w:w="216" w:type="pct"/>
                  <w:vAlign w:val="center"/>
                </w:tcPr>
                <w:p w14:paraId="51E8672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2819" w:type="pct"/>
                  <w:vAlign w:val="center"/>
                </w:tcPr>
                <w:p w14:paraId="08EB0E1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w:t>
                  </w:r>
                  <w:r>
                    <w:rPr>
                      <w:rFonts w:hint="eastAsia"/>
                      <w:color w:val="auto"/>
                      <w:szCs w:val="21"/>
                    </w:rPr>
                    <w:t>淮河流域水污染防治暂行条例</w:t>
                  </w:r>
                  <w:r>
                    <w:rPr>
                      <w:rFonts w:hAnsi="宋体"/>
                      <w:color w:val="auto"/>
                      <w:szCs w:val="21"/>
                      <w:highlight w:val="none"/>
                    </w:rPr>
                    <w:t>》</w:t>
                  </w:r>
                  <w:r>
                    <w:rPr>
                      <w:rFonts w:hint="eastAsia"/>
                      <w:color w:val="auto"/>
                      <w:szCs w:val="21"/>
                    </w:rPr>
                    <w:t>（国务院令第</w:t>
                  </w:r>
                  <w:r>
                    <w:rPr>
                      <w:color w:val="auto"/>
                      <w:szCs w:val="21"/>
                    </w:rPr>
                    <w:t>183</w:t>
                  </w:r>
                  <w:r>
                    <w:rPr>
                      <w:rFonts w:hint="eastAsia"/>
                      <w:color w:val="auto"/>
                      <w:szCs w:val="21"/>
                    </w:rPr>
                    <w:t>号</w:t>
                  </w:r>
                  <w:r>
                    <w:rPr>
                      <w:rFonts w:hAnsi="宋体"/>
                      <w:color w:val="auto"/>
                      <w:szCs w:val="21"/>
                      <w:highlight w:val="none"/>
                    </w:rPr>
                    <w:t>）</w:t>
                  </w:r>
                </w:p>
              </w:tc>
              <w:tc>
                <w:tcPr>
                  <w:tcW w:w="1557" w:type="pct"/>
                  <w:vAlign w:val="center"/>
                </w:tcPr>
                <w:p w14:paraId="674F64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rPr>
                    <w:t>本项目不属于化学制浆造纸、制革、化工、印染、电镀、酿造等污染严重的企业</w:t>
                  </w:r>
                </w:p>
              </w:tc>
              <w:tc>
                <w:tcPr>
                  <w:tcW w:w="407" w:type="pct"/>
                  <w:vAlign w:val="center"/>
                </w:tcPr>
                <w:p w14:paraId="2523E68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76116C61">
              <w:trPr>
                <w:trHeight w:val="340" w:hRule="atLeast"/>
                <w:jc w:val="center"/>
              </w:trPr>
              <w:tc>
                <w:tcPr>
                  <w:tcW w:w="216" w:type="pct"/>
                  <w:vAlign w:val="center"/>
                </w:tcPr>
                <w:p w14:paraId="75C1258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4</w:t>
                  </w:r>
                </w:p>
              </w:tc>
              <w:tc>
                <w:tcPr>
                  <w:tcW w:w="2819" w:type="pct"/>
                  <w:vAlign w:val="center"/>
                </w:tcPr>
                <w:p w14:paraId="7A0A85E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《江苏省限制用地项目目录（</w:t>
                  </w:r>
                  <w:r>
                    <w:rPr>
                      <w:color w:val="auto"/>
                      <w:szCs w:val="21"/>
                      <w:highlight w:val="none"/>
                    </w:rPr>
                    <w:t>2013</w:t>
                  </w:r>
                  <w:r>
                    <w:rPr>
                      <w:rFonts w:hAnsi="宋体"/>
                      <w:color w:val="auto"/>
                      <w:szCs w:val="21"/>
                      <w:highlight w:val="none"/>
                    </w:rPr>
                    <w:t>年本）》</w:t>
                  </w:r>
                </w:p>
                <w:p w14:paraId="7B10326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《江苏省禁止用地项目目录（</w:t>
                  </w:r>
                  <w:r>
                    <w:rPr>
                      <w:color w:val="auto"/>
                      <w:szCs w:val="21"/>
                      <w:highlight w:val="none"/>
                    </w:rPr>
                    <w:t>2013</w:t>
                  </w:r>
                  <w:r>
                    <w:rPr>
                      <w:rFonts w:hAnsi="宋体"/>
                      <w:color w:val="auto"/>
                      <w:szCs w:val="21"/>
                      <w:highlight w:val="none"/>
                    </w:rPr>
                    <w:t>年本）》</w:t>
                  </w:r>
                </w:p>
              </w:tc>
              <w:tc>
                <w:tcPr>
                  <w:tcW w:w="1557" w:type="pct"/>
                  <w:vAlign w:val="center"/>
                </w:tcPr>
                <w:p w14:paraId="520F80B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不属于限制、禁止用地项目</w:t>
                  </w:r>
                </w:p>
              </w:tc>
              <w:tc>
                <w:tcPr>
                  <w:tcW w:w="407" w:type="pct"/>
                  <w:vAlign w:val="center"/>
                </w:tcPr>
                <w:p w14:paraId="25D5228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5B3642BB">
              <w:trPr>
                <w:trHeight w:val="340" w:hRule="atLeast"/>
                <w:jc w:val="center"/>
              </w:trPr>
              <w:tc>
                <w:tcPr>
                  <w:tcW w:w="216" w:type="pct"/>
                  <w:vAlign w:val="center"/>
                </w:tcPr>
                <w:p w14:paraId="2DF38BF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5</w:t>
                  </w:r>
                </w:p>
              </w:tc>
              <w:tc>
                <w:tcPr>
                  <w:tcW w:w="2819" w:type="pct"/>
                  <w:vAlign w:val="center"/>
                </w:tcPr>
                <w:p w14:paraId="2C7BF7C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《市场准入负面清单（</w:t>
                  </w:r>
                  <w:r>
                    <w:rPr>
                      <w:color w:val="auto"/>
                      <w:szCs w:val="21"/>
                      <w:highlight w:val="none"/>
                    </w:rPr>
                    <w:t>202</w:t>
                  </w:r>
                  <w:r>
                    <w:rPr>
                      <w:rFonts w:hint="eastAsia"/>
                      <w:color w:val="auto"/>
                      <w:szCs w:val="21"/>
                      <w:highlight w:val="none"/>
                      <w:lang w:val="en-US" w:eastAsia="zh-CN"/>
                    </w:rPr>
                    <w:t>5</w:t>
                  </w:r>
                  <w:r>
                    <w:rPr>
                      <w:rFonts w:hAnsi="宋体"/>
                      <w:color w:val="auto"/>
                      <w:szCs w:val="21"/>
                      <w:highlight w:val="none"/>
                    </w:rPr>
                    <w:t>年版）》</w:t>
                  </w:r>
                </w:p>
              </w:tc>
              <w:tc>
                <w:tcPr>
                  <w:tcW w:w="1557" w:type="pct"/>
                  <w:vAlign w:val="center"/>
                </w:tcPr>
                <w:p w14:paraId="652F7F9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rPr>
                    <w:t>本项目不</w:t>
                  </w:r>
                  <w:r>
                    <w:rPr>
                      <w:rFonts w:hint="eastAsia"/>
                      <w:color w:val="auto"/>
                      <w:szCs w:val="21"/>
                      <w:lang w:eastAsia="zh-CN"/>
                    </w:rPr>
                    <w:t>在</w:t>
                  </w:r>
                  <w:r>
                    <w:rPr>
                      <w:rFonts w:hint="eastAsia"/>
                      <w:color w:val="auto"/>
                      <w:szCs w:val="21"/>
                    </w:rPr>
                    <w:t>禁止准入类和许可准入类中，符合该文件的要求</w:t>
                  </w:r>
                </w:p>
              </w:tc>
              <w:tc>
                <w:tcPr>
                  <w:tcW w:w="407" w:type="pct"/>
                  <w:vAlign w:val="center"/>
                </w:tcPr>
                <w:p w14:paraId="5F14C29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324615D2">
              <w:trPr>
                <w:trHeight w:val="340" w:hRule="atLeast"/>
                <w:jc w:val="center"/>
              </w:trPr>
              <w:tc>
                <w:tcPr>
                  <w:tcW w:w="216" w:type="pct"/>
                  <w:vAlign w:val="center"/>
                </w:tcPr>
                <w:p w14:paraId="4C7ACAFC">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6</w:t>
                  </w:r>
                </w:p>
              </w:tc>
              <w:tc>
                <w:tcPr>
                  <w:tcW w:w="2819" w:type="pct"/>
                  <w:shd w:val="clear" w:color="auto" w:fill="auto"/>
                  <w:vAlign w:val="center"/>
                </w:tcPr>
                <w:p w14:paraId="22AF0AFC">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《关于加强高耗能、高排放建设项目生态环境源头防控的指导意见》（环环评</w:t>
                  </w:r>
                  <w:r>
                    <w:rPr>
                      <w:rFonts w:hint="eastAsia"/>
                      <w:color w:val="auto"/>
                      <w:szCs w:val="21"/>
                      <w:lang w:eastAsia="zh-CN"/>
                    </w:rPr>
                    <w:t>〔2021〕45号</w:t>
                  </w:r>
                  <w:r>
                    <w:rPr>
                      <w:rFonts w:hint="eastAsia"/>
                      <w:color w:val="auto"/>
                      <w:szCs w:val="21"/>
                    </w:rPr>
                    <w:t>）</w:t>
                  </w:r>
                </w:p>
              </w:tc>
              <w:tc>
                <w:tcPr>
                  <w:tcW w:w="1557" w:type="pct"/>
                  <w:shd w:val="clear" w:color="auto" w:fill="auto"/>
                  <w:vAlign w:val="center"/>
                </w:tcPr>
                <w:p w14:paraId="163E6F2E">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本项目不属于“两高”项目</w:t>
                  </w:r>
                </w:p>
              </w:tc>
              <w:tc>
                <w:tcPr>
                  <w:tcW w:w="407" w:type="pct"/>
                  <w:shd w:val="clear" w:color="auto" w:fill="auto"/>
                  <w:vAlign w:val="center"/>
                </w:tcPr>
                <w:p w14:paraId="5029301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符合</w:t>
                  </w:r>
                </w:p>
              </w:tc>
            </w:tr>
            <w:tr w14:paraId="70DED08D">
              <w:trPr>
                <w:trHeight w:val="340" w:hRule="atLeast"/>
                <w:jc w:val="center"/>
              </w:trPr>
              <w:tc>
                <w:tcPr>
                  <w:tcW w:w="216" w:type="pct"/>
                  <w:vAlign w:val="center"/>
                </w:tcPr>
                <w:p w14:paraId="6411A979">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7</w:t>
                  </w:r>
                </w:p>
              </w:tc>
              <w:tc>
                <w:tcPr>
                  <w:tcW w:w="2819" w:type="pct"/>
                  <w:shd w:val="clear" w:color="auto" w:fill="auto"/>
                  <w:vAlign w:val="center"/>
                </w:tcPr>
                <w:p w14:paraId="3212E502">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《环境保护综合名录（</w:t>
                  </w:r>
                  <w:r>
                    <w:rPr>
                      <w:color w:val="auto"/>
                      <w:szCs w:val="21"/>
                    </w:rPr>
                    <w:t>2021</w:t>
                  </w:r>
                  <w:r>
                    <w:rPr>
                      <w:rFonts w:hint="eastAsia"/>
                      <w:color w:val="auto"/>
                      <w:szCs w:val="21"/>
                    </w:rPr>
                    <w:t>年版）》环办综合函</w:t>
                  </w:r>
                  <w:r>
                    <w:rPr>
                      <w:rFonts w:hint="eastAsia"/>
                      <w:color w:val="auto"/>
                      <w:szCs w:val="21"/>
                      <w:lang w:eastAsia="zh-CN"/>
                    </w:rPr>
                    <w:t>〔2021〕495号</w:t>
                  </w:r>
                </w:p>
              </w:tc>
              <w:tc>
                <w:tcPr>
                  <w:tcW w:w="1557" w:type="pct"/>
                  <w:shd w:val="clear" w:color="auto" w:fill="auto"/>
                  <w:vAlign w:val="center"/>
                </w:tcPr>
                <w:p w14:paraId="41FB555B">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本项目不属于“高污染、高环境风险”项目</w:t>
                  </w:r>
                </w:p>
              </w:tc>
              <w:tc>
                <w:tcPr>
                  <w:tcW w:w="407" w:type="pct"/>
                  <w:shd w:val="clear" w:color="auto" w:fill="auto"/>
                  <w:vAlign w:val="center"/>
                </w:tcPr>
                <w:p w14:paraId="52646B2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符合</w:t>
                  </w:r>
                </w:p>
              </w:tc>
            </w:tr>
            <w:tr w14:paraId="74DA61A5">
              <w:trPr>
                <w:trHeight w:val="340" w:hRule="atLeast"/>
                <w:jc w:val="center"/>
              </w:trPr>
              <w:tc>
                <w:tcPr>
                  <w:tcW w:w="216" w:type="pct"/>
                  <w:vAlign w:val="center"/>
                </w:tcPr>
                <w:p w14:paraId="1F2878AC">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8</w:t>
                  </w:r>
                </w:p>
              </w:tc>
              <w:tc>
                <w:tcPr>
                  <w:tcW w:w="2819" w:type="pct"/>
                  <w:shd w:val="clear" w:color="auto" w:fill="auto"/>
                  <w:vAlign w:val="center"/>
                </w:tcPr>
                <w:p w14:paraId="20BD5FC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lang w:val="en-US" w:eastAsia="zh-CN" w:bidi="ar-SA"/>
                    </w:rPr>
                  </w:pPr>
                  <w:r>
                    <w:rPr>
                      <w:rFonts w:hint="eastAsia"/>
                      <w:color w:val="auto"/>
                      <w:szCs w:val="21"/>
                    </w:rPr>
                    <w:t>《自然资源要素支撑产业高质量发展指导目录（2024年本）》</w:t>
                  </w:r>
                </w:p>
              </w:tc>
              <w:tc>
                <w:tcPr>
                  <w:tcW w:w="1557" w:type="pct"/>
                  <w:shd w:val="clear" w:color="auto" w:fill="auto"/>
                  <w:vAlign w:val="center"/>
                </w:tcPr>
                <w:p w14:paraId="3B41F2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lang w:val="en-US" w:eastAsia="zh-CN" w:bidi="ar-SA"/>
                    </w:rPr>
                  </w:pPr>
                  <w:r>
                    <w:rPr>
                      <w:rFonts w:hint="eastAsia"/>
                      <w:color w:val="auto"/>
                      <w:szCs w:val="21"/>
                    </w:rPr>
                    <w:t>不属于限制类、淘汰类项目</w:t>
                  </w:r>
                </w:p>
              </w:tc>
              <w:tc>
                <w:tcPr>
                  <w:tcW w:w="407" w:type="pct"/>
                  <w:shd w:val="clear" w:color="auto" w:fill="auto"/>
                  <w:vAlign w:val="center"/>
                </w:tcPr>
                <w:p w14:paraId="36043DAC">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符合</w:t>
                  </w:r>
                </w:p>
              </w:tc>
            </w:tr>
          </w:tbl>
          <w:p w14:paraId="2FC0883C">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szCs w:val="28"/>
                <w:highlight w:val="none"/>
              </w:rPr>
            </w:pPr>
            <w:r>
              <w:rPr>
                <w:rFonts w:hAnsi="宋体"/>
                <w:color w:val="auto"/>
                <w:sz w:val="24"/>
                <w:szCs w:val="28"/>
                <w:highlight w:val="none"/>
              </w:rPr>
              <w:t>综上所述，</w:t>
            </w:r>
            <w:r>
              <w:rPr>
                <w:rFonts w:hAnsi="宋体"/>
                <w:bCs/>
                <w:color w:val="auto"/>
                <w:sz w:val="24"/>
                <w:szCs w:val="28"/>
                <w:highlight w:val="none"/>
              </w:rPr>
              <w:t>本项目</w:t>
            </w:r>
            <w:r>
              <w:rPr>
                <w:rFonts w:hAnsi="宋体"/>
                <w:color w:val="auto"/>
                <w:sz w:val="24"/>
                <w:szCs w:val="28"/>
                <w:highlight w:val="none"/>
              </w:rPr>
              <w:t>符合</w:t>
            </w:r>
            <w:r>
              <w:rPr>
                <w:color w:val="auto"/>
                <w:sz w:val="24"/>
                <w:szCs w:val="28"/>
                <w:highlight w:val="none"/>
              </w:rPr>
              <w:t>“</w:t>
            </w:r>
            <w:r>
              <w:rPr>
                <w:rFonts w:hAnsi="宋体"/>
                <w:color w:val="auto"/>
                <w:sz w:val="24"/>
                <w:szCs w:val="28"/>
                <w:highlight w:val="none"/>
              </w:rPr>
              <w:t>三线一单</w:t>
            </w:r>
            <w:r>
              <w:rPr>
                <w:color w:val="auto"/>
                <w:sz w:val="24"/>
                <w:szCs w:val="28"/>
                <w:highlight w:val="none"/>
              </w:rPr>
              <w:t>”</w:t>
            </w:r>
            <w:r>
              <w:rPr>
                <w:rFonts w:hAnsi="宋体"/>
                <w:color w:val="auto"/>
                <w:sz w:val="24"/>
                <w:szCs w:val="28"/>
                <w:highlight w:val="none"/>
              </w:rPr>
              <w:t>的要求。</w:t>
            </w:r>
          </w:p>
          <w:p w14:paraId="5FBABA98">
            <w:pPr>
              <w:keepNext w:val="0"/>
              <w:keepLines w:val="0"/>
              <w:suppressLineNumbers w:val="0"/>
              <w:adjustRightInd w:val="0"/>
              <w:snapToGrid w:val="0"/>
              <w:spacing w:before="0" w:beforeAutospacing="0" w:after="0" w:afterAutospacing="0" w:line="360" w:lineRule="auto"/>
              <w:ind w:left="0" w:right="0" w:firstLine="482" w:firstLineChars="200"/>
              <w:contextualSpacing/>
              <w:rPr>
                <w:b/>
                <w:color w:val="auto"/>
                <w:kern w:val="0"/>
                <w:sz w:val="24"/>
                <w:highlight w:val="none"/>
                <w:lang w:val="zh-CN"/>
              </w:rPr>
            </w:pPr>
            <w:r>
              <w:rPr>
                <w:rFonts w:hint="eastAsia"/>
                <w:b/>
                <w:color w:val="auto"/>
                <w:kern w:val="0"/>
                <w:sz w:val="24"/>
                <w:highlight w:val="none"/>
              </w:rPr>
              <w:t>5.</w:t>
            </w:r>
            <w:r>
              <w:rPr>
                <w:rFonts w:hAnsi="宋体"/>
                <w:b/>
                <w:color w:val="auto"/>
                <w:kern w:val="0"/>
                <w:sz w:val="24"/>
                <w:highlight w:val="none"/>
                <w:lang w:val="zh-CN"/>
              </w:rPr>
              <w:t>其他相关法规政策相符性分析</w:t>
            </w:r>
          </w:p>
          <w:p w14:paraId="433D65C1">
            <w:pPr>
              <w:keepNext w:val="0"/>
              <w:keepLines w:val="0"/>
              <w:suppressLineNumbers w:val="0"/>
              <w:adjustRightInd w:val="0"/>
              <w:snapToGrid w:val="0"/>
              <w:spacing w:before="0" w:beforeAutospacing="0" w:after="0" w:afterAutospacing="0" w:line="360" w:lineRule="auto"/>
              <w:ind w:left="0" w:right="0" w:firstLine="482" w:firstLineChars="200"/>
              <w:contextualSpacing/>
              <w:rPr>
                <w:b/>
                <w:color w:val="auto"/>
                <w:kern w:val="0"/>
                <w:sz w:val="24"/>
                <w:highlight w:val="none"/>
              </w:rPr>
            </w:pPr>
            <w:r>
              <w:rPr>
                <w:rFonts w:hint="eastAsia"/>
                <w:b/>
                <w:color w:val="auto"/>
                <w:kern w:val="0"/>
                <w:sz w:val="24"/>
                <w:highlight w:val="none"/>
              </w:rPr>
              <w:t>（1）</w:t>
            </w:r>
            <w:r>
              <w:rPr>
                <w:rFonts w:hAnsi="宋体"/>
                <w:b/>
                <w:color w:val="auto"/>
                <w:kern w:val="0"/>
                <w:sz w:val="24"/>
                <w:highlight w:val="none"/>
              </w:rPr>
              <w:t>产业政策相符性分析</w:t>
            </w:r>
          </w:p>
          <w:p w14:paraId="5CFB2777">
            <w:pPr>
              <w:keepNext w:val="0"/>
              <w:keepLines w:val="0"/>
              <w:suppressLineNumbers w:val="0"/>
              <w:tabs>
                <w:tab w:val="left" w:pos="1800"/>
              </w:tabs>
              <w:adjustRightInd w:val="0"/>
              <w:snapToGrid w:val="0"/>
              <w:spacing w:before="0" w:beforeAutospacing="0" w:after="0" w:afterAutospacing="0" w:line="360" w:lineRule="auto"/>
              <w:ind w:left="0" w:right="0" w:firstLine="480" w:firstLineChars="200"/>
              <w:jc w:val="left"/>
              <w:rPr>
                <w:color w:val="auto"/>
                <w:sz w:val="24"/>
                <w:highlight w:val="none"/>
              </w:rPr>
            </w:pPr>
            <w:r>
              <w:rPr>
                <w:rFonts w:hAnsi="宋体"/>
                <w:color w:val="auto"/>
                <w:sz w:val="24"/>
                <w:highlight w:val="none"/>
              </w:rPr>
              <w:t>本项目为</w:t>
            </w:r>
            <w:r>
              <w:rPr>
                <w:rFonts w:hint="eastAsia" w:eastAsia="宋体"/>
                <w:color w:val="auto"/>
                <w:sz w:val="24"/>
                <w:highlight w:val="none"/>
              </w:rPr>
              <w:t>智能整机设备生产项目</w:t>
            </w:r>
            <w:r>
              <w:rPr>
                <w:rFonts w:hAnsi="宋体"/>
                <w:color w:val="auto"/>
                <w:sz w:val="24"/>
                <w:highlight w:val="none"/>
              </w:rPr>
              <w:t>，</w:t>
            </w:r>
            <w:r>
              <w:rPr>
                <w:rFonts w:hint="eastAsia" w:hAnsi="宋体"/>
                <w:color w:val="auto"/>
                <w:sz w:val="24"/>
                <w:highlight w:val="none"/>
                <w:lang w:val="en-US" w:eastAsia="zh-CN"/>
              </w:rPr>
              <w:t>生产的产品型号为850、1160、T6、T7、2012、3015、JD600、JD800，对照《产业结构调整指导目录（2024年本）》可知，项目不属于落后产品中的C620、CA630 普通车床和C616、C618、C630、C640、C650 普通车床，因此</w:t>
            </w:r>
            <w:r>
              <w:rPr>
                <w:rFonts w:hAnsi="宋体"/>
                <w:color w:val="auto"/>
                <w:sz w:val="24"/>
                <w:highlight w:val="none"/>
              </w:rPr>
              <w:t>项目不属于</w:t>
            </w:r>
            <w:r>
              <w:rPr>
                <w:rFonts w:hint="eastAsia" w:hAnsi="宋体"/>
                <w:color w:val="auto"/>
                <w:sz w:val="24"/>
                <w:highlight w:val="none"/>
              </w:rPr>
              <w:t>《产业结构调整指导目录》（</w:t>
            </w:r>
            <w:r>
              <w:rPr>
                <w:rFonts w:hAnsi="宋体"/>
                <w:color w:val="auto"/>
                <w:sz w:val="24"/>
                <w:highlight w:val="none"/>
              </w:rPr>
              <w:t>2024</w:t>
            </w:r>
            <w:r>
              <w:rPr>
                <w:rFonts w:hint="eastAsia" w:hAnsi="宋体"/>
                <w:color w:val="auto"/>
                <w:sz w:val="24"/>
                <w:highlight w:val="none"/>
              </w:rPr>
              <w:t>年本）</w:t>
            </w:r>
            <w:r>
              <w:rPr>
                <w:rFonts w:hAnsi="宋体"/>
                <w:color w:val="auto"/>
                <w:sz w:val="24"/>
                <w:highlight w:val="none"/>
              </w:rPr>
              <w:t>中的鼓励类、限制类、淘汰类</w:t>
            </w:r>
            <w:r>
              <w:rPr>
                <w:rFonts w:hint="eastAsia" w:hAnsi="宋体"/>
                <w:color w:val="auto"/>
                <w:sz w:val="24"/>
                <w:highlight w:val="none"/>
              </w:rPr>
              <w:t>，属于允许类</w:t>
            </w:r>
            <w:r>
              <w:rPr>
                <w:rFonts w:hAnsi="宋体"/>
                <w:color w:val="auto"/>
                <w:sz w:val="24"/>
                <w:highlight w:val="none"/>
              </w:rPr>
              <w:t>；且项目已通过</w:t>
            </w:r>
            <w:r>
              <w:rPr>
                <w:rFonts w:hint="eastAsia" w:hAnsi="宋体"/>
                <w:color w:val="auto"/>
                <w:sz w:val="24"/>
                <w:highlight w:val="none"/>
              </w:rPr>
              <w:t>江苏涟水经济开发区管理委员会</w:t>
            </w:r>
            <w:r>
              <w:rPr>
                <w:rFonts w:hAnsi="宋体"/>
                <w:color w:val="auto"/>
                <w:sz w:val="24"/>
                <w:highlight w:val="none"/>
              </w:rPr>
              <w:t>，项目代码：</w:t>
            </w:r>
            <w:r>
              <w:rPr>
                <w:rFonts w:hint="eastAsia"/>
                <w:color w:val="auto"/>
                <w:sz w:val="24"/>
                <w:highlight w:val="none"/>
              </w:rPr>
              <w:t>2406-320860-89-01-398061</w:t>
            </w:r>
            <w:r>
              <w:rPr>
                <w:rFonts w:hAnsi="宋体"/>
                <w:color w:val="auto"/>
                <w:sz w:val="24"/>
                <w:highlight w:val="none"/>
              </w:rPr>
              <w:t>。因此本项目符合国家和地方产业政策。</w:t>
            </w:r>
          </w:p>
          <w:p w14:paraId="3CEBE7B4">
            <w:pPr>
              <w:keepNext w:val="0"/>
              <w:keepLines w:val="0"/>
              <w:suppressLineNumbers w:val="0"/>
              <w:adjustRightInd w:val="0"/>
              <w:snapToGrid w:val="0"/>
              <w:spacing w:before="0" w:beforeAutospacing="0" w:after="0" w:afterAutospacing="0" w:line="360" w:lineRule="auto"/>
              <w:ind w:left="0" w:right="0" w:firstLine="482" w:firstLineChars="200"/>
              <w:contextualSpacing/>
              <w:rPr>
                <w:b/>
                <w:color w:val="auto"/>
                <w:sz w:val="24"/>
                <w:highlight w:val="none"/>
              </w:rPr>
            </w:pPr>
            <w:r>
              <w:rPr>
                <w:rFonts w:hint="eastAsia"/>
                <w:b/>
                <w:bCs/>
                <w:color w:val="auto"/>
                <w:sz w:val="24"/>
                <w:highlight w:val="none"/>
              </w:rPr>
              <w:t>（2）</w:t>
            </w:r>
            <w:r>
              <w:rPr>
                <w:rFonts w:hAnsi="宋体"/>
                <w:b/>
                <w:color w:val="auto"/>
                <w:sz w:val="24"/>
                <w:highlight w:val="none"/>
              </w:rPr>
              <w:t>与</w:t>
            </w:r>
            <w:r>
              <w:rPr>
                <w:rFonts w:hAnsi="宋体"/>
                <w:b/>
                <w:color w:val="auto"/>
                <w:kern w:val="0"/>
                <w:sz w:val="24"/>
                <w:highlight w:val="none"/>
              </w:rPr>
              <w:t>《江苏省长江经济带生态环境保护实施规划</w:t>
            </w:r>
            <w:r>
              <w:rPr>
                <w:rFonts w:hint="eastAsia" w:hAnsi="宋体"/>
                <w:b/>
                <w:color w:val="auto"/>
                <w:kern w:val="0"/>
                <w:sz w:val="24"/>
                <w:highlight w:val="none"/>
                <w:lang w:eastAsia="zh-CN"/>
              </w:rPr>
              <w:t>》《</w:t>
            </w:r>
            <w:r>
              <w:rPr>
                <w:rFonts w:hAnsi="宋体"/>
                <w:b/>
                <w:color w:val="auto"/>
                <w:sz w:val="24"/>
                <w:highlight w:val="none"/>
              </w:rPr>
              <w:t>〈长江经济带发展负面清单指南〉江苏省实施细则（试行，</w:t>
            </w:r>
            <w:r>
              <w:rPr>
                <w:b/>
                <w:color w:val="auto"/>
                <w:sz w:val="24"/>
                <w:highlight w:val="none"/>
              </w:rPr>
              <w:t>2022</w:t>
            </w:r>
            <w:r>
              <w:rPr>
                <w:rFonts w:hAnsi="宋体"/>
                <w:b/>
                <w:color w:val="auto"/>
                <w:sz w:val="24"/>
                <w:highlight w:val="none"/>
              </w:rPr>
              <w:t>年版）》（苏长江办发〔</w:t>
            </w:r>
            <w:r>
              <w:rPr>
                <w:b/>
                <w:color w:val="auto"/>
                <w:sz w:val="24"/>
                <w:highlight w:val="none"/>
              </w:rPr>
              <w:t>2022</w:t>
            </w:r>
            <w:r>
              <w:rPr>
                <w:rFonts w:hAnsi="宋体"/>
                <w:b/>
                <w:color w:val="auto"/>
                <w:sz w:val="24"/>
                <w:highlight w:val="none"/>
              </w:rPr>
              <w:t>〕</w:t>
            </w:r>
            <w:r>
              <w:rPr>
                <w:b/>
                <w:color w:val="auto"/>
                <w:sz w:val="24"/>
                <w:highlight w:val="none"/>
              </w:rPr>
              <w:t>55</w:t>
            </w:r>
            <w:r>
              <w:rPr>
                <w:rFonts w:hAnsi="宋体"/>
                <w:b/>
                <w:color w:val="auto"/>
                <w:sz w:val="24"/>
                <w:highlight w:val="none"/>
              </w:rPr>
              <w:t>号）的相符性分析</w:t>
            </w:r>
          </w:p>
          <w:p w14:paraId="52C1F7CF">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bCs/>
                <w:color w:val="auto"/>
                <w:sz w:val="24"/>
                <w:highlight w:val="none"/>
              </w:rPr>
              <w:t>表</w:t>
            </w:r>
            <w:r>
              <w:rPr>
                <w:b/>
                <w:bCs/>
                <w:color w:val="auto"/>
                <w:sz w:val="24"/>
                <w:highlight w:val="none"/>
              </w:rPr>
              <w:t>1-</w:t>
            </w:r>
            <w:r>
              <w:rPr>
                <w:rFonts w:hint="eastAsia"/>
                <w:b/>
                <w:bCs/>
                <w:color w:val="auto"/>
                <w:sz w:val="24"/>
                <w:highlight w:val="none"/>
              </w:rPr>
              <w:t>1</w:t>
            </w:r>
            <w:r>
              <w:rPr>
                <w:rFonts w:hint="eastAsia"/>
                <w:b/>
                <w:bCs/>
                <w:color w:val="auto"/>
                <w:sz w:val="24"/>
                <w:highlight w:val="none"/>
                <w:lang w:val="en-US" w:eastAsia="zh-CN"/>
              </w:rPr>
              <w:t>2</w:t>
            </w:r>
            <w:r>
              <w:rPr>
                <w:rFonts w:hint="eastAsia"/>
                <w:b/>
                <w:bCs/>
                <w:color w:val="auto"/>
                <w:sz w:val="24"/>
                <w:highlight w:val="none"/>
              </w:rPr>
              <w:t xml:space="preserve"> </w:t>
            </w:r>
            <w:r>
              <w:rPr>
                <w:rFonts w:hAnsi="宋体"/>
                <w:b/>
                <w:bCs/>
                <w:color w:val="auto"/>
                <w:sz w:val="24"/>
                <w:highlight w:val="none"/>
              </w:rPr>
              <w:t>与《江苏省长江经济带生态环境保护实施规划》相符性分析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8"/>
              <w:gridCol w:w="4293"/>
              <w:gridCol w:w="2243"/>
            </w:tblGrid>
            <w:tr w14:paraId="382716D2">
              <w:trPr>
                <w:jc w:val="center"/>
              </w:trPr>
              <w:tc>
                <w:tcPr>
                  <w:tcW w:w="445" w:type="pct"/>
                  <w:vAlign w:val="center"/>
                </w:tcPr>
                <w:p w14:paraId="4EBD4D6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序号</w:t>
                  </w:r>
                </w:p>
              </w:tc>
              <w:tc>
                <w:tcPr>
                  <w:tcW w:w="2992" w:type="pct"/>
                  <w:vAlign w:val="center"/>
                </w:tcPr>
                <w:p w14:paraId="1A5F76E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相关要求</w:t>
                  </w:r>
                </w:p>
              </w:tc>
              <w:tc>
                <w:tcPr>
                  <w:tcW w:w="1563" w:type="pct"/>
                  <w:vAlign w:val="center"/>
                </w:tcPr>
                <w:p w14:paraId="7603542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相符性分析</w:t>
                  </w:r>
                </w:p>
              </w:tc>
            </w:tr>
            <w:tr w14:paraId="77FE0A5B">
              <w:trPr>
                <w:jc w:val="center"/>
              </w:trPr>
              <w:tc>
                <w:tcPr>
                  <w:tcW w:w="445" w:type="pct"/>
                  <w:vAlign w:val="center"/>
                </w:tcPr>
                <w:p w14:paraId="33E6E4E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2992" w:type="pct"/>
                  <w:vAlign w:val="center"/>
                </w:tcPr>
                <w:p w14:paraId="6F14259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严格控制高耗水行业发展。以供给侧结构性改革为契机，倒逼钢铁、造纸、纺织、火电等高耗水行业化解过剩产能，严禁新增产能。加强高耗水行业用水定额管理，严格控制高耗水项目建设。鼓励沿海地区电力、化工、石化等行业直接利用海水作为循环冷却水。</w:t>
                  </w:r>
                </w:p>
              </w:tc>
              <w:tc>
                <w:tcPr>
                  <w:tcW w:w="1563" w:type="pct"/>
                  <w:vAlign w:val="center"/>
                </w:tcPr>
                <w:p w14:paraId="215F437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本项目为</w:t>
                  </w:r>
                  <w:r>
                    <w:rPr>
                      <w:rFonts w:hint="eastAsia" w:hAnsi="宋体"/>
                      <w:color w:val="auto"/>
                      <w:szCs w:val="21"/>
                      <w:highlight w:val="none"/>
                    </w:rPr>
                    <w:t>智能整机设备生产项目</w:t>
                  </w:r>
                  <w:r>
                    <w:rPr>
                      <w:rFonts w:hAnsi="宋体"/>
                      <w:color w:val="auto"/>
                      <w:szCs w:val="21"/>
                      <w:highlight w:val="none"/>
                    </w:rPr>
                    <w:t>，不属于高耗水行业</w:t>
                  </w:r>
                </w:p>
              </w:tc>
            </w:tr>
            <w:tr w14:paraId="79006EC3">
              <w:trPr>
                <w:jc w:val="center"/>
              </w:trPr>
              <w:tc>
                <w:tcPr>
                  <w:tcW w:w="445" w:type="pct"/>
                  <w:vAlign w:val="center"/>
                </w:tcPr>
                <w:p w14:paraId="0A090AC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2</w:t>
                  </w:r>
                </w:p>
              </w:tc>
              <w:tc>
                <w:tcPr>
                  <w:tcW w:w="2992" w:type="pct"/>
                  <w:vAlign w:val="center"/>
                </w:tcPr>
                <w:p w14:paraId="7186BF9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贯彻</w:t>
                  </w:r>
                  <w:r>
                    <w:rPr>
                      <w:color w:val="auto"/>
                      <w:szCs w:val="21"/>
                      <w:highlight w:val="none"/>
                    </w:rPr>
                    <w:t>“</w:t>
                  </w:r>
                  <w:r>
                    <w:rPr>
                      <w:rFonts w:hAnsi="宋体"/>
                      <w:color w:val="auto"/>
                      <w:szCs w:val="21"/>
                      <w:highlight w:val="none"/>
                    </w:rPr>
                    <w:t>山水林田湖草是一个生命共同体</w:t>
                  </w:r>
                  <w:r>
                    <w:rPr>
                      <w:color w:val="auto"/>
                      <w:szCs w:val="21"/>
                      <w:highlight w:val="none"/>
                    </w:rPr>
                    <w:t>”</w:t>
                  </w:r>
                  <w:r>
                    <w:rPr>
                      <w:rFonts w:hAnsi="宋体"/>
                      <w:color w:val="auto"/>
                      <w:szCs w:val="21"/>
                      <w:highlight w:val="none"/>
                    </w:rPr>
                    <w:t>理念，坚持保护优先、自然恢复为主的原则，统筹水陆，实施生态空间用途管制，划定并严守生态保护红线，系统开展重点区域生态保护和修复，加强水生生物及特有鱼类的保护，防范外来有害生物入侵，增强水源涵养、水土保持等生态系统服务功能。</w:t>
                  </w:r>
                </w:p>
              </w:tc>
              <w:tc>
                <w:tcPr>
                  <w:tcW w:w="1563" w:type="pct"/>
                  <w:vAlign w:val="center"/>
                </w:tcPr>
                <w:p w14:paraId="2989D5BA">
                  <w:pPr>
                    <w:keepNext w:val="0"/>
                    <w:keepLines w:val="0"/>
                    <w:widowControl/>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本项目距离最近的生态红线为江苏涟水涟漪湖黄嘴白鹭省级自然保护区，距离约</w:t>
                  </w:r>
                  <w:r>
                    <w:rPr>
                      <w:rFonts w:hint="eastAsia" w:hAnsi="宋体"/>
                      <w:color w:val="auto"/>
                      <w:szCs w:val="21"/>
                      <w:highlight w:val="none"/>
                      <w:lang w:val="en-US" w:eastAsia="zh-CN"/>
                    </w:rPr>
                    <w:t>5.3</w:t>
                  </w:r>
                  <w:r>
                    <w:rPr>
                      <w:rFonts w:hAnsi="宋体"/>
                      <w:color w:val="auto"/>
                      <w:szCs w:val="21"/>
                      <w:highlight w:val="none"/>
                    </w:rPr>
                    <w:t>km，不在生态红线范围内</w:t>
                  </w:r>
                  <w:r>
                    <w:rPr>
                      <w:rFonts w:hint="eastAsia" w:hAnsi="宋体"/>
                      <w:color w:val="auto"/>
                      <w:szCs w:val="21"/>
                      <w:highlight w:val="none"/>
                    </w:rPr>
                    <w:t>，距离最近的生态空间管控区为</w:t>
                  </w:r>
                  <w:r>
                    <w:rPr>
                      <w:rFonts w:hint="eastAsia" w:ascii="宋体" w:hAnsi="宋体" w:eastAsia="宋体" w:cs="宋体"/>
                      <w:color w:val="auto"/>
                      <w:kern w:val="0"/>
                      <w:szCs w:val="21"/>
                      <w:highlight w:val="none"/>
                    </w:rPr>
                    <w:t>废黄河（</w:t>
                  </w:r>
                  <w:r>
                    <w:rPr>
                      <w:rFonts w:eastAsia="宋体"/>
                      <w:color w:val="auto"/>
                      <w:kern w:val="0"/>
                      <w:szCs w:val="21"/>
                      <w:highlight w:val="none"/>
                    </w:rPr>
                    <w:t>涟水县）重要湿地，距离</w:t>
                  </w:r>
                  <w:r>
                    <w:rPr>
                      <w:rFonts w:hint="eastAsia" w:eastAsia="宋体"/>
                      <w:color w:val="auto"/>
                      <w:kern w:val="0"/>
                      <w:szCs w:val="21"/>
                      <w:highlight w:val="none"/>
                      <w:lang w:val="en-US" w:eastAsia="zh-CN"/>
                    </w:rPr>
                    <w:t>6.6</w:t>
                  </w:r>
                  <w:r>
                    <w:rPr>
                      <w:rFonts w:eastAsia="宋体"/>
                      <w:color w:val="auto"/>
                      <w:kern w:val="0"/>
                      <w:szCs w:val="21"/>
                      <w:highlight w:val="none"/>
                    </w:rPr>
                    <w:t>km，不在管控范围内</w:t>
                  </w:r>
                </w:p>
              </w:tc>
            </w:tr>
            <w:tr w14:paraId="6206AF1A">
              <w:trPr>
                <w:jc w:val="center"/>
              </w:trPr>
              <w:tc>
                <w:tcPr>
                  <w:tcW w:w="445" w:type="pct"/>
                  <w:vAlign w:val="center"/>
                </w:tcPr>
                <w:p w14:paraId="383579B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3</w:t>
                  </w:r>
                </w:p>
              </w:tc>
              <w:tc>
                <w:tcPr>
                  <w:tcW w:w="2992" w:type="pct"/>
                  <w:vAlign w:val="center"/>
                </w:tcPr>
                <w:p w14:paraId="562CD1D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实行负面清单管理。长江沿线一切经济活动都要以不破坏生态环境为前提，配合国家制定产业准入负面清单，明确空间准入和环境准入的清单式管理要求。提出长江沿线限制开发和禁止开发的岸线、河段、区域、产业以及相关管理措施。不符合要求占用岸线、河段、土地和布局的产业，必须无条件退出。严禁在干流及主要支流岸线</w:t>
                  </w:r>
                  <w:r>
                    <w:rPr>
                      <w:color w:val="auto"/>
                      <w:szCs w:val="21"/>
                      <w:highlight w:val="none"/>
                    </w:rPr>
                    <w:t>1</w:t>
                  </w:r>
                  <w:r>
                    <w:rPr>
                      <w:rFonts w:hAnsi="宋体"/>
                      <w:color w:val="auto"/>
                      <w:szCs w:val="21"/>
                      <w:highlight w:val="none"/>
                    </w:rPr>
                    <w:t>公里范围内布局新建重化工园区和危化品码头，严格限制在长江沿线新建石油化工、煤化工等中重度化工项目。</w:t>
                  </w:r>
                </w:p>
              </w:tc>
              <w:tc>
                <w:tcPr>
                  <w:tcW w:w="1563" w:type="pct"/>
                  <w:vAlign w:val="center"/>
                </w:tcPr>
                <w:p w14:paraId="4D88FF6A">
                  <w:pPr>
                    <w:keepNext w:val="0"/>
                    <w:keepLines w:val="0"/>
                    <w:widowControl/>
                    <w:suppressLineNumbers w:val="0"/>
                    <w:adjustRightInd w:val="0"/>
                    <w:snapToGrid w:val="0"/>
                    <w:spacing w:before="0" w:beforeAutospacing="0" w:after="0" w:afterAutospacing="0"/>
                    <w:ind w:left="0" w:right="0"/>
                    <w:jc w:val="center"/>
                    <w:rPr>
                      <w:rFonts w:hint="eastAsia" w:hAnsi="宋体" w:eastAsiaTheme="minorEastAsia"/>
                      <w:color w:val="auto"/>
                      <w:szCs w:val="21"/>
                      <w:highlight w:val="none"/>
                      <w:lang w:eastAsia="zh-CN"/>
                    </w:rPr>
                  </w:pPr>
                  <w:r>
                    <w:rPr>
                      <w:rFonts w:hAnsi="宋体"/>
                      <w:color w:val="auto"/>
                      <w:szCs w:val="21"/>
                      <w:highlight w:val="none"/>
                    </w:rPr>
                    <w:t>本项目</w:t>
                  </w:r>
                  <w:r>
                    <w:rPr>
                      <w:rFonts w:hint="eastAsia" w:hAnsi="宋体"/>
                      <w:color w:val="auto"/>
                      <w:szCs w:val="21"/>
                      <w:highlight w:val="none"/>
                    </w:rPr>
                    <w:t>为智能整机设备生产项目</w:t>
                  </w:r>
                  <w:r>
                    <w:rPr>
                      <w:rFonts w:hAnsi="宋体"/>
                      <w:color w:val="auto"/>
                      <w:szCs w:val="21"/>
                      <w:highlight w:val="none"/>
                    </w:rPr>
                    <w:t>，符合“三线一单”的要求；</w:t>
                  </w:r>
                  <w:r>
                    <w:rPr>
                      <w:rFonts w:hint="eastAsia" w:hAnsi="宋体"/>
                      <w:color w:val="auto"/>
                      <w:szCs w:val="21"/>
                      <w:highlight w:val="none"/>
                    </w:rPr>
                    <w:t>项目所在区域</w:t>
                  </w:r>
                  <w:r>
                    <w:rPr>
                      <w:rFonts w:hAnsi="宋体"/>
                      <w:color w:val="auto"/>
                      <w:szCs w:val="21"/>
                      <w:highlight w:val="none"/>
                    </w:rPr>
                    <w:t>不属于限制开发和禁止开发区域</w:t>
                  </w:r>
                  <w:r>
                    <w:rPr>
                      <w:rFonts w:hint="eastAsia" w:hAnsi="宋体"/>
                      <w:color w:val="auto"/>
                      <w:szCs w:val="21"/>
                      <w:highlight w:val="none"/>
                      <w:lang w:eastAsia="zh-CN"/>
                    </w:rPr>
                    <w:t>。</w:t>
                  </w:r>
                </w:p>
              </w:tc>
            </w:tr>
          </w:tbl>
          <w:p w14:paraId="409CC845">
            <w:pPr>
              <w:keepNext w:val="0"/>
              <w:keepLines w:val="0"/>
              <w:suppressLineNumbers w:val="0"/>
              <w:adjustRightInd w:val="0"/>
              <w:snapToGrid w:val="0"/>
              <w:spacing w:before="0" w:beforeLines="50" w:beforeAutospacing="0" w:after="0" w:afterAutospacing="0"/>
              <w:ind w:left="0" w:right="0"/>
              <w:jc w:val="center"/>
              <w:rPr>
                <w:rFonts w:hAnsi="宋体"/>
                <w:b/>
                <w:bCs/>
                <w:color w:val="auto"/>
                <w:sz w:val="24"/>
                <w:highlight w:val="none"/>
              </w:rPr>
            </w:pPr>
            <w:r>
              <w:rPr>
                <w:rFonts w:hAnsi="宋体"/>
                <w:b/>
                <w:bCs/>
                <w:color w:val="auto"/>
                <w:sz w:val="24"/>
                <w:highlight w:val="none"/>
              </w:rPr>
              <w:t>表1-</w:t>
            </w:r>
            <w:r>
              <w:rPr>
                <w:rFonts w:hint="eastAsia" w:hAnsi="宋体"/>
                <w:b/>
                <w:bCs/>
                <w:color w:val="auto"/>
                <w:sz w:val="24"/>
                <w:highlight w:val="none"/>
              </w:rPr>
              <w:t>1</w:t>
            </w:r>
            <w:r>
              <w:rPr>
                <w:rFonts w:hint="eastAsia" w:hAnsi="宋体"/>
                <w:b/>
                <w:bCs/>
                <w:color w:val="auto"/>
                <w:sz w:val="24"/>
                <w:highlight w:val="none"/>
                <w:lang w:val="en-US" w:eastAsia="zh-CN"/>
              </w:rPr>
              <w:t>3</w:t>
            </w:r>
            <w:r>
              <w:rPr>
                <w:rFonts w:hAnsi="宋体"/>
                <w:b/>
                <w:bCs/>
                <w:color w:val="auto"/>
                <w:sz w:val="24"/>
                <w:highlight w:val="none"/>
              </w:rPr>
              <w:t>与《〈长江经济带发展负面清单指南〉江苏省实施细则（试行，2022年版）》（苏长江办发〔2022〕55号）相符性分析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6"/>
              <w:gridCol w:w="4439"/>
              <w:gridCol w:w="2099"/>
            </w:tblGrid>
            <w:tr w14:paraId="78DDC298">
              <w:trPr>
                <w:jc w:val="center"/>
              </w:trPr>
              <w:tc>
                <w:tcPr>
                  <w:tcW w:w="443" w:type="pct"/>
                  <w:vAlign w:val="center"/>
                </w:tcPr>
                <w:p w14:paraId="04882C8D">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序号</w:t>
                  </w:r>
                </w:p>
              </w:tc>
              <w:tc>
                <w:tcPr>
                  <w:tcW w:w="3094" w:type="pct"/>
                  <w:vAlign w:val="center"/>
                </w:tcPr>
                <w:p w14:paraId="3A2078F6">
                  <w:pPr>
                    <w:keepNext w:val="0"/>
                    <w:keepLines w:val="0"/>
                    <w:suppressLineNumbers w:val="0"/>
                    <w:spacing w:before="0" w:beforeAutospacing="0" w:after="0" w:afterAutospacing="0"/>
                    <w:ind w:left="0" w:right="0" w:firstLine="420"/>
                    <w:jc w:val="center"/>
                    <w:rPr>
                      <w:b/>
                      <w:color w:val="auto"/>
                      <w:szCs w:val="21"/>
                      <w:highlight w:val="none"/>
                    </w:rPr>
                  </w:pPr>
                  <w:r>
                    <w:rPr>
                      <w:rFonts w:hAnsi="宋体"/>
                      <w:b/>
                      <w:color w:val="auto"/>
                      <w:szCs w:val="21"/>
                      <w:highlight w:val="none"/>
                    </w:rPr>
                    <w:t>相关要求</w:t>
                  </w:r>
                </w:p>
              </w:tc>
              <w:tc>
                <w:tcPr>
                  <w:tcW w:w="1463" w:type="pct"/>
                  <w:vAlign w:val="center"/>
                </w:tcPr>
                <w:p w14:paraId="60F4173D">
                  <w:pPr>
                    <w:keepNext w:val="0"/>
                    <w:keepLines w:val="0"/>
                    <w:suppressLineNumbers w:val="0"/>
                    <w:spacing w:before="0" w:beforeAutospacing="0" w:after="0" w:afterAutospacing="0"/>
                    <w:ind w:left="0" w:right="0" w:firstLine="420"/>
                    <w:jc w:val="center"/>
                    <w:rPr>
                      <w:b/>
                      <w:color w:val="auto"/>
                      <w:szCs w:val="21"/>
                      <w:highlight w:val="none"/>
                    </w:rPr>
                  </w:pPr>
                  <w:r>
                    <w:rPr>
                      <w:rFonts w:hAnsi="宋体"/>
                      <w:b/>
                      <w:color w:val="auto"/>
                      <w:szCs w:val="21"/>
                      <w:highlight w:val="none"/>
                    </w:rPr>
                    <w:t>相符性分析</w:t>
                  </w:r>
                </w:p>
              </w:tc>
            </w:tr>
            <w:tr w14:paraId="710FFE94">
              <w:trPr>
                <w:jc w:val="center"/>
              </w:trPr>
              <w:tc>
                <w:tcPr>
                  <w:tcW w:w="443" w:type="pct"/>
                  <w:vAlign w:val="center"/>
                </w:tcPr>
                <w:p w14:paraId="38F7A81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3094" w:type="pct"/>
                  <w:vAlign w:val="center"/>
                </w:tcPr>
                <w:p w14:paraId="7900F036">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禁止建设不符合国家港口布局规划和《江苏省沿江沿海</w:t>
                  </w:r>
                  <w:r>
                    <w:rPr>
                      <w:rFonts w:asciiTheme="minorEastAsia" w:hAnsiTheme="minorEastAsia"/>
                      <w:color w:val="auto"/>
                      <w:szCs w:val="21"/>
                      <w:highlight w:val="none"/>
                    </w:rPr>
                    <w:t>港口布局规划</w:t>
                  </w:r>
                  <w:r>
                    <w:rPr>
                      <w:rFonts w:hint="eastAsia" w:asciiTheme="minorEastAsia" w:hAnsiTheme="minorEastAsia"/>
                      <w:color w:val="auto"/>
                      <w:szCs w:val="21"/>
                      <w:highlight w:val="none"/>
                      <w:lang w:eastAsia="zh-CN"/>
                    </w:rPr>
                    <w:t>（</w:t>
                  </w:r>
                  <w:r>
                    <w:rPr>
                      <w:rFonts w:asciiTheme="minorEastAsia" w:hAnsiTheme="minorEastAsia"/>
                      <w:color w:val="auto"/>
                      <w:szCs w:val="21"/>
                      <w:highlight w:val="none"/>
                    </w:rPr>
                    <w:t xml:space="preserve"> </w:t>
                  </w:r>
                  <w:r>
                    <w:rPr>
                      <w:color w:val="auto"/>
                      <w:szCs w:val="21"/>
                      <w:highlight w:val="none"/>
                    </w:rPr>
                    <w:t>2015</w:t>
                  </w:r>
                  <w:r>
                    <w:rPr>
                      <w:rFonts w:hint="eastAsia"/>
                      <w:color w:val="auto"/>
                      <w:szCs w:val="21"/>
                      <w:highlight w:val="none"/>
                      <w:lang w:eastAsia="zh-CN"/>
                    </w:rPr>
                    <w:t>—</w:t>
                  </w:r>
                  <w:r>
                    <w:rPr>
                      <w:color w:val="auto"/>
                      <w:szCs w:val="21"/>
                      <w:highlight w:val="none"/>
                    </w:rPr>
                    <w:t>2030</w:t>
                  </w:r>
                  <w:r>
                    <w:rPr>
                      <w:rFonts w:hAnsi="宋体"/>
                      <w:color w:val="auto"/>
                      <w:szCs w:val="21"/>
                      <w:highlight w:val="none"/>
                    </w:rPr>
                    <w:t>年</w:t>
                  </w:r>
                  <w:r>
                    <w:rPr>
                      <w:rFonts w:hint="eastAsia" w:hAnsi="宋体"/>
                      <w:color w:val="auto"/>
                      <w:szCs w:val="21"/>
                      <w:highlight w:val="none"/>
                      <w:lang w:eastAsia="zh-CN"/>
                    </w:rPr>
                    <w:t>）</w:t>
                  </w:r>
                  <w:r>
                    <w:rPr>
                      <w:rFonts w:hAnsi="宋体"/>
                      <w:color w:val="auto"/>
                      <w:szCs w:val="21"/>
                      <w:highlight w:val="none"/>
                    </w:rPr>
                    <w:t>》《江苏省内河港口布局规划</w:t>
                  </w:r>
                  <w:r>
                    <w:rPr>
                      <w:rFonts w:hint="eastAsia" w:hAnsi="宋体"/>
                      <w:color w:val="auto"/>
                      <w:szCs w:val="21"/>
                      <w:highlight w:val="none"/>
                      <w:lang w:eastAsia="zh-CN"/>
                    </w:rPr>
                    <w:t>（</w:t>
                  </w:r>
                  <w:r>
                    <w:rPr>
                      <w:color w:val="auto"/>
                      <w:szCs w:val="21"/>
                      <w:highlight w:val="none"/>
                    </w:rPr>
                    <w:t xml:space="preserve"> 2017</w:t>
                  </w:r>
                  <w:r>
                    <w:rPr>
                      <w:rFonts w:hint="eastAsia"/>
                      <w:color w:val="auto"/>
                      <w:szCs w:val="21"/>
                      <w:highlight w:val="none"/>
                      <w:lang w:eastAsia="zh-CN"/>
                    </w:rPr>
                    <w:t>—</w:t>
                  </w:r>
                  <w:r>
                    <w:rPr>
                      <w:color w:val="auto"/>
                      <w:szCs w:val="21"/>
                      <w:highlight w:val="none"/>
                    </w:rPr>
                    <w:t>2035</w:t>
                  </w:r>
                  <w:r>
                    <w:rPr>
                      <w:rFonts w:hAnsi="宋体"/>
                      <w:color w:val="auto"/>
                      <w:szCs w:val="21"/>
                      <w:highlight w:val="none"/>
                    </w:rPr>
                    <w:t>年</w:t>
                  </w:r>
                  <w:r>
                    <w:rPr>
                      <w:rFonts w:hint="eastAsia" w:hAnsi="宋体"/>
                      <w:color w:val="auto"/>
                      <w:szCs w:val="21"/>
                      <w:highlight w:val="none"/>
                      <w:lang w:eastAsia="zh-CN"/>
                    </w:rPr>
                    <w:t>）</w:t>
                  </w:r>
                  <w:r>
                    <w:rPr>
                      <w:rFonts w:hAnsi="宋体"/>
                      <w:color w:val="auto"/>
                      <w:szCs w:val="21"/>
                      <w:highlight w:val="none"/>
                    </w:rPr>
                    <w:t>》以及我省有关港口总体规划的码头项目，禁止建设未纳入《长江干线过江通道布局规划》的过长江通道项目</w:t>
                  </w:r>
                </w:p>
              </w:tc>
              <w:tc>
                <w:tcPr>
                  <w:tcW w:w="1463" w:type="pct"/>
                  <w:vAlign w:val="center"/>
                </w:tcPr>
                <w:p w14:paraId="21BBEDD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本项目不属于码头项目和过长江通道项目。</w:t>
                  </w:r>
                </w:p>
              </w:tc>
            </w:tr>
            <w:tr w14:paraId="1FD97A68">
              <w:trPr>
                <w:jc w:val="center"/>
              </w:trPr>
              <w:tc>
                <w:tcPr>
                  <w:tcW w:w="443" w:type="pct"/>
                  <w:vAlign w:val="center"/>
                </w:tcPr>
                <w:p w14:paraId="38A9950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3094" w:type="pct"/>
                  <w:vAlign w:val="center"/>
                </w:tcPr>
                <w:p w14:paraId="7A93EC4B">
                  <w:pPr>
                    <w:keepNext w:val="0"/>
                    <w:keepLines w:val="0"/>
                    <w:suppressLineNumbers w:val="0"/>
                    <w:spacing w:before="0" w:beforeAutospacing="0" w:after="0" w:afterAutospacing="0"/>
                    <w:ind w:left="0" w:right="0"/>
                    <w:rPr>
                      <w:color w:val="auto"/>
                      <w:highlight w:val="none"/>
                    </w:rPr>
                  </w:pPr>
                  <w:r>
                    <w:rPr>
                      <w:rFonts w:hint="eastAsia"/>
                      <w:color w:val="auto"/>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463" w:type="pct"/>
                  <w:vAlign w:val="center"/>
                </w:tcPr>
                <w:p w14:paraId="52F47E3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本项目不在自然保护区核心区、缓冲区的岸线和河段范围内，亦不在风景名胜区核心景区的岸线和河段范围内。</w:t>
                  </w:r>
                </w:p>
              </w:tc>
            </w:tr>
            <w:tr w14:paraId="0881BF72">
              <w:trPr>
                <w:jc w:val="center"/>
              </w:trPr>
              <w:tc>
                <w:tcPr>
                  <w:tcW w:w="443" w:type="pct"/>
                  <w:vAlign w:val="center"/>
                </w:tcPr>
                <w:p w14:paraId="5651687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3094" w:type="pct"/>
                  <w:vAlign w:val="center"/>
                </w:tcPr>
                <w:p w14:paraId="58B90001">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463" w:type="pct"/>
                  <w:vAlign w:val="center"/>
                </w:tcPr>
                <w:p w14:paraId="716001FE">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本项目不在饮用水水源一级、二级保护区的岸线和河段范围内</w:t>
                  </w:r>
                  <w:r>
                    <w:rPr>
                      <w:rFonts w:hint="eastAsia" w:hAnsi="宋体"/>
                      <w:color w:val="auto"/>
                      <w:szCs w:val="21"/>
                      <w:highlight w:val="none"/>
                      <w:lang w:eastAsia="zh-CN"/>
                    </w:rPr>
                    <w:t>。</w:t>
                  </w:r>
                </w:p>
              </w:tc>
            </w:tr>
            <w:tr w14:paraId="6A776D9D">
              <w:trPr>
                <w:jc w:val="center"/>
              </w:trPr>
              <w:tc>
                <w:tcPr>
                  <w:tcW w:w="443" w:type="pct"/>
                  <w:vAlign w:val="center"/>
                </w:tcPr>
                <w:p w14:paraId="5A4B31A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4</w:t>
                  </w:r>
                </w:p>
              </w:tc>
              <w:tc>
                <w:tcPr>
                  <w:tcW w:w="3094" w:type="pct"/>
                  <w:vAlign w:val="center"/>
                </w:tcPr>
                <w:p w14:paraId="58C7E43A">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463" w:type="pct"/>
                  <w:vAlign w:val="center"/>
                </w:tcPr>
                <w:p w14:paraId="7EE58BDB">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本项目不在水产种质资源保护区、国家湿地公园的岸线和河段范围内。</w:t>
                  </w:r>
                </w:p>
              </w:tc>
            </w:tr>
            <w:tr w14:paraId="0C5ACCE2">
              <w:trPr>
                <w:jc w:val="center"/>
              </w:trPr>
              <w:tc>
                <w:tcPr>
                  <w:tcW w:w="443" w:type="pct"/>
                  <w:vAlign w:val="center"/>
                </w:tcPr>
                <w:p w14:paraId="1E53234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5</w:t>
                  </w:r>
                </w:p>
              </w:tc>
              <w:tc>
                <w:tcPr>
                  <w:tcW w:w="3094" w:type="pct"/>
                  <w:vAlign w:val="center"/>
                </w:tcPr>
                <w:p w14:paraId="3E31287B">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463" w:type="pct"/>
                  <w:vAlign w:val="center"/>
                </w:tcPr>
                <w:p w14:paraId="3AD244A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本项目不在《长江岸线保护和开发利用总体规划</w:t>
                  </w:r>
                  <w:r>
                    <w:rPr>
                      <w:rFonts w:hint="eastAsia" w:hAnsi="宋体"/>
                      <w:color w:val="auto"/>
                      <w:szCs w:val="21"/>
                      <w:highlight w:val="none"/>
                      <w:lang w:eastAsia="zh-CN"/>
                    </w:rPr>
                    <w:t>》《</w:t>
                  </w:r>
                  <w:r>
                    <w:rPr>
                      <w:rFonts w:hAnsi="宋体"/>
                      <w:color w:val="auto"/>
                      <w:szCs w:val="21"/>
                      <w:highlight w:val="none"/>
                    </w:rPr>
                    <w:t>全国重要江河湖泊水功能区划》划定的岸线</w:t>
                  </w:r>
                  <w:r>
                    <w:rPr>
                      <w:color w:val="auto"/>
                      <w:szCs w:val="21"/>
                      <w:highlight w:val="none"/>
                    </w:rPr>
                    <w:t>/</w:t>
                  </w:r>
                  <w:r>
                    <w:rPr>
                      <w:rFonts w:hAnsi="宋体"/>
                      <w:color w:val="auto"/>
                      <w:szCs w:val="21"/>
                      <w:highlight w:val="none"/>
                    </w:rPr>
                    <w:t>河段保护区内。</w:t>
                  </w:r>
                </w:p>
              </w:tc>
            </w:tr>
            <w:tr w14:paraId="38C1CBA7">
              <w:trPr>
                <w:jc w:val="center"/>
              </w:trPr>
              <w:tc>
                <w:tcPr>
                  <w:tcW w:w="443" w:type="pct"/>
                  <w:vAlign w:val="center"/>
                </w:tcPr>
                <w:p w14:paraId="119E973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6</w:t>
                  </w:r>
                </w:p>
              </w:tc>
              <w:tc>
                <w:tcPr>
                  <w:tcW w:w="3094" w:type="pct"/>
                  <w:vAlign w:val="center"/>
                </w:tcPr>
                <w:p w14:paraId="3A1E72E5">
                  <w:pPr>
                    <w:keepNext w:val="0"/>
                    <w:keepLines w:val="0"/>
                    <w:suppressLineNumbers w:val="0"/>
                    <w:spacing w:before="0" w:beforeAutospacing="0" w:after="0" w:afterAutospacing="0"/>
                    <w:ind w:left="0" w:right="0"/>
                    <w:rPr>
                      <w:rFonts w:asciiTheme="minorEastAsia" w:hAnsiTheme="minorEastAsia"/>
                      <w:color w:val="auto"/>
                      <w:szCs w:val="21"/>
                      <w:highlight w:val="none"/>
                    </w:rPr>
                  </w:pPr>
                  <w:r>
                    <w:rPr>
                      <w:rFonts w:hint="eastAsia" w:asciiTheme="minorEastAsia" w:hAnsiTheme="minorEastAsia"/>
                      <w:color w:val="auto"/>
                      <w:szCs w:val="21"/>
                      <w:highlight w:val="none"/>
                    </w:rPr>
                    <w:t>禁止未经许可在长江干支流及湖泊新设、改设或扩大排污口</w:t>
                  </w:r>
                </w:p>
              </w:tc>
              <w:tc>
                <w:tcPr>
                  <w:tcW w:w="1463" w:type="pct"/>
                  <w:vAlign w:val="center"/>
                </w:tcPr>
                <w:p w14:paraId="3B0360F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w:t>
                  </w:r>
                  <w:r>
                    <w:rPr>
                      <w:rFonts w:hint="eastAsia" w:hAnsi="宋体"/>
                      <w:color w:val="auto"/>
                      <w:szCs w:val="21"/>
                      <w:highlight w:val="none"/>
                      <w:lang w:val="en-US" w:eastAsia="zh-CN"/>
                    </w:rPr>
                    <w:t>综合生活污水</w:t>
                  </w:r>
                  <w:r>
                    <w:rPr>
                      <w:color w:val="auto"/>
                      <w:highlight w:val="none"/>
                    </w:rPr>
                    <w:t>经</w:t>
                  </w:r>
                  <w:r>
                    <w:rPr>
                      <w:rFonts w:hint="eastAsia"/>
                      <w:color w:val="auto"/>
                      <w:highlight w:val="none"/>
                      <w:lang w:val="en-US" w:eastAsia="zh-CN"/>
                    </w:rPr>
                    <w:t>隔油池+</w:t>
                  </w:r>
                  <w:r>
                    <w:rPr>
                      <w:color w:val="auto"/>
                      <w:highlight w:val="none"/>
                    </w:rPr>
                    <w:t>化粪池处理</w:t>
                  </w:r>
                  <w:r>
                    <w:rPr>
                      <w:rFonts w:hint="eastAsia"/>
                      <w:color w:val="auto"/>
                      <w:highlight w:val="none"/>
                    </w:rPr>
                    <w:t>后接管至</w:t>
                  </w:r>
                  <w:r>
                    <w:rPr>
                      <w:rFonts w:hint="eastAsia" w:ascii="宋体" w:hAnsi="宋体"/>
                      <w:color w:val="auto"/>
                      <w:sz w:val="21"/>
                      <w:szCs w:val="21"/>
                      <w:highlight w:val="none"/>
                    </w:rPr>
                    <w:t>涟水经济开发区西区污水处理厂</w:t>
                  </w:r>
                  <w:r>
                    <w:rPr>
                      <w:color w:val="auto"/>
                      <w:highlight w:val="none"/>
                    </w:rPr>
                    <w:t>处理</w:t>
                  </w:r>
                  <w:r>
                    <w:rPr>
                      <w:rFonts w:hint="eastAsia"/>
                      <w:color w:val="auto"/>
                      <w:szCs w:val="21"/>
                      <w:highlight w:val="none"/>
                    </w:rPr>
                    <w:t>，</w:t>
                  </w:r>
                  <w:r>
                    <w:rPr>
                      <w:rFonts w:hAnsi="宋体" w:eastAsia="宋体"/>
                      <w:color w:val="auto"/>
                      <w:szCs w:val="21"/>
                      <w:highlight w:val="none"/>
                    </w:rPr>
                    <w:t>不在长江干支流及湖泊新设、改设或扩大排污口。</w:t>
                  </w:r>
                </w:p>
              </w:tc>
            </w:tr>
            <w:tr w14:paraId="227FEC4D">
              <w:trPr>
                <w:jc w:val="center"/>
              </w:trPr>
              <w:tc>
                <w:tcPr>
                  <w:tcW w:w="443" w:type="pct"/>
                  <w:vAlign w:val="center"/>
                </w:tcPr>
                <w:p w14:paraId="0063714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7</w:t>
                  </w:r>
                </w:p>
              </w:tc>
              <w:tc>
                <w:tcPr>
                  <w:tcW w:w="3094" w:type="pct"/>
                  <w:vAlign w:val="center"/>
                </w:tcPr>
                <w:p w14:paraId="59FB689E">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禁止长江干流、长江口、34个列入《率先全面禁捕的长江流域水生生物保护区名录》的水生生物保护区以及省规定的其他禁渔水域开展生产性捕捞</w:t>
                  </w:r>
                </w:p>
              </w:tc>
              <w:tc>
                <w:tcPr>
                  <w:tcW w:w="1463" w:type="pct"/>
                  <w:vAlign w:val="center"/>
                </w:tcPr>
                <w:p w14:paraId="1D90CFF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rPr>
                    <w:t>涟水县</w:t>
                  </w:r>
                  <w:r>
                    <w:rPr>
                      <w:rFonts w:hint="eastAsia" w:ascii="宋体" w:hAnsi="宋体"/>
                      <w:bCs/>
                      <w:color w:val="auto"/>
                      <w:sz w:val="21"/>
                      <w:szCs w:val="21"/>
                      <w:highlight w:val="none"/>
                    </w:rPr>
                    <w:t>新港电子产业科技园</w:t>
                  </w:r>
                  <w:r>
                    <w:rPr>
                      <w:rFonts w:hAnsi="宋体"/>
                      <w:color w:val="auto"/>
                      <w:szCs w:val="21"/>
                      <w:highlight w:val="none"/>
                    </w:rPr>
                    <w:t>，为</w:t>
                  </w:r>
                  <w:r>
                    <w:rPr>
                      <w:rFonts w:hint="eastAsia" w:hAnsi="宋体"/>
                      <w:color w:val="auto"/>
                      <w:szCs w:val="21"/>
                      <w:highlight w:val="none"/>
                    </w:rPr>
                    <w:t>智能整机设备生产项目</w:t>
                  </w:r>
                  <w:r>
                    <w:rPr>
                      <w:rFonts w:hAnsi="宋体"/>
                      <w:color w:val="auto"/>
                      <w:szCs w:val="21"/>
                      <w:highlight w:val="none"/>
                    </w:rPr>
                    <w:t>，不涉及捕捞活动。</w:t>
                  </w:r>
                </w:p>
              </w:tc>
            </w:tr>
            <w:tr w14:paraId="63AC4D9E">
              <w:trPr>
                <w:jc w:val="center"/>
              </w:trPr>
              <w:tc>
                <w:tcPr>
                  <w:tcW w:w="443" w:type="pct"/>
                  <w:vAlign w:val="center"/>
                </w:tcPr>
                <w:p w14:paraId="02E4A67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8</w:t>
                  </w:r>
                </w:p>
              </w:tc>
              <w:tc>
                <w:tcPr>
                  <w:tcW w:w="3094" w:type="pct"/>
                  <w:vAlign w:val="center"/>
                </w:tcPr>
                <w:p w14:paraId="360DB74E">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禁止在距离长江干支流岸线一公里范围内新建、扩建化工园区和化工项目。长江干支流一公里按照长江干支流岸线边界</w:t>
                  </w:r>
                  <w:r>
                    <w:rPr>
                      <w:rFonts w:hint="eastAsia" w:hAnsi="宋体"/>
                      <w:color w:val="auto"/>
                      <w:szCs w:val="21"/>
                      <w:highlight w:val="none"/>
                      <w:lang w:eastAsia="zh-CN"/>
                    </w:rPr>
                    <w:t>（</w:t>
                  </w:r>
                  <w:r>
                    <w:rPr>
                      <w:rFonts w:hAnsi="宋体"/>
                      <w:color w:val="auto"/>
                      <w:szCs w:val="21"/>
                      <w:highlight w:val="none"/>
                    </w:rPr>
                    <w:t>即水利部门河道管理范围边界）向陆域纵深一公里执行</w:t>
                  </w:r>
                </w:p>
              </w:tc>
              <w:tc>
                <w:tcPr>
                  <w:tcW w:w="1463" w:type="pct"/>
                  <w:vAlign w:val="center"/>
                </w:tcPr>
                <w:p w14:paraId="03D354D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w:t>
                  </w:r>
                  <w:r>
                    <w:rPr>
                      <w:rFonts w:hint="eastAsia" w:ascii="宋体" w:hAnsi="宋体" w:eastAsia="宋体" w:cs="宋体"/>
                      <w:color w:val="auto"/>
                      <w:szCs w:val="21"/>
                      <w:highlight w:val="none"/>
                    </w:rPr>
                    <w:t>目位于涟水县</w:t>
                  </w:r>
                  <w:r>
                    <w:rPr>
                      <w:rFonts w:hint="eastAsia" w:ascii="宋体" w:hAnsi="宋体"/>
                      <w:bCs/>
                      <w:color w:val="auto"/>
                      <w:sz w:val="21"/>
                      <w:szCs w:val="21"/>
                      <w:highlight w:val="none"/>
                    </w:rPr>
                    <w:t>新港电子产业科技园</w:t>
                  </w:r>
                  <w:r>
                    <w:rPr>
                      <w:rFonts w:hint="eastAsia" w:ascii="宋体" w:hAnsi="宋体" w:eastAsia="宋体" w:cs="宋体"/>
                      <w:color w:val="auto"/>
                      <w:szCs w:val="21"/>
                      <w:highlight w:val="none"/>
                    </w:rPr>
                    <w:t>，不在长江干支流一公里范围内</w:t>
                  </w:r>
                </w:p>
              </w:tc>
            </w:tr>
            <w:tr w14:paraId="5738E421">
              <w:trPr>
                <w:jc w:val="center"/>
              </w:trPr>
              <w:tc>
                <w:tcPr>
                  <w:tcW w:w="443" w:type="pct"/>
                  <w:vAlign w:val="center"/>
                </w:tcPr>
                <w:p w14:paraId="5CB4455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w:t>
                  </w:r>
                </w:p>
              </w:tc>
              <w:tc>
                <w:tcPr>
                  <w:tcW w:w="3094" w:type="pct"/>
                  <w:vAlign w:val="center"/>
                </w:tcPr>
                <w:p w14:paraId="40399640">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禁止在长江</w:t>
                  </w:r>
                  <w:r>
                    <w:rPr>
                      <w:rFonts w:hint="eastAsia" w:hAnsi="宋体"/>
                      <w:color w:val="auto"/>
                      <w:szCs w:val="21"/>
                      <w:highlight w:val="none"/>
                    </w:rPr>
                    <w:t>干</w:t>
                  </w:r>
                  <w:r>
                    <w:rPr>
                      <w:rFonts w:hAnsi="宋体"/>
                      <w:color w:val="auto"/>
                      <w:szCs w:val="21"/>
                      <w:highlight w:val="none"/>
                    </w:rPr>
                    <w:t>流岸线三公里范围内新建、改建、扩建尾矿库、冶炼渣库和磷石膏库，以提升安全、生态环境保护水平为目的的改建除外。</w:t>
                  </w:r>
                </w:p>
              </w:tc>
              <w:tc>
                <w:tcPr>
                  <w:tcW w:w="1463" w:type="pct"/>
                  <w:vAlign w:val="center"/>
                </w:tcPr>
                <w:p w14:paraId="5DF0B73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rPr>
                    <w:t>涟水县</w:t>
                  </w:r>
                  <w:r>
                    <w:rPr>
                      <w:rFonts w:hint="eastAsia" w:ascii="宋体" w:hAnsi="宋体"/>
                      <w:bCs/>
                      <w:color w:val="auto"/>
                      <w:sz w:val="21"/>
                      <w:szCs w:val="21"/>
                      <w:highlight w:val="none"/>
                    </w:rPr>
                    <w:t>新港电子产业科技园</w:t>
                  </w:r>
                  <w:r>
                    <w:rPr>
                      <w:rFonts w:hAnsi="宋体"/>
                      <w:color w:val="auto"/>
                      <w:szCs w:val="21"/>
                      <w:highlight w:val="none"/>
                    </w:rPr>
                    <w:t>，不在长江干支流三公里范围内</w:t>
                  </w:r>
                </w:p>
              </w:tc>
            </w:tr>
            <w:tr w14:paraId="48979069">
              <w:trPr>
                <w:jc w:val="center"/>
              </w:trPr>
              <w:tc>
                <w:tcPr>
                  <w:tcW w:w="443" w:type="pct"/>
                  <w:vAlign w:val="center"/>
                </w:tcPr>
                <w:p w14:paraId="2B55AC2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10</w:t>
                  </w:r>
                </w:p>
              </w:tc>
              <w:tc>
                <w:tcPr>
                  <w:tcW w:w="3094" w:type="pct"/>
                  <w:vAlign w:val="center"/>
                </w:tcPr>
                <w:p w14:paraId="6318CDCB">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禁止在太湖流域一、二、三级保护区内开展《江苏省太湖水污染防治条例》禁止的投资建设活动。</w:t>
                  </w:r>
                </w:p>
              </w:tc>
              <w:tc>
                <w:tcPr>
                  <w:tcW w:w="1463" w:type="pct"/>
                  <w:vAlign w:val="center"/>
                </w:tcPr>
                <w:p w14:paraId="217F810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rPr>
                    <w:t>涟水县</w:t>
                  </w:r>
                  <w:r>
                    <w:rPr>
                      <w:rFonts w:hint="eastAsia" w:ascii="宋体" w:hAnsi="宋体"/>
                      <w:bCs/>
                      <w:color w:val="auto"/>
                      <w:sz w:val="21"/>
                      <w:szCs w:val="21"/>
                      <w:highlight w:val="none"/>
                    </w:rPr>
                    <w:t>新港电子产业科技园</w:t>
                  </w:r>
                  <w:r>
                    <w:rPr>
                      <w:rFonts w:hAnsi="宋体"/>
                      <w:color w:val="auto"/>
                      <w:szCs w:val="21"/>
                      <w:highlight w:val="none"/>
                    </w:rPr>
                    <w:t>，不在太湖流域</w:t>
                  </w:r>
                </w:p>
              </w:tc>
            </w:tr>
            <w:tr w14:paraId="118F7EAA">
              <w:trPr>
                <w:jc w:val="center"/>
              </w:trPr>
              <w:tc>
                <w:tcPr>
                  <w:tcW w:w="443" w:type="pct"/>
                  <w:vAlign w:val="center"/>
                </w:tcPr>
                <w:p w14:paraId="4B5B92C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11</w:t>
                  </w:r>
                </w:p>
              </w:tc>
              <w:tc>
                <w:tcPr>
                  <w:tcW w:w="3094" w:type="pct"/>
                  <w:vAlign w:val="center"/>
                </w:tcPr>
                <w:p w14:paraId="70E21C42">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禁止在沿江地区新建、扩建未纳入国家和省布局规划的燃煤发电项目。</w:t>
                  </w:r>
                </w:p>
              </w:tc>
              <w:tc>
                <w:tcPr>
                  <w:tcW w:w="1463" w:type="pct"/>
                  <w:vMerge w:val="restart"/>
                  <w:vAlign w:val="center"/>
                </w:tcPr>
                <w:p w14:paraId="75CB6B8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rPr>
                    <w:t>涟水县</w:t>
                  </w:r>
                  <w:r>
                    <w:rPr>
                      <w:rFonts w:hint="eastAsia" w:ascii="宋体" w:hAnsi="宋体"/>
                      <w:bCs/>
                      <w:color w:val="auto"/>
                      <w:sz w:val="21"/>
                      <w:szCs w:val="21"/>
                      <w:highlight w:val="none"/>
                    </w:rPr>
                    <w:t>新港电子产业科技园</w:t>
                  </w:r>
                  <w:r>
                    <w:rPr>
                      <w:rFonts w:hAnsi="宋体"/>
                      <w:color w:val="auto"/>
                      <w:szCs w:val="21"/>
                      <w:highlight w:val="none"/>
                    </w:rPr>
                    <w:t>，为</w:t>
                  </w:r>
                  <w:r>
                    <w:rPr>
                      <w:rFonts w:hint="eastAsia" w:hAnsi="宋体"/>
                      <w:color w:val="auto"/>
                      <w:szCs w:val="21"/>
                      <w:highlight w:val="none"/>
                    </w:rPr>
                    <w:t>智能整机设备生产项目</w:t>
                  </w:r>
                  <w:r>
                    <w:rPr>
                      <w:rFonts w:hAnsi="宋体"/>
                      <w:color w:val="auto"/>
                      <w:szCs w:val="21"/>
                      <w:highlight w:val="none"/>
                    </w:rPr>
                    <w:t>，符合国家和地方产业政策，不属于禁止建设类项目。</w:t>
                  </w:r>
                </w:p>
              </w:tc>
            </w:tr>
            <w:tr w14:paraId="2AFA7ED6">
              <w:trPr>
                <w:jc w:val="center"/>
              </w:trPr>
              <w:tc>
                <w:tcPr>
                  <w:tcW w:w="443" w:type="pct"/>
                  <w:vAlign w:val="center"/>
                </w:tcPr>
                <w:p w14:paraId="20EC8D6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12</w:t>
                  </w:r>
                </w:p>
              </w:tc>
              <w:tc>
                <w:tcPr>
                  <w:tcW w:w="3094" w:type="pct"/>
                  <w:vAlign w:val="center"/>
                </w:tcPr>
                <w:p w14:paraId="6B1344A9">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禁止在合规园区外新建、扩建钢铁、石化、化工、焦化、建材、有色、制浆造纸等高污染项目。合规园区名录按照《〈长江经济带发展负面清单指南</w:t>
                  </w:r>
                  <w:r>
                    <w:rPr>
                      <w:rFonts w:hint="eastAsia" w:hAnsi="宋体"/>
                      <w:color w:val="auto"/>
                      <w:szCs w:val="21"/>
                      <w:highlight w:val="none"/>
                      <w:lang w:eastAsia="zh-CN"/>
                    </w:rPr>
                    <w:t>（</w:t>
                  </w:r>
                  <w:r>
                    <w:rPr>
                      <w:rFonts w:hAnsi="宋体"/>
                      <w:color w:val="auto"/>
                      <w:szCs w:val="21"/>
                      <w:highlight w:val="none"/>
                    </w:rPr>
                    <w:t>试行， 2022年版</w:t>
                  </w:r>
                  <w:r>
                    <w:rPr>
                      <w:rFonts w:hint="eastAsia" w:hAnsi="宋体"/>
                      <w:color w:val="auto"/>
                      <w:szCs w:val="21"/>
                      <w:highlight w:val="none"/>
                      <w:lang w:eastAsia="zh-CN"/>
                    </w:rPr>
                    <w:t>）〉</w:t>
                  </w:r>
                  <w:r>
                    <w:rPr>
                      <w:rFonts w:hAnsi="宋体"/>
                      <w:color w:val="auto"/>
                      <w:szCs w:val="21"/>
                      <w:highlight w:val="none"/>
                    </w:rPr>
                    <w:t>江苏省实施细则合规园区名录》执行。</w:t>
                  </w:r>
                </w:p>
              </w:tc>
              <w:tc>
                <w:tcPr>
                  <w:tcW w:w="1463" w:type="pct"/>
                  <w:vMerge w:val="continue"/>
                  <w:vAlign w:val="center"/>
                </w:tcPr>
                <w:p w14:paraId="1FCF97C0">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p>
              </w:tc>
            </w:tr>
            <w:tr w14:paraId="78F8EA2E">
              <w:trPr>
                <w:jc w:val="center"/>
              </w:trPr>
              <w:tc>
                <w:tcPr>
                  <w:tcW w:w="443" w:type="pct"/>
                  <w:vAlign w:val="center"/>
                </w:tcPr>
                <w:p w14:paraId="0C8FCE4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13</w:t>
                  </w:r>
                </w:p>
              </w:tc>
              <w:tc>
                <w:tcPr>
                  <w:tcW w:w="3094" w:type="pct"/>
                  <w:vAlign w:val="center"/>
                </w:tcPr>
                <w:p w14:paraId="6E302394">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禁止在取消化工定位的园区</w:t>
                  </w:r>
                  <w:r>
                    <w:rPr>
                      <w:rFonts w:hint="eastAsia" w:hAnsi="宋体"/>
                      <w:color w:val="auto"/>
                      <w:szCs w:val="21"/>
                      <w:highlight w:val="none"/>
                      <w:lang w:eastAsia="zh-CN"/>
                    </w:rPr>
                    <w:t>（</w:t>
                  </w:r>
                  <w:r>
                    <w:rPr>
                      <w:rFonts w:hAnsi="宋体"/>
                      <w:color w:val="auto"/>
                      <w:szCs w:val="21"/>
                      <w:highlight w:val="none"/>
                    </w:rPr>
                    <w:t>集中区</w:t>
                  </w:r>
                  <w:r>
                    <w:rPr>
                      <w:rFonts w:hint="eastAsia" w:hAnsi="宋体"/>
                      <w:color w:val="auto"/>
                      <w:szCs w:val="21"/>
                      <w:highlight w:val="none"/>
                      <w:lang w:eastAsia="zh-CN"/>
                    </w:rPr>
                    <w:t>）</w:t>
                  </w:r>
                  <w:r>
                    <w:rPr>
                      <w:rFonts w:hAnsi="宋体"/>
                      <w:color w:val="auto"/>
                      <w:szCs w:val="21"/>
                      <w:highlight w:val="none"/>
                    </w:rPr>
                    <w:t>内新建化工项目。</w:t>
                  </w:r>
                </w:p>
              </w:tc>
              <w:tc>
                <w:tcPr>
                  <w:tcW w:w="1463" w:type="pct"/>
                  <w:vAlign w:val="center"/>
                </w:tcPr>
                <w:p w14:paraId="68CD39B8">
                  <w:pPr>
                    <w:keepNext w:val="0"/>
                    <w:keepLines w:val="0"/>
                    <w:widowControl/>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rPr>
                    <w:t>涟水县</w:t>
                  </w:r>
                  <w:r>
                    <w:rPr>
                      <w:rFonts w:hint="eastAsia" w:ascii="宋体" w:hAnsi="宋体"/>
                      <w:bCs/>
                      <w:color w:val="auto"/>
                      <w:sz w:val="21"/>
                      <w:szCs w:val="21"/>
                      <w:highlight w:val="none"/>
                    </w:rPr>
                    <w:t>新港电子产业科技园</w:t>
                  </w:r>
                  <w:r>
                    <w:rPr>
                      <w:rFonts w:hAnsi="宋体"/>
                      <w:color w:val="auto"/>
                      <w:szCs w:val="21"/>
                      <w:highlight w:val="none"/>
                    </w:rPr>
                    <w:t>，为</w:t>
                  </w:r>
                  <w:r>
                    <w:rPr>
                      <w:rFonts w:hint="eastAsia" w:hAnsi="宋体"/>
                      <w:color w:val="auto"/>
                      <w:szCs w:val="21"/>
                      <w:highlight w:val="none"/>
                    </w:rPr>
                    <w:t>智能整机设备生产项目</w:t>
                  </w:r>
                  <w:r>
                    <w:rPr>
                      <w:rFonts w:hAnsi="宋体"/>
                      <w:color w:val="auto"/>
                      <w:szCs w:val="21"/>
                      <w:highlight w:val="none"/>
                    </w:rPr>
                    <w:t>，不属于化工项目</w:t>
                  </w:r>
                </w:p>
              </w:tc>
            </w:tr>
            <w:tr w14:paraId="5413C63A">
              <w:trPr>
                <w:jc w:val="center"/>
              </w:trPr>
              <w:tc>
                <w:tcPr>
                  <w:tcW w:w="443" w:type="pct"/>
                  <w:vAlign w:val="center"/>
                </w:tcPr>
                <w:p w14:paraId="3A4A657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14</w:t>
                  </w:r>
                </w:p>
              </w:tc>
              <w:tc>
                <w:tcPr>
                  <w:tcW w:w="3094" w:type="pct"/>
                  <w:vAlign w:val="center"/>
                </w:tcPr>
                <w:p w14:paraId="049B31F8">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禁止在化工企业周边建设不符合安全距离规定的劳动</w:t>
                  </w:r>
                </w:p>
              </w:tc>
              <w:tc>
                <w:tcPr>
                  <w:tcW w:w="1463" w:type="pct"/>
                  <w:vAlign w:val="center"/>
                </w:tcPr>
                <w:p w14:paraId="51E9BA27">
                  <w:pPr>
                    <w:keepNext w:val="0"/>
                    <w:keepLines w:val="0"/>
                    <w:widowControl/>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w:t>
                  </w:r>
                  <w:r>
                    <w:rPr>
                      <w:rFonts w:hint="eastAsia" w:ascii="宋体" w:hAnsi="宋体" w:eastAsia="宋体" w:cs="宋体"/>
                      <w:color w:val="auto"/>
                      <w:szCs w:val="21"/>
                      <w:highlight w:val="none"/>
                    </w:rPr>
                    <w:t>位于涟水县</w:t>
                  </w:r>
                  <w:r>
                    <w:rPr>
                      <w:rFonts w:hint="eastAsia" w:ascii="宋体" w:hAnsi="宋体"/>
                      <w:bCs/>
                      <w:color w:val="auto"/>
                      <w:sz w:val="21"/>
                      <w:szCs w:val="21"/>
                      <w:highlight w:val="none"/>
                    </w:rPr>
                    <w:t>新港电子产业科技园</w:t>
                  </w:r>
                  <w:r>
                    <w:rPr>
                      <w:rFonts w:hint="eastAsia" w:ascii="宋体" w:hAnsi="宋体" w:eastAsia="宋体" w:cs="宋体"/>
                      <w:color w:val="auto"/>
                      <w:szCs w:val="21"/>
                      <w:highlight w:val="none"/>
                    </w:rPr>
                    <w:t>，</w:t>
                  </w:r>
                  <w:r>
                    <w:rPr>
                      <w:rFonts w:hAnsi="宋体"/>
                      <w:color w:val="auto"/>
                      <w:szCs w:val="21"/>
                      <w:highlight w:val="none"/>
                    </w:rPr>
                    <w:t>周边无化工企业</w:t>
                  </w:r>
                </w:p>
              </w:tc>
            </w:tr>
            <w:tr w14:paraId="581BAB45">
              <w:trPr>
                <w:jc w:val="center"/>
              </w:trPr>
              <w:tc>
                <w:tcPr>
                  <w:tcW w:w="443" w:type="pct"/>
                  <w:vAlign w:val="center"/>
                </w:tcPr>
                <w:p w14:paraId="150ACA5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15</w:t>
                  </w:r>
                </w:p>
              </w:tc>
              <w:tc>
                <w:tcPr>
                  <w:tcW w:w="3094" w:type="pct"/>
                  <w:vAlign w:val="center"/>
                </w:tcPr>
                <w:p w14:paraId="4FDBCD4B">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禁止新建、扩建不符合国家和省产业政策的尿素、磷铵、电石、烧碱、聚氯乙烯、纯碱等行业新增产能项目。</w:t>
                  </w:r>
                </w:p>
              </w:tc>
              <w:tc>
                <w:tcPr>
                  <w:tcW w:w="1463" w:type="pct"/>
                  <w:vMerge w:val="restart"/>
                  <w:vAlign w:val="center"/>
                </w:tcPr>
                <w:p w14:paraId="3D6F699C">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rPr>
                    <w:t>涟水县</w:t>
                  </w:r>
                  <w:r>
                    <w:rPr>
                      <w:rFonts w:hint="eastAsia" w:ascii="宋体" w:hAnsi="宋体"/>
                      <w:bCs/>
                      <w:color w:val="auto"/>
                      <w:sz w:val="21"/>
                      <w:szCs w:val="21"/>
                      <w:highlight w:val="none"/>
                    </w:rPr>
                    <w:t>新港电子产业科技园</w:t>
                  </w:r>
                  <w:r>
                    <w:rPr>
                      <w:rFonts w:hAnsi="宋体"/>
                      <w:color w:val="auto"/>
                      <w:szCs w:val="21"/>
                      <w:highlight w:val="none"/>
                    </w:rPr>
                    <w:t>，为</w:t>
                  </w:r>
                  <w:r>
                    <w:rPr>
                      <w:rFonts w:hint="eastAsia" w:hAnsi="宋体"/>
                      <w:color w:val="auto"/>
                      <w:szCs w:val="21"/>
                      <w:highlight w:val="none"/>
                    </w:rPr>
                    <w:t>智能整机设备生产项目</w:t>
                  </w:r>
                  <w:r>
                    <w:rPr>
                      <w:rFonts w:hAnsi="宋体"/>
                      <w:color w:val="auto"/>
                      <w:szCs w:val="21"/>
                      <w:highlight w:val="none"/>
                    </w:rPr>
                    <w:t>，属</w:t>
                  </w:r>
                  <w:r>
                    <w:rPr>
                      <w:rFonts w:hint="eastAsia" w:hAnsi="宋体"/>
                      <w:color w:val="auto"/>
                      <w:szCs w:val="21"/>
                      <w:highlight w:val="none"/>
                    </w:rPr>
                    <w:t>于</w:t>
                  </w:r>
                  <w:r>
                    <w:rPr>
                      <w:rFonts w:hint="default" w:ascii="Times New Roman" w:hAnsi="Times New Roman" w:cs="Times New Roman"/>
                      <w:color w:val="auto"/>
                      <w:sz w:val="21"/>
                      <w:szCs w:val="21"/>
                      <w:highlight w:val="none"/>
                    </w:rPr>
                    <w:t>C3422金属成形机床制造</w:t>
                  </w:r>
                  <w:r>
                    <w:rPr>
                      <w:rFonts w:hAnsi="宋体"/>
                      <w:color w:val="auto"/>
                      <w:highlight w:val="none"/>
                    </w:rPr>
                    <w:t>，</w:t>
                  </w:r>
                  <w:r>
                    <w:rPr>
                      <w:rFonts w:hAnsi="宋体"/>
                      <w:color w:val="auto"/>
                      <w:szCs w:val="21"/>
                      <w:highlight w:val="none"/>
                    </w:rPr>
                    <w:t>符合国家和地方产业政策，不属于限制类、淘汰类、禁止类项目。</w:t>
                  </w:r>
                </w:p>
              </w:tc>
            </w:tr>
            <w:tr w14:paraId="3817C9FC">
              <w:trPr>
                <w:jc w:val="center"/>
              </w:trPr>
              <w:tc>
                <w:tcPr>
                  <w:tcW w:w="443" w:type="pct"/>
                  <w:vAlign w:val="center"/>
                </w:tcPr>
                <w:p w14:paraId="1BDF50A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16</w:t>
                  </w:r>
                </w:p>
              </w:tc>
              <w:tc>
                <w:tcPr>
                  <w:tcW w:w="3094" w:type="pct"/>
                  <w:vAlign w:val="center"/>
                </w:tcPr>
                <w:p w14:paraId="58EE6E8F">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禁止新建、改建、扩建高毒、高残留以及对环境影响大的农药原药</w:t>
                  </w:r>
                  <w:r>
                    <w:rPr>
                      <w:rFonts w:hint="eastAsia" w:hAnsi="宋体"/>
                      <w:color w:val="auto"/>
                      <w:szCs w:val="21"/>
                      <w:highlight w:val="none"/>
                      <w:lang w:eastAsia="zh-CN"/>
                    </w:rPr>
                    <w:t>（</w:t>
                  </w:r>
                  <w:r>
                    <w:rPr>
                      <w:rFonts w:hAnsi="宋体"/>
                      <w:color w:val="auto"/>
                      <w:szCs w:val="21"/>
                      <w:highlight w:val="none"/>
                    </w:rPr>
                    <w:t>化学合成类</w:t>
                  </w:r>
                  <w:r>
                    <w:rPr>
                      <w:rFonts w:hint="eastAsia" w:hAnsi="宋体"/>
                      <w:color w:val="auto"/>
                      <w:szCs w:val="21"/>
                      <w:highlight w:val="none"/>
                      <w:lang w:eastAsia="zh-CN"/>
                    </w:rPr>
                    <w:t>）</w:t>
                  </w:r>
                  <w:r>
                    <w:rPr>
                      <w:rFonts w:hAnsi="宋体"/>
                      <w:color w:val="auto"/>
                      <w:szCs w:val="21"/>
                      <w:highlight w:val="none"/>
                    </w:rPr>
                    <w:t>项目，禁止新建、扩建不符合国家和省产业政策的农药、医药和染料中间体化工项目。</w:t>
                  </w:r>
                </w:p>
              </w:tc>
              <w:tc>
                <w:tcPr>
                  <w:tcW w:w="1463" w:type="pct"/>
                  <w:vMerge w:val="continue"/>
                  <w:vAlign w:val="center"/>
                </w:tcPr>
                <w:p w14:paraId="3381E0C5">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6BCA1F46">
              <w:trPr>
                <w:jc w:val="center"/>
              </w:trPr>
              <w:tc>
                <w:tcPr>
                  <w:tcW w:w="443" w:type="pct"/>
                  <w:vAlign w:val="center"/>
                </w:tcPr>
                <w:p w14:paraId="0F3ED94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17</w:t>
                  </w:r>
                </w:p>
              </w:tc>
              <w:tc>
                <w:tcPr>
                  <w:tcW w:w="3094" w:type="pct"/>
                  <w:vAlign w:val="center"/>
                </w:tcPr>
                <w:p w14:paraId="268034E3">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禁止新建、扩建不符合国家石化、现代煤化工等产业布局规划的项目，禁止新建独立焦化项目。</w:t>
                  </w:r>
                </w:p>
              </w:tc>
              <w:tc>
                <w:tcPr>
                  <w:tcW w:w="1463" w:type="pct"/>
                  <w:vMerge w:val="continue"/>
                  <w:vAlign w:val="center"/>
                </w:tcPr>
                <w:p w14:paraId="1BE742D3">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63C4C210">
              <w:trPr>
                <w:jc w:val="center"/>
              </w:trPr>
              <w:tc>
                <w:tcPr>
                  <w:tcW w:w="443" w:type="pct"/>
                  <w:vAlign w:val="center"/>
                </w:tcPr>
                <w:p w14:paraId="2835B24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18</w:t>
                  </w:r>
                </w:p>
              </w:tc>
              <w:tc>
                <w:tcPr>
                  <w:tcW w:w="3094" w:type="pct"/>
                  <w:vAlign w:val="center"/>
                </w:tcPr>
                <w:p w14:paraId="4B354560">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禁止新建、扩建国家《产业结构调整指导目录</w:t>
                  </w:r>
                  <w:r>
                    <w:rPr>
                      <w:rFonts w:hint="eastAsia" w:hAnsi="宋体"/>
                      <w:color w:val="auto"/>
                      <w:szCs w:val="21"/>
                      <w:highlight w:val="none"/>
                      <w:lang w:eastAsia="zh-CN"/>
                    </w:rPr>
                    <w:t>》和</w:t>
                  </w:r>
                  <w:r>
                    <w:rPr>
                      <w:rFonts w:hAnsi="宋体"/>
                      <w:color w:val="auto"/>
                      <w:szCs w:val="21"/>
                      <w:highlight w:val="none"/>
                    </w:rPr>
                    <w:t>《江苏省产业结构调整限制、淘汰和禁止目录》明确的限制类、淘汰类、禁止类项目，法律法规和相关政策明令禁止的落后产能项目，以及明令淘汰的安全生产落后工艺及装备项目。</w:t>
                  </w:r>
                </w:p>
              </w:tc>
              <w:tc>
                <w:tcPr>
                  <w:tcW w:w="1463" w:type="pct"/>
                  <w:vMerge w:val="continue"/>
                  <w:vAlign w:val="center"/>
                </w:tcPr>
                <w:p w14:paraId="0E7116D7">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2C0AED10">
              <w:trPr>
                <w:jc w:val="center"/>
              </w:trPr>
              <w:tc>
                <w:tcPr>
                  <w:tcW w:w="443" w:type="pct"/>
                  <w:vAlign w:val="center"/>
                </w:tcPr>
                <w:p w14:paraId="6D6302AC">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19</w:t>
                  </w:r>
                </w:p>
              </w:tc>
              <w:tc>
                <w:tcPr>
                  <w:tcW w:w="3094" w:type="pct"/>
                  <w:vAlign w:val="center"/>
                </w:tcPr>
                <w:p w14:paraId="7EF19888">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禁止新建、扩建不符合国家产能置换要求的严重过剩产能行业的项目。禁止新建、扩建不符合要求的高耗能高排放项目。</w:t>
                  </w:r>
                </w:p>
              </w:tc>
              <w:tc>
                <w:tcPr>
                  <w:tcW w:w="1463" w:type="pct"/>
                  <w:vMerge w:val="continue"/>
                  <w:vAlign w:val="center"/>
                </w:tcPr>
                <w:p w14:paraId="5439413C">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02E0B2B7">
              <w:trPr>
                <w:jc w:val="center"/>
              </w:trPr>
              <w:tc>
                <w:tcPr>
                  <w:tcW w:w="443" w:type="pct"/>
                  <w:vAlign w:val="center"/>
                </w:tcPr>
                <w:p w14:paraId="3CA7910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20</w:t>
                  </w:r>
                </w:p>
              </w:tc>
              <w:tc>
                <w:tcPr>
                  <w:tcW w:w="3094" w:type="pct"/>
                  <w:vAlign w:val="center"/>
                </w:tcPr>
                <w:p w14:paraId="674213D5">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法律法规及相关政策文件有更加严格规定的从其规定。</w:t>
                  </w:r>
                </w:p>
              </w:tc>
              <w:tc>
                <w:tcPr>
                  <w:tcW w:w="1463" w:type="pct"/>
                  <w:vMerge w:val="continue"/>
                  <w:vAlign w:val="center"/>
                </w:tcPr>
                <w:p w14:paraId="1639EF98">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bl>
          <w:p w14:paraId="2BE2BF58">
            <w:pPr>
              <w:keepNext w:val="0"/>
              <w:keepLines w:val="0"/>
              <w:suppressLineNumbers w:val="0"/>
              <w:wordWrap w:val="0"/>
              <w:adjustRightInd w:val="0"/>
              <w:spacing w:before="0" w:beforeLines="50" w:beforeAutospacing="0" w:after="0" w:afterAutospacing="0" w:line="360" w:lineRule="auto"/>
              <w:ind w:left="0" w:right="0" w:firstLine="470" w:firstLineChars="196"/>
              <w:rPr>
                <w:color w:val="auto"/>
                <w:kern w:val="0"/>
                <w:sz w:val="24"/>
                <w:highlight w:val="none"/>
              </w:rPr>
            </w:pPr>
            <w:r>
              <w:rPr>
                <w:rFonts w:hAnsi="宋体"/>
                <w:color w:val="auto"/>
                <w:kern w:val="0"/>
                <w:sz w:val="24"/>
                <w:highlight w:val="none"/>
              </w:rPr>
              <w:t>经分析，项目与</w:t>
            </w:r>
            <w:r>
              <w:rPr>
                <w:rFonts w:hint="eastAsia" w:hAnsi="宋体"/>
                <w:color w:val="auto"/>
                <w:kern w:val="0"/>
                <w:sz w:val="24"/>
                <w:highlight w:val="none"/>
              </w:rPr>
              <w:t>《江苏省长江经济带生态环境保护实施规划</w:t>
            </w:r>
            <w:r>
              <w:rPr>
                <w:rFonts w:hint="eastAsia" w:hAnsi="宋体"/>
                <w:color w:val="auto"/>
                <w:kern w:val="0"/>
                <w:sz w:val="24"/>
                <w:highlight w:val="none"/>
                <w:lang w:eastAsia="zh-CN"/>
              </w:rPr>
              <w:t>》《</w:t>
            </w:r>
            <w:r>
              <w:rPr>
                <w:rFonts w:hint="eastAsia" w:hAnsi="宋体"/>
                <w:color w:val="auto"/>
                <w:kern w:val="0"/>
                <w:sz w:val="24"/>
                <w:highlight w:val="none"/>
              </w:rPr>
              <w:t>〈长江经济带发展负面清单指南〉江苏省实施细则（试行，2022年版）》（苏长江办发〔2022〕55号）</w:t>
            </w:r>
            <w:r>
              <w:rPr>
                <w:rFonts w:hAnsi="宋体"/>
                <w:color w:val="auto"/>
                <w:kern w:val="0"/>
                <w:sz w:val="24"/>
                <w:highlight w:val="none"/>
              </w:rPr>
              <w:t>相符。</w:t>
            </w:r>
          </w:p>
          <w:p w14:paraId="38868BAB">
            <w:pPr>
              <w:keepNext w:val="0"/>
              <w:keepLines w:val="0"/>
              <w:suppressLineNumbers w:val="0"/>
              <w:adjustRightInd w:val="0"/>
              <w:snapToGrid w:val="0"/>
              <w:spacing w:before="0" w:beforeAutospacing="0" w:after="0" w:afterAutospacing="0" w:line="360" w:lineRule="auto"/>
              <w:ind w:left="0" w:right="0" w:firstLine="482" w:firstLineChars="200"/>
              <w:contextualSpacing/>
              <w:rPr>
                <w:b/>
                <w:color w:val="auto"/>
                <w:kern w:val="0"/>
                <w:sz w:val="24"/>
                <w:highlight w:val="none"/>
              </w:rPr>
            </w:pPr>
            <w:r>
              <w:rPr>
                <w:rFonts w:hint="eastAsia"/>
                <w:b/>
                <w:color w:val="auto"/>
                <w:kern w:val="0"/>
                <w:sz w:val="24"/>
                <w:highlight w:val="none"/>
              </w:rPr>
              <w:t>6</w:t>
            </w:r>
            <w:r>
              <w:rPr>
                <w:b/>
                <w:color w:val="auto"/>
                <w:kern w:val="0"/>
                <w:sz w:val="24"/>
                <w:highlight w:val="none"/>
              </w:rPr>
              <w:t>.</w:t>
            </w:r>
            <w:r>
              <w:rPr>
                <w:rFonts w:hAnsi="宋体"/>
                <w:b/>
                <w:color w:val="auto"/>
                <w:kern w:val="0"/>
                <w:sz w:val="24"/>
                <w:highlight w:val="none"/>
              </w:rPr>
              <w:t>其他相关文件相符性分析</w:t>
            </w:r>
          </w:p>
          <w:p w14:paraId="148BAFF5">
            <w:pPr>
              <w:pStyle w:val="157"/>
              <w:keepNext w:val="0"/>
              <w:keepLines w:val="0"/>
              <w:suppressLineNumbers w:val="0"/>
              <w:spacing w:before="0" w:beforeAutospacing="0" w:after="0" w:afterAutospacing="0"/>
              <w:ind w:left="0" w:right="0" w:firstLine="560"/>
              <w:rPr>
                <w:rFonts w:hAnsi="宋体"/>
                <w:color w:val="auto"/>
                <w:sz w:val="24"/>
                <w:szCs w:val="24"/>
                <w:highlight w:val="none"/>
              </w:rPr>
            </w:pPr>
            <w:r>
              <w:rPr>
                <w:color w:val="auto"/>
                <w:highlight w:val="none"/>
              </w:rPr>
              <w:t>对</w:t>
            </w:r>
            <w:r>
              <w:rPr>
                <w:rFonts w:hAnsi="宋体"/>
                <w:color w:val="auto"/>
                <w:sz w:val="24"/>
                <w:szCs w:val="24"/>
                <w:highlight w:val="none"/>
              </w:rPr>
              <w:t>照《江苏省生态环境厅关于进一步做好建设项目环评审批工作的通知》</w:t>
            </w:r>
            <w:r>
              <w:rPr>
                <w:color w:val="auto"/>
                <w:kern w:val="2"/>
                <w:sz w:val="24"/>
                <w:szCs w:val="24"/>
                <w:highlight w:val="none"/>
              </w:rPr>
              <w:t>（苏环办</w:t>
            </w:r>
            <w:r>
              <w:rPr>
                <w:rFonts w:hint="eastAsia"/>
                <w:color w:val="auto"/>
                <w:kern w:val="2"/>
                <w:sz w:val="24"/>
                <w:szCs w:val="24"/>
                <w:highlight w:val="none"/>
                <w:lang w:eastAsia="zh-CN"/>
              </w:rPr>
              <w:t>〔2019〕36号</w:t>
            </w:r>
            <w:r>
              <w:rPr>
                <w:color w:val="auto"/>
                <w:kern w:val="2"/>
                <w:sz w:val="24"/>
                <w:szCs w:val="24"/>
                <w:highlight w:val="none"/>
              </w:rPr>
              <w:t>）</w:t>
            </w:r>
            <w:r>
              <w:rPr>
                <w:rFonts w:hAnsi="宋体"/>
                <w:color w:val="auto"/>
                <w:sz w:val="24"/>
                <w:szCs w:val="24"/>
                <w:highlight w:val="none"/>
              </w:rPr>
              <w:t>、</w:t>
            </w:r>
            <w:r>
              <w:rPr>
                <w:rFonts w:hint="eastAsia" w:hAnsi="宋体"/>
                <w:color w:val="auto"/>
                <w:sz w:val="24"/>
                <w:szCs w:val="24"/>
                <w:highlight w:val="none"/>
              </w:rPr>
              <w:t>《省生态环境厅关于进一步加强建设项目环评审批和服务工作的指导意见》（苏环办</w:t>
            </w:r>
            <w:r>
              <w:rPr>
                <w:rFonts w:hint="eastAsia" w:hAnsi="宋体"/>
                <w:color w:val="auto"/>
                <w:sz w:val="24"/>
                <w:szCs w:val="24"/>
                <w:highlight w:val="none"/>
                <w:lang w:eastAsia="zh-CN"/>
              </w:rPr>
              <w:t>〔2020〕225号</w:t>
            </w:r>
            <w:r>
              <w:rPr>
                <w:rFonts w:hint="eastAsia" w:hAnsi="宋体"/>
                <w:color w:val="auto"/>
                <w:sz w:val="24"/>
                <w:szCs w:val="24"/>
                <w:highlight w:val="none"/>
              </w:rPr>
              <w:t>）、《省政府办公厅关于印发江苏省“十四五”生态环境保护规划的通知》</w:t>
            </w:r>
            <w:r>
              <w:rPr>
                <w:rFonts w:hint="eastAsia" w:hAnsi="宋体"/>
                <w:color w:val="auto"/>
                <w:sz w:val="24"/>
                <w:szCs w:val="24"/>
                <w:highlight w:val="none"/>
                <w:lang w:eastAsia="zh-CN"/>
              </w:rPr>
              <w:t>（</w:t>
            </w:r>
            <w:r>
              <w:rPr>
                <w:rFonts w:hint="eastAsia" w:hAnsi="宋体"/>
                <w:color w:val="auto"/>
                <w:sz w:val="24"/>
                <w:szCs w:val="24"/>
                <w:highlight w:val="none"/>
              </w:rPr>
              <w:t>苏政办发</w:t>
            </w:r>
            <w:r>
              <w:rPr>
                <w:rFonts w:hint="eastAsia" w:hAnsi="宋体"/>
                <w:color w:val="auto"/>
                <w:sz w:val="24"/>
                <w:szCs w:val="24"/>
                <w:highlight w:val="none"/>
                <w:lang w:eastAsia="zh-CN"/>
              </w:rPr>
              <w:t>〔2021〕84号）</w:t>
            </w:r>
            <w:r>
              <w:rPr>
                <w:rFonts w:hAnsi="宋体"/>
                <w:color w:val="auto"/>
                <w:sz w:val="24"/>
                <w:szCs w:val="24"/>
                <w:highlight w:val="none"/>
              </w:rPr>
              <w:t>等相关政策文件，本项目与其相符性分析见表</w:t>
            </w:r>
            <w:r>
              <w:rPr>
                <w:color w:val="auto"/>
                <w:sz w:val="24"/>
                <w:highlight w:val="none"/>
              </w:rPr>
              <w:t>1-</w:t>
            </w:r>
            <w:r>
              <w:rPr>
                <w:rFonts w:hint="eastAsia"/>
                <w:color w:val="auto"/>
                <w:sz w:val="24"/>
                <w:highlight w:val="none"/>
              </w:rPr>
              <w:t>1</w:t>
            </w:r>
            <w:r>
              <w:rPr>
                <w:rFonts w:hint="eastAsia"/>
                <w:color w:val="auto"/>
                <w:sz w:val="24"/>
                <w:highlight w:val="none"/>
                <w:lang w:val="en-US" w:eastAsia="zh-CN"/>
              </w:rPr>
              <w:t>4</w:t>
            </w:r>
            <w:r>
              <w:rPr>
                <w:rFonts w:hAnsi="宋体"/>
                <w:color w:val="auto"/>
                <w:sz w:val="24"/>
                <w:highlight w:val="none"/>
              </w:rPr>
              <w:t>。</w:t>
            </w:r>
          </w:p>
          <w:p w14:paraId="2158427E">
            <w:pPr>
              <w:pStyle w:val="150"/>
              <w:keepNext w:val="0"/>
              <w:keepLines w:val="0"/>
              <w:widowControl/>
              <w:suppressLineNumbers w:val="0"/>
              <w:adjustRightInd w:val="0"/>
              <w:snapToGrid w:val="0"/>
              <w:spacing w:before="0" w:beforeAutospacing="0" w:after="0" w:afterAutospacing="0" w:line="240" w:lineRule="auto"/>
              <w:ind w:left="0" w:right="0"/>
              <w:rPr>
                <w:rFonts w:ascii="Times New Roman" w:hAnsi="宋体" w:cs="Times New Roman" w:eastAsiaTheme="minorEastAsia"/>
                <w:color w:val="auto"/>
                <w:szCs w:val="24"/>
                <w:highlight w:val="none"/>
              </w:rPr>
            </w:pPr>
            <w:r>
              <w:rPr>
                <w:rFonts w:ascii="Times New Roman" w:hAnsi="宋体" w:eastAsia="宋体" w:cs="Times New Roman"/>
                <w:color w:val="auto"/>
                <w:szCs w:val="24"/>
                <w:highlight w:val="none"/>
              </w:rPr>
              <w:t>表</w:t>
            </w:r>
            <w:r>
              <w:rPr>
                <w:rFonts w:ascii="Times New Roman" w:hAnsi="Times New Roman" w:eastAsia="宋体" w:cs="Times New Roman"/>
                <w:color w:val="auto"/>
                <w:szCs w:val="24"/>
                <w:highlight w:val="none"/>
              </w:rPr>
              <w:t>1-</w:t>
            </w:r>
            <w:r>
              <w:rPr>
                <w:rFonts w:hint="eastAsia" w:ascii="Times New Roman" w:hAnsi="Times New Roman" w:cs="Times New Roman" w:eastAsiaTheme="minorEastAsia"/>
                <w:color w:val="auto"/>
                <w:szCs w:val="24"/>
                <w:highlight w:val="none"/>
              </w:rPr>
              <w:t>1</w:t>
            </w:r>
            <w:r>
              <w:rPr>
                <w:rFonts w:hint="eastAsia" w:ascii="Times New Roman" w:hAnsi="Times New Roman" w:cs="Times New Roman" w:eastAsiaTheme="minorEastAsia"/>
                <w:color w:val="auto"/>
                <w:szCs w:val="24"/>
                <w:highlight w:val="none"/>
                <w:lang w:val="en-US" w:eastAsia="zh-CN"/>
              </w:rPr>
              <w:t>4</w:t>
            </w:r>
            <w:r>
              <w:rPr>
                <w:rFonts w:hint="eastAsia" w:ascii="Times New Roman" w:hAnsi="Times New Roman" w:cs="Times New Roman" w:eastAsiaTheme="minorEastAsia"/>
                <w:color w:val="auto"/>
                <w:szCs w:val="24"/>
                <w:highlight w:val="none"/>
              </w:rPr>
              <w:t xml:space="preserve"> </w:t>
            </w:r>
            <w:r>
              <w:rPr>
                <w:rFonts w:ascii="Times New Roman" w:hAnsi="宋体" w:eastAsia="宋体" w:cs="Times New Roman"/>
                <w:color w:val="auto"/>
                <w:szCs w:val="24"/>
                <w:highlight w:val="none"/>
              </w:rPr>
              <w:t>本项目与环保政策相符性分析表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80"/>
              <w:gridCol w:w="1705"/>
              <w:gridCol w:w="403"/>
              <w:gridCol w:w="1817"/>
              <w:gridCol w:w="2486"/>
              <w:gridCol w:w="383"/>
            </w:tblGrid>
            <w:tr w14:paraId="20F218C0">
              <w:trPr>
                <w:trHeight w:val="397" w:hRule="atLeast"/>
                <w:jc w:val="center"/>
              </w:trPr>
              <w:tc>
                <w:tcPr>
                  <w:tcW w:w="265" w:type="pct"/>
                  <w:vAlign w:val="center"/>
                </w:tcPr>
                <w:p w14:paraId="43948D86">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序号</w:t>
                  </w:r>
                </w:p>
              </w:tc>
              <w:tc>
                <w:tcPr>
                  <w:tcW w:w="1188" w:type="pct"/>
                  <w:vAlign w:val="center"/>
                </w:tcPr>
                <w:p w14:paraId="74917A85">
                  <w:pPr>
                    <w:keepNext w:val="0"/>
                    <w:keepLines w:val="0"/>
                    <w:suppressLineNumbers w:val="0"/>
                    <w:spacing w:before="0" w:beforeAutospacing="0" w:after="0" w:afterAutospacing="0"/>
                    <w:ind w:left="0" w:right="0" w:firstLine="420"/>
                    <w:jc w:val="center"/>
                    <w:rPr>
                      <w:b/>
                      <w:color w:val="auto"/>
                      <w:szCs w:val="21"/>
                      <w:highlight w:val="none"/>
                    </w:rPr>
                  </w:pPr>
                  <w:r>
                    <w:rPr>
                      <w:b/>
                      <w:color w:val="auto"/>
                      <w:szCs w:val="21"/>
                      <w:highlight w:val="none"/>
                    </w:rPr>
                    <w:t>文件</w:t>
                  </w:r>
                </w:p>
              </w:tc>
              <w:tc>
                <w:tcPr>
                  <w:tcW w:w="1547" w:type="pct"/>
                  <w:gridSpan w:val="2"/>
                  <w:vAlign w:val="center"/>
                </w:tcPr>
                <w:p w14:paraId="32B0ACC6">
                  <w:pPr>
                    <w:keepNext w:val="0"/>
                    <w:keepLines w:val="0"/>
                    <w:suppressLineNumbers w:val="0"/>
                    <w:spacing w:before="0" w:beforeAutospacing="0" w:after="0" w:afterAutospacing="0"/>
                    <w:ind w:left="0" w:right="0" w:firstLine="420"/>
                    <w:jc w:val="center"/>
                    <w:rPr>
                      <w:b/>
                      <w:color w:val="auto"/>
                      <w:szCs w:val="21"/>
                      <w:highlight w:val="none"/>
                    </w:rPr>
                  </w:pPr>
                  <w:r>
                    <w:rPr>
                      <w:b/>
                      <w:color w:val="auto"/>
                      <w:szCs w:val="21"/>
                      <w:highlight w:val="none"/>
                    </w:rPr>
                    <w:t>文件内容</w:t>
                  </w:r>
                </w:p>
              </w:tc>
              <w:tc>
                <w:tcPr>
                  <w:tcW w:w="1731" w:type="pct"/>
                  <w:vAlign w:val="center"/>
                </w:tcPr>
                <w:p w14:paraId="0CA8AED0">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项目情况</w:t>
                  </w:r>
                </w:p>
              </w:tc>
              <w:tc>
                <w:tcPr>
                  <w:tcW w:w="266" w:type="pct"/>
                  <w:vAlign w:val="center"/>
                </w:tcPr>
                <w:p w14:paraId="31074F63">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t>符合情况</w:t>
                  </w:r>
                </w:p>
              </w:tc>
            </w:tr>
            <w:tr w14:paraId="7068440F">
              <w:trPr>
                <w:trHeight w:val="397" w:hRule="atLeast"/>
                <w:jc w:val="center"/>
              </w:trPr>
              <w:tc>
                <w:tcPr>
                  <w:tcW w:w="265" w:type="pct"/>
                  <w:vMerge w:val="restart"/>
                  <w:vAlign w:val="center"/>
                </w:tcPr>
                <w:p w14:paraId="5718A25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1188" w:type="pct"/>
                  <w:vMerge w:val="restart"/>
                  <w:vAlign w:val="center"/>
                </w:tcPr>
                <w:p w14:paraId="44BF143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《江苏省生态环境厅关于进一步做好建设项目环评审批工作的通知》（苏环办</w:t>
                  </w:r>
                  <w:r>
                    <w:rPr>
                      <w:rFonts w:hint="eastAsia"/>
                      <w:color w:val="auto"/>
                      <w:szCs w:val="21"/>
                      <w:highlight w:val="none"/>
                      <w:lang w:eastAsia="zh-CN"/>
                    </w:rPr>
                    <w:t>〔2019〕36号</w:t>
                  </w:r>
                  <w:r>
                    <w:rPr>
                      <w:color w:val="auto"/>
                      <w:szCs w:val="21"/>
                      <w:highlight w:val="none"/>
                    </w:rPr>
                    <w:t>）</w:t>
                  </w:r>
                </w:p>
              </w:tc>
              <w:tc>
                <w:tcPr>
                  <w:tcW w:w="281" w:type="pct"/>
                  <w:vMerge w:val="restart"/>
                  <w:vAlign w:val="center"/>
                </w:tcPr>
                <w:p w14:paraId="06F25D94">
                  <w:pPr>
                    <w:keepNext w:val="0"/>
                    <w:keepLines w:val="0"/>
                    <w:suppressLineNumbers w:val="0"/>
                    <w:autoSpaceDE w:val="0"/>
                    <w:autoSpaceDN w:val="0"/>
                    <w:adjustRightInd w:val="0"/>
                    <w:spacing w:before="0" w:beforeAutospacing="0" w:after="0" w:afterAutospacing="0"/>
                    <w:ind w:left="0" w:right="0"/>
                    <w:jc w:val="center"/>
                    <w:rPr>
                      <w:color w:val="auto"/>
                      <w:kern w:val="0"/>
                      <w:szCs w:val="21"/>
                      <w:highlight w:val="none"/>
                    </w:rPr>
                  </w:pPr>
                  <w:r>
                    <w:rPr>
                      <w:color w:val="auto"/>
                      <w:kern w:val="0"/>
                      <w:szCs w:val="21"/>
                      <w:highlight w:val="none"/>
                    </w:rPr>
                    <w:t>以下情形不予审批以下情形不予审批</w:t>
                  </w:r>
                </w:p>
              </w:tc>
              <w:tc>
                <w:tcPr>
                  <w:tcW w:w="1265" w:type="pct"/>
                  <w:vAlign w:val="center"/>
                </w:tcPr>
                <w:p w14:paraId="56D6869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建设项目类型及其选址、布局、规模等不符合环境保护法律法规和相关法定规划。</w:t>
                  </w:r>
                </w:p>
              </w:tc>
              <w:tc>
                <w:tcPr>
                  <w:tcW w:w="1731" w:type="pct"/>
                  <w:vAlign w:val="center"/>
                </w:tcPr>
                <w:p w14:paraId="04BE704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经过与“三线一单”及规划相符性分析可知，本项目类型及其选址、布局、规模等均符合环境保护法律法规和相关法定规划。</w:t>
                  </w:r>
                </w:p>
              </w:tc>
              <w:tc>
                <w:tcPr>
                  <w:tcW w:w="266" w:type="pct"/>
                  <w:vAlign w:val="center"/>
                </w:tcPr>
                <w:p w14:paraId="4D5B0EC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04311645">
              <w:trPr>
                <w:trHeight w:val="397" w:hRule="atLeast"/>
                <w:jc w:val="center"/>
              </w:trPr>
              <w:tc>
                <w:tcPr>
                  <w:tcW w:w="265" w:type="pct"/>
                  <w:vMerge w:val="continue"/>
                  <w:vAlign w:val="center"/>
                </w:tcPr>
                <w:p w14:paraId="3F2F9A8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09EE9DD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281" w:type="pct"/>
                  <w:vMerge w:val="continue"/>
                  <w:vAlign w:val="center"/>
                </w:tcPr>
                <w:p w14:paraId="6558CACD">
                  <w:pPr>
                    <w:keepNext w:val="0"/>
                    <w:keepLines w:val="0"/>
                    <w:suppressLineNumbers w:val="0"/>
                    <w:autoSpaceDE w:val="0"/>
                    <w:autoSpaceDN w:val="0"/>
                    <w:adjustRightInd w:val="0"/>
                    <w:spacing w:before="0" w:beforeAutospacing="0" w:after="0" w:afterAutospacing="0"/>
                    <w:ind w:left="0" w:right="0"/>
                    <w:jc w:val="center"/>
                    <w:rPr>
                      <w:color w:val="auto"/>
                      <w:kern w:val="0"/>
                      <w:szCs w:val="21"/>
                      <w:highlight w:val="none"/>
                    </w:rPr>
                  </w:pPr>
                </w:p>
              </w:tc>
              <w:tc>
                <w:tcPr>
                  <w:tcW w:w="1265" w:type="pct"/>
                  <w:vAlign w:val="center"/>
                </w:tcPr>
                <w:p w14:paraId="3DAEF66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所在区域环境质量未达到国家或者地方环境质量标准，且建设项目拟采取的措施不能满足区域环境质量改善目标管理要求。</w:t>
                  </w:r>
                </w:p>
              </w:tc>
              <w:tc>
                <w:tcPr>
                  <w:tcW w:w="1731" w:type="pct"/>
                  <w:vAlign w:val="center"/>
                </w:tcPr>
                <w:p w14:paraId="709D75BB">
                  <w:pPr>
                    <w:keepNext w:val="0"/>
                    <w:keepLines w:val="0"/>
                    <w:suppressLineNumbers w:val="0"/>
                    <w:autoSpaceDE w:val="0"/>
                    <w:autoSpaceDN w:val="0"/>
                    <w:adjustRightInd w:val="0"/>
                    <w:spacing w:before="0" w:beforeAutospacing="0" w:after="0" w:afterAutospacing="0"/>
                    <w:ind w:left="0" w:right="0"/>
                    <w:jc w:val="center"/>
                    <w:rPr>
                      <w:color w:val="auto"/>
                      <w:kern w:val="0"/>
                      <w:szCs w:val="21"/>
                      <w:highlight w:val="none"/>
                    </w:rPr>
                  </w:pPr>
                  <w:r>
                    <w:rPr>
                      <w:color w:val="auto"/>
                      <w:kern w:val="0"/>
                      <w:szCs w:val="21"/>
                    </w:rPr>
                    <w:t>根据</w:t>
                  </w:r>
                  <w:r>
                    <w:rPr>
                      <w:rFonts w:hint="eastAsia"/>
                      <w:color w:val="auto"/>
                      <w:kern w:val="0"/>
                      <w:szCs w:val="21"/>
                    </w:rPr>
                    <w:t>《2024年涟水县环境质量状况公报》</w:t>
                  </w:r>
                  <w:r>
                    <w:rPr>
                      <w:color w:val="auto"/>
                      <w:kern w:val="0"/>
                      <w:szCs w:val="21"/>
                    </w:rPr>
                    <w:t>，项目所在地属于环境空气质量达标区</w:t>
                  </w:r>
                  <w:r>
                    <w:rPr>
                      <w:rFonts w:hint="eastAsia"/>
                      <w:color w:val="auto"/>
                      <w:szCs w:val="21"/>
                    </w:rPr>
                    <w:t>；202</w:t>
                  </w:r>
                  <w:r>
                    <w:rPr>
                      <w:color w:val="auto"/>
                      <w:szCs w:val="21"/>
                    </w:rPr>
                    <w:t>4</w:t>
                  </w:r>
                  <w:r>
                    <w:rPr>
                      <w:rFonts w:hint="eastAsia"/>
                      <w:color w:val="auto"/>
                      <w:szCs w:val="21"/>
                    </w:rPr>
                    <w:t>年淮安市水环境质量总体较好，饮用水源地水质稳定达标</w:t>
                  </w:r>
                  <w:r>
                    <w:rPr>
                      <w:color w:val="auto"/>
                      <w:kern w:val="0"/>
                      <w:szCs w:val="21"/>
                    </w:rPr>
                    <w:t>；项目厂界外周边50米范围内不存在声环境保护目标</w:t>
                  </w:r>
                  <w:r>
                    <w:rPr>
                      <w:rFonts w:hint="eastAsia"/>
                      <w:color w:val="auto"/>
                      <w:kern w:val="0"/>
                      <w:szCs w:val="21"/>
                    </w:rPr>
                    <w:t>。</w:t>
                  </w:r>
                </w:p>
              </w:tc>
              <w:tc>
                <w:tcPr>
                  <w:tcW w:w="266" w:type="pct"/>
                  <w:vAlign w:val="center"/>
                </w:tcPr>
                <w:p w14:paraId="6BF550F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45C505ED">
              <w:trPr>
                <w:trHeight w:val="397" w:hRule="atLeast"/>
                <w:jc w:val="center"/>
              </w:trPr>
              <w:tc>
                <w:tcPr>
                  <w:tcW w:w="265" w:type="pct"/>
                  <w:vMerge w:val="continue"/>
                  <w:vAlign w:val="center"/>
                </w:tcPr>
                <w:p w14:paraId="1690825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62D107C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281" w:type="pct"/>
                  <w:vMerge w:val="continue"/>
                  <w:vAlign w:val="center"/>
                </w:tcPr>
                <w:p w14:paraId="5C737F5E">
                  <w:pPr>
                    <w:keepNext w:val="0"/>
                    <w:keepLines w:val="0"/>
                    <w:suppressLineNumbers w:val="0"/>
                    <w:autoSpaceDE w:val="0"/>
                    <w:autoSpaceDN w:val="0"/>
                    <w:adjustRightInd w:val="0"/>
                    <w:spacing w:before="0" w:beforeAutospacing="0" w:after="0" w:afterAutospacing="0"/>
                    <w:ind w:left="0" w:right="0"/>
                    <w:jc w:val="center"/>
                    <w:rPr>
                      <w:color w:val="auto"/>
                      <w:kern w:val="0"/>
                      <w:szCs w:val="21"/>
                      <w:highlight w:val="none"/>
                    </w:rPr>
                  </w:pPr>
                </w:p>
              </w:tc>
              <w:tc>
                <w:tcPr>
                  <w:tcW w:w="1265" w:type="pct"/>
                  <w:vAlign w:val="center"/>
                </w:tcPr>
                <w:p w14:paraId="088C619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建设项目采取的污染防治措施无法确保污染物排放达到国家和地方排放标准，或者未采取必要措施预防和控制生态破坏。</w:t>
                  </w:r>
                </w:p>
              </w:tc>
              <w:tc>
                <w:tcPr>
                  <w:tcW w:w="1731" w:type="pct"/>
                  <w:vAlign w:val="center"/>
                </w:tcPr>
                <w:p w14:paraId="1793CA7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本项目废气、废水、噪声、固废</w:t>
                  </w:r>
                  <w:r>
                    <w:rPr>
                      <w:rFonts w:hint="eastAsia"/>
                      <w:color w:val="auto"/>
                      <w:szCs w:val="21"/>
                      <w:highlight w:val="none"/>
                    </w:rPr>
                    <w:t>均</w:t>
                  </w:r>
                  <w:r>
                    <w:rPr>
                      <w:color w:val="auto"/>
                      <w:szCs w:val="21"/>
                      <w:highlight w:val="none"/>
                    </w:rPr>
                    <w:t>采取污染防治措施</w:t>
                  </w:r>
                  <w:r>
                    <w:rPr>
                      <w:rFonts w:hint="eastAsia"/>
                      <w:color w:val="auto"/>
                      <w:szCs w:val="21"/>
                      <w:highlight w:val="none"/>
                    </w:rPr>
                    <w:t>进行治理</w:t>
                  </w:r>
                  <w:r>
                    <w:rPr>
                      <w:color w:val="auto"/>
                      <w:szCs w:val="21"/>
                      <w:highlight w:val="none"/>
                    </w:rPr>
                    <w:t>，</w:t>
                  </w:r>
                  <w:r>
                    <w:rPr>
                      <w:rFonts w:hint="eastAsia"/>
                      <w:color w:val="auto"/>
                      <w:szCs w:val="21"/>
                      <w:highlight w:val="none"/>
                    </w:rPr>
                    <w:t>可</w:t>
                  </w:r>
                  <w:r>
                    <w:rPr>
                      <w:color w:val="auto"/>
                      <w:szCs w:val="21"/>
                      <w:highlight w:val="none"/>
                    </w:rPr>
                    <w:t>确保废气、废水、噪声排放达标，</w:t>
                  </w:r>
                  <w:r>
                    <w:rPr>
                      <w:rFonts w:hint="eastAsia"/>
                      <w:color w:val="auto"/>
                      <w:szCs w:val="21"/>
                      <w:highlight w:val="none"/>
                    </w:rPr>
                    <w:t>固废零排放，</w:t>
                  </w:r>
                  <w:r>
                    <w:rPr>
                      <w:color w:val="auto"/>
                      <w:szCs w:val="21"/>
                      <w:highlight w:val="none"/>
                    </w:rPr>
                    <w:t>生态影响较小。</w:t>
                  </w:r>
                </w:p>
              </w:tc>
              <w:tc>
                <w:tcPr>
                  <w:tcW w:w="266" w:type="pct"/>
                  <w:vAlign w:val="center"/>
                </w:tcPr>
                <w:p w14:paraId="62489AB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14933C7E">
              <w:trPr>
                <w:trHeight w:val="397" w:hRule="atLeast"/>
                <w:jc w:val="center"/>
              </w:trPr>
              <w:tc>
                <w:tcPr>
                  <w:tcW w:w="265" w:type="pct"/>
                  <w:vMerge w:val="continue"/>
                  <w:vAlign w:val="center"/>
                </w:tcPr>
                <w:p w14:paraId="143FB39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10DF83F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281" w:type="pct"/>
                  <w:vMerge w:val="continue"/>
                  <w:vAlign w:val="center"/>
                </w:tcPr>
                <w:p w14:paraId="74A19B67">
                  <w:pPr>
                    <w:keepNext w:val="0"/>
                    <w:keepLines w:val="0"/>
                    <w:suppressLineNumbers w:val="0"/>
                    <w:autoSpaceDE w:val="0"/>
                    <w:autoSpaceDN w:val="0"/>
                    <w:adjustRightInd w:val="0"/>
                    <w:spacing w:before="0" w:beforeAutospacing="0" w:after="0" w:afterAutospacing="0"/>
                    <w:ind w:left="0" w:right="0"/>
                    <w:jc w:val="center"/>
                    <w:rPr>
                      <w:color w:val="auto"/>
                      <w:kern w:val="0"/>
                      <w:szCs w:val="21"/>
                      <w:highlight w:val="none"/>
                    </w:rPr>
                  </w:pPr>
                </w:p>
              </w:tc>
              <w:tc>
                <w:tcPr>
                  <w:tcW w:w="1265" w:type="pct"/>
                  <w:vAlign w:val="center"/>
                </w:tcPr>
                <w:p w14:paraId="40F3898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建设项目的环境影响报告书、环境影响报告表的基础资料数据明显不实，内容存在重大缺陷、遗漏，或者环境影响评价结论不明确、不合理。</w:t>
                  </w:r>
                </w:p>
              </w:tc>
              <w:tc>
                <w:tcPr>
                  <w:tcW w:w="1731" w:type="pct"/>
                  <w:vAlign w:val="center"/>
                </w:tcPr>
                <w:p w14:paraId="5DF9669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本次评价以企业实际提供资料为前提，核实后进行报告编制，环境影响评价结论明确，经初步审查不存在重大缺陷、遗漏。</w:t>
                  </w:r>
                </w:p>
              </w:tc>
              <w:tc>
                <w:tcPr>
                  <w:tcW w:w="266" w:type="pct"/>
                  <w:vAlign w:val="center"/>
                </w:tcPr>
                <w:p w14:paraId="14D3EAD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6CE7C7C1">
              <w:trPr>
                <w:trHeight w:val="397" w:hRule="atLeast"/>
                <w:jc w:val="center"/>
              </w:trPr>
              <w:tc>
                <w:tcPr>
                  <w:tcW w:w="265" w:type="pct"/>
                  <w:vMerge w:val="continue"/>
                  <w:vAlign w:val="center"/>
                </w:tcPr>
                <w:p w14:paraId="53C29EF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745D5ED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281" w:type="pct"/>
                  <w:vMerge w:val="continue"/>
                  <w:vAlign w:val="center"/>
                </w:tcPr>
                <w:p w14:paraId="251BAC1F">
                  <w:pPr>
                    <w:keepNext w:val="0"/>
                    <w:keepLines w:val="0"/>
                    <w:suppressLineNumbers w:val="0"/>
                    <w:autoSpaceDE w:val="0"/>
                    <w:autoSpaceDN w:val="0"/>
                    <w:adjustRightInd w:val="0"/>
                    <w:spacing w:before="0" w:beforeAutospacing="0" w:after="0" w:afterAutospacing="0"/>
                    <w:ind w:left="0" w:right="0"/>
                    <w:jc w:val="center"/>
                    <w:rPr>
                      <w:color w:val="auto"/>
                      <w:kern w:val="0"/>
                      <w:szCs w:val="21"/>
                      <w:highlight w:val="none"/>
                    </w:rPr>
                  </w:pPr>
                </w:p>
              </w:tc>
              <w:tc>
                <w:tcPr>
                  <w:tcW w:w="1265" w:type="pct"/>
                  <w:vAlign w:val="center"/>
                </w:tcPr>
                <w:p w14:paraId="48B43AC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建设项目类型及其选址、布局、规模等不符合环境保护法律法规和相关法定规划。</w:t>
                  </w:r>
                </w:p>
              </w:tc>
              <w:tc>
                <w:tcPr>
                  <w:tcW w:w="1731" w:type="pct"/>
                  <w:vAlign w:val="center"/>
                </w:tcPr>
                <w:p w14:paraId="07B3D46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经过与“三线一单”及规划相符性分析可知，本项目类型及其选址、布局、规模等均符合环境保护法律法规和相关</w:t>
                  </w:r>
                  <w:r>
                    <w:rPr>
                      <w:rFonts w:hint="eastAsia"/>
                      <w:color w:val="auto"/>
                      <w:szCs w:val="21"/>
                      <w:highlight w:val="none"/>
                      <w:lang w:eastAsia="zh-CN"/>
                    </w:rPr>
                    <w:t>法律</w:t>
                  </w:r>
                  <w:r>
                    <w:rPr>
                      <w:color w:val="auto"/>
                      <w:szCs w:val="21"/>
                      <w:highlight w:val="none"/>
                    </w:rPr>
                    <w:t>规划。</w:t>
                  </w:r>
                </w:p>
              </w:tc>
              <w:tc>
                <w:tcPr>
                  <w:tcW w:w="266" w:type="pct"/>
                  <w:vAlign w:val="center"/>
                </w:tcPr>
                <w:p w14:paraId="67BB457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4AFA984A">
              <w:trPr>
                <w:trHeight w:val="397" w:hRule="atLeast"/>
                <w:jc w:val="center"/>
              </w:trPr>
              <w:tc>
                <w:tcPr>
                  <w:tcW w:w="265" w:type="pct"/>
                  <w:vMerge w:val="continue"/>
                  <w:vAlign w:val="center"/>
                </w:tcPr>
                <w:p w14:paraId="4D80443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151F9F2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2B8A6A8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731" w:type="pct"/>
                  <w:vAlign w:val="center"/>
                </w:tcPr>
                <w:p w14:paraId="015CDFD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本项目位于</w:t>
                  </w:r>
                  <w:r>
                    <w:rPr>
                      <w:rFonts w:hint="eastAsia"/>
                      <w:color w:val="auto"/>
                      <w:highlight w:val="none"/>
                      <w:lang w:eastAsia="zh-CN"/>
                    </w:rPr>
                    <w:t>江苏省淮安市涟水县经济开发区模架产业园北侧、科佳五轴机床东侧</w:t>
                  </w:r>
                  <w:r>
                    <w:rPr>
                      <w:rFonts w:hint="eastAsia"/>
                      <w:color w:val="auto"/>
                      <w:highlight w:val="none"/>
                    </w:rPr>
                    <w:t>，</w:t>
                  </w:r>
                  <w:r>
                    <w:rPr>
                      <w:color w:val="auto"/>
                      <w:szCs w:val="21"/>
                      <w:highlight w:val="none"/>
                    </w:rPr>
                    <w:t>属于工业用地。</w:t>
                  </w:r>
                </w:p>
              </w:tc>
              <w:tc>
                <w:tcPr>
                  <w:tcW w:w="266" w:type="pct"/>
                  <w:vAlign w:val="center"/>
                </w:tcPr>
                <w:p w14:paraId="04E2762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316BB2A6">
              <w:trPr>
                <w:trHeight w:val="397" w:hRule="atLeast"/>
                <w:jc w:val="center"/>
              </w:trPr>
              <w:tc>
                <w:tcPr>
                  <w:tcW w:w="265" w:type="pct"/>
                  <w:vMerge w:val="continue"/>
                  <w:vAlign w:val="center"/>
                </w:tcPr>
                <w:p w14:paraId="1BADC03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2E9EF85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31A6BAD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31" w:type="pct"/>
                  <w:vAlign w:val="center"/>
                </w:tcPr>
                <w:p w14:paraId="17FB7BF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本项目将按要求严格落实污染物排放总量控制制度，把主要污染物排放总量指标作为本项目环境影响</w:t>
                  </w:r>
                  <w:r>
                    <w:rPr>
                      <w:rFonts w:hint="eastAsia"/>
                      <w:color w:val="auto"/>
                      <w:szCs w:val="21"/>
                      <w:highlight w:val="none"/>
                      <w:lang w:eastAsia="zh-CN"/>
                    </w:rPr>
                    <w:t>评价</w:t>
                  </w:r>
                  <w:r>
                    <w:rPr>
                      <w:color w:val="auto"/>
                      <w:szCs w:val="21"/>
                      <w:highlight w:val="none"/>
                    </w:rPr>
                    <w:t>审批的前置条件。在环境影响评价文件审批前，须取得主要污染物排放总量指标。</w:t>
                  </w:r>
                </w:p>
              </w:tc>
              <w:tc>
                <w:tcPr>
                  <w:tcW w:w="266" w:type="pct"/>
                  <w:vAlign w:val="center"/>
                </w:tcPr>
                <w:p w14:paraId="14688DF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0731533C">
              <w:trPr>
                <w:trHeight w:val="397" w:hRule="atLeast"/>
                <w:jc w:val="center"/>
              </w:trPr>
              <w:tc>
                <w:tcPr>
                  <w:tcW w:w="265" w:type="pct"/>
                  <w:vMerge w:val="continue"/>
                  <w:vAlign w:val="center"/>
                </w:tcPr>
                <w:p w14:paraId="1BC846B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01D45A4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25C7699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禁止建设生产和使用高VOCs含量的溶剂型涂料、油墨、胶粘剂等项目</w:t>
                  </w:r>
                </w:p>
              </w:tc>
              <w:tc>
                <w:tcPr>
                  <w:tcW w:w="1731" w:type="pct"/>
                  <w:vAlign w:val="center"/>
                </w:tcPr>
                <w:p w14:paraId="035FEFA0">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本项目</w:t>
                  </w:r>
                  <w:r>
                    <w:rPr>
                      <w:rFonts w:hint="eastAsia"/>
                      <w:color w:val="auto"/>
                      <w:szCs w:val="21"/>
                      <w:highlight w:val="none"/>
                    </w:rPr>
                    <w:t>不涉及</w:t>
                  </w:r>
                  <w:r>
                    <w:rPr>
                      <w:color w:val="auto"/>
                      <w:szCs w:val="21"/>
                      <w:highlight w:val="none"/>
                    </w:rPr>
                    <w:t>高VOCs含量</w:t>
                  </w:r>
                  <w:r>
                    <w:rPr>
                      <w:rFonts w:hint="eastAsia"/>
                      <w:color w:val="auto"/>
                      <w:szCs w:val="21"/>
                      <w:highlight w:val="none"/>
                    </w:rPr>
                    <w:t>的</w:t>
                  </w:r>
                  <w:r>
                    <w:rPr>
                      <w:color w:val="auto"/>
                      <w:szCs w:val="21"/>
                      <w:highlight w:val="none"/>
                    </w:rPr>
                    <w:t>溶剂型涂料</w:t>
                  </w:r>
                  <w:r>
                    <w:rPr>
                      <w:rFonts w:hint="eastAsia"/>
                      <w:color w:val="auto"/>
                      <w:szCs w:val="21"/>
                      <w:highlight w:val="none"/>
                      <w:lang w:eastAsia="zh-CN"/>
                    </w:rPr>
                    <w:t>、</w:t>
                  </w:r>
                  <w:r>
                    <w:rPr>
                      <w:rFonts w:hint="eastAsia"/>
                      <w:color w:val="auto"/>
                      <w:szCs w:val="21"/>
                      <w:highlight w:val="none"/>
                    </w:rPr>
                    <w:t>油墨、胶黏剂的使用</w:t>
                  </w:r>
                  <w:r>
                    <w:rPr>
                      <w:rFonts w:hint="eastAsia"/>
                      <w:color w:val="auto"/>
                      <w:szCs w:val="21"/>
                      <w:highlight w:val="none"/>
                      <w:lang w:eastAsia="zh-CN"/>
                    </w:rPr>
                    <w:t>。</w:t>
                  </w:r>
                </w:p>
              </w:tc>
              <w:tc>
                <w:tcPr>
                  <w:tcW w:w="266" w:type="pct"/>
                  <w:vAlign w:val="center"/>
                </w:tcPr>
                <w:p w14:paraId="59C7F2C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61E44E6A">
              <w:trPr>
                <w:trHeight w:val="397" w:hRule="atLeast"/>
                <w:jc w:val="center"/>
              </w:trPr>
              <w:tc>
                <w:tcPr>
                  <w:tcW w:w="265" w:type="pct"/>
                  <w:vMerge w:val="continue"/>
                  <w:vAlign w:val="center"/>
                </w:tcPr>
                <w:p w14:paraId="3F7ED7A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26E1F53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784A6B2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生态保护红线原则上按禁止开发区域的要求进行管理，严禁不符合主体功能定位的各类开发活动，严禁任意改变用途。</w:t>
                  </w:r>
                </w:p>
              </w:tc>
              <w:tc>
                <w:tcPr>
                  <w:tcW w:w="1731" w:type="pct"/>
                  <w:vAlign w:val="center"/>
                </w:tcPr>
                <w:p w14:paraId="4B2DD56E">
                  <w:pPr>
                    <w:keepNext w:val="0"/>
                    <w:keepLines w:val="0"/>
                    <w:widowControl/>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hAnsi="宋体"/>
                      <w:color w:val="auto"/>
                      <w:szCs w:val="21"/>
                      <w:highlight w:val="none"/>
                    </w:rPr>
                    <w:t>本项目距离最近的生态红线为江苏涟水涟漪湖黄嘴白鹭省级自然保护区，距离约</w:t>
                  </w:r>
                  <w:r>
                    <w:rPr>
                      <w:rFonts w:hint="eastAsia" w:hAnsi="宋体"/>
                      <w:color w:val="auto"/>
                      <w:szCs w:val="21"/>
                      <w:highlight w:val="none"/>
                      <w:lang w:val="en-US" w:eastAsia="zh-CN"/>
                    </w:rPr>
                    <w:t>5.3</w:t>
                  </w:r>
                  <w:r>
                    <w:rPr>
                      <w:rFonts w:hAnsi="宋体"/>
                      <w:color w:val="auto"/>
                      <w:szCs w:val="21"/>
                      <w:highlight w:val="none"/>
                    </w:rPr>
                    <w:t>km，不在生态红线范围内</w:t>
                  </w:r>
                  <w:r>
                    <w:rPr>
                      <w:rFonts w:hint="eastAsia" w:hAnsi="宋体"/>
                      <w:color w:val="auto"/>
                      <w:szCs w:val="21"/>
                      <w:highlight w:val="none"/>
                    </w:rPr>
                    <w:t>，距离最近的生态空间管控区为</w:t>
                  </w:r>
                  <w:r>
                    <w:rPr>
                      <w:rFonts w:hint="eastAsia" w:ascii="宋体" w:hAnsi="宋体" w:eastAsia="宋体" w:cs="宋体"/>
                      <w:color w:val="auto"/>
                      <w:kern w:val="0"/>
                      <w:szCs w:val="21"/>
                      <w:highlight w:val="none"/>
                    </w:rPr>
                    <w:t>废黄河（</w:t>
                  </w:r>
                  <w:r>
                    <w:rPr>
                      <w:rFonts w:eastAsia="宋体"/>
                      <w:color w:val="auto"/>
                      <w:kern w:val="0"/>
                      <w:szCs w:val="21"/>
                      <w:highlight w:val="none"/>
                    </w:rPr>
                    <w:t>涟水县）重要湿地，距离</w:t>
                  </w:r>
                  <w:r>
                    <w:rPr>
                      <w:rFonts w:hint="eastAsia" w:eastAsia="宋体"/>
                      <w:color w:val="auto"/>
                      <w:kern w:val="0"/>
                      <w:szCs w:val="21"/>
                      <w:highlight w:val="none"/>
                      <w:lang w:val="en-US" w:eastAsia="zh-CN"/>
                    </w:rPr>
                    <w:t>6.6</w:t>
                  </w:r>
                  <w:r>
                    <w:rPr>
                      <w:rFonts w:eastAsia="宋体"/>
                      <w:color w:val="auto"/>
                      <w:kern w:val="0"/>
                      <w:szCs w:val="21"/>
                      <w:highlight w:val="none"/>
                    </w:rPr>
                    <w:t>km，不在管控范围内</w:t>
                  </w:r>
                  <w:r>
                    <w:rPr>
                      <w:rFonts w:hint="eastAsia" w:eastAsia="宋体"/>
                      <w:color w:val="auto"/>
                      <w:kern w:val="0"/>
                      <w:szCs w:val="21"/>
                      <w:highlight w:val="none"/>
                      <w:lang w:eastAsia="zh-CN"/>
                    </w:rPr>
                    <w:t>。</w:t>
                  </w:r>
                </w:p>
              </w:tc>
              <w:tc>
                <w:tcPr>
                  <w:tcW w:w="266" w:type="pct"/>
                  <w:vAlign w:val="center"/>
                </w:tcPr>
                <w:p w14:paraId="0085373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2D2A705C">
              <w:trPr>
                <w:trHeight w:val="397" w:hRule="atLeast"/>
                <w:jc w:val="center"/>
              </w:trPr>
              <w:tc>
                <w:tcPr>
                  <w:tcW w:w="265" w:type="pct"/>
                  <w:vMerge w:val="continue"/>
                  <w:vAlign w:val="center"/>
                </w:tcPr>
                <w:p w14:paraId="4DECFB3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2E2D01E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6060048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禁止审批无法落实危险废物利用、处置途径的项目，从严审批危险废物产生量大、本地无配套利用处置能力</w:t>
                  </w:r>
                  <w:r>
                    <w:rPr>
                      <w:rFonts w:hint="eastAsia"/>
                      <w:color w:val="auto"/>
                      <w:szCs w:val="21"/>
                      <w:highlight w:val="none"/>
                      <w:lang w:eastAsia="zh-CN"/>
                    </w:rPr>
                    <w:t>且</w:t>
                  </w:r>
                  <w:r>
                    <w:rPr>
                      <w:color w:val="auto"/>
                      <w:szCs w:val="21"/>
                      <w:highlight w:val="none"/>
                    </w:rPr>
                    <w:t>需设区市统筹解决的项目。</w:t>
                  </w:r>
                </w:p>
              </w:tc>
              <w:tc>
                <w:tcPr>
                  <w:tcW w:w="1731" w:type="pct"/>
                  <w:vAlign w:val="center"/>
                </w:tcPr>
                <w:p w14:paraId="4C6FA75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highlight w:val="none"/>
                    </w:rPr>
                    <w:t>本项目危险废物委托有资质单位安全处置。</w:t>
                  </w:r>
                </w:p>
              </w:tc>
              <w:tc>
                <w:tcPr>
                  <w:tcW w:w="266" w:type="pct"/>
                  <w:vAlign w:val="center"/>
                </w:tcPr>
                <w:p w14:paraId="46D3A45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178D799C">
              <w:trPr>
                <w:trHeight w:val="397" w:hRule="atLeast"/>
                <w:jc w:val="center"/>
              </w:trPr>
              <w:tc>
                <w:tcPr>
                  <w:tcW w:w="265" w:type="pct"/>
                  <w:vMerge w:val="continue"/>
                  <w:vAlign w:val="center"/>
                </w:tcPr>
                <w:p w14:paraId="05800B2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48DB653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34A1605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禁止新建、扩建法律法规和相关政策明令禁止的落后产能项目</w:t>
                  </w:r>
                </w:p>
              </w:tc>
              <w:tc>
                <w:tcPr>
                  <w:tcW w:w="1731" w:type="pct"/>
                  <w:vMerge w:val="restart"/>
                  <w:vAlign w:val="center"/>
                </w:tcPr>
                <w:p w14:paraId="30D85C2C">
                  <w:pPr>
                    <w:pStyle w:val="3886"/>
                    <w:keepNext w:val="0"/>
                    <w:keepLines w:val="0"/>
                    <w:widowControl/>
                    <w:suppressLineNumbers w:val="0"/>
                    <w:spacing w:before="0" w:beforeAutospacing="0" w:after="0" w:afterAutospacing="0"/>
                    <w:ind w:left="0" w:right="0"/>
                    <w:jc w:val="center"/>
                    <w:rPr>
                      <w:rFonts w:ascii="Times New Roman" w:hAnsi="Times New Roman" w:cs="Times New Roman" w:eastAsiaTheme="minorEastAsia"/>
                      <w:color w:val="auto"/>
                      <w:highlight w:val="none"/>
                    </w:rPr>
                  </w:pPr>
                  <w:r>
                    <w:rPr>
                      <w:rFonts w:ascii="Times New Roman" w:hAnsi="Times New Roman" w:cs="Times New Roman"/>
                      <w:color w:val="auto"/>
                      <w:spacing w:val="-2"/>
                      <w:highlight w:val="none"/>
                    </w:rPr>
                    <w:t>本项目为</w:t>
                  </w:r>
                  <w:r>
                    <w:rPr>
                      <w:rFonts w:hint="eastAsia" w:ascii="Times New Roman" w:hAnsi="Times New Roman" w:cs="Times New Roman"/>
                      <w:color w:val="auto"/>
                      <w:highlight w:val="none"/>
                    </w:rPr>
                    <w:t>智能整机设备生产项目</w:t>
                  </w:r>
                  <w:r>
                    <w:rPr>
                      <w:rFonts w:hint="eastAsia" w:ascii="Times New Roman" w:hAnsi="Times New Roman" w:cs="Times New Roman"/>
                      <w:color w:val="auto"/>
                      <w:spacing w:val="-2"/>
                      <w:highlight w:val="none"/>
                    </w:rPr>
                    <w:t>，属</w:t>
                  </w:r>
                  <w:r>
                    <w:rPr>
                      <w:rFonts w:hint="default" w:ascii="Times New Roman" w:hAnsi="Times New Roman" w:cs="Times New Roman"/>
                      <w:color w:val="auto"/>
                      <w:spacing w:val="-2"/>
                      <w:highlight w:val="none"/>
                    </w:rPr>
                    <w:t>于</w:t>
                  </w:r>
                  <w:r>
                    <w:rPr>
                      <w:rFonts w:hint="default" w:ascii="Times New Roman" w:hAnsi="Times New Roman" w:cs="Times New Roman"/>
                      <w:color w:val="auto"/>
                      <w:sz w:val="21"/>
                      <w:szCs w:val="21"/>
                      <w:highlight w:val="none"/>
                    </w:rPr>
                    <w:t>C3422金属成形机床制造</w:t>
                  </w:r>
                  <w:r>
                    <w:rPr>
                      <w:rFonts w:ascii="Times New Roman" w:hAnsi="Times New Roman" w:cs="Times New Roman"/>
                      <w:color w:val="auto"/>
                      <w:spacing w:val="-2"/>
                      <w:highlight w:val="none"/>
                    </w:rPr>
                    <w:t>，不属于法律法规和相关政策明令禁止的落后产能项目，不属于国家产能置换要求的过剩产能行业的项目。</w:t>
                  </w:r>
                </w:p>
              </w:tc>
              <w:tc>
                <w:tcPr>
                  <w:tcW w:w="266" w:type="pct"/>
                  <w:vAlign w:val="center"/>
                </w:tcPr>
                <w:p w14:paraId="65BBA34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483F75C7">
              <w:trPr>
                <w:trHeight w:val="397" w:hRule="atLeast"/>
                <w:jc w:val="center"/>
              </w:trPr>
              <w:tc>
                <w:tcPr>
                  <w:tcW w:w="265" w:type="pct"/>
                  <w:vMerge w:val="continue"/>
                  <w:vAlign w:val="center"/>
                </w:tcPr>
                <w:p w14:paraId="4D56DFA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6640E9C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2FB2BCF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禁止新建、扩建不符合国家产能置换要求的严重过剩产能行业的项目。</w:t>
                  </w:r>
                </w:p>
              </w:tc>
              <w:tc>
                <w:tcPr>
                  <w:tcW w:w="1731" w:type="pct"/>
                  <w:vMerge w:val="continue"/>
                  <w:vAlign w:val="center"/>
                </w:tcPr>
                <w:p w14:paraId="0969954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266" w:type="pct"/>
                  <w:vAlign w:val="center"/>
                </w:tcPr>
                <w:p w14:paraId="5357C52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3A8F1873">
              <w:trPr>
                <w:trHeight w:val="397" w:hRule="atLeast"/>
                <w:jc w:val="center"/>
              </w:trPr>
              <w:tc>
                <w:tcPr>
                  <w:tcW w:w="265" w:type="pct"/>
                  <w:vAlign w:val="center"/>
                </w:tcPr>
                <w:p w14:paraId="73F1E5C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2</w:t>
                  </w:r>
                </w:p>
              </w:tc>
              <w:tc>
                <w:tcPr>
                  <w:tcW w:w="1188" w:type="pct"/>
                  <w:vAlign w:val="center"/>
                </w:tcPr>
                <w:p w14:paraId="031ABBA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《省生态环境厅关于进一步加强建设项目环评审批和服务工作的指导意见》（苏环办</w:t>
                  </w:r>
                  <w:r>
                    <w:rPr>
                      <w:rFonts w:hint="eastAsia"/>
                      <w:color w:val="auto"/>
                      <w:szCs w:val="21"/>
                      <w:highlight w:val="none"/>
                      <w:lang w:eastAsia="zh-CN"/>
                    </w:rPr>
                    <w:t>〔2020〕225号</w:t>
                  </w:r>
                  <w:r>
                    <w:rPr>
                      <w:color w:val="auto"/>
                      <w:szCs w:val="21"/>
                      <w:highlight w:val="none"/>
                    </w:rPr>
                    <w:t>）</w:t>
                  </w:r>
                </w:p>
              </w:tc>
              <w:tc>
                <w:tcPr>
                  <w:tcW w:w="1547" w:type="pct"/>
                  <w:gridSpan w:val="2"/>
                  <w:vAlign w:val="center"/>
                </w:tcPr>
                <w:p w14:paraId="50DF92F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建设项目所在区域环境质量未达到国家或地方环境质量标准，且项目拟采取的污染防治措施不能满足区域环境质量改善目标管理要求的</w:t>
                  </w:r>
                </w:p>
              </w:tc>
              <w:tc>
                <w:tcPr>
                  <w:tcW w:w="1731" w:type="pct"/>
                  <w:vAlign w:val="center"/>
                </w:tcPr>
                <w:p w14:paraId="79D4622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kern w:val="0"/>
                      <w:szCs w:val="21"/>
                    </w:rPr>
                    <w:t>根据</w:t>
                  </w:r>
                  <w:r>
                    <w:rPr>
                      <w:rFonts w:hint="eastAsia"/>
                      <w:color w:val="auto"/>
                      <w:kern w:val="0"/>
                      <w:szCs w:val="21"/>
                    </w:rPr>
                    <w:t>《2024年涟水县环境质量状况公报》</w:t>
                  </w:r>
                  <w:r>
                    <w:rPr>
                      <w:color w:val="auto"/>
                      <w:kern w:val="0"/>
                      <w:szCs w:val="21"/>
                    </w:rPr>
                    <w:t>，项目所在地属于环境空气质量达标区</w:t>
                  </w:r>
                  <w:r>
                    <w:rPr>
                      <w:rFonts w:hint="eastAsia"/>
                      <w:color w:val="auto"/>
                      <w:szCs w:val="21"/>
                    </w:rPr>
                    <w:t>；202</w:t>
                  </w:r>
                  <w:r>
                    <w:rPr>
                      <w:color w:val="auto"/>
                      <w:szCs w:val="21"/>
                    </w:rPr>
                    <w:t>4</w:t>
                  </w:r>
                  <w:r>
                    <w:rPr>
                      <w:rFonts w:hint="eastAsia"/>
                      <w:color w:val="auto"/>
                      <w:szCs w:val="21"/>
                    </w:rPr>
                    <w:t>年淮安市水环境质量总体较好，饮用水源地水质稳定达标</w:t>
                  </w:r>
                  <w:r>
                    <w:rPr>
                      <w:color w:val="auto"/>
                      <w:kern w:val="0"/>
                      <w:szCs w:val="21"/>
                    </w:rPr>
                    <w:t>；项目厂界外周边50米范围内不存在声环境保护目标</w:t>
                  </w:r>
                  <w:r>
                    <w:rPr>
                      <w:rFonts w:hint="eastAsia"/>
                      <w:color w:val="auto"/>
                      <w:kern w:val="0"/>
                      <w:szCs w:val="21"/>
                    </w:rPr>
                    <w:t>。</w:t>
                  </w:r>
                </w:p>
              </w:tc>
              <w:tc>
                <w:tcPr>
                  <w:tcW w:w="266" w:type="pct"/>
                  <w:vAlign w:val="center"/>
                </w:tcPr>
                <w:p w14:paraId="773386C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6E4DFFFC">
              <w:trPr>
                <w:trHeight w:val="397" w:hRule="atLeast"/>
                <w:jc w:val="center"/>
              </w:trPr>
              <w:tc>
                <w:tcPr>
                  <w:tcW w:w="265" w:type="pct"/>
                  <w:vMerge w:val="restart"/>
                  <w:vAlign w:val="center"/>
                </w:tcPr>
                <w:p w14:paraId="061F17F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3</w:t>
                  </w:r>
                </w:p>
              </w:tc>
              <w:tc>
                <w:tcPr>
                  <w:tcW w:w="1188" w:type="pct"/>
                  <w:vMerge w:val="restart"/>
                  <w:vAlign w:val="center"/>
                </w:tcPr>
                <w:p w14:paraId="292D0F1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《省政府办公厅关于加强危险废物污染防治工作的意见》</w:t>
                  </w:r>
                  <w:r>
                    <w:rPr>
                      <w:rFonts w:hint="eastAsia"/>
                      <w:color w:val="auto"/>
                      <w:szCs w:val="21"/>
                      <w:highlight w:val="none"/>
                      <w:lang w:eastAsia="zh-CN"/>
                    </w:rPr>
                    <w:t>（</w:t>
                  </w:r>
                  <w:r>
                    <w:rPr>
                      <w:color w:val="auto"/>
                      <w:szCs w:val="21"/>
                      <w:highlight w:val="none"/>
                    </w:rPr>
                    <w:t>苏政办发</w:t>
                  </w:r>
                  <w:r>
                    <w:rPr>
                      <w:rFonts w:hint="eastAsia"/>
                      <w:color w:val="auto"/>
                      <w:szCs w:val="21"/>
                      <w:highlight w:val="none"/>
                      <w:lang w:eastAsia="zh-CN"/>
                    </w:rPr>
                    <w:t>〔2018〕91号）</w:t>
                  </w:r>
                </w:p>
              </w:tc>
              <w:tc>
                <w:tcPr>
                  <w:tcW w:w="1547" w:type="pct"/>
                  <w:gridSpan w:val="2"/>
                  <w:vAlign w:val="center"/>
                </w:tcPr>
                <w:p w14:paraId="6EDFE01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推动产业结构优化调整，提升工业绿色发展水平不得新建、改建、扩建三类中间体项目减少低价值、难处理危险废物的产生量。严格淘汰落后产能，依法关闭规模小、污染重、危险废物治理难度大的企业。</w:t>
                  </w:r>
                </w:p>
              </w:tc>
              <w:tc>
                <w:tcPr>
                  <w:tcW w:w="1731" w:type="pct"/>
                  <w:vAlign w:val="center"/>
                </w:tcPr>
                <w:p w14:paraId="428DE2F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本项目不属于三类中间体项目，产能规模符合相关要求，不涉及难以处理的危险废物。</w:t>
                  </w:r>
                </w:p>
              </w:tc>
              <w:tc>
                <w:tcPr>
                  <w:tcW w:w="266" w:type="pct"/>
                  <w:vAlign w:val="center"/>
                </w:tcPr>
                <w:p w14:paraId="44C7090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3838CA4F">
              <w:trPr>
                <w:trHeight w:val="397" w:hRule="atLeast"/>
                <w:jc w:val="center"/>
              </w:trPr>
              <w:tc>
                <w:tcPr>
                  <w:tcW w:w="265" w:type="pct"/>
                  <w:vMerge w:val="continue"/>
                  <w:vAlign w:val="center"/>
                </w:tcPr>
                <w:p w14:paraId="6ADDE30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2B25128C">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10F740E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严格规范建设项目危险废物环境影响评价，科学判定废物危险特性或提出鉴别方案建议。对无危险废物集中处置设施或处置能力严重不足且设区市无法统筹解决的地区，以及对飞灰、工业污泥、废盐等危险废物库存量大且不能按要求完成规范处置的地区，暂停审批该地区产生危险废物的工业项目环境影响评价文件</w:t>
                  </w:r>
                </w:p>
              </w:tc>
              <w:tc>
                <w:tcPr>
                  <w:tcW w:w="1731" w:type="pct"/>
                  <w:vAlign w:val="center"/>
                </w:tcPr>
                <w:p w14:paraId="4A1B7F6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本次评价按照《国家危险废物名录</w:t>
                  </w:r>
                  <w:r>
                    <w:rPr>
                      <w:rFonts w:hint="eastAsia"/>
                      <w:color w:val="auto"/>
                      <w:szCs w:val="21"/>
                      <w:highlight w:val="none"/>
                      <w:lang w:eastAsia="zh-CN"/>
                    </w:rPr>
                    <w:t>（</w:t>
                  </w:r>
                  <w:r>
                    <w:rPr>
                      <w:rFonts w:hint="eastAsia"/>
                      <w:color w:val="auto"/>
                      <w:szCs w:val="21"/>
                      <w:highlight w:val="none"/>
                      <w:lang w:val="en-US" w:eastAsia="zh-CN"/>
                    </w:rPr>
                    <w:t>2025年）</w:t>
                  </w:r>
                  <w:r>
                    <w:rPr>
                      <w:color w:val="auto"/>
                      <w:szCs w:val="21"/>
                      <w:highlight w:val="none"/>
                    </w:rPr>
                    <w:t>》</w:t>
                  </w:r>
                  <w:r>
                    <w:rPr>
                      <w:rFonts w:hint="eastAsia"/>
                      <w:color w:val="auto"/>
                      <w:szCs w:val="21"/>
                      <w:highlight w:val="none"/>
                    </w:rPr>
                    <w:t>等</w:t>
                  </w:r>
                  <w:r>
                    <w:rPr>
                      <w:color w:val="auto"/>
                      <w:szCs w:val="21"/>
                      <w:highlight w:val="none"/>
                    </w:rPr>
                    <w:t>进行属性判定，并以表格的形式列明危险废物的名称、数量、类别、形态、危险特性和污染防治措施等内容；危险废物交由有资质单位处置。</w:t>
                  </w:r>
                </w:p>
              </w:tc>
              <w:tc>
                <w:tcPr>
                  <w:tcW w:w="266" w:type="pct"/>
                  <w:vAlign w:val="center"/>
                </w:tcPr>
                <w:p w14:paraId="7188626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00EE4EE7">
              <w:trPr>
                <w:trHeight w:val="397" w:hRule="atLeast"/>
                <w:jc w:val="center"/>
              </w:trPr>
              <w:tc>
                <w:tcPr>
                  <w:tcW w:w="265" w:type="pct"/>
                  <w:vMerge w:val="continue"/>
                  <w:vAlign w:val="center"/>
                </w:tcPr>
                <w:p w14:paraId="19A398C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04A60B0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48D6862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禁止审批无法落实危险废物利用、处置途径的项目，从严审批危险废物产生量大、本地无配套利用处置能力且需设区市统筹解决的项目</w:t>
                  </w:r>
                </w:p>
              </w:tc>
              <w:tc>
                <w:tcPr>
                  <w:tcW w:w="1731" w:type="pct"/>
                  <w:vAlign w:val="center"/>
                </w:tcPr>
                <w:p w14:paraId="461EA86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本项目生产过程中产生的危险废物委托有资质单位安全处置。</w:t>
                  </w:r>
                </w:p>
              </w:tc>
              <w:tc>
                <w:tcPr>
                  <w:tcW w:w="266" w:type="pct"/>
                  <w:vAlign w:val="center"/>
                </w:tcPr>
                <w:p w14:paraId="47EFA6C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45EE0BFA">
              <w:trPr>
                <w:trHeight w:val="397" w:hRule="atLeast"/>
                <w:jc w:val="center"/>
              </w:trPr>
              <w:tc>
                <w:tcPr>
                  <w:tcW w:w="265" w:type="pct"/>
                  <w:vAlign w:val="center"/>
                </w:tcPr>
                <w:p w14:paraId="7C0763D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4</w:t>
                  </w:r>
                </w:p>
              </w:tc>
              <w:tc>
                <w:tcPr>
                  <w:tcW w:w="1188" w:type="pct"/>
                  <w:vAlign w:val="center"/>
                </w:tcPr>
                <w:p w14:paraId="0B5958F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《关于印发江苏省强化危险废物监管和利用处置能力改革实施方案的通知》（苏政办发〔2022〕11 号）</w:t>
                  </w:r>
                </w:p>
              </w:tc>
              <w:tc>
                <w:tcPr>
                  <w:tcW w:w="1547" w:type="pct"/>
                  <w:gridSpan w:val="2"/>
                  <w:vAlign w:val="center"/>
                </w:tcPr>
                <w:p w14:paraId="5086CB3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eastAsia="zh-CN"/>
                    </w:rPr>
                    <w:t>（九）</w:t>
                  </w:r>
                  <w:r>
                    <w:rPr>
                      <w:color w:val="auto"/>
                      <w:szCs w:val="21"/>
                      <w:highlight w:val="none"/>
                    </w:rPr>
                    <w:t>严格项目准入。新改扩建项目依法严格履行环保、安全、规划、住建、消防、节能审查等相关手续和“三同时”制度。严禁审批未采取必要措施预防和控制生态破坏的涉危险废物项目。新改扩建危险废物利用处置项目必须包括八位危险废物代码明确的全部危险废物种类。</w:t>
                  </w:r>
                  <w:r>
                    <w:rPr>
                      <w:rFonts w:hint="eastAsia"/>
                      <w:color w:val="auto"/>
                      <w:szCs w:val="21"/>
                      <w:highlight w:val="none"/>
                      <w:lang w:eastAsia="zh-CN"/>
                    </w:rPr>
                    <w:t>（</w:t>
                  </w:r>
                  <w:r>
                    <w:rPr>
                      <w:color w:val="auto"/>
                      <w:szCs w:val="21"/>
                      <w:highlight w:val="none"/>
                    </w:rPr>
                    <w:t>省发展改革委、省工业和信息化厅、省生态环境厅、省应急厅、省</w:t>
                  </w:r>
                  <w:r>
                    <w:rPr>
                      <w:rFonts w:hint="eastAsia"/>
                      <w:color w:val="auto"/>
                      <w:szCs w:val="21"/>
                      <w:highlight w:val="none"/>
                      <w:lang w:eastAsia="zh-CN"/>
                    </w:rPr>
                    <w:t>住房和城乡建设厅</w:t>
                  </w:r>
                  <w:r>
                    <w:rPr>
                      <w:color w:val="auto"/>
                      <w:szCs w:val="21"/>
                      <w:highlight w:val="none"/>
                    </w:rPr>
                    <w:t>、省自然资源厅等按职责分工负责</w:t>
                  </w:r>
                  <w:r>
                    <w:rPr>
                      <w:rFonts w:hint="eastAsia"/>
                      <w:color w:val="auto"/>
                      <w:szCs w:val="21"/>
                      <w:highlight w:val="none"/>
                      <w:lang w:eastAsia="zh-CN"/>
                    </w:rPr>
                    <w:t>）</w:t>
                  </w:r>
                  <w:r>
                    <w:rPr>
                      <w:color w:val="auto"/>
                      <w:szCs w:val="21"/>
                      <w:highlight w:val="none"/>
                    </w:rPr>
                    <w:t>严格环评管理，新改扩建项目要依法开展环境影响评价，严格按照《建设项目危险废物环境影响评价指南》科学评价危险废物，明确危险废物种类、数量、属性、贮存设施及需要配套的污染防治措施。依法依规对已批复的重点行业涉危险废物建设项目环境影响评价文件开展复核。严格落实危险废物鉴定、再生利用等标准规范，严禁以副产品名义逃避监管。依法落实工业固体废物排污许可制度。</w:t>
                  </w:r>
                </w:p>
              </w:tc>
              <w:tc>
                <w:tcPr>
                  <w:tcW w:w="1731" w:type="pct"/>
                  <w:vAlign w:val="center"/>
                </w:tcPr>
                <w:p w14:paraId="05AB00B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建设项目建成后依法履行环保、安全规划、住建、消防、节能审查等相关手续和“三同时”制度，本项目不涉及危险废物利用处置，危险废物代码八位代码见</w:t>
                  </w:r>
                  <w:r>
                    <w:rPr>
                      <w:rFonts w:hint="eastAsia"/>
                      <w:color w:val="auto"/>
                      <w:szCs w:val="21"/>
                      <w:highlight w:val="none"/>
                    </w:rPr>
                    <w:t>危废章节</w:t>
                  </w:r>
                  <w:r>
                    <w:rPr>
                      <w:color w:val="auto"/>
                      <w:szCs w:val="21"/>
                      <w:highlight w:val="none"/>
                    </w:rPr>
                    <w:t>；本项目已依法开展环境影响评价，本次评价按照《国家危险废物名录》等进行属性判定危险废物种类、数量、属性，按照《危险废物贮存污染控制标准》</w:t>
                  </w:r>
                  <w:r>
                    <w:rPr>
                      <w:rFonts w:hint="eastAsia"/>
                      <w:color w:val="auto"/>
                      <w:szCs w:val="21"/>
                      <w:highlight w:val="none"/>
                      <w:lang w:eastAsia="zh-CN"/>
                    </w:rPr>
                    <w:t>（</w:t>
                  </w:r>
                  <w:r>
                    <w:rPr>
                      <w:color w:val="auto"/>
                      <w:szCs w:val="21"/>
                      <w:highlight w:val="none"/>
                    </w:rPr>
                    <w:t>GB18597-2023</w:t>
                  </w:r>
                  <w:r>
                    <w:rPr>
                      <w:rFonts w:hint="eastAsia"/>
                      <w:color w:val="auto"/>
                      <w:szCs w:val="21"/>
                      <w:highlight w:val="none"/>
                      <w:lang w:eastAsia="zh-CN"/>
                    </w:rPr>
                    <w:t>）</w:t>
                  </w:r>
                  <w:r>
                    <w:rPr>
                      <w:color w:val="auto"/>
                      <w:szCs w:val="21"/>
                      <w:highlight w:val="none"/>
                    </w:rPr>
                    <w:t>要求设置危废贮存设施及配套污染防治措施。</w:t>
                  </w:r>
                </w:p>
              </w:tc>
              <w:tc>
                <w:tcPr>
                  <w:tcW w:w="266" w:type="pct"/>
                  <w:vAlign w:val="center"/>
                </w:tcPr>
                <w:p w14:paraId="005A52A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07D5642A">
              <w:trPr>
                <w:trHeight w:val="397" w:hRule="atLeast"/>
                <w:jc w:val="center"/>
              </w:trPr>
              <w:tc>
                <w:tcPr>
                  <w:tcW w:w="265" w:type="pct"/>
                  <w:vAlign w:val="center"/>
                </w:tcPr>
                <w:p w14:paraId="4F2CE45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5</w:t>
                  </w:r>
                </w:p>
              </w:tc>
              <w:tc>
                <w:tcPr>
                  <w:tcW w:w="1188" w:type="pct"/>
                  <w:vAlign w:val="center"/>
                </w:tcPr>
                <w:p w14:paraId="2173781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《省生态环境厅关于做好</w:t>
                  </w:r>
                  <w:r>
                    <w:rPr>
                      <w:rFonts w:hint="eastAsia"/>
                      <w:color w:val="auto"/>
                      <w:szCs w:val="21"/>
                      <w:highlight w:val="none"/>
                      <w:lang w:eastAsia="zh-CN"/>
                    </w:rPr>
                    <w:t>〈</w:t>
                  </w:r>
                  <w:r>
                    <w:rPr>
                      <w:color w:val="auto"/>
                      <w:szCs w:val="21"/>
                      <w:highlight w:val="none"/>
                    </w:rPr>
                    <w:t>危险废物贮存污染控制标准</w:t>
                  </w:r>
                  <w:r>
                    <w:rPr>
                      <w:rFonts w:hint="eastAsia"/>
                      <w:color w:val="auto"/>
                      <w:szCs w:val="21"/>
                      <w:highlight w:val="none"/>
                      <w:lang w:eastAsia="zh-CN"/>
                    </w:rPr>
                    <w:t>〉</w:t>
                  </w:r>
                  <w:r>
                    <w:rPr>
                      <w:color w:val="auto"/>
                      <w:szCs w:val="21"/>
                      <w:highlight w:val="none"/>
                    </w:rPr>
                    <w:t>等标准规范实施后危险废物环境管理衔接工作的通知》</w:t>
                  </w:r>
                </w:p>
              </w:tc>
              <w:tc>
                <w:tcPr>
                  <w:tcW w:w="1547" w:type="pct"/>
                  <w:gridSpan w:val="2"/>
                  <w:vAlign w:val="center"/>
                </w:tcPr>
                <w:p w14:paraId="3553EA5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危险废物贮存设施</w:t>
                  </w:r>
                  <w:r>
                    <w:rPr>
                      <w:rFonts w:hint="eastAsia"/>
                      <w:color w:val="auto"/>
                      <w:szCs w:val="21"/>
                      <w:highlight w:val="none"/>
                      <w:lang w:eastAsia="zh-CN"/>
                    </w:rPr>
                    <w:t>（</w:t>
                  </w:r>
                  <w:r>
                    <w:rPr>
                      <w:color w:val="auto"/>
                      <w:szCs w:val="21"/>
                      <w:highlight w:val="none"/>
                    </w:rPr>
                    <w:t>含贮存点</w:t>
                  </w:r>
                  <w:r>
                    <w:rPr>
                      <w:rFonts w:hint="eastAsia"/>
                      <w:color w:val="auto"/>
                      <w:szCs w:val="21"/>
                      <w:highlight w:val="none"/>
                      <w:lang w:eastAsia="zh-CN"/>
                    </w:rPr>
                    <w:t>）</w:t>
                  </w:r>
                  <w:r>
                    <w:rPr>
                      <w:color w:val="auto"/>
                      <w:szCs w:val="21"/>
                      <w:highlight w:val="none"/>
                    </w:rPr>
                    <w:t>应按照《省生态环境厅关于进一步加强危险废物污染防治工作的实施意见》</w:t>
                  </w:r>
                  <w:r>
                    <w:rPr>
                      <w:rFonts w:hint="eastAsia"/>
                      <w:color w:val="auto"/>
                      <w:szCs w:val="21"/>
                      <w:highlight w:val="none"/>
                      <w:lang w:eastAsia="zh-CN"/>
                    </w:rPr>
                    <w:t>（</w:t>
                  </w:r>
                  <w:r>
                    <w:rPr>
                      <w:color w:val="auto"/>
                      <w:szCs w:val="21"/>
                      <w:highlight w:val="none"/>
                    </w:rPr>
                    <w:t>苏环办</w:t>
                  </w:r>
                  <w:r>
                    <w:rPr>
                      <w:rFonts w:hint="eastAsia"/>
                      <w:color w:val="auto"/>
                      <w:szCs w:val="21"/>
                      <w:highlight w:val="none"/>
                      <w:lang w:eastAsia="zh-CN"/>
                    </w:rPr>
                    <w:t>〔2019〕327号）</w:t>
                  </w:r>
                  <w:r>
                    <w:rPr>
                      <w:color w:val="auto"/>
                      <w:szCs w:val="21"/>
                      <w:highlight w:val="none"/>
                    </w:rPr>
                    <w:t>、《省生态环境厅关于做好江苏省危险废物全生命周期监控系统上线运行工作的通知》</w:t>
                  </w:r>
                  <w:r>
                    <w:rPr>
                      <w:rFonts w:hint="eastAsia"/>
                      <w:color w:val="auto"/>
                      <w:szCs w:val="21"/>
                      <w:highlight w:val="none"/>
                      <w:lang w:eastAsia="zh-CN"/>
                    </w:rPr>
                    <w:t>（</w:t>
                  </w:r>
                  <w:r>
                    <w:rPr>
                      <w:color w:val="auto"/>
                      <w:szCs w:val="21"/>
                      <w:highlight w:val="none"/>
                    </w:rPr>
                    <w:t>苏环办</w:t>
                  </w:r>
                  <w:r>
                    <w:rPr>
                      <w:rFonts w:hint="eastAsia"/>
                      <w:color w:val="auto"/>
                      <w:szCs w:val="21"/>
                      <w:highlight w:val="none"/>
                      <w:lang w:eastAsia="zh-CN"/>
                    </w:rPr>
                    <w:t>〔2020〕401号）</w:t>
                  </w:r>
                  <w:r>
                    <w:rPr>
                      <w:color w:val="auto"/>
                      <w:szCs w:val="21"/>
                      <w:highlight w:val="none"/>
                    </w:rPr>
                    <w:t>等文件要求设置视频监控，并与中控室联网，视频监控应确保监控画面清晰，视频记录保存时间至少为3个月。</w:t>
                  </w:r>
                </w:p>
              </w:tc>
              <w:tc>
                <w:tcPr>
                  <w:tcW w:w="1731" w:type="pct"/>
                  <w:vAlign w:val="center"/>
                </w:tcPr>
                <w:p w14:paraId="33F77A3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本项目拟按照规范设置危废暂存间。</w:t>
                  </w:r>
                </w:p>
              </w:tc>
              <w:tc>
                <w:tcPr>
                  <w:tcW w:w="266" w:type="pct"/>
                  <w:vAlign w:val="center"/>
                </w:tcPr>
                <w:p w14:paraId="444D24E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5AD4C43F">
              <w:trPr>
                <w:trHeight w:val="397" w:hRule="atLeast"/>
                <w:jc w:val="center"/>
              </w:trPr>
              <w:tc>
                <w:tcPr>
                  <w:tcW w:w="265" w:type="pct"/>
                  <w:vMerge w:val="restart"/>
                  <w:vAlign w:val="center"/>
                </w:tcPr>
                <w:p w14:paraId="2BD2C2B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6</w:t>
                  </w:r>
                </w:p>
              </w:tc>
              <w:tc>
                <w:tcPr>
                  <w:tcW w:w="1188" w:type="pct"/>
                  <w:vMerge w:val="restart"/>
                  <w:vAlign w:val="center"/>
                </w:tcPr>
                <w:p w14:paraId="442A813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《省政府办公厅关于印发江苏省“十四五”生态环境保护规划的通知》</w:t>
                  </w:r>
                  <w:r>
                    <w:rPr>
                      <w:rFonts w:hint="eastAsia"/>
                      <w:color w:val="auto"/>
                      <w:szCs w:val="21"/>
                      <w:highlight w:val="none"/>
                      <w:lang w:eastAsia="zh-CN"/>
                    </w:rPr>
                    <w:t>（</w:t>
                  </w:r>
                  <w:r>
                    <w:rPr>
                      <w:rFonts w:hint="eastAsia"/>
                      <w:color w:val="auto"/>
                      <w:szCs w:val="21"/>
                      <w:highlight w:val="none"/>
                    </w:rPr>
                    <w:t>苏政办发</w:t>
                  </w:r>
                  <w:r>
                    <w:rPr>
                      <w:rFonts w:hint="eastAsia"/>
                      <w:color w:val="auto"/>
                      <w:szCs w:val="21"/>
                      <w:highlight w:val="none"/>
                      <w:lang w:eastAsia="zh-CN"/>
                    </w:rPr>
                    <w:t>〔2021〕84号）</w:t>
                  </w:r>
                </w:p>
              </w:tc>
              <w:tc>
                <w:tcPr>
                  <w:tcW w:w="1547" w:type="pct"/>
                  <w:gridSpan w:val="2"/>
                  <w:vAlign w:val="center"/>
                </w:tcPr>
                <w:p w14:paraId="100424D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大力推进源头替代。实施《江苏省重点行业挥发性有机物清洁原料替代工作方案》，全面排查使用高VOCs含量原辅材料的企业，按照“可替尽替、应代尽代”的原则，推进实施源头替代，培育一批源头替代示范型企业。加大工业涂装、包装印刷等行业源头替代力度，在化工行业推广使用低（无）VOCs含量、低反应活性的原辅材料，加快芳香烃、含卤素有机化合物的绿色替代。严格准入要求，禁止建设生产和使用高VOCs含量的溶剂型涂料、油墨、胶黏剂等项目。将符合低挥发性有机化合物含量产品技术要求的企业纳入清洁原料替代正面清单</w:t>
                  </w:r>
                </w:p>
              </w:tc>
              <w:tc>
                <w:tcPr>
                  <w:tcW w:w="1731" w:type="pct"/>
                  <w:vAlign w:val="center"/>
                </w:tcPr>
                <w:p w14:paraId="67B022B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default" w:ascii="Times New Roman" w:hAnsi="Times New Roman" w:cs="Times New Roman"/>
                      <w:color w:val="auto"/>
                      <w:szCs w:val="21"/>
                      <w:highlight w:val="none"/>
                    </w:rPr>
                    <w:t>本项目</w:t>
                  </w:r>
                  <w:r>
                    <w:rPr>
                      <w:rFonts w:hint="default" w:ascii="Times New Roman" w:hAnsi="Times New Roman" w:cs="Times New Roman"/>
                      <w:color w:val="auto"/>
                      <w:szCs w:val="21"/>
                      <w:highlight w:val="none"/>
                      <w:lang w:val="en-US" w:eastAsia="zh-CN"/>
                    </w:rPr>
                    <w:t>水性漆</w:t>
                  </w:r>
                  <w:r>
                    <w:rPr>
                      <w:rFonts w:hint="default" w:ascii="Times New Roman" w:hAnsi="Times New Roman" w:cs="Times New Roman"/>
                      <w:color w:val="auto"/>
                      <w:szCs w:val="21"/>
                      <w:highlight w:val="none"/>
                    </w:rPr>
                    <w:t>的使用符合</w:t>
                  </w:r>
                  <w:r>
                    <w:rPr>
                      <w:rFonts w:hint="default" w:ascii="Times New Roman" w:hAnsi="Times New Roman" w:cs="Times New Roman"/>
                      <w:color w:val="auto"/>
                      <w:kern w:val="0"/>
                      <w:szCs w:val="21"/>
                      <w:highlight w:val="none"/>
                    </w:rPr>
                    <w:t>《低挥发性有机化合物含量涂料产品技术要求》（GB/T38597-2020）</w:t>
                  </w:r>
                  <w:r>
                    <w:rPr>
                      <w:rFonts w:hint="default" w:ascii="Times New Roman" w:hAnsi="Times New Roman" w:eastAsia="宋体" w:cs="Times New Roman"/>
                      <w:color w:val="auto"/>
                      <w:kern w:val="0"/>
                      <w:szCs w:val="21"/>
                      <w:highlight w:val="none"/>
                    </w:rPr>
                    <w:t>，属于低VOCs含量材料。</w:t>
                  </w:r>
                </w:p>
              </w:tc>
              <w:tc>
                <w:tcPr>
                  <w:tcW w:w="266" w:type="pct"/>
                  <w:vAlign w:val="center"/>
                </w:tcPr>
                <w:p w14:paraId="621F6D1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3505A53B">
              <w:trPr>
                <w:trHeight w:val="397" w:hRule="atLeast"/>
                <w:jc w:val="center"/>
              </w:trPr>
              <w:tc>
                <w:tcPr>
                  <w:tcW w:w="265" w:type="pct"/>
                  <w:vMerge w:val="continue"/>
                  <w:vAlign w:val="center"/>
                </w:tcPr>
                <w:p w14:paraId="30FE2D3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035C8A4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5244631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强化危险废物全过程环境监管。制定危险废物利用处置技术规范，探索分级分类管理，完善危险废物全生命周期监控系统，进一步提升监管能力。加强危险废物流向监控，实现全省运输电子运单和转移电子联单对接，严厉打击危险废物非法转移处置倾倒等违法犯罪行为。建立危险废物跨省转移“白名单”制度</w:t>
                  </w:r>
                </w:p>
              </w:tc>
              <w:tc>
                <w:tcPr>
                  <w:tcW w:w="1731" w:type="pct"/>
                  <w:vAlign w:val="center"/>
                </w:tcPr>
                <w:p w14:paraId="0E8B052A">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本项目建成后企业将按规范在“江苏省污染源“一企一档”管理系统”</w:t>
                  </w:r>
                  <w:r>
                    <w:rPr>
                      <w:rFonts w:hint="eastAsia"/>
                      <w:color w:val="auto"/>
                      <w:szCs w:val="21"/>
                      <w:highlight w:val="none"/>
                      <w:lang w:eastAsia="zh-CN"/>
                    </w:rPr>
                    <w:t>（</w:t>
                  </w:r>
                  <w:r>
                    <w:rPr>
                      <w:rFonts w:hint="eastAsia"/>
                      <w:color w:val="auto"/>
                      <w:szCs w:val="21"/>
                      <w:highlight w:val="none"/>
                    </w:rPr>
                    <w:t>环保脸谱系统</w:t>
                  </w:r>
                  <w:r>
                    <w:rPr>
                      <w:rFonts w:hint="eastAsia"/>
                      <w:color w:val="auto"/>
                      <w:szCs w:val="21"/>
                      <w:highlight w:val="none"/>
                      <w:lang w:eastAsia="zh-CN"/>
                    </w:rPr>
                    <w:t>）</w:t>
                  </w:r>
                  <w:r>
                    <w:rPr>
                      <w:rFonts w:hint="eastAsia"/>
                      <w:color w:val="auto"/>
                      <w:szCs w:val="21"/>
                      <w:highlight w:val="none"/>
                    </w:rPr>
                    <w:t>进行危险废物全过程环境监管</w:t>
                  </w:r>
                  <w:r>
                    <w:rPr>
                      <w:rFonts w:hint="eastAsia"/>
                      <w:color w:val="auto"/>
                      <w:szCs w:val="21"/>
                      <w:highlight w:val="none"/>
                      <w:lang w:eastAsia="zh-CN"/>
                    </w:rPr>
                    <w:t>。</w:t>
                  </w:r>
                </w:p>
              </w:tc>
              <w:tc>
                <w:tcPr>
                  <w:tcW w:w="266" w:type="pct"/>
                  <w:vAlign w:val="center"/>
                </w:tcPr>
                <w:p w14:paraId="459E6A3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符合</w:t>
                  </w:r>
                </w:p>
              </w:tc>
            </w:tr>
            <w:tr w14:paraId="10AD2773">
              <w:trPr>
                <w:trHeight w:val="397" w:hRule="atLeast"/>
                <w:jc w:val="center"/>
              </w:trPr>
              <w:tc>
                <w:tcPr>
                  <w:tcW w:w="265" w:type="pct"/>
                  <w:vAlign w:val="center"/>
                </w:tcPr>
                <w:p w14:paraId="2C96038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7</w:t>
                  </w:r>
                </w:p>
              </w:tc>
              <w:tc>
                <w:tcPr>
                  <w:tcW w:w="1188" w:type="pct"/>
                  <w:vAlign w:val="center"/>
                </w:tcPr>
                <w:p w14:paraId="5C9D587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《关于印发江苏省重点行业挥发性有机物污染控制指南的通知》（苏环办〔2014〕128号）</w:t>
                  </w:r>
                </w:p>
              </w:tc>
              <w:tc>
                <w:tcPr>
                  <w:tcW w:w="1547" w:type="pct"/>
                  <w:gridSpan w:val="2"/>
                  <w:vAlign w:val="center"/>
                </w:tcPr>
                <w:p w14:paraId="314A7A5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喷漆废气应先采用干式过滤高效除漆雾、湿式水帘+多级过滤等工艺进行预处理，再采用转轮吸附浓缩+高温焚烧方式处理，小型涂装企业也可采用蜂窝活性炭吸附-催化燃烧、填料塔吸收、活性炭吸附等多种方式净化后达标排放。</w:t>
                  </w:r>
                </w:p>
              </w:tc>
              <w:tc>
                <w:tcPr>
                  <w:tcW w:w="1731" w:type="pct"/>
                  <w:vAlign w:val="center"/>
                </w:tcPr>
                <w:p w14:paraId="69952516">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项目</w:t>
                  </w:r>
                  <w:r>
                    <w:rPr>
                      <w:rFonts w:hint="eastAsia" w:hAnsi="宋体"/>
                      <w:color w:val="auto"/>
                      <w:sz w:val="21"/>
                      <w:szCs w:val="21"/>
                      <w:highlight w:val="none"/>
                      <w:lang w:val="en-US" w:eastAsia="zh-CN"/>
                    </w:rPr>
                    <w:t>喷漆、烘干和固化</w:t>
                  </w:r>
                  <w:r>
                    <w:rPr>
                      <w:rFonts w:hAnsi="宋体"/>
                      <w:color w:val="auto"/>
                      <w:sz w:val="21"/>
                      <w:szCs w:val="21"/>
                      <w:highlight w:val="none"/>
                    </w:rPr>
                    <w:t>废气</w:t>
                  </w:r>
                  <w:r>
                    <w:rPr>
                      <w:rFonts w:hint="eastAsia" w:hAnsi="宋体"/>
                      <w:color w:val="auto"/>
                      <w:sz w:val="21"/>
                      <w:szCs w:val="21"/>
                      <w:highlight w:val="none"/>
                      <w:lang w:val="en-US" w:eastAsia="zh-CN"/>
                    </w:rPr>
                    <w:t>经</w:t>
                  </w:r>
                  <w:r>
                    <w:rPr>
                      <w:rFonts w:hint="default" w:ascii="Times New Roman" w:hAnsi="Times New Roman" w:cs="Times New Roman" w:eastAsiaTheme="minorEastAsia"/>
                      <w:color w:val="auto"/>
                      <w:sz w:val="21"/>
                      <w:szCs w:val="21"/>
                      <w:highlight w:val="none"/>
                    </w:rPr>
                    <w:t>密闭车间负压</w:t>
                  </w:r>
                  <w:r>
                    <w:rPr>
                      <w:rFonts w:hint="default" w:ascii="Times New Roman" w:hAnsi="Times New Roman" w:cs="Times New Roman"/>
                      <w:bCs/>
                      <w:color w:val="auto"/>
                      <w:sz w:val="21"/>
                      <w:szCs w:val="21"/>
                      <w:highlight w:val="none"/>
                    </w:rPr>
                    <w:t>收集</w:t>
                  </w:r>
                  <w:r>
                    <w:rPr>
                      <w:rFonts w:hAnsi="宋体"/>
                      <w:color w:val="auto"/>
                      <w:sz w:val="21"/>
                      <w:szCs w:val="21"/>
                      <w:highlight w:val="none"/>
                    </w:rPr>
                    <w:t>+</w:t>
                  </w:r>
                  <w:r>
                    <w:rPr>
                      <w:rFonts w:hint="eastAsia" w:hAnsi="宋体"/>
                      <w:color w:val="auto"/>
                      <w:sz w:val="21"/>
                      <w:szCs w:val="21"/>
                      <w:highlight w:val="none"/>
                      <w:lang w:val="en-US" w:eastAsia="zh-CN"/>
                    </w:rPr>
                    <w:t>干式</w:t>
                  </w:r>
                  <w:r>
                    <w:rPr>
                      <w:rFonts w:hint="eastAsia" w:hAnsi="宋体"/>
                      <w:color w:val="auto"/>
                      <w:sz w:val="21"/>
                      <w:szCs w:val="21"/>
                      <w:highlight w:val="none"/>
                    </w:rPr>
                    <w:t>过滤+</w:t>
                  </w:r>
                  <w:r>
                    <w:rPr>
                      <w:rFonts w:hAnsi="宋体"/>
                      <w:color w:val="auto"/>
                      <w:sz w:val="21"/>
                      <w:szCs w:val="21"/>
                      <w:highlight w:val="none"/>
                    </w:rPr>
                    <w:t>二级活性炭吸附装置处理后通过15m排气筒</w:t>
                  </w:r>
                  <w:r>
                    <w:rPr>
                      <w:rFonts w:hint="eastAsia" w:hAnsi="宋体"/>
                      <w:color w:val="auto"/>
                      <w:sz w:val="21"/>
                      <w:szCs w:val="21"/>
                      <w:highlight w:val="none"/>
                    </w:rPr>
                    <w:t>DA00</w:t>
                  </w:r>
                  <w:r>
                    <w:rPr>
                      <w:rFonts w:hint="eastAsia" w:hAnsi="宋体"/>
                      <w:color w:val="auto"/>
                      <w:sz w:val="21"/>
                      <w:szCs w:val="21"/>
                      <w:highlight w:val="none"/>
                      <w:lang w:val="en-US" w:eastAsia="zh-CN"/>
                    </w:rPr>
                    <w:t>1</w:t>
                  </w:r>
                  <w:r>
                    <w:rPr>
                      <w:rFonts w:hAnsi="宋体"/>
                      <w:color w:val="auto"/>
                      <w:sz w:val="21"/>
                      <w:szCs w:val="21"/>
                      <w:highlight w:val="none"/>
                    </w:rPr>
                    <w:t>排放</w:t>
                  </w:r>
                  <w:r>
                    <w:rPr>
                      <w:color w:val="auto"/>
                      <w:szCs w:val="21"/>
                      <w:highlight w:val="none"/>
                    </w:rPr>
                    <w:t>，可有效减少NMHC的无组织排放</w:t>
                  </w:r>
                  <w:r>
                    <w:rPr>
                      <w:rFonts w:hint="eastAsia"/>
                      <w:color w:val="auto"/>
                      <w:szCs w:val="21"/>
                      <w:highlight w:val="none"/>
                      <w:lang w:eastAsia="zh-CN"/>
                    </w:rPr>
                    <w:t>。</w:t>
                  </w:r>
                </w:p>
              </w:tc>
              <w:tc>
                <w:tcPr>
                  <w:tcW w:w="266" w:type="pct"/>
                  <w:vAlign w:val="center"/>
                </w:tcPr>
                <w:p w14:paraId="46C9E3A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bCs/>
                      <w:color w:val="auto"/>
                      <w:szCs w:val="21"/>
                      <w:highlight w:val="none"/>
                    </w:rPr>
                    <w:t>符合</w:t>
                  </w:r>
                </w:p>
              </w:tc>
            </w:tr>
            <w:tr w14:paraId="1720B7C7">
              <w:trPr>
                <w:trHeight w:val="397" w:hRule="atLeast"/>
                <w:jc w:val="center"/>
              </w:trPr>
              <w:tc>
                <w:tcPr>
                  <w:tcW w:w="265" w:type="pct"/>
                  <w:vMerge w:val="restart"/>
                  <w:vAlign w:val="center"/>
                </w:tcPr>
                <w:p w14:paraId="0E78E85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8</w:t>
                  </w:r>
                </w:p>
              </w:tc>
              <w:tc>
                <w:tcPr>
                  <w:tcW w:w="1188" w:type="pct"/>
                  <w:vMerge w:val="restart"/>
                  <w:vAlign w:val="center"/>
                </w:tcPr>
                <w:p w14:paraId="16EB230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《重点行业挥发性有机物综合治理方案》（环大气</w:t>
                  </w:r>
                  <w:r>
                    <w:rPr>
                      <w:rFonts w:hint="eastAsia"/>
                      <w:color w:val="auto"/>
                      <w:szCs w:val="21"/>
                      <w:highlight w:val="none"/>
                      <w:lang w:eastAsia="zh-CN"/>
                    </w:rPr>
                    <w:t>〔2019〕53号</w:t>
                  </w:r>
                  <w:r>
                    <w:rPr>
                      <w:color w:val="auto"/>
                      <w:szCs w:val="21"/>
                      <w:highlight w:val="none"/>
                    </w:rPr>
                    <w:t>）</w:t>
                  </w:r>
                </w:p>
              </w:tc>
              <w:tc>
                <w:tcPr>
                  <w:tcW w:w="1547" w:type="pct"/>
                  <w:gridSpan w:val="2"/>
                  <w:vAlign w:val="center"/>
                </w:tcPr>
                <w:p w14:paraId="61A181FE">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ascii="宋体" w:hAnsi="宋体" w:eastAsia="宋体" w:cs="宋体"/>
                      <w:color w:val="auto"/>
                      <w:szCs w:val="21"/>
                      <w:highlight w:val="none"/>
                      <w:shd w:val="clear" w:color="auto" w:fill="FFFFFF"/>
                    </w:rPr>
                    <w:t>加强</w:t>
                  </w:r>
                  <w:r>
                    <w:rPr>
                      <w:rFonts w:eastAsia="宋体"/>
                      <w:color w:val="auto"/>
                      <w:szCs w:val="21"/>
                      <w:highlight w:val="none"/>
                      <w:shd w:val="clear" w:color="auto" w:fill="FFFFFF"/>
                    </w:rPr>
                    <w:t>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w:t>
                  </w:r>
                  <w:r>
                    <w:rPr>
                      <w:rFonts w:hint="eastAsia" w:eastAsia="宋体"/>
                      <w:color w:val="auto"/>
                      <w:szCs w:val="21"/>
                      <w:highlight w:val="none"/>
                      <w:shd w:val="clear" w:color="auto" w:fill="FFFFFF"/>
                      <w:lang w:eastAsia="zh-CN"/>
                    </w:rPr>
                    <w:t>程中</w:t>
                  </w:r>
                  <w:r>
                    <w:rPr>
                      <w:rFonts w:eastAsia="宋体"/>
                      <w:color w:val="auto"/>
                      <w:szCs w:val="21"/>
                      <w:highlight w:val="none"/>
                      <w:shd w:val="clear" w:color="auto" w:fill="FFFFFF"/>
                    </w:rPr>
                    <w:t>，应采取有效收集措施或在密闭空间中操作。</w:t>
                  </w:r>
                </w:p>
              </w:tc>
              <w:tc>
                <w:tcPr>
                  <w:tcW w:w="1731" w:type="pct"/>
                  <w:vAlign w:val="center"/>
                </w:tcPr>
                <w:p w14:paraId="6484F952">
                  <w:pPr>
                    <w:keepNext w:val="0"/>
                    <w:keepLines w:val="0"/>
                    <w:suppressLineNumbers w:val="0"/>
                    <w:adjustRightInd w:val="0"/>
                    <w:snapToGrid w:val="0"/>
                    <w:spacing w:before="0" w:beforeAutospacing="0" w:after="0" w:afterAutospacing="0"/>
                    <w:ind w:left="0" w:right="0"/>
                    <w:jc w:val="center"/>
                    <w:textAlignment w:val="baseline"/>
                    <w:rPr>
                      <w:rFonts w:hint="eastAsia" w:eastAsia="宋体"/>
                      <w:color w:val="auto"/>
                      <w:szCs w:val="21"/>
                      <w:highlight w:val="none"/>
                      <w:lang w:eastAsia="zh-CN"/>
                    </w:rPr>
                  </w:pPr>
                  <w:r>
                    <w:rPr>
                      <w:rFonts w:hint="eastAsia"/>
                      <w:color w:val="auto"/>
                      <w:szCs w:val="21"/>
                      <w:highlight w:val="none"/>
                    </w:rPr>
                    <w:t>项目涉及</w:t>
                  </w:r>
                  <w:r>
                    <w:rPr>
                      <w:rFonts w:eastAsia="宋体"/>
                      <w:color w:val="auto"/>
                      <w:szCs w:val="21"/>
                      <w:highlight w:val="none"/>
                      <w:shd w:val="clear" w:color="auto" w:fill="FFFFFF"/>
                    </w:rPr>
                    <w:t>VOCs物料</w:t>
                  </w:r>
                  <w:r>
                    <w:rPr>
                      <w:rFonts w:hint="eastAsia" w:eastAsia="宋体"/>
                      <w:color w:val="auto"/>
                      <w:szCs w:val="21"/>
                      <w:highlight w:val="none"/>
                      <w:shd w:val="clear" w:color="auto" w:fill="FFFFFF"/>
                    </w:rPr>
                    <w:t>主要为</w:t>
                  </w:r>
                  <w:r>
                    <w:rPr>
                      <w:rFonts w:hint="eastAsia" w:hAnsi="宋体"/>
                      <w:color w:val="auto"/>
                      <w:sz w:val="21"/>
                      <w:szCs w:val="21"/>
                      <w:highlight w:val="none"/>
                      <w:lang w:val="en-US" w:eastAsia="zh-CN"/>
                    </w:rPr>
                    <w:t>水性漆，</w:t>
                  </w:r>
                  <w:r>
                    <w:rPr>
                      <w:rFonts w:hint="eastAsia"/>
                      <w:color w:val="auto"/>
                      <w:szCs w:val="21"/>
                      <w:highlight w:val="none"/>
                    </w:rPr>
                    <w:t>未启用前均</w:t>
                  </w:r>
                  <w:r>
                    <w:rPr>
                      <w:rFonts w:eastAsia="宋体"/>
                      <w:color w:val="auto"/>
                      <w:szCs w:val="21"/>
                      <w:highlight w:val="none"/>
                      <w:shd w:val="clear" w:color="auto" w:fill="FFFFFF"/>
                    </w:rPr>
                    <w:t>储存于密闭容器</w:t>
                  </w:r>
                  <w:r>
                    <w:rPr>
                      <w:rFonts w:hint="eastAsia" w:eastAsia="宋体"/>
                      <w:color w:val="auto"/>
                      <w:szCs w:val="21"/>
                      <w:highlight w:val="none"/>
                      <w:shd w:val="clear" w:color="auto" w:fill="FFFFFF"/>
                    </w:rPr>
                    <w:t>，转移和输送均密闭输送，生产、使用过程均在集气罩下操作</w:t>
                  </w:r>
                  <w:r>
                    <w:rPr>
                      <w:rFonts w:hint="eastAsia" w:eastAsia="宋体"/>
                      <w:color w:val="auto"/>
                      <w:szCs w:val="21"/>
                      <w:highlight w:val="none"/>
                      <w:shd w:val="clear" w:color="auto" w:fill="FFFFFF"/>
                      <w:lang w:eastAsia="zh-CN"/>
                    </w:rPr>
                    <w:t>。</w:t>
                  </w:r>
                </w:p>
              </w:tc>
              <w:tc>
                <w:tcPr>
                  <w:tcW w:w="266" w:type="pct"/>
                  <w:vAlign w:val="center"/>
                </w:tcPr>
                <w:p w14:paraId="76A0559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符合</w:t>
                  </w:r>
                </w:p>
              </w:tc>
            </w:tr>
            <w:tr w14:paraId="1C8621E0">
              <w:trPr>
                <w:trHeight w:val="397" w:hRule="atLeast"/>
                <w:jc w:val="center"/>
              </w:trPr>
              <w:tc>
                <w:tcPr>
                  <w:tcW w:w="265" w:type="pct"/>
                  <w:vMerge w:val="continue"/>
                  <w:vAlign w:val="center"/>
                </w:tcPr>
                <w:p w14:paraId="65AFC2C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p>
              </w:tc>
              <w:tc>
                <w:tcPr>
                  <w:tcW w:w="1188" w:type="pct"/>
                  <w:vMerge w:val="continue"/>
                  <w:vAlign w:val="center"/>
                </w:tcPr>
                <w:p w14:paraId="523659E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547" w:type="pct"/>
                  <w:gridSpan w:val="2"/>
                  <w:vAlign w:val="center"/>
                </w:tcPr>
                <w:p w14:paraId="6659A1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731" w:type="pct"/>
                  <w:vAlign w:val="center"/>
                </w:tcPr>
                <w:p w14:paraId="3D594489">
                  <w:pPr>
                    <w:keepNext w:val="0"/>
                    <w:keepLines w:val="0"/>
                    <w:suppressLineNumbers w:val="0"/>
                    <w:adjustRightInd w:val="0"/>
                    <w:snapToGrid w:val="0"/>
                    <w:spacing w:before="0" w:beforeAutospacing="0" w:after="0" w:afterAutospacing="0"/>
                    <w:ind w:left="0" w:right="0"/>
                    <w:jc w:val="center"/>
                    <w:textAlignment w:val="baseline"/>
                    <w:rPr>
                      <w:rFonts w:hint="eastAsia" w:eastAsiaTheme="minorEastAsia"/>
                      <w:color w:val="auto"/>
                      <w:szCs w:val="21"/>
                      <w:highlight w:val="none"/>
                      <w:lang w:eastAsia="zh-CN"/>
                    </w:rPr>
                  </w:pPr>
                  <w:r>
                    <w:rPr>
                      <w:color w:val="auto"/>
                      <w:szCs w:val="21"/>
                      <w:highlight w:val="none"/>
                    </w:rPr>
                    <w:t>项目</w:t>
                  </w:r>
                  <w:r>
                    <w:rPr>
                      <w:rFonts w:hint="eastAsia" w:hAnsi="宋体"/>
                      <w:color w:val="auto"/>
                      <w:sz w:val="21"/>
                      <w:szCs w:val="21"/>
                      <w:highlight w:val="none"/>
                      <w:lang w:val="en-US" w:eastAsia="zh-CN"/>
                    </w:rPr>
                    <w:t>喷漆、烘干和固化</w:t>
                  </w:r>
                  <w:r>
                    <w:rPr>
                      <w:rFonts w:hAnsi="宋体"/>
                      <w:color w:val="auto"/>
                      <w:sz w:val="21"/>
                      <w:szCs w:val="21"/>
                      <w:highlight w:val="none"/>
                    </w:rPr>
                    <w:t>废气</w:t>
                  </w:r>
                  <w:r>
                    <w:rPr>
                      <w:rFonts w:hint="eastAsia" w:hAnsi="宋体"/>
                      <w:color w:val="auto"/>
                      <w:sz w:val="21"/>
                      <w:szCs w:val="21"/>
                      <w:highlight w:val="none"/>
                      <w:lang w:val="en-US" w:eastAsia="zh-CN"/>
                    </w:rPr>
                    <w:t>经</w:t>
                  </w:r>
                  <w:r>
                    <w:rPr>
                      <w:rFonts w:hint="default" w:ascii="Times New Roman" w:hAnsi="Times New Roman" w:cs="Times New Roman" w:eastAsiaTheme="minorEastAsia"/>
                      <w:color w:val="auto"/>
                      <w:sz w:val="21"/>
                      <w:szCs w:val="21"/>
                      <w:highlight w:val="none"/>
                    </w:rPr>
                    <w:t>密闭车间负压</w:t>
                  </w:r>
                  <w:r>
                    <w:rPr>
                      <w:rFonts w:hint="default" w:ascii="Times New Roman" w:hAnsi="Times New Roman" w:cs="Times New Roman"/>
                      <w:bCs/>
                      <w:color w:val="auto"/>
                      <w:sz w:val="21"/>
                      <w:szCs w:val="21"/>
                      <w:highlight w:val="none"/>
                    </w:rPr>
                    <w:t>收集</w:t>
                  </w:r>
                  <w:r>
                    <w:rPr>
                      <w:rFonts w:hAnsi="宋体"/>
                      <w:color w:val="auto"/>
                      <w:sz w:val="21"/>
                      <w:szCs w:val="21"/>
                      <w:highlight w:val="none"/>
                    </w:rPr>
                    <w:t>+</w:t>
                  </w:r>
                  <w:r>
                    <w:rPr>
                      <w:rFonts w:hint="eastAsia" w:hAnsi="宋体"/>
                      <w:color w:val="auto"/>
                      <w:sz w:val="21"/>
                      <w:szCs w:val="21"/>
                      <w:highlight w:val="none"/>
                      <w:lang w:val="en-US" w:eastAsia="zh-CN"/>
                    </w:rPr>
                    <w:t>干式</w:t>
                  </w:r>
                  <w:r>
                    <w:rPr>
                      <w:rFonts w:hint="eastAsia" w:hAnsi="宋体"/>
                      <w:color w:val="auto"/>
                      <w:sz w:val="21"/>
                      <w:szCs w:val="21"/>
                      <w:highlight w:val="none"/>
                    </w:rPr>
                    <w:t>过滤+</w:t>
                  </w:r>
                  <w:r>
                    <w:rPr>
                      <w:rFonts w:hAnsi="宋体"/>
                      <w:color w:val="auto"/>
                      <w:sz w:val="21"/>
                      <w:szCs w:val="21"/>
                      <w:highlight w:val="none"/>
                    </w:rPr>
                    <w:t>二级活性炭吸附装置处理后通过15m排气筒</w:t>
                  </w:r>
                  <w:r>
                    <w:rPr>
                      <w:rFonts w:hint="eastAsia" w:hAnsi="宋体"/>
                      <w:color w:val="auto"/>
                      <w:sz w:val="21"/>
                      <w:szCs w:val="21"/>
                      <w:highlight w:val="none"/>
                    </w:rPr>
                    <w:t>DA00</w:t>
                  </w:r>
                  <w:r>
                    <w:rPr>
                      <w:rFonts w:hint="eastAsia" w:hAnsi="宋体"/>
                      <w:color w:val="auto"/>
                      <w:sz w:val="21"/>
                      <w:szCs w:val="21"/>
                      <w:highlight w:val="none"/>
                      <w:lang w:val="en-US" w:eastAsia="zh-CN"/>
                    </w:rPr>
                    <w:t>1</w:t>
                  </w:r>
                  <w:r>
                    <w:rPr>
                      <w:rFonts w:hAnsi="宋体"/>
                      <w:color w:val="auto"/>
                      <w:sz w:val="21"/>
                      <w:szCs w:val="21"/>
                      <w:highlight w:val="none"/>
                    </w:rPr>
                    <w:t>排放</w:t>
                  </w:r>
                  <w:r>
                    <w:rPr>
                      <w:color w:val="auto"/>
                      <w:szCs w:val="21"/>
                      <w:highlight w:val="none"/>
                    </w:rPr>
                    <w:t>，项目根据相关规范合理设置通风量，局部集气罩控制风速不低于0.3米/秒</w:t>
                  </w:r>
                  <w:r>
                    <w:rPr>
                      <w:rFonts w:hint="eastAsia"/>
                      <w:color w:val="auto"/>
                      <w:szCs w:val="21"/>
                      <w:highlight w:val="none"/>
                      <w:lang w:eastAsia="zh-CN"/>
                    </w:rPr>
                    <w:t>。</w:t>
                  </w:r>
                </w:p>
              </w:tc>
              <w:tc>
                <w:tcPr>
                  <w:tcW w:w="266" w:type="pct"/>
                  <w:vAlign w:val="center"/>
                </w:tcPr>
                <w:p w14:paraId="30BB275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符合</w:t>
                  </w:r>
                </w:p>
              </w:tc>
            </w:tr>
            <w:tr w14:paraId="64091CF3">
              <w:trPr>
                <w:trHeight w:val="397" w:hRule="atLeast"/>
                <w:jc w:val="center"/>
              </w:trPr>
              <w:tc>
                <w:tcPr>
                  <w:tcW w:w="265" w:type="pct"/>
                  <w:vAlign w:val="center"/>
                </w:tcPr>
                <w:p w14:paraId="05F7AB6B">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9</w:t>
                  </w:r>
                </w:p>
              </w:tc>
              <w:tc>
                <w:tcPr>
                  <w:tcW w:w="1188" w:type="pct"/>
                  <w:vAlign w:val="center"/>
                </w:tcPr>
                <w:p w14:paraId="33C9B15D">
                  <w:pPr>
                    <w:keepNext w:val="0"/>
                    <w:keepLines w:val="0"/>
                    <w:suppressLineNumbers w:val="0"/>
                    <w:adjustRightInd w:val="0"/>
                    <w:snapToGrid w:val="0"/>
                    <w:spacing w:before="0" w:beforeAutospacing="0" w:after="0" w:afterAutospacing="0"/>
                    <w:ind w:left="0" w:right="0"/>
                    <w:jc w:val="center"/>
                    <w:rPr>
                      <w:color w:val="auto"/>
                      <w:spacing w:val="-2"/>
                      <w:szCs w:val="21"/>
                      <w:highlight w:val="none"/>
                    </w:rPr>
                  </w:pPr>
                  <w:r>
                    <w:rPr>
                      <w:color w:val="auto"/>
                      <w:spacing w:val="-2"/>
                      <w:szCs w:val="21"/>
                      <w:highlight w:val="none"/>
                    </w:rPr>
                    <w:t>《2020年挥发性有机物治理攻坚方案》的通知（环大气〔2020〕33号）</w:t>
                  </w:r>
                </w:p>
              </w:tc>
              <w:tc>
                <w:tcPr>
                  <w:tcW w:w="1547" w:type="pct"/>
                  <w:gridSpan w:val="2"/>
                  <w:vAlign w:val="center"/>
                </w:tcPr>
                <w:p w14:paraId="42715A47">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（1）大力推进源头替代，有效减少VOCs产生。要求家具、印刷等政府定点招标采购企业优先使用低挥发性原辅材料，鼓励汽车维修等政府定点招标采购企业使用低挥发性原辅材料。</w:t>
                  </w:r>
                </w:p>
                <w:p w14:paraId="6A5B2456">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（2）全面落实标准要求，强化无组织排放控制。2020年7月1日起，全面执行《挥发性有机物无组织排放控制标准》，重点区域应落实无组织排放特别控制要求。</w:t>
                  </w:r>
                </w:p>
                <w:p w14:paraId="26EE3351">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（3）按照“应收尽收”的原则提升废气收集率。将无组织排放转变为有组织排放进行控制，优先采用密闭设备、在密闭空间中操作或采用全密闭集气罩收集方式。</w:t>
                  </w:r>
                </w:p>
              </w:tc>
              <w:tc>
                <w:tcPr>
                  <w:tcW w:w="1731" w:type="pct"/>
                  <w:vAlign w:val="center"/>
                </w:tcPr>
                <w:p w14:paraId="751EA506">
                  <w:pPr>
                    <w:pStyle w:val="3895"/>
                    <w:keepNext w:val="0"/>
                    <w:keepLines w:val="0"/>
                    <w:suppressLineNumbers w:val="0"/>
                    <w:spacing w:before="0" w:beforeAutospacing="0" w:after="0" w:afterAutospacing="0" w:line="240" w:lineRule="auto"/>
                    <w:ind w:left="0" w:leftChars="0" w:right="0" w:firstLine="0" w:firstLineChars="0"/>
                    <w:rPr>
                      <w:rFonts w:hint="eastAsia" w:hAnsi="宋体" w:eastAsia="宋体"/>
                      <w:color w:val="auto"/>
                      <w:szCs w:val="21"/>
                      <w:highlight w:val="none"/>
                      <w:lang w:eastAsia="zh-CN"/>
                    </w:rPr>
                  </w:pPr>
                  <w:r>
                    <w:rPr>
                      <w:rFonts w:hint="eastAsia"/>
                      <w:color w:val="auto"/>
                      <w:szCs w:val="21"/>
                      <w:highlight w:val="none"/>
                    </w:rPr>
                    <w:t>项</w:t>
                  </w:r>
                  <w:r>
                    <w:rPr>
                      <w:rFonts w:ascii="Times New Roman" w:hAnsi="Times New Roman" w:eastAsia="宋体" w:cs="Times New Roman"/>
                      <w:color w:val="auto"/>
                      <w:sz w:val="21"/>
                      <w:szCs w:val="21"/>
                      <w:highlight w:val="none"/>
                    </w:rPr>
                    <w:t>目</w:t>
                  </w:r>
                  <w:r>
                    <w:rPr>
                      <w:rFonts w:hint="eastAsia" w:hAnsi="宋体"/>
                      <w:color w:val="auto"/>
                      <w:sz w:val="21"/>
                      <w:szCs w:val="21"/>
                      <w:highlight w:val="none"/>
                      <w:lang w:val="en-US" w:eastAsia="zh-CN"/>
                    </w:rPr>
                    <w:t>喷漆、烘干和固化</w:t>
                  </w:r>
                  <w:r>
                    <w:rPr>
                      <w:rFonts w:hAnsi="宋体"/>
                      <w:color w:val="auto"/>
                      <w:sz w:val="21"/>
                      <w:szCs w:val="21"/>
                      <w:highlight w:val="none"/>
                    </w:rPr>
                    <w:t>废气</w:t>
                  </w:r>
                  <w:r>
                    <w:rPr>
                      <w:rFonts w:hint="eastAsia" w:hAnsi="宋体"/>
                      <w:color w:val="auto"/>
                      <w:sz w:val="21"/>
                      <w:szCs w:val="21"/>
                      <w:highlight w:val="none"/>
                      <w:lang w:val="en-US" w:eastAsia="zh-CN"/>
                    </w:rPr>
                    <w:t>经</w:t>
                  </w:r>
                  <w:r>
                    <w:rPr>
                      <w:rFonts w:hint="default" w:ascii="Times New Roman" w:hAnsi="Times New Roman" w:cs="Times New Roman" w:eastAsiaTheme="minorEastAsia"/>
                      <w:color w:val="auto"/>
                      <w:sz w:val="21"/>
                      <w:szCs w:val="21"/>
                      <w:highlight w:val="none"/>
                    </w:rPr>
                    <w:t>密闭车间负压</w:t>
                  </w:r>
                  <w:r>
                    <w:rPr>
                      <w:rFonts w:hint="default" w:ascii="Times New Roman" w:hAnsi="Times New Roman" w:cs="Times New Roman"/>
                      <w:bCs/>
                      <w:color w:val="auto"/>
                      <w:sz w:val="21"/>
                      <w:szCs w:val="21"/>
                      <w:highlight w:val="none"/>
                    </w:rPr>
                    <w:t>收集</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干式</w:t>
                  </w:r>
                  <w:r>
                    <w:rPr>
                      <w:rFonts w:hint="default" w:ascii="Times New Roman" w:hAnsi="Times New Roman" w:cs="Times New Roman"/>
                      <w:color w:val="auto"/>
                      <w:sz w:val="21"/>
                      <w:szCs w:val="21"/>
                      <w:highlight w:val="none"/>
                    </w:rPr>
                    <w:t>过滤+二级活性炭吸附装置处理后通过15m排气筒DA00</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排</w:t>
                  </w:r>
                  <w:r>
                    <w:rPr>
                      <w:rFonts w:hAnsi="宋体"/>
                      <w:color w:val="auto"/>
                      <w:sz w:val="21"/>
                      <w:szCs w:val="21"/>
                      <w:highlight w:val="none"/>
                    </w:rPr>
                    <w:t>放</w:t>
                  </w:r>
                  <w:r>
                    <w:rPr>
                      <w:rFonts w:ascii="Times New Roman" w:hAnsi="Times New Roman" w:eastAsia="宋体" w:cs="Times New Roman"/>
                      <w:color w:val="auto"/>
                      <w:sz w:val="21"/>
                      <w:szCs w:val="21"/>
                      <w:highlight w:val="none"/>
                    </w:rPr>
                    <w:t>，</w:t>
                  </w:r>
                  <w:r>
                    <w:rPr>
                      <w:rFonts w:hint="eastAsia" w:ascii="宋体" w:hAnsi="宋体"/>
                      <w:color w:val="auto"/>
                      <w:sz w:val="21"/>
                      <w:szCs w:val="21"/>
                      <w:highlight w:val="none"/>
                    </w:rPr>
                    <w:t>喷漆、</w:t>
                  </w:r>
                  <w:r>
                    <w:rPr>
                      <w:rFonts w:hint="eastAsia" w:ascii="宋体" w:hAnsi="宋体"/>
                      <w:color w:val="auto"/>
                      <w:sz w:val="21"/>
                      <w:szCs w:val="21"/>
                      <w:highlight w:val="none"/>
                      <w:lang w:val="en-US" w:eastAsia="zh-CN"/>
                    </w:rPr>
                    <w:t>烘干</w:t>
                  </w:r>
                  <w:r>
                    <w:rPr>
                      <w:rFonts w:hint="eastAsia" w:ascii="宋体" w:hAnsi="宋体"/>
                      <w:color w:val="auto"/>
                      <w:sz w:val="21"/>
                      <w:szCs w:val="21"/>
                      <w:highlight w:val="none"/>
                    </w:rPr>
                    <w:t>、喷塑、固化工序产生的颗粒物、NMHC执行</w:t>
                  </w: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 w:val="21"/>
                      <w:szCs w:val="21"/>
                      <w:highlight w:val="none"/>
                    </w:rPr>
                    <w:t>表1大气污染物排放限值及《大气污染物综合排放标准》（DB32/4041-2021）表3单位边界大气污染物排放监控浓度限值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厂区内NMHC无组织排放执行</w:t>
                  </w: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厂区内VOCs无组织排放限值</w:t>
                  </w:r>
                  <w:r>
                    <w:rPr>
                      <w:rFonts w:hint="eastAsia" w:ascii="Times New Roman" w:hAnsi="Times New Roman" w:eastAsia="宋体" w:cs="Times New Roman"/>
                      <w:color w:val="auto"/>
                      <w:sz w:val="21"/>
                      <w:szCs w:val="21"/>
                      <w:highlight w:val="none"/>
                      <w:lang w:eastAsia="zh-CN"/>
                    </w:rPr>
                    <w:t>。</w:t>
                  </w:r>
                </w:p>
              </w:tc>
              <w:tc>
                <w:tcPr>
                  <w:tcW w:w="266" w:type="pct"/>
                  <w:vAlign w:val="center"/>
                </w:tcPr>
                <w:p w14:paraId="1E4A2E6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符合</w:t>
                  </w:r>
                </w:p>
              </w:tc>
            </w:tr>
            <w:tr w14:paraId="5F5B8DC9">
              <w:trPr>
                <w:trHeight w:val="397" w:hRule="atLeast"/>
                <w:jc w:val="center"/>
              </w:trPr>
              <w:tc>
                <w:tcPr>
                  <w:tcW w:w="265" w:type="pct"/>
                  <w:vAlign w:val="center"/>
                </w:tcPr>
                <w:p w14:paraId="24779C4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10</w:t>
                  </w:r>
                </w:p>
              </w:tc>
              <w:tc>
                <w:tcPr>
                  <w:tcW w:w="1188" w:type="pct"/>
                  <w:vAlign w:val="center"/>
                </w:tcPr>
                <w:p w14:paraId="2CC122C2">
                  <w:pPr>
                    <w:keepNext w:val="0"/>
                    <w:keepLines w:val="0"/>
                    <w:suppressLineNumbers w:val="0"/>
                    <w:adjustRightInd w:val="0"/>
                    <w:snapToGrid w:val="0"/>
                    <w:spacing w:before="0" w:beforeAutospacing="0" w:after="0" w:afterAutospacing="0"/>
                    <w:ind w:left="0" w:right="0"/>
                    <w:jc w:val="center"/>
                    <w:rPr>
                      <w:color w:val="auto"/>
                      <w:spacing w:val="-2"/>
                      <w:szCs w:val="21"/>
                      <w:highlight w:val="none"/>
                    </w:rPr>
                  </w:pPr>
                  <w:r>
                    <w:rPr>
                      <w:color w:val="auto"/>
                      <w:spacing w:val="-2"/>
                      <w:szCs w:val="21"/>
                      <w:highlight w:val="none"/>
                    </w:rPr>
                    <w:t>《挥发性有机物无组织排放控制标准》（GB37822-2019）</w:t>
                  </w:r>
                </w:p>
              </w:tc>
              <w:tc>
                <w:tcPr>
                  <w:tcW w:w="1547" w:type="pct"/>
                  <w:gridSpan w:val="2"/>
                  <w:vAlign w:val="center"/>
                </w:tcPr>
                <w:p w14:paraId="49D3C365">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731" w:type="pct"/>
                  <w:vAlign w:val="center"/>
                </w:tcPr>
                <w:p w14:paraId="50DB519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本项目收集的废气中NMHC初始排放速率均不大于2kg/h，为了减缓NMHC对外部环境的影响，项目拟配置</w:t>
                  </w:r>
                  <w:r>
                    <w:rPr>
                      <w:color w:val="auto"/>
                      <w:kern w:val="0"/>
                      <w:szCs w:val="21"/>
                      <w:highlight w:val="none"/>
                    </w:rPr>
                    <w:t>二级活性炭吸附</w:t>
                  </w:r>
                  <w:r>
                    <w:rPr>
                      <w:color w:val="auto"/>
                      <w:szCs w:val="21"/>
                      <w:highlight w:val="none"/>
                    </w:rPr>
                    <w:t>处理NMHC，NMHC去除效率不低于80%</w:t>
                  </w:r>
                  <w:r>
                    <w:rPr>
                      <w:rFonts w:hint="eastAsia"/>
                      <w:color w:val="auto"/>
                      <w:szCs w:val="21"/>
                      <w:highlight w:val="none"/>
                    </w:rPr>
                    <w:t>。</w:t>
                  </w:r>
                </w:p>
              </w:tc>
              <w:tc>
                <w:tcPr>
                  <w:tcW w:w="266" w:type="pct"/>
                  <w:vAlign w:val="center"/>
                </w:tcPr>
                <w:p w14:paraId="327D56A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符合</w:t>
                  </w:r>
                </w:p>
              </w:tc>
            </w:tr>
            <w:tr w14:paraId="3DB40824">
              <w:trPr>
                <w:trHeight w:val="397" w:hRule="atLeast"/>
                <w:jc w:val="center"/>
              </w:trPr>
              <w:tc>
                <w:tcPr>
                  <w:tcW w:w="265" w:type="pct"/>
                  <w:vAlign w:val="center"/>
                </w:tcPr>
                <w:p w14:paraId="63DBE59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11</w:t>
                  </w:r>
                </w:p>
              </w:tc>
              <w:tc>
                <w:tcPr>
                  <w:tcW w:w="1188" w:type="pct"/>
                  <w:vAlign w:val="center"/>
                </w:tcPr>
                <w:p w14:paraId="5C84169A">
                  <w:pPr>
                    <w:keepNext w:val="0"/>
                    <w:keepLines w:val="0"/>
                    <w:suppressLineNumbers w:val="0"/>
                    <w:adjustRightInd w:val="0"/>
                    <w:snapToGrid w:val="0"/>
                    <w:spacing w:before="0" w:beforeAutospacing="0" w:after="0" w:afterAutospacing="0"/>
                    <w:ind w:left="0" w:right="0"/>
                    <w:jc w:val="center"/>
                    <w:rPr>
                      <w:color w:val="auto"/>
                      <w:spacing w:val="-2"/>
                      <w:szCs w:val="21"/>
                      <w:highlight w:val="none"/>
                    </w:rPr>
                  </w:pPr>
                  <w:r>
                    <w:rPr>
                      <w:color w:val="auto"/>
                      <w:szCs w:val="21"/>
                      <w:highlight w:val="none"/>
                    </w:rPr>
                    <w:t>《江苏省</w:t>
                  </w:r>
                  <w:r>
                    <w:rPr>
                      <w:color w:val="auto"/>
                      <w:spacing w:val="-2"/>
                      <w:szCs w:val="21"/>
                      <w:highlight w:val="none"/>
                    </w:rPr>
                    <w:t>挥发性有机物</w:t>
                  </w:r>
                  <w:r>
                    <w:rPr>
                      <w:color w:val="auto"/>
                      <w:szCs w:val="21"/>
                      <w:highlight w:val="none"/>
                    </w:rPr>
                    <w:t xml:space="preserve">污染防治管理办法》 </w:t>
                  </w:r>
                  <w:r>
                    <w:rPr>
                      <w:rFonts w:hint="eastAsia"/>
                      <w:color w:val="auto"/>
                      <w:szCs w:val="21"/>
                      <w:highlight w:val="none"/>
                      <w:lang w:eastAsia="zh-CN"/>
                    </w:rPr>
                    <w:t>（</w:t>
                  </w:r>
                  <w:r>
                    <w:rPr>
                      <w:color w:val="auto"/>
                      <w:szCs w:val="21"/>
                      <w:highlight w:val="none"/>
                    </w:rPr>
                    <w:t>省政府令119号）</w:t>
                  </w:r>
                </w:p>
              </w:tc>
              <w:tc>
                <w:tcPr>
                  <w:tcW w:w="1547" w:type="pct"/>
                  <w:gridSpan w:val="2"/>
                  <w:vAlign w:val="center"/>
                </w:tcPr>
                <w:p w14:paraId="60EED0D0">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产生挥发性有机物废气的生产经营活动应当在密闭空间或者密闭设备中进行。生产场所、生产设备应当按照环境保护和安全生产等要求设计、安装和有效运行挥发性有机物回收或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731" w:type="pct"/>
                  <w:vAlign w:val="center"/>
                </w:tcPr>
                <w:p w14:paraId="17B5215E">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项目</w:t>
                  </w:r>
                  <w:r>
                    <w:rPr>
                      <w:rFonts w:hint="eastAsia" w:hAnsi="宋体"/>
                      <w:color w:val="auto"/>
                      <w:sz w:val="21"/>
                      <w:szCs w:val="21"/>
                      <w:highlight w:val="none"/>
                      <w:lang w:val="en-US" w:eastAsia="zh-CN"/>
                    </w:rPr>
                    <w:t>喷漆、烘干和固化</w:t>
                  </w:r>
                  <w:r>
                    <w:rPr>
                      <w:rFonts w:hAnsi="宋体"/>
                      <w:color w:val="auto"/>
                      <w:sz w:val="21"/>
                      <w:szCs w:val="21"/>
                      <w:highlight w:val="none"/>
                    </w:rPr>
                    <w:t>废气</w:t>
                  </w:r>
                  <w:r>
                    <w:rPr>
                      <w:rFonts w:hint="eastAsia" w:hAnsi="宋体"/>
                      <w:color w:val="auto"/>
                      <w:sz w:val="21"/>
                      <w:szCs w:val="21"/>
                      <w:highlight w:val="none"/>
                      <w:lang w:val="en-US" w:eastAsia="zh-CN"/>
                    </w:rPr>
                    <w:t>经</w:t>
                  </w:r>
                  <w:r>
                    <w:rPr>
                      <w:rFonts w:hint="default" w:ascii="Times New Roman" w:hAnsi="Times New Roman" w:cs="Times New Roman" w:eastAsiaTheme="minorEastAsia"/>
                      <w:color w:val="auto"/>
                      <w:sz w:val="21"/>
                      <w:szCs w:val="21"/>
                      <w:highlight w:val="none"/>
                    </w:rPr>
                    <w:t>密闭车间负压</w:t>
                  </w:r>
                  <w:r>
                    <w:rPr>
                      <w:rFonts w:hint="default" w:ascii="Times New Roman" w:hAnsi="Times New Roman" w:cs="Times New Roman"/>
                      <w:bCs/>
                      <w:color w:val="auto"/>
                      <w:sz w:val="21"/>
                      <w:szCs w:val="21"/>
                      <w:highlight w:val="none"/>
                    </w:rPr>
                    <w:t>收集</w:t>
                  </w:r>
                  <w:r>
                    <w:rPr>
                      <w:rFonts w:hAnsi="宋体"/>
                      <w:color w:val="auto"/>
                      <w:sz w:val="21"/>
                      <w:szCs w:val="21"/>
                      <w:highlight w:val="none"/>
                    </w:rPr>
                    <w:t>+</w:t>
                  </w:r>
                  <w:r>
                    <w:rPr>
                      <w:rFonts w:hint="eastAsia" w:hAnsi="宋体"/>
                      <w:color w:val="auto"/>
                      <w:sz w:val="21"/>
                      <w:szCs w:val="21"/>
                      <w:highlight w:val="none"/>
                      <w:lang w:val="en-US" w:eastAsia="zh-CN"/>
                    </w:rPr>
                    <w:t>干式</w:t>
                  </w:r>
                  <w:r>
                    <w:rPr>
                      <w:rFonts w:hint="eastAsia" w:hAnsi="宋体"/>
                      <w:color w:val="auto"/>
                      <w:sz w:val="21"/>
                      <w:szCs w:val="21"/>
                      <w:highlight w:val="none"/>
                    </w:rPr>
                    <w:t>过滤+</w:t>
                  </w:r>
                  <w:r>
                    <w:rPr>
                      <w:rFonts w:hAnsi="宋体"/>
                      <w:color w:val="auto"/>
                      <w:sz w:val="21"/>
                      <w:szCs w:val="21"/>
                      <w:highlight w:val="none"/>
                    </w:rPr>
                    <w:t>二级活性炭吸附装置处理后通过15m排气筒</w:t>
                  </w:r>
                  <w:r>
                    <w:rPr>
                      <w:rFonts w:hint="eastAsia" w:hAnsi="宋体"/>
                      <w:color w:val="auto"/>
                      <w:sz w:val="21"/>
                      <w:szCs w:val="21"/>
                      <w:highlight w:val="none"/>
                    </w:rPr>
                    <w:t>DA00</w:t>
                  </w:r>
                  <w:r>
                    <w:rPr>
                      <w:rFonts w:hint="eastAsia" w:hAnsi="宋体"/>
                      <w:color w:val="auto"/>
                      <w:sz w:val="21"/>
                      <w:szCs w:val="21"/>
                      <w:highlight w:val="none"/>
                      <w:lang w:val="en-US" w:eastAsia="zh-CN"/>
                    </w:rPr>
                    <w:t>1</w:t>
                  </w:r>
                  <w:r>
                    <w:rPr>
                      <w:rFonts w:hAnsi="宋体"/>
                      <w:color w:val="auto"/>
                      <w:sz w:val="21"/>
                      <w:szCs w:val="21"/>
                      <w:highlight w:val="none"/>
                    </w:rPr>
                    <w:t>排放</w:t>
                  </w:r>
                  <w:r>
                    <w:rPr>
                      <w:color w:val="auto"/>
                      <w:sz w:val="21"/>
                      <w:szCs w:val="21"/>
                      <w:highlight w:val="none"/>
                    </w:rPr>
                    <w:t>，可减少NMHC排放量。</w:t>
                  </w:r>
                </w:p>
                <w:p w14:paraId="693C59EB">
                  <w:pPr>
                    <w:pStyle w:val="4"/>
                    <w:suppressLineNumbers w:val="0"/>
                    <w:spacing w:before="0" w:beforeAutospacing="0" w:after="0" w:afterAutospacing="0"/>
                    <w:ind w:right="0"/>
                    <w:rPr>
                      <w:color w:val="auto"/>
                      <w:highlight w:val="none"/>
                    </w:rPr>
                  </w:pPr>
                </w:p>
              </w:tc>
              <w:tc>
                <w:tcPr>
                  <w:tcW w:w="266" w:type="pct"/>
                  <w:vAlign w:val="center"/>
                </w:tcPr>
                <w:p w14:paraId="1D07E1A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符合</w:t>
                  </w:r>
                </w:p>
              </w:tc>
            </w:tr>
          </w:tbl>
          <w:p w14:paraId="6313B33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综上，</w:t>
            </w:r>
            <w:r>
              <w:rPr>
                <w:rFonts w:hint="eastAsia" w:hAnsi="宋体"/>
                <w:color w:val="auto"/>
                <w:sz w:val="24"/>
                <w:highlight w:val="none"/>
                <w:lang w:eastAsia="zh-CN"/>
              </w:rPr>
              <w:t>可以</w:t>
            </w:r>
            <w:r>
              <w:rPr>
                <w:rFonts w:hAnsi="宋体"/>
                <w:color w:val="auto"/>
                <w:sz w:val="24"/>
                <w:highlight w:val="none"/>
              </w:rPr>
              <w:t>认为本项目的建设符合省市相关环保规划文件要求。</w:t>
            </w:r>
          </w:p>
          <w:p w14:paraId="3FDF0F9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51B440C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3545A42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0EFB568D">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1184880F">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35F88AE7">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3C41A3CA">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20963E3D">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1F86B17A">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0F9B6909">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286156AF">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1A5101DA">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563D38B9">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23EC8BCB">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52D8A562">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4EB23702">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6F0A26D1">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3413612A">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1B735EEA">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5217111C">
            <w:pPr>
              <w:keepNext w:val="0"/>
              <w:keepLines w:val="0"/>
              <w:suppressLineNumbers w:val="0"/>
              <w:autoSpaceDE w:val="0"/>
              <w:autoSpaceDN w:val="0"/>
              <w:adjustRightInd w:val="0"/>
              <w:snapToGrid w:val="0"/>
              <w:spacing w:before="0" w:beforeAutospacing="0" w:after="0" w:afterAutospacing="0" w:line="360" w:lineRule="auto"/>
              <w:ind w:left="0" w:right="0"/>
              <w:rPr>
                <w:rFonts w:hAnsi="宋体"/>
                <w:color w:val="auto"/>
                <w:sz w:val="24"/>
                <w:highlight w:val="none"/>
              </w:rPr>
            </w:pPr>
          </w:p>
          <w:p w14:paraId="40410AE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p>
        </w:tc>
      </w:tr>
    </w:tbl>
    <w:p w14:paraId="089F1F58">
      <w:pPr>
        <w:pStyle w:val="81"/>
        <w:rPr>
          <w:snapToGrid w:val="0"/>
          <w:color w:val="auto"/>
          <w:highlight w:val="none"/>
        </w:rPr>
        <w:sectPr>
          <w:footerReference r:id="rId7" w:type="default"/>
          <w:pgSz w:w="11907" w:h="16840"/>
          <w:pgMar w:top="1701" w:right="1531" w:bottom="2127"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73031929">
      <w:pPr>
        <w:pStyle w:val="81"/>
        <w:rPr>
          <w:rFonts w:hAnsi="Times New Roman"/>
          <w:snapToGrid w:val="0"/>
          <w:color w:val="auto"/>
          <w:highlight w:val="none"/>
        </w:rPr>
      </w:pPr>
      <w:bookmarkStart w:id="26" w:name="_Toc25140"/>
      <w:r>
        <w:rPr>
          <w:snapToGrid w:val="0"/>
          <w:color w:val="auto"/>
          <w:highlight w:val="none"/>
        </w:rPr>
        <w:t>二、建设项目工程分析</w:t>
      </w:r>
      <w:bookmarkEnd w:id="26"/>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01790407">
        <w:trPr>
          <w:trHeight w:val="1402" w:hRule="atLeast"/>
          <w:jc w:val="center"/>
        </w:trPr>
        <w:tc>
          <w:tcPr>
            <w:tcW w:w="456" w:type="dxa"/>
            <w:vAlign w:val="center"/>
          </w:tcPr>
          <w:p w14:paraId="369EE05A">
            <w:pPr>
              <w:pStyle w:val="81"/>
              <w:keepNext w:val="0"/>
              <w:keepLines w:val="0"/>
              <w:suppressLineNumbers w:val="0"/>
              <w:ind w:left="0" w:right="0"/>
              <w:rPr>
                <w:rFonts w:hAnsi="Times New Roman"/>
                <w:color w:val="auto"/>
                <w:highlight w:val="none"/>
              </w:rPr>
            </w:pPr>
            <w:bookmarkStart w:id="27" w:name="_Toc8558"/>
            <w:bookmarkStart w:id="28" w:name="_Toc24120"/>
            <w:bookmarkStart w:id="29" w:name="_Toc32360"/>
            <w:r>
              <w:rPr>
                <w:color w:val="auto"/>
                <w:highlight w:val="none"/>
              </w:rPr>
              <w:t>建设内容</w:t>
            </w:r>
            <w:bookmarkEnd w:id="27"/>
            <w:bookmarkEnd w:id="28"/>
            <w:bookmarkEnd w:id="29"/>
          </w:p>
        </w:tc>
        <w:tc>
          <w:tcPr>
            <w:tcW w:w="8604" w:type="dxa"/>
          </w:tcPr>
          <w:p w14:paraId="390EA3C4">
            <w:pPr>
              <w:keepNext w:val="0"/>
              <w:keepLines w:val="0"/>
              <w:suppressLineNumbers w:val="0"/>
              <w:adjustRightInd w:val="0"/>
              <w:snapToGrid w:val="0"/>
              <w:spacing w:before="0" w:beforeAutospacing="0" w:after="0" w:afterAutospacing="0" w:line="360" w:lineRule="auto"/>
              <w:ind w:left="0" w:right="0"/>
              <w:rPr>
                <w:b/>
                <w:color w:val="auto"/>
                <w:sz w:val="24"/>
                <w:highlight w:val="none"/>
              </w:rPr>
            </w:pPr>
            <w:r>
              <w:rPr>
                <w:b/>
                <w:color w:val="auto"/>
                <w:sz w:val="24"/>
                <w:highlight w:val="none"/>
              </w:rPr>
              <w:t>2.1</w:t>
            </w:r>
            <w:r>
              <w:rPr>
                <w:rFonts w:hAnsi="宋体"/>
                <w:b/>
                <w:color w:val="auto"/>
                <w:sz w:val="24"/>
                <w:highlight w:val="none"/>
              </w:rPr>
              <w:t>项目由来</w:t>
            </w:r>
          </w:p>
          <w:p w14:paraId="145E219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bookmarkStart w:id="30" w:name="OLE_LINK14"/>
            <w:bookmarkStart w:id="31" w:name="OLE_LINK15"/>
            <w:r>
              <w:rPr>
                <w:rFonts w:hint="eastAsia" w:hAnsi="宋体"/>
                <w:color w:val="auto"/>
                <w:sz w:val="24"/>
                <w:highlight w:val="none"/>
                <w:lang w:eastAsia="zh-CN"/>
              </w:rPr>
              <w:t>淮安奥凯精密工业有限公司</w:t>
            </w:r>
            <w:r>
              <w:rPr>
                <w:rFonts w:hAnsi="宋体"/>
                <w:color w:val="auto"/>
                <w:sz w:val="24"/>
                <w:highlight w:val="none"/>
              </w:rPr>
              <w:t>位于</w:t>
            </w:r>
            <w:r>
              <w:rPr>
                <w:rFonts w:hint="eastAsia" w:hAnsi="宋体"/>
                <w:color w:val="auto"/>
                <w:sz w:val="24"/>
                <w:highlight w:val="none"/>
                <w:lang w:eastAsia="zh-CN"/>
              </w:rPr>
              <w:t>江苏省淮安市涟水县经济开发区模架产业园北侧、科佳五轴机床东侧</w:t>
            </w:r>
            <w:r>
              <w:rPr>
                <w:rFonts w:hAnsi="宋体"/>
                <w:color w:val="auto"/>
                <w:sz w:val="24"/>
                <w:highlight w:val="none"/>
              </w:rPr>
              <w:t>，投资</w:t>
            </w:r>
            <w:r>
              <w:rPr>
                <w:rFonts w:hint="eastAsia"/>
                <w:color w:val="auto"/>
                <w:sz w:val="24"/>
                <w:highlight w:val="none"/>
                <w:lang w:val="en-US" w:eastAsia="zh-CN"/>
              </w:rPr>
              <w:t>38</w:t>
            </w:r>
            <w:r>
              <w:rPr>
                <w:rFonts w:hint="eastAsia"/>
                <w:color w:val="auto"/>
                <w:sz w:val="24"/>
                <w:highlight w:val="none"/>
              </w:rPr>
              <w:t>000</w:t>
            </w:r>
            <w:r>
              <w:rPr>
                <w:rFonts w:hAnsi="宋体"/>
                <w:color w:val="auto"/>
                <w:sz w:val="24"/>
                <w:highlight w:val="none"/>
              </w:rPr>
              <w:t>万元，建设</w:t>
            </w:r>
            <w:r>
              <w:rPr>
                <w:rFonts w:hint="eastAsia" w:hAnsi="宋体"/>
                <w:color w:val="auto"/>
                <w:sz w:val="24"/>
                <w:highlight w:val="none"/>
                <w:lang w:eastAsia="zh-CN"/>
              </w:rPr>
              <w:t>淮安奥凯精密工业有限公司智能整机设备项目</w:t>
            </w:r>
            <w:r>
              <w:rPr>
                <w:rFonts w:hAnsi="宋体"/>
                <w:color w:val="auto"/>
                <w:sz w:val="24"/>
                <w:highlight w:val="none"/>
              </w:rPr>
              <w:t>，项目建成后形成</w:t>
            </w:r>
            <w:r>
              <w:rPr>
                <w:rFonts w:hint="eastAsia" w:hAnsi="宋体"/>
                <w:color w:val="auto"/>
                <w:sz w:val="24"/>
                <w:highlight w:val="none"/>
              </w:rPr>
              <w:t>年产</w:t>
            </w:r>
            <w:r>
              <w:rPr>
                <w:rFonts w:hint="eastAsia" w:hAnsi="宋体"/>
                <w:color w:val="auto"/>
                <w:sz w:val="24"/>
                <w:szCs w:val="24"/>
                <w:highlight w:val="none"/>
                <w:lang w:val="en-US" w:eastAsia="zh-CN"/>
              </w:rPr>
              <w:t>1000</w:t>
            </w:r>
            <w:r>
              <w:rPr>
                <w:rFonts w:hint="eastAsia" w:hAnsi="宋体"/>
                <w:color w:val="auto"/>
                <w:sz w:val="24"/>
                <w:highlight w:val="none"/>
                <w:lang w:val="en-US" w:eastAsia="zh-CN"/>
              </w:rPr>
              <w:t>台套智能整机设备</w:t>
            </w:r>
            <w:r>
              <w:rPr>
                <w:rFonts w:hint="eastAsia" w:hAnsi="宋体"/>
                <w:color w:val="auto"/>
                <w:sz w:val="24"/>
                <w:highlight w:val="none"/>
              </w:rPr>
              <w:t>的生产规模</w:t>
            </w:r>
            <w:r>
              <w:rPr>
                <w:rFonts w:hAnsi="宋体"/>
                <w:color w:val="auto"/>
                <w:sz w:val="24"/>
                <w:highlight w:val="none"/>
              </w:rPr>
              <w:t>。项目</w:t>
            </w:r>
            <w:r>
              <w:rPr>
                <w:rFonts w:hint="eastAsia" w:hAnsi="宋体"/>
                <w:color w:val="auto"/>
                <w:sz w:val="24"/>
                <w:highlight w:val="none"/>
                <w:lang w:val="en-US" w:eastAsia="zh-CN"/>
              </w:rPr>
              <w:t>已</w:t>
            </w:r>
            <w:r>
              <w:rPr>
                <w:rFonts w:hAnsi="宋体"/>
                <w:color w:val="auto"/>
                <w:sz w:val="24"/>
                <w:highlight w:val="none"/>
              </w:rPr>
              <w:t>于</w:t>
            </w:r>
            <w:r>
              <w:rPr>
                <w:rFonts w:hint="eastAsia" w:hAnsi="宋体"/>
                <w:color w:val="auto"/>
                <w:sz w:val="24"/>
                <w:highlight w:val="none"/>
                <w:lang w:eastAsia="zh-CN"/>
              </w:rPr>
              <w:t>2024年6月25日</w:t>
            </w:r>
            <w:r>
              <w:rPr>
                <w:rFonts w:hint="eastAsia" w:hAnsi="宋体"/>
                <w:color w:val="auto"/>
                <w:sz w:val="24"/>
                <w:highlight w:val="none"/>
              </w:rPr>
              <w:t>取得江苏涟水经济开发区管理委员会</w:t>
            </w:r>
            <w:r>
              <w:rPr>
                <w:rFonts w:hAnsi="宋体"/>
                <w:color w:val="auto"/>
                <w:sz w:val="24"/>
                <w:highlight w:val="none"/>
              </w:rPr>
              <w:t>，项目代码</w:t>
            </w:r>
            <w:r>
              <w:rPr>
                <w:rFonts w:hint="eastAsia"/>
                <w:color w:val="auto"/>
                <w:sz w:val="24"/>
                <w:highlight w:val="none"/>
              </w:rPr>
              <w:t>：2406-320860-89-01-398061</w:t>
            </w:r>
            <w:r>
              <w:rPr>
                <w:rFonts w:hAnsi="宋体"/>
                <w:color w:val="auto"/>
                <w:sz w:val="24"/>
                <w:highlight w:val="none"/>
              </w:rPr>
              <w:t>。</w:t>
            </w:r>
          </w:p>
          <w:bookmarkEnd w:id="30"/>
          <w:bookmarkEnd w:id="31"/>
          <w:p w14:paraId="25F34E9C">
            <w:pPr>
              <w:keepNext w:val="0"/>
              <w:keepLines w:val="0"/>
              <w:widowControl/>
              <w:suppressLineNumbers w:val="0"/>
              <w:spacing w:before="0" w:beforeAutospacing="0" w:after="0" w:afterAutospacing="0" w:line="360" w:lineRule="auto"/>
              <w:ind w:left="0" w:right="0" w:firstLine="480" w:firstLineChars="200"/>
              <w:jc w:val="left"/>
              <w:rPr>
                <w:color w:val="auto"/>
                <w:sz w:val="24"/>
                <w:highlight w:val="none"/>
              </w:rPr>
            </w:pPr>
            <w:r>
              <w:rPr>
                <w:rFonts w:hAnsi="宋体"/>
                <w:color w:val="auto"/>
                <w:sz w:val="24"/>
                <w:highlight w:val="none"/>
              </w:rPr>
              <w:t>本项目为</w:t>
            </w:r>
            <w:r>
              <w:rPr>
                <w:rFonts w:hint="eastAsia" w:hAnsi="宋体"/>
                <w:color w:val="auto"/>
                <w:sz w:val="24"/>
                <w:highlight w:val="none"/>
                <w:lang w:val="en-US" w:eastAsia="zh-CN"/>
              </w:rPr>
              <w:t>智能整机设备</w:t>
            </w:r>
            <w:r>
              <w:rPr>
                <w:rFonts w:hint="eastAsia" w:hAnsi="宋体"/>
                <w:color w:val="auto"/>
                <w:sz w:val="24"/>
                <w:highlight w:val="none"/>
              </w:rPr>
              <w:t>生产项目</w:t>
            </w:r>
            <w:r>
              <w:rPr>
                <w:rFonts w:hAnsi="宋体"/>
                <w:color w:val="auto"/>
                <w:sz w:val="24"/>
                <w:highlight w:val="none"/>
              </w:rPr>
              <w:t>，对照《国民经济行业分类》（</w:t>
            </w:r>
            <w:r>
              <w:rPr>
                <w:color w:val="auto"/>
                <w:sz w:val="24"/>
                <w:highlight w:val="none"/>
              </w:rPr>
              <w:t>GB/T 4754-2017</w:t>
            </w:r>
            <w:r>
              <w:rPr>
                <w:rFonts w:hAnsi="宋体"/>
                <w:color w:val="auto"/>
                <w:sz w:val="24"/>
                <w:highlight w:val="none"/>
              </w:rPr>
              <w:t>）及第</w:t>
            </w:r>
            <w:r>
              <w:rPr>
                <w:color w:val="auto"/>
                <w:sz w:val="24"/>
                <w:highlight w:val="none"/>
              </w:rPr>
              <w:t>1</w:t>
            </w:r>
            <w:r>
              <w:rPr>
                <w:rFonts w:hAnsi="宋体"/>
                <w:color w:val="auto"/>
                <w:sz w:val="24"/>
                <w:highlight w:val="none"/>
              </w:rPr>
              <w:t>号修改单，</w:t>
            </w:r>
            <w:r>
              <w:rPr>
                <w:rFonts w:hint="eastAsia" w:hAnsi="宋体"/>
                <w:color w:val="auto"/>
                <w:sz w:val="24"/>
                <w:highlight w:val="none"/>
                <w:lang w:val="en-US" w:eastAsia="zh-CN"/>
              </w:rPr>
              <w:t>智能整机设备</w:t>
            </w:r>
            <w:r>
              <w:rPr>
                <w:rFonts w:hAnsi="宋体"/>
                <w:color w:val="auto"/>
                <w:sz w:val="24"/>
                <w:highlight w:val="none"/>
              </w:rPr>
              <w:t>属于</w:t>
            </w:r>
            <w:r>
              <w:rPr>
                <w:rFonts w:hint="eastAsia"/>
                <w:color w:val="auto"/>
                <w:sz w:val="24"/>
                <w:highlight w:val="none"/>
              </w:rPr>
              <w:t>“</w:t>
            </w:r>
            <w:r>
              <w:rPr>
                <w:rFonts w:hint="eastAsia" w:hAnsi="宋体"/>
                <w:color w:val="auto"/>
                <w:sz w:val="24"/>
                <w:highlight w:val="none"/>
              </w:rPr>
              <w:t>C3422金属成形机床制造</w:t>
            </w:r>
            <w:r>
              <w:rPr>
                <w:rFonts w:hint="eastAsia"/>
                <w:color w:val="auto"/>
                <w:sz w:val="24"/>
                <w:highlight w:val="none"/>
              </w:rPr>
              <w:t>”</w:t>
            </w:r>
            <w:r>
              <w:rPr>
                <w:rFonts w:hAnsi="宋体"/>
                <w:color w:val="auto"/>
                <w:sz w:val="24"/>
                <w:highlight w:val="none"/>
              </w:rPr>
              <w:t>，对照《建设项目环境影响评价分类管理名录（</w:t>
            </w:r>
            <w:r>
              <w:rPr>
                <w:color w:val="auto"/>
                <w:sz w:val="24"/>
                <w:highlight w:val="none"/>
              </w:rPr>
              <w:t>2021</w:t>
            </w:r>
            <w:r>
              <w:rPr>
                <w:rFonts w:hAnsi="宋体"/>
                <w:color w:val="auto"/>
                <w:sz w:val="24"/>
                <w:highlight w:val="none"/>
              </w:rPr>
              <w:t>年版）》，根据下表对项目环评类别进行判定。</w:t>
            </w:r>
          </w:p>
          <w:p w14:paraId="46B477A5">
            <w:pPr>
              <w:keepNext w:val="0"/>
              <w:keepLines w:val="0"/>
              <w:suppressLineNumbers w:val="0"/>
              <w:adjustRightInd w:val="0"/>
              <w:snapToGrid w:val="0"/>
              <w:spacing w:before="0" w:beforeAutospacing="0" w:after="0" w:afterAutospacing="0"/>
              <w:ind w:left="0" w:right="0" w:firstLine="482" w:firstLineChars="200"/>
              <w:jc w:val="center"/>
              <w:rPr>
                <w:b/>
                <w:color w:val="auto"/>
                <w:sz w:val="24"/>
                <w:highlight w:val="none"/>
              </w:rPr>
            </w:pPr>
            <w:r>
              <w:rPr>
                <w:rFonts w:hAnsi="宋体"/>
                <w:b/>
                <w:color w:val="auto"/>
                <w:sz w:val="24"/>
                <w:highlight w:val="none"/>
              </w:rPr>
              <w:t>表</w:t>
            </w:r>
            <w:r>
              <w:rPr>
                <w:b/>
                <w:color w:val="auto"/>
                <w:sz w:val="24"/>
                <w:highlight w:val="none"/>
              </w:rPr>
              <w:t xml:space="preserve">2-1  </w:t>
            </w:r>
            <w:r>
              <w:rPr>
                <w:rFonts w:hAnsi="宋体"/>
                <w:b/>
                <w:color w:val="auto"/>
                <w:sz w:val="24"/>
                <w:highlight w:val="none"/>
              </w:rPr>
              <w:t>本项目环境影响类别判别表</w:t>
            </w:r>
          </w:p>
          <w:tbl>
            <w:tblPr>
              <w:tblStyle w:val="89"/>
              <w:tblW w:w="4992"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8"/>
              <w:gridCol w:w="1190"/>
              <w:gridCol w:w="1619"/>
              <w:gridCol w:w="1865"/>
              <w:gridCol w:w="1406"/>
              <w:gridCol w:w="1037"/>
            </w:tblGrid>
            <w:tr w14:paraId="6EC5607F">
              <w:trPr>
                <w:trHeight w:val="398" w:hRule="atLeast"/>
              </w:trPr>
              <w:tc>
                <w:tcPr>
                  <w:tcW w:w="751" w:type="pct"/>
                  <w:vMerge w:val="restart"/>
                  <w:vAlign w:val="center"/>
                </w:tcPr>
                <w:p w14:paraId="43A5EFC5">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对应国民经济行业类别</w:t>
                  </w:r>
                </w:p>
              </w:tc>
              <w:tc>
                <w:tcPr>
                  <w:tcW w:w="710" w:type="pct"/>
                  <w:vMerge w:val="restart"/>
                  <w:vAlign w:val="center"/>
                </w:tcPr>
                <w:p w14:paraId="1B83005D">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建设项目行业类别</w:t>
                  </w:r>
                </w:p>
              </w:tc>
              <w:tc>
                <w:tcPr>
                  <w:tcW w:w="2918" w:type="pct"/>
                  <w:gridSpan w:val="3"/>
                  <w:vAlign w:val="center"/>
                </w:tcPr>
                <w:p w14:paraId="60F8EED3">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环评类别</w:t>
                  </w:r>
                </w:p>
              </w:tc>
              <w:tc>
                <w:tcPr>
                  <w:tcW w:w="619" w:type="pct"/>
                  <w:vMerge w:val="restart"/>
                  <w:vAlign w:val="center"/>
                </w:tcPr>
                <w:p w14:paraId="3D21BF1D">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报告类别</w:t>
                  </w:r>
                </w:p>
              </w:tc>
            </w:tr>
            <w:tr w14:paraId="5C9246EA">
              <w:trPr>
                <w:trHeight w:val="419" w:hRule="atLeast"/>
              </w:trPr>
              <w:tc>
                <w:tcPr>
                  <w:tcW w:w="751" w:type="pct"/>
                  <w:vMerge w:val="continue"/>
                  <w:vAlign w:val="center"/>
                </w:tcPr>
                <w:p w14:paraId="07CF6558">
                  <w:pPr>
                    <w:keepNext w:val="0"/>
                    <w:keepLines w:val="0"/>
                    <w:suppressLineNumbers w:val="0"/>
                    <w:adjustRightInd w:val="0"/>
                    <w:snapToGrid w:val="0"/>
                    <w:spacing w:before="0" w:beforeAutospacing="0" w:after="0" w:afterAutospacing="0"/>
                    <w:ind w:left="0" w:right="0"/>
                    <w:jc w:val="center"/>
                    <w:rPr>
                      <w:b/>
                      <w:color w:val="auto"/>
                      <w:szCs w:val="21"/>
                      <w:highlight w:val="none"/>
                    </w:rPr>
                  </w:pPr>
                </w:p>
              </w:tc>
              <w:tc>
                <w:tcPr>
                  <w:tcW w:w="710" w:type="pct"/>
                  <w:vMerge w:val="continue"/>
                  <w:vAlign w:val="center"/>
                </w:tcPr>
                <w:p w14:paraId="416E7864">
                  <w:pPr>
                    <w:keepNext w:val="0"/>
                    <w:keepLines w:val="0"/>
                    <w:suppressLineNumbers w:val="0"/>
                    <w:adjustRightInd w:val="0"/>
                    <w:snapToGrid w:val="0"/>
                    <w:spacing w:before="0" w:beforeAutospacing="0" w:after="0" w:afterAutospacing="0"/>
                    <w:ind w:left="0" w:right="0"/>
                    <w:jc w:val="center"/>
                    <w:rPr>
                      <w:b/>
                      <w:color w:val="auto"/>
                      <w:szCs w:val="21"/>
                      <w:highlight w:val="none"/>
                    </w:rPr>
                  </w:pPr>
                </w:p>
              </w:tc>
              <w:tc>
                <w:tcPr>
                  <w:tcW w:w="966" w:type="pct"/>
                  <w:vAlign w:val="center"/>
                </w:tcPr>
                <w:p w14:paraId="7EDF5DAF">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报告书</w:t>
                  </w:r>
                </w:p>
              </w:tc>
              <w:tc>
                <w:tcPr>
                  <w:tcW w:w="1113" w:type="pct"/>
                  <w:vAlign w:val="center"/>
                </w:tcPr>
                <w:p w14:paraId="5E29C97D">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报告表</w:t>
                  </w:r>
                </w:p>
              </w:tc>
              <w:tc>
                <w:tcPr>
                  <w:tcW w:w="838" w:type="pct"/>
                  <w:vAlign w:val="center"/>
                </w:tcPr>
                <w:p w14:paraId="67B9C66C">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登记表</w:t>
                  </w:r>
                </w:p>
              </w:tc>
              <w:tc>
                <w:tcPr>
                  <w:tcW w:w="619" w:type="pct"/>
                  <w:vMerge w:val="continue"/>
                  <w:vAlign w:val="center"/>
                </w:tcPr>
                <w:p w14:paraId="36698B30">
                  <w:pPr>
                    <w:keepNext w:val="0"/>
                    <w:keepLines w:val="0"/>
                    <w:suppressLineNumbers w:val="0"/>
                    <w:adjustRightInd w:val="0"/>
                    <w:snapToGrid w:val="0"/>
                    <w:spacing w:before="0" w:beforeAutospacing="0" w:after="0" w:afterAutospacing="0"/>
                    <w:ind w:left="0" w:right="0"/>
                    <w:jc w:val="center"/>
                    <w:rPr>
                      <w:b/>
                      <w:color w:val="auto"/>
                      <w:szCs w:val="21"/>
                      <w:highlight w:val="none"/>
                    </w:rPr>
                  </w:pPr>
                </w:p>
              </w:tc>
            </w:tr>
            <w:tr w14:paraId="0BDD3292">
              <w:trPr>
                <w:trHeight w:val="1544" w:hRule="atLeast"/>
              </w:trPr>
              <w:tc>
                <w:tcPr>
                  <w:tcW w:w="751" w:type="pct"/>
                  <w:vAlign w:val="center"/>
                </w:tcPr>
                <w:p w14:paraId="0DE272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C3422金属成形机床制造</w:t>
                  </w:r>
                </w:p>
              </w:tc>
              <w:tc>
                <w:tcPr>
                  <w:tcW w:w="710" w:type="pct"/>
                  <w:vAlign w:val="center"/>
                </w:tcPr>
                <w:p w14:paraId="4CA26F7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金属加工机械制造 342</w:t>
                  </w:r>
                </w:p>
              </w:tc>
              <w:tc>
                <w:tcPr>
                  <w:tcW w:w="966" w:type="pct"/>
                  <w:vAlign w:val="center"/>
                </w:tcPr>
                <w:p w14:paraId="7D968E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有电镀工艺的；年用溶剂型涂料（含稀释剂）10吨及以上的</w:t>
                  </w:r>
                </w:p>
              </w:tc>
              <w:tc>
                <w:tcPr>
                  <w:tcW w:w="1113" w:type="pct"/>
                  <w:vAlign w:val="center"/>
                </w:tcPr>
                <w:p w14:paraId="77324439">
                  <w:pPr>
                    <w:keepNext w:val="0"/>
                    <w:keepLines w:val="0"/>
                    <w:widowControl/>
                    <w:suppressLineNumbers w:val="0"/>
                    <w:spacing w:before="0" w:beforeAutospacing="0" w:after="0" w:afterAutospacing="0"/>
                    <w:ind w:left="0" w:right="0"/>
                    <w:jc w:val="center"/>
                    <w:rPr>
                      <w:rFonts w:asci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其他（仅分割、焊接、组装的除外；年用非溶剂型低VOCs含量涂料10吨以下的除外）</w:t>
                  </w:r>
                </w:p>
              </w:tc>
              <w:tc>
                <w:tcPr>
                  <w:tcW w:w="838" w:type="pct"/>
                  <w:vAlign w:val="center"/>
                </w:tcPr>
                <w:p w14:paraId="6C98D1B0">
                  <w:pPr>
                    <w:keepNext w:val="0"/>
                    <w:keepLines w:val="0"/>
                    <w:suppressLineNumbers w:val="0"/>
                    <w:adjustRightInd w:val="0"/>
                    <w:snapToGrid w:val="0"/>
                    <w:spacing w:before="0" w:beforeAutospacing="0" w:after="0" w:afterAutospacing="0"/>
                    <w:ind w:left="0" w:right="0"/>
                    <w:jc w:val="center"/>
                    <w:rPr>
                      <w:color w:val="auto"/>
                      <w:sz w:val="21"/>
                      <w:szCs w:val="21"/>
                      <w:highlight w:val="none"/>
                    </w:rPr>
                  </w:pPr>
                  <w:r>
                    <w:rPr>
                      <w:rFonts w:hint="eastAsia"/>
                      <w:color w:val="auto"/>
                      <w:sz w:val="21"/>
                      <w:szCs w:val="21"/>
                      <w:highlight w:val="none"/>
                    </w:rPr>
                    <w:t>/</w:t>
                  </w:r>
                </w:p>
              </w:tc>
              <w:tc>
                <w:tcPr>
                  <w:tcW w:w="619" w:type="pct"/>
                  <w:vAlign w:val="center"/>
                </w:tcPr>
                <w:p w14:paraId="2C5CBD33">
                  <w:pPr>
                    <w:keepNext w:val="0"/>
                    <w:keepLines w:val="0"/>
                    <w:suppressLineNumbers w:val="0"/>
                    <w:adjustRightInd w:val="0"/>
                    <w:snapToGrid w:val="0"/>
                    <w:spacing w:before="0" w:beforeAutospacing="0" w:after="0" w:afterAutospacing="0"/>
                    <w:ind w:left="0" w:right="0"/>
                    <w:jc w:val="center"/>
                    <w:rPr>
                      <w:rFonts w:hAnsi="宋体"/>
                      <w:color w:val="auto"/>
                      <w:sz w:val="21"/>
                      <w:szCs w:val="21"/>
                      <w:highlight w:val="none"/>
                    </w:rPr>
                  </w:pPr>
                  <w:r>
                    <w:rPr>
                      <w:rFonts w:hAnsi="宋体"/>
                      <w:color w:val="auto"/>
                      <w:sz w:val="21"/>
                      <w:szCs w:val="21"/>
                      <w:highlight w:val="none"/>
                    </w:rPr>
                    <w:t>环境影响报告表</w:t>
                  </w:r>
                </w:p>
              </w:tc>
            </w:tr>
          </w:tbl>
          <w:p w14:paraId="3C37563F">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int="eastAsia" w:hAnsi="宋体"/>
                <w:color w:val="auto"/>
                <w:sz w:val="24"/>
                <w:highlight w:val="none"/>
              </w:rPr>
              <w:t>本项目主要产品为</w:t>
            </w:r>
            <w:r>
              <w:rPr>
                <w:rFonts w:hint="eastAsia" w:hAnsi="宋体"/>
                <w:color w:val="auto"/>
                <w:sz w:val="24"/>
                <w:highlight w:val="none"/>
                <w:lang w:val="en-US" w:eastAsia="zh-CN"/>
              </w:rPr>
              <w:t>智能整机设备</w:t>
            </w:r>
            <w:r>
              <w:rPr>
                <w:rFonts w:hint="eastAsia" w:hAnsi="宋体"/>
                <w:color w:val="auto"/>
                <w:sz w:val="24"/>
                <w:highlight w:val="none"/>
              </w:rPr>
              <w:t>，</w:t>
            </w:r>
            <w:r>
              <w:rPr>
                <w:rFonts w:hint="eastAsia" w:hAnsi="宋体"/>
                <w:color w:val="auto"/>
                <w:sz w:val="24"/>
                <w:highlight w:val="none"/>
                <w:lang w:val="en-US" w:eastAsia="zh-CN"/>
              </w:rPr>
              <w:t>涉及喷漆和喷塑工艺，其中水性漆用量为10吨/年</w:t>
            </w:r>
            <w:r>
              <w:rPr>
                <w:rFonts w:hint="eastAsia" w:hAnsi="宋体"/>
                <w:color w:val="auto"/>
                <w:sz w:val="24"/>
                <w:highlight w:val="none"/>
              </w:rPr>
              <w:t>，</w:t>
            </w:r>
            <w:r>
              <w:rPr>
                <w:rFonts w:hint="eastAsia" w:hAnsi="宋体"/>
                <w:color w:val="auto"/>
                <w:sz w:val="24"/>
                <w:highlight w:val="none"/>
                <w:lang w:val="en-US" w:eastAsia="zh-CN"/>
              </w:rPr>
              <w:t>塑粉用量为5吨/年，</w:t>
            </w:r>
            <w:r>
              <w:rPr>
                <w:rFonts w:hint="eastAsia" w:hAnsi="宋体"/>
                <w:color w:val="auto"/>
                <w:sz w:val="24"/>
                <w:highlight w:val="none"/>
              </w:rPr>
              <w:t>因此，应</w:t>
            </w:r>
            <w:r>
              <w:rPr>
                <w:rFonts w:hAnsi="宋体"/>
                <w:color w:val="auto"/>
                <w:sz w:val="24"/>
                <w:highlight w:val="none"/>
              </w:rPr>
              <w:t>编制报告表。</w:t>
            </w:r>
          </w:p>
          <w:p w14:paraId="374AE3C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根据《中华人民共和国环境保护法》（</w:t>
            </w:r>
            <w:r>
              <w:rPr>
                <w:color w:val="auto"/>
                <w:sz w:val="24"/>
                <w:highlight w:val="none"/>
              </w:rPr>
              <w:t>2014</w:t>
            </w:r>
            <w:r>
              <w:rPr>
                <w:rFonts w:hAnsi="宋体"/>
                <w:color w:val="auto"/>
                <w:sz w:val="24"/>
                <w:highlight w:val="none"/>
              </w:rPr>
              <w:t>修订）、《中华人民共和国环境影响评价法》（</w:t>
            </w:r>
            <w:r>
              <w:rPr>
                <w:color w:val="auto"/>
                <w:sz w:val="24"/>
                <w:highlight w:val="none"/>
              </w:rPr>
              <w:t>2018</w:t>
            </w:r>
            <w:r>
              <w:rPr>
                <w:rFonts w:hAnsi="宋体"/>
                <w:color w:val="auto"/>
                <w:sz w:val="24"/>
                <w:highlight w:val="none"/>
              </w:rPr>
              <w:t>年修正），凡实施对环境有影响的建设项目都必须执行环境影响评价制度。为此</w:t>
            </w:r>
            <w:r>
              <w:rPr>
                <w:rFonts w:hint="eastAsia" w:hAnsi="宋体"/>
                <w:color w:val="auto"/>
                <w:sz w:val="24"/>
                <w:highlight w:val="none"/>
                <w:lang w:eastAsia="zh-CN"/>
              </w:rPr>
              <w:t>淮安奥凯精密工业有限公司</w:t>
            </w:r>
            <w:r>
              <w:rPr>
                <w:rFonts w:hAnsi="宋体"/>
                <w:color w:val="auto"/>
                <w:sz w:val="24"/>
                <w:highlight w:val="none"/>
              </w:rPr>
              <w:t>根据有关环保法律法规要求，特委托我公司就该项目进行环境影响评价工作。我单位在接受委托后，随即组织人员到项目建设场地及其周围进行了实地勘查与调研，收集了有关的工程资料，结合该企业提供资料和项目的建设特点，依据有关环评技术规范，编制了本报告表。</w:t>
            </w:r>
          </w:p>
          <w:p w14:paraId="4D4DCCCA">
            <w:pPr>
              <w:keepNext w:val="0"/>
              <w:keepLines w:val="0"/>
              <w:suppressLineNumbers w:val="0"/>
              <w:adjustRightInd w:val="0"/>
              <w:snapToGrid w:val="0"/>
              <w:spacing w:before="0" w:beforeAutospacing="0" w:after="0" w:afterAutospacing="0" w:line="360" w:lineRule="auto"/>
              <w:ind w:left="0" w:right="0"/>
              <w:rPr>
                <w:rFonts w:hAnsi="宋体"/>
                <w:b/>
                <w:color w:val="auto"/>
                <w:kern w:val="0"/>
                <w:sz w:val="24"/>
                <w:highlight w:val="none"/>
                <w:lang w:val="zh-CN"/>
              </w:rPr>
            </w:pPr>
            <w:r>
              <w:rPr>
                <w:b/>
                <w:color w:val="auto"/>
                <w:kern w:val="0"/>
                <w:sz w:val="24"/>
                <w:highlight w:val="none"/>
                <w:lang w:val="zh-CN"/>
              </w:rPr>
              <w:t>2.2</w:t>
            </w:r>
            <w:r>
              <w:rPr>
                <w:rFonts w:hAnsi="宋体"/>
                <w:b/>
                <w:color w:val="auto"/>
                <w:kern w:val="0"/>
                <w:sz w:val="24"/>
                <w:highlight w:val="none"/>
                <w:lang w:val="zh-CN"/>
              </w:rPr>
              <w:t>建设内容</w:t>
            </w:r>
          </w:p>
          <w:p w14:paraId="30342404">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1.</w:t>
            </w:r>
            <w:r>
              <w:rPr>
                <w:rFonts w:hAnsi="宋体"/>
                <w:b/>
                <w:color w:val="auto"/>
                <w:kern w:val="0"/>
                <w:sz w:val="24"/>
                <w:highlight w:val="none"/>
                <w:lang w:val="zh-CN"/>
              </w:rPr>
              <w:t>项目产品方案</w:t>
            </w:r>
          </w:p>
          <w:p w14:paraId="6B252D0B">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本项目产品方案及生产规模见表</w:t>
            </w:r>
            <w:r>
              <w:rPr>
                <w:color w:val="auto"/>
                <w:kern w:val="0"/>
                <w:sz w:val="24"/>
                <w:highlight w:val="none"/>
              </w:rPr>
              <w:t>2-2</w:t>
            </w:r>
            <w:r>
              <w:rPr>
                <w:rFonts w:hAnsi="宋体"/>
                <w:color w:val="auto"/>
                <w:kern w:val="0"/>
                <w:sz w:val="24"/>
                <w:highlight w:val="none"/>
              </w:rPr>
              <w:t>。</w:t>
            </w:r>
          </w:p>
          <w:p w14:paraId="72D9B5C6">
            <w:pPr>
              <w:keepNext w:val="0"/>
              <w:keepLines w:val="0"/>
              <w:suppressLineNumbers w:val="0"/>
              <w:wordWrap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 xml:space="preserve">2-2  </w:t>
            </w:r>
            <w:r>
              <w:rPr>
                <w:rFonts w:hAnsi="宋体"/>
                <w:b/>
                <w:color w:val="auto"/>
                <w:sz w:val="24"/>
                <w:highlight w:val="none"/>
              </w:rPr>
              <w:t>本项目产品方案表</w:t>
            </w:r>
            <w:r>
              <w:rPr>
                <w:rFonts w:hint="eastAsia" w:hAnsi="宋体"/>
                <w:b/>
                <w:color w:val="auto"/>
                <w:sz w:val="24"/>
                <w:highlight w:val="none"/>
              </w:rPr>
              <w:t xml:space="preserve"> </w:t>
            </w:r>
            <w:r>
              <w:rPr>
                <w:rFonts w:hint="eastAsia" w:hAnsi="宋体"/>
                <w:b/>
                <w:color w:val="auto"/>
                <w:sz w:val="24"/>
                <w:highlight w:val="none"/>
                <w:lang w:val="en-US" w:eastAsia="zh-CN"/>
              </w:rPr>
              <w:t xml:space="preserve"> </w:t>
            </w:r>
            <w:r>
              <w:rPr>
                <w:rFonts w:hAnsi="宋体"/>
                <w:color w:val="auto"/>
                <w:szCs w:val="21"/>
                <w:highlight w:val="none"/>
              </w:rPr>
              <w:t>单位：</w:t>
            </w:r>
            <w:r>
              <w:rPr>
                <w:rFonts w:hint="eastAsia" w:hAnsi="宋体"/>
                <w:color w:val="auto"/>
                <w:szCs w:val="21"/>
                <w:highlight w:val="none"/>
                <w:lang w:val="en-US" w:eastAsia="zh-CN"/>
              </w:rPr>
              <w:t>台</w:t>
            </w:r>
            <w:r>
              <w:rPr>
                <w:color w:val="auto"/>
                <w:szCs w:val="21"/>
                <w:highlight w:val="none"/>
              </w:rPr>
              <w:t>/</w:t>
            </w:r>
            <w:r>
              <w:rPr>
                <w:rFonts w:hAnsi="宋体"/>
                <w:color w:val="auto"/>
                <w:szCs w:val="21"/>
                <w:highlight w:val="none"/>
              </w:rPr>
              <w:t>年</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2013"/>
              <w:gridCol w:w="1323"/>
              <w:gridCol w:w="1291"/>
              <w:gridCol w:w="1540"/>
            </w:tblGrid>
            <w:tr w14:paraId="6ECFF55C">
              <w:trPr>
                <w:cantSplit/>
                <w:trHeight w:val="340" w:hRule="atLeast"/>
                <w:jc w:val="center"/>
              </w:trPr>
              <w:tc>
                <w:tcPr>
                  <w:tcW w:w="1323" w:type="pct"/>
                  <w:vAlign w:val="center"/>
                </w:tcPr>
                <w:p w14:paraId="67BCFA3C">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工程名称（车间、生产装置或生产线）</w:t>
                  </w:r>
                </w:p>
              </w:tc>
              <w:tc>
                <w:tcPr>
                  <w:tcW w:w="1199" w:type="pct"/>
                  <w:vAlign w:val="center"/>
                </w:tcPr>
                <w:p w14:paraId="62A63CA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产品名称</w:t>
                  </w:r>
                </w:p>
              </w:tc>
              <w:tc>
                <w:tcPr>
                  <w:tcW w:w="788" w:type="pct"/>
                  <w:vAlign w:val="center"/>
                </w:tcPr>
                <w:p w14:paraId="285DA7D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规格</w:t>
                  </w:r>
                </w:p>
              </w:tc>
              <w:tc>
                <w:tcPr>
                  <w:tcW w:w="769" w:type="pct"/>
                  <w:vAlign w:val="center"/>
                </w:tcPr>
                <w:p w14:paraId="7D141BF4">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设计能力</w:t>
                  </w:r>
                </w:p>
              </w:tc>
              <w:tc>
                <w:tcPr>
                  <w:tcW w:w="917" w:type="pct"/>
                  <w:vAlign w:val="center"/>
                </w:tcPr>
                <w:p w14:paraId="2735C54C">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年运行时数</w:t>
                  </w:r>
                  <w:r>
                    <w:rPr>
                      <w:b/>
                      <w:color w:val="auto"/>
                      <w:szCs w:val="21"/>
                      <w:highlight w:val="none"/>
                    </w:rPr>
                    <w:t>h</w:t>
                  </w:r>
                </w:p>
              </w:tc>
            </w:tr>
            <w:tr w14:paraId="78B1E204">
              <w:trPr>
                <w:cantSplit/>
                <w:trHeight w:val="340" w:hRule="atLeast"/>
                <w:jc w:val="center"/>
              </w:trPr>
              <w:tc>
                <w:tcPr>
                  <w:tcW w:w="1323" w:type="pct"/>
                  <w:vMerge w:val="restart"/>
                  <w:vAlign w:val="center"/>
                </w:tcPr>
                <w:p w14:paraId="1679CE65">
                  <w:pPr>
                    <w:keepNext w:val="0"/>
                    <w:keepLines w:val="0"/>
                    <w:suppressLineNumbers w:val="0"/>
                    <w:spacing w:before="0" w:beforeAutospacing="0" w:after="0" w:afterAutospacing="0" w:line="280" w:lineRule="exact"/>
                    <w:ind w:left="0" w:right="0"/>
                    <w:jc w:val="center"/>
                    <w:rPr>
                      <w:color w:val="auto"/>
                      <w:szCs w:val="21"/>
                      <w:highlight w:val="none"/>
                    </w:rPr>
                  </w:pPr>
                  <w:r>
                    <w:rPr>
                      <w:rFonts w:hint="eastAsia" w:ascii="宋体" w:hAnsi="宋体"/>
                      <w:color w:val="auto"/>
                      <w:szCs w:val="21"/>
                      <w:highlight w:val="none"/>
                      <w:lang w:val="en-US" w:eastAsia="zh-CN"/>
                    </w:rPr>
                    <w:t>智能设备</w:t>
                  </w:r>
                  <w:r>
                    <w:rPr>
                      <w:rFonts w:hAnsi="宋体"/>
                      <w:color w:val="auto"/>
                      <w:highlight w:val="none"/>
                    </w:rPr>
                    <w:t>生产线</w:t>
                  </w:r>
                </w:p>
              </w:tc>
              <w:tc>
                <w:tcPr>
                  <w:tcW w:w="1199" w:type="pct"/>
                  <w:shd w:val="clear" w:color="auto" w:fill="auto"/>
                  <w:vAlign w:val="center"/>
                </w:tcPr>
                <w:p w14:paraId="51DE81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788" w:type="pct"/>
                  <w:shd w:val="clear" w:color="auto" w:fill="auto"/>
                  <w:vAlign w:val="center"/>
                </w:tcPr>
                <w:p w14:paraId="4C6E3FE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850</w:t>
                  </w:r>
                </w:p>
              </w:tc>
              <w:tc>
                <w:tcPr>
                  <w:tcW w:w="769" w:type="pct"/>
                  <w:shd w:val="clear" w:color="auto" w:fill="auto"/>
                  <w:vAlign w:val="center"/>
                </w:tcPr>
                <w:p w14:paraId="71B024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w:t>
                  </w:r>
                </w:p>
              </w:tc>
              <w:tc>
                <w:tcPr>
                  <w:tcW w:w="917" w:type="pct"/>
                  <w:vMerge w:val="restart"/>
                  <w:vAlign w:val="center"/>
                </w:tcPr>
                <w:p w14:paraId="5CACD552">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24</w:t>
                  </w:r>
                  <w:r>
                    <w:rPr>
                      <w:color w:val="auto"/>
                      <w:szCs w:val="21"/>
                      <w:highlight w:val="none"/>
                    </w:rPr>
                    <w:t>00</w:t>
                  </w:r>
                </w:p>
              </w:tc>
            </w:tr>
            <w:tr w14:paraId="0BC7F614">
              <w:trPr>
                <w:cantSplit/>
                <w:trHeight w:val="340" w:hRule="atLeast"/>
                <w:jc w:val="center"/>
              </w:trPr>
              <w:tc>
                <w:tcPr>
                  <w:tcW w:w="1323" w:type="pct"/>
                  <w:vMerge w:val="continue"/>
                </w:tcPr>
                <w:p w14:paraId="3149BE63">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027117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788" w:type="pct"/>
                  <w:shd w:val="clear" w:color="auto" w:fill="auto"/>
                  <w:vAlign w:val="center"/>
                </w:tcPr>
                <w:p w14:paraId="76FF07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1160</w:t>
                  </w:r>
                </w:p>
              </w:tc>
              <w:tc>
                <w:tcPr>
                  <w:tcW w:w="769" w:type="pct"/>
                  <w:shd w:val="clear" w:color="auto" w:fill="auto"/>
                  <w:vAlign w:val="center"/>
                </w:tcPr>
                <w:p w14:paraId="11AA3D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00</w:t>
                  </w:r>
                </w:p>
              </w:tc>
              <w:tc>
                <w:tcPr>
                  <w:tcW w:w="917" w:type="pct"/>
                  <w:vMerge w:val="continue"/>
                </w:tcPr>
                <w:p w14:paraId="1AEF7605">
                  <w:pPr>
                    <w:keepNext w:val="0"/>
                    <w:keepLines w:val="0"/>
                    <w:suppressLineNumbers w:val="0"/>
                    <w:spacing w:before="0" w:beforeAutospacing="0" w:after="0" w:afterAutospacing="0"/>
                    <w:ind w:left="0" w:right="0"/>
                    <w:jc w:val="center"/>
                    <w:rPr>
                      <w:color w:val="auto"/>
                      <w:szCs w:val="21"/>
                      <w:highlight w:val="none"/>
                    </w:rPr>
                  </w:pPr>
                </w:p>
              </w:tc>
            </w:tr>
            <w:tr w14:paraId="5621CDAF">
              <w:trPr>
                <w:cantSplit/>
                <w:trHeight w:val="340" w:hRule="atLeast"/>
                <w:jc w:val="center"/>
              </w:trPr>
              <w:tc>
                <w:tcPr>
                  <w:tcW w:w="1323" w:type="pct"/>
                  <w:vMerge w:val="continue"/>
                </w:tcPr>
                <w:p w14:paraId="36BC92A9">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002A6E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立式钻攻中心</w:t>
                  </w:r>
                </w:p>
              </w:tc>
              <w:tc>
                <w:tcPr>
                  <w:tcW w:w="788" w:type="pct"/>
                  <w:shd w:val="clear" w:color="auto" w:fill="auto"/>
                  <w:vAlign w:val="center"/>
                </w:tcPr>
                <w:p w14:paraId="359A80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T6</w:t>
                  </w:r>
                </w:p>
              </w:tc>
              <w:tc>
                <w:tcPr>
                  <w:tcW w:w="769" w:type="pct"/>
                  <w:shd w:val="clear" w:color="auto" w:fill="auto"/>
                  <w:vAlign w:val="center"/>
                </w:tcPr>
                <w:p w14:paraId="7E5C41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00</w:t>
                  </w:r>
                </w:p>
              </w:tc>
              <w:tc>
                <w:tcPr>
                  <w:tcW w:w="917" w:type="pct"/>
                  <w:vMerge w:val="continue"/>
                </w:tcPr>
                <w:p w14:paraId="19B0AB7C">
                  <w:pPr>
                    <w:keepNext w:val="0"/>
                    <w:keepLines w:val="0"/>
                    <w:suppressLineNumbers w:val="0"/>
                    <w:spacing w:before="0" w:beforeAutospacing="0" w:after="0" w:afterAutospacing="0"/>
                    <w:ind w:left="0" w:right="0"/>
                    <w:jc w:val="center"/>
                    <w:rPr>
                      <w:color w:val="auto"/>
                      <w:szCs w:val="21"/>
                      <w:highlight w:val="none"/>
                    </w:rPr>
                  </w:pPr>
                </w:p>
              </w:tc>
            </w:tr>
            <w:tr w14:paraId="245710A4">
              <w:trPr>
                <w:cantSplit/>
                <w:trHeight w:val="340" w:hRule="atLeast"/>
                <w:jc w:val="center"/>
              </w:trPr>
              <w:tc>
                <w:tcPr>
                  <w:tcW w:w="1323" w:type="pct"/>
                  <w:vMerge w:val="continue"/>
                </w:tcPr>
                <w:p w14:paraId="4830AB0B">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71622F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立式钻攻中心</w:t>
                  </w:r>
                </w:p>
              </w:tc>
              <w:tc>
                <w:tcPr>
                  <w:tcW w:w="788" w:type="pct"/>
                  <w:shd w:val="clear" w:color="auto" w:fill="auto"/>
                  <w:vAlign w:val="center"/>
                </w:tcPr>
                <w:p w14:paraId="4CB692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T7</w:t>
                  </w:r>
                </w:p>
              </w:tc>
              <w:tc>
                <w:tcPr>
                  <w:tcW w:w="769" w:type="pct"/>
                  <w:shd w:val="clear" w:color="auto" w:fill="auto"/>
                  <w:vAlign w:val="center"/>
                </w:tcPr>
                <w:p w14:paraId="077124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00</w:t>
                  </w:r>
                </w:p>
              </w:tc>
              <w:tc>
                <w:tcPr>
                  <w:tcW w:w="917" w:type="pct"/>
                  <w:vMerge w:val="continue"/>
                </w:tcPr>
                <w:p w14:paraId="7E07FDBF">
                  <w:pPr>
                    <w:keepNext w:val="0"/>
                    <w:keepLines w:val="0"/>
                    <w:suppressLineNumbers w:val="0"/>
                    <w:spacing w:before="0" w:beforeAutospacing="0" w:after="0" w:afterAutospacing="0"/>
                    <w:ind w:left="0" w:right="0"/>
                    <w:jc w:val="center"/>
                    <w:rPr>
                      <w:color w:val="auto"/>
                      <w:szCs w:val="21"/>
                      <w:highlight w:val="none"/>
                    </w:rPr>
                  </w:pPr>
                </w:p>
              </w:tc>
            </w:tr>
            <w:tr w14:paraId="538300ED">
              <w:trPr>
                <w:cantSplit/>
                <w:trHeight w:val="340" w:hRule="atLeast"/>
                <w:jc w:val="center"/>
              </w:trPr>
              <w:tc>
                <w:tcPr>
                  <w:tcW w:w="1323" w:type="pct"/>
                  <w:vMerge w:val="continue"/>
                </w:tcPr>
                <w:p w14:paraId="3C8124DF">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558D6A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龙门加工中心</w:t>
                  </w:r>
                </w:p>
              </w:tc>
              <w:tc>
                <w:tcPr>
                  <w:tcW w:w="788" w:type="pct"/>
                  <w:shd w:val="clear" w:color="auto" w:fill="auto"/>
                  <w:vAlign w:val="center"/>
                </w:tcPr>
                <w:p w14:paraId="5CC6FF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2012</w:t>
                  </w:r>
                </w:p>
              </w:tc>
              <w:tc>
                <w:tcPr>
                  <w:tcW w:w="769" w:type="pct"/>
                  <w:shd w:val="clear" w:color="auto" w:fill="auto"/>
                  <w:vAlign w:val="center"/>
                </w:tcPr>
                <w:p w14:paraId="44BC94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w:t>
                  </w:r>
                </w:p>
              </w:tc>
              <w:tc>
                <w:tcPr>
                  <w:tcW w:w="917" w:type="pct"/>
                  <w:vMerge w:val="continue"/>
                </w:tcPr>
                <w:p w14:paraId="677C1FE9">
                  <w:pPr>
                    <w:keepNext w:val="0"/>
                    <w:keepLines w:val="0"/>
                    <w:suppressLineNumbers w:val="0"/>
                    <w:spacing w:before="0" w:beforeAutospacing="0" w:after="0" w:afterAutospacing="0"/>
                    <w:ind w:left="0" w:right="0"/>
                    <w:jc w:val="center"/>
                    <w:rPr>
                      <w:color w:val="auto"/>
                      <w:szCs w:val="21"/>
                      <w:highlight w:val="none"/>
                    </w:rPr>
                  </w:pPr>
                </w:p>
              </w:tc>
            </w:tr>
            <w:tr w14:paraId="05B45F87">
              <w:trPr>
                <w:cantSplit/>
                <w:trHeight w:val="340" w:hRule="atLeast"/>
                <w:jc w:val="center"/>
              </w:trPr>
              <w:tc>
                <w:tcPr>
                  <w:tcW w:w="1323" w:type="pct"/>
                  <w:vMerge w:val="continue"/>
                </w:tcPr>
                <w:p w14:paraId="012FB5F7">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4D1D68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龙门加工中心</w:t>
                  </w:r>
                </w:p>
              </w:tc>
              <w:tc>
                <w:tcPr>
                  <w:tcW w:w="788" w:type="pct"/>
                  <w:shd w:val="clear" w:color="auto" w:fill="auto"/>
                  <w:vAlign w:val="center"/>
                </w:tcPr>
                <w:p w14:paraId="302DB4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3015</w:t>
                  </w:r>
                </w:p>
              </w:tc>
              <w:tc>
                <w:tcPr>
                  <w:tcW w:w="769" w:type="pct"/>
                  <w:shd w:val="clear" w:color="auto" w:fill="auto"/>
                  <w:vAlign w:val="center"/>
                </w:tcPr>
                <w:p w14:paraId="40365E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w:t>
                  </w:r>
                </w:p>
              </w:tc>
              <w:tc>
                <w:tcPr>
                  <w:tcW w:w="917" w:type="pct"/>
                  <w:vMerge w:val="continue"/>
                </w:tcPr>
                <w:p w14:paraId="30A6B212">
                  <w:pPr>
                    <w:keepNext w:val="0"/>
                    <w:keepLines w:val="0"/>
                    <w:suppressLineNumbers w:val="0"/>
                    <w:spacing w:before="0" w:beforeAutospacing="0" w:after="0" w:afterAutospacing="0"/>
                    <w:ind w:left="0" w:right="0"/>
                    <w:jc w:val="center"/>
                    <w:rPr>
                      <w:color w:val="auto"/>
                      <w:szCs w:val="21"/>
                      <w:highlight w:val="none"/>
                    </w:rPr>
                  </w:pPr>
                </w:p>
              </w:tc>
            </w:tr>
            <w:tr w14:paraId="52BB5F6D">
              <w:trPr>
                <w:cantSplit/>
                <w:trHeight w:val="340" w:hRule="atLeast"/>
                <w:jc w:val="center"/>
              </w:trPr>
              <w:tc>
                <w:tcPr>
                  <w:tcW w:w="1323" w:type="pct"/>
                  <w:vMerge w:val="continue"/>
                </w:tcPr>
                <w:p w14:paraId="69010CC2">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633649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智能精雕中心</w:t>
                  </w:r>
                </w:p>
              </w:tc>
              <w:tc>
                <w:tcPr>
                  <w:tcW w:w="788" w:type="pct"/>
                  <w:shd w:val="clear" w:color="auto" w:fill="auto"/>
                  <w:vAlign w:val="center"/>
                </w:tcPr>
                <w:p w14:paraId="0F106E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JD600</w:t>
                  </w:r>
                </w:p>
              </w:tc>
              <w:tc>
                <w:tcPr>
                  <w:tcW w:w="769" w:type="pct"/>
                  <w:shd w:val="clear" w:color="auto" w:fill="auto"/>
                  <w:vAlign w:val="center"/>
                </w:tcPr>
                <w:p w14:paraId="28B4ED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00</w:t>
                  </w:r>
                </w:p>
              </w:tc>
              <w:tc>
                <w:tcPr>
                  <w:tcW w:w="917" w:type="pct"/>
                  <w:vMerge w:val="continue"/>
                </w:tcPr>
                <w:p w14:paraId="0F921394">
                  <w:pPr>
                    <w:keepNext w:val="0"/>
                    <w:keepLines w:val="0"/>
                    <w:suppressLineNumbers w:val="0"/>
                    <w:spacing w:before="0" w:beforeAutospacing="0" w:after="0" w:afterAutospacing="0"/>
                    <w:ind w:left="0" w:right="0"/>
                    <w:jc w:val="center"/>
                    <w:rPr>
                      <w:color w:val="auto"/>
                      <w:szCs w:val="21"/>
                      <w:highlight w:val="none"/>
                    </w:rPr>
                  </w:pPr>
                </w:p>
              </w:tc>
            </w:tr>
            <w:tr w14:paraId="436FD3C3">
              <w:trPr>
                <w:cantSplit/>
                <w:trHeight w:val="340" w:hRule="atLeast"/>
                <w:jc w:val="center"/>
              </w:trPr>
              <w:tc>
                <w:tcPr>
                  <w:tcW w:w="1323" w:type="pct"/>
                  <w:vMerge w:val="continue"/>
                </w:tcPr>
                <w:p w14:paraId="38AA0C60">
                  <w:pPr>
                    <w:keepNext w:val="0"/>
                    <w:keepLines w:val="0"/>
                    <w:suppressLineNumbers w:val="0"/>
                    <w:spacing w:before="0" w:beforeAutospacing="0" w:after="0" w:afterAutospacing="0" w:line="280" w:lineRule="exact"/>
                    <w:ind w:left="0" w:right="0"/>
                    <w:jc w:val="center"/>
                    <w:rPr>
                      <w:rFonts w:hAnsi="宋体"/>
                      <w:color w:val="auto"/>
                      <w:highlight w:val="none"/>
                    </w:rPr>
                  </w:pPr>
                </w:p>
              </w:tc>
              <w:tc>
                <w:tcPr>
                  <w:tcW w:w="0" w:type="auto"/>
                  <w:shd w:val="clear" w:color="auto" w:fill="auto"/>
                  <w:vAlign w:val="center"/>
                </w:tcPr>
                <w:p w14:paraId="4557DA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智能精雕中心</w:t>
                  </w:r>
                </w:p>
              </w:tc>
              <w:tc>
                <w:tcPr>
                  <w:tcW w:w="788" w:type="pct"/>
                  <w:shd w:val="clear" w:color="auto" w:fill="auto"/>
                  <w:vAlign w:val="center"/>
                </w:tcPr>
                <w:p w14:paraId="05CF33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JD800</w:t>
                  </w:r>
                </w:p>
              </w:tc>
              <w:tc>
                <w:tcPr>
                  <w:tcW w:w="769" w:type="pct"/>
                  <w:shd w:val="clear" w:color="auto" w:fill="auto"/>
                  <w:vAlign w:val="center"/>
                </w:tcPr>
                <w:p w14:paraId="4491E6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00</w:t>
                  </w:r>
                </w:p>
              </w:tc>
              <w:tc>
                <w:tcPr>
                  <w:tcW w:w="917" w:type="pct"/>
                  <w:vMerge w:val="continue"/>
                </w:tcPr>
                <w:p w14:paraId="4017AD4C">
                  <w:pPr>
                    <w:keepNext w:val="0"/>
                    <w:keepLines w:val="0"/>
                    <w:suppressLineNumbers w:val="0"/>
                    <w:spacing w:before="0" w:beforeAutospacing="0" w:after="0" w:afterAutospacing="0"/>
                    <w:ind w:left="0" w:right="0"/>
                    <w:jc w:val="center"/>
                    <w:rPr>
                      <w:color w:val="auto"/>
                      <w:szCs w:val="21"/>
                      <w:highlight w:val="none"/>
                    </w:rPr>
                  </w:pPr>
                </w:p>
              </w:tc>
            </w:tr>
          </w:tbl>
          <w:p w14:paraId="7C854753">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2.</w:t>
            </w:r>
            <w:r>
              <w:rPr>
                <w:rFonts w:hAnsi="宋体"/>
                <w:b/>
                <w:color w:val="auto"/>
                <w:kern w:val="0"/>
                <w:sz w:val="24"/>
                <w:highlight w:val="none"/>
                <w:lang w:val="zh-CN"/>
              </w:rPr>
              <w:t>工程建设内容</w:t>
            </w:r>
          </w:p>
          <w:p w14:paraId="4B59DF61">
            <w:pPr>
              <w:keepNext w:val="0"/>
              <w:keepLines w:val="0"/>
              <w:suppressLineNumbers w:val="0"/>
              <w:spacing w:before="0" w:beforeAutospacing="0" w:after="0" w:afterAutospacing="0" w:line="360" w:lineRule="auto"/>
              <w:ind w:left="0" w:right="0" w:firstLine="480"/>
              <w:rPr>
                <w:color w:val="auto"/>
                <w:sz w:val="24"/>
              </w:rPr>
            </w:pPr>
            <w:r>
              <w:rPr>
                <w:color w:val="auto"/>
                <w:sz w:val="24"/>
              </w:rPr>
              <w:t>项目</w:t>
            </w:r>
            <w:r>
              <w:rPr>
                <w:rFonts w:hint="eastAsia"/>
                <w:color w:val="auto"/>
                <w:sz w:val="24"/>
              </w:rPr>
              <w:t>厂区各</w:t>
            </w:r>
            <w:r>
              <w:rPr>
                <w:color w:val="auto"/>
                <w:sz w:val="24"/>
              </w:rPr>
              <w:t>区域具体功能分区和建设内容见下表。</w:t>
            </w:r>
          </w:p>
          <w:p w14:paraId="05A41E0D">
            <w:pPr>
              <w:pStyle w:val="349"/>
              <w:keepNext w:val="0"/>
              <w:keepLines w:val="0"/>
              <w:suppressLineNumbers w:val="0"/>
              <w:spacing w:before="0" w:beforeAutospacing="0" w:after="0" w:afterAutospacing="0"/>
              <w:ind w:left="0" w:right="0"/>
              <w:rPr>
                <w:rFonts w:ascii="Times New Roman" w:hAnsi="Times New Roman"/>
                <w:bCs/>
                <w:color w:val="auto"/>
                <w:kern w:val="2"/>
                <w:sz w:val="24"/>
                <w:szCs w:val="24"/>
              </w:rPr>
            </w:pPr>
            <w:r>
              <w:rPr>
                <w:rFonts w:ascii="Times New Roman" w:hAnsi="Times New Roman"/>
                <w:bCs/>
                <w:color w:val="auto"/>
                <w:kern w:val="2"/>
                <w:sz w:val="24"/>
                <w:szCs w:val="24"/>
              </w:rPr>
              <w:t>表2-</w:t>
            </w:r>
            <w:r>
              <w:rPr>
                <w:rFonts w:hint="eastAsia" w:ascii="Times New Roman" w:hAnsi="Times New Roman"/>
                <w:bCs/>
                <w:color w:val="auto"/>
                <w:kern w:val="2"/>
                <w:sz w:val="24"/>
                <w:szCs w:val="24"/>
              </w:rPr>
              <w:t>3</w:t>
            </w:r>
            <w:r>
              <w:rPr>
                <w:rFonts w:ascii="Times New Roman" w:hAnsi="Times New Roman"/>
                <w:bCs/>
                <w:color w:val="auto"/>
                <w:kern w:val="2"/>
                <w:sz w:val="24"/>
                <w:szCs w:val="24"/>
              </w:rPr>
              <w:t xml:space="preserve">  项目</w:t>
            </w:r>
            <w:r>
              <w:rPr>
                <w:rFonts w:hint="eastAsia" w:ascii="Times New Roman" w:hAnsi="Times New Roman"/>
                <w:bCs/>
                <w:color w:val="auto"/>
                <w:kern w:val="2"/>
                <w:sz w:val="24"/>
                <w:szCs w:val="24"/>
              </w:rPr>
              <w:t>厂区建筑物</w:t>
            </w:r>
            <w:r>
              <w:rPr>
                <w:rFonts w:ascii="Times New Roman" w:hAnsi="Times New Roman"/>
                <w:bCs/>
                <w:color w:val="auto"/>
                <w:kern w:val="2"/>
                <w:sz w:val="24"/>
                <w:szCs w:val="24"/>
              </w:rPr>
              <w:t>各功能区分区情况表</w:t>
            </w:r>
          </w:p>
          <w:tbl>
            <w:tblPr>
              <w:tblStyle w:val="88"/>
              <w:tblW w:w="48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399"/>
              <w:gridCol w:w="1365"/>
              <w:gridCol w:w="1410"/>
              <w:gridCol w:w="2204"/>
            </w:tblGrid>
            <w:tr w14:paraId="11E18BE5">
              <w:trPr>
                <w:trHeight w:val="397" w:hRule="atLeast"/>
                <w:jc w:val="center"/>
              </w:trPr>
              <w:tc>
                <w:tcPr>
                  <w:tcW w:w="1082" w:type="pct"/>
                  <w:tcBorders>
                    <w:tl2br w:val="nil"/>
                    <w:tr2bl w:val="nil"/>
                  </w:tcBorders>
                  <w:shd w:val="clear" w:color="auto" w:fill="auto"/>
                  <w:vAlign w:val="center"/>
                </w:tcPr>
                <w:p w14:paraId="10816DFD">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rPr>
                    <w:t>建筑物名称</w:t>
                  </w:r>
                </w:p>
              </w:tc>
              <w:tc>
                <w:tcPr>
                  <w:tcW w:w="859" w:type="pct"/>
                  <w:tcBorders>
                    <w:tl2br w:val="nil"/>
                    <w:tr2bl w:val="nil"/>
                  </w:tcBorders>
                  <w:shd w:val="clear" w:color="auto" w:fill="auto"/>
                  <w:vAlign w:val="center"/>
                </w:tcPr>
                <w:p w14:paraId="70020B2D">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lang w:val="en-US" w:eastAsia="zh-CN"/>
                    </w:rPr>
                    <w:t>占地</w:t>
                  </w:r>
                  <w:r>
                    <w:rPr>
                      <w:color w:val="auto"/>
                      <w:szCs w:val="21"/>
                    </w:rPr>
                    <w:t>面积/m</w:t>
                  </w:r>
                  <w:r>
                    <w:rPr>
                      <w:color w:val="auto"/>
                      <w:szCs w:val="21"/>
                      <w:vertAlign w:val="superscript"/>
                    </w:rPr>
                    <w:t>2</w:t>
                  </w:r>
                </w:p>
              </w:tc>
              <w:tc>
                <w:tcPr>
                  <w:tcW w:w="838" w:type="pct"/>
                  <w:tcBorders>
                    <w:tl2br w:val="nil"/>
                    <w:tr2bl w:val="nil"/>
                  </w:tcBorders>
                  <w:shd w:val="clear" w:color="auto" w:fill="auto"/>
                  <w:vAlign w:val="center"/>
                </w:tcPr>
                <w:p w14:paraId="7D0C6BAB">
                  <w:pPr>
                    <w:keepNext w:val="0"/>
                    <w:keepLines w:val="0"/>
                    <w:suppressLineNumbers w:val="0"/>
                    <w:spacing w:before="0" w:beforeAutospacing="0" w:after="0" w:afterAutospacing="0" w:line="276" w:lineRule="auto"/>
                    <w:ind w:left="0" w:right="0"/>
                    <w:jc w:val="center"/>
                    <w:rPr>
                      <w:color w:val="auto"/>
                      <w:szCs w:val="21"/>
                    </w:rPr>
                  </w:pPr>
                  <w:r>
                    <w:rPr>
                      <w:color w:val="auto"/>
                      <w:szCs w:val="21"/>
                    </w:rPr>
                    <w:t>建筑面积/m</w:t>
                  </w:r>
                  <w:r>
                    <w:rPr>
                      <w:color w:val="auto"/>
                      <w:szCs w:val="21"/>
                      <w:vertAlign w:val="superscript"/>
                    </w:rPr>
                    <w:t>2</w:t>
                  </w:r>
                </w:p>
              </w:tc>
              <w:tc>
                <w:tcPr>
                  <w:tcW w:w="866" w:type="pct"/>
                  <w:tcBorders>
                    <w:tl2br w:val="nil"/>
                    <w:tr2bl w:val="nil"/>
                  </w:tcBorders>
                  <w:shd w:val="clear" w:color="auto" w:fill="auto"/>
                  <w:vAlign w:val="center"/>
                </w:tcPr>
                <w:p w14:paraId="447C6C1D">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rPr>
                    <w:t>层数及</w:t>
                  </w:r>
                  <w:r>
                    <w:rPr>
                      <w:color w:val="auto"/>
                      <w:szCs w:val="21"/>
                    </w:rPr>
                    <w:t>高度</w:t>
                  </w:r>
                </w:p>
              </w:tc>
              <w:tc>
                <w:tcPr>
                  <w:tcW w:w="1353" w:type="pct"/>
                  <w:tcBorders>
                    <w:tl2br w:val="nil"/>
                    <w:tr2bl w:val="nil"/>
                  </w:tcBorders>
                  <w:shd w:val="clear" w:color="auto" w:fill="auto"/>
                  <w:vAlign w:val="center"/>
                </w:tcPr>
                <w:p w14:paraId="754A6499">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rPr>
                    <w:t>主要功能</w:t>
                  </w:r>
                </w:p>
              </w:tc>
            </w:tr>
            <w:tr w14:paraId="1918903B">
              <w:trPr>
                <w:trHeight w:val="397" w:hRule="atLeast"/>
                <w:jc w:val="center"/>
              </w:trPr>
              <w:tc>
                <w:tcPr>
                  <w:tcW w:w="1082" w:type="pct"/>
                  <w:tcBorders>
                    <w:tl2br w:val="nil"/>
                    <w:tr2bl w:val="nil"/>
                  </w:tcBorders>
                  <w:shd w:val="clear" w:color="auto" w:fill="auto"/>
                  <w:vAlign w:val="center"/>
                </w:tcPr>
                <w:p w14:paraId="5588F8DA">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rPr>
                    <w:t>办公楼</w:t>
                  </w:r>
                </w:p>
              </w:tc>
              <w:tc>
                <w:tcPr>
                  <w:tcW w:w="859" w:type="pct"/>
                  <w:tcBorders>
                    <w:tl2br w:val="nil"/>
                    <w:tr2bl w:val="nil"/>
                  </w:tcBorders>
                  <w:shd w:val="clear" w:color="auto" w:fill="auto"/>
                  <w:vAlign w:val="center"/>
                </w:tcPr>
                <w:p w14:paraId="31802D19">
                  <w:pPr>
                    <w:keepNext w:val="0"/>
                    <w:keepLines w:val="0"/>
                    <w:suppressLineNumbers w:val="0"/>
                    <w:spacing w:before="0" w:beforeAutospacing="0" w:after="0" w:afterAutospacing="0" w:line="276" w:lineRule="auto"/>
                    <w:ind w:left="0" w:right="0"/>
                    <w:jc w:val="center"/>
                    <w:rPr>
                      <w:rFonts w:hint="default" w:eastAsiaTheme="minorEastAsia"/>
                      <w:color w:val="auto"/>
                      <w:szCs w:val="21"/>
                      <w:lang w:val="en-US" w:eastAsia="zh-CN"/>
                    </w:rPr>
                  </w:pPr>
                  <w:r>
                    <w:rPr>
                      <w:rFonts w:hint="eastAsia"/>
                      <w:color w:val="auto"/>
                      <w:szCs w:val="21"/>
                      <w:lang w:val="en-US" w:eastAsia="zh-CN"/>
                    </w:rPr>
                    <w:t>660.12</w:t>
                  </w:r>
                </w:p>
              </w:tc>
              <w:tc>
                <w:tcPr>
                  <w:tcW w:w="838" w:type="pct"/>
                  <w:tcBorders>
                    <w:tl2br w:val="nil"/>
                    <w:tr2bl w:val="nil"/>
                  </w:tcBorders>
                  <w:shd w:val="clear" w:color="auto" w:fill="auto"/>
                  <w:vAlign w:val="center"/>
                </w:tcPr>
                <w:p w14:paraId="0EF0275D">
                  <w:pPr>
                    <w:keepNext w:val="0"/>
                    <w:keepLines w:val="0"/>
                    <w:suppressLineNumbers w:val="0"/>
                    <w:spacing w:before="0" w:beforeAutospacing="0" w:after="0" w:afterAutospacing="0" w:line="276" w:lineRule="auto"/>
                    <w:ind w:left="0" w:right="0"/>
                    <w:jc w:val="center"/>
                    <w:rPr>
                      <w:rFonts w:hint="default" w:eastAsiaTheme="minorEastAsia"/>
                      <w:color w:val="auto"/>
                      <w:szCs w:val="21"/>
                      <w:lang w:val="en-US" w:eastAsia="zh-CN"/>
                    </w:rPr>
                  </w:pPr>
                  <w:r>
                    <w:rPr>
                      <w:rFonts w:hint="eastAsia"/>
                      <w:color w:val="auto"/>
                      <w:szCs w:val="21"/>
                      <w:lang w:val="en-US" w:eastAsia="zh-CN"/>
                    </w:rPr>
                    <w:t>2358.24</w:t>
                  </w:r>
                </w:p>
              </w:tc>
              <w:tc>
                <w:tcPr>
                  <w:tcW w:w="866" w:type="pct"/>
                  <w:tcBorders>
                    <w:tl2br w:val="nil"/>
                    <w:tr2bl w:val="nil"/>
                  </w:tcBorders>
                  <w:shd w:val="clear" w:color="auto" w:fill="auto"/>
                  <w:vAlign w:val="center"/>
                </w:tcPr>
                <w:p w14:paraId="71910A87">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lang w:val="en-US" w:eastAsia="zh-CN"/>
                    </w:rPr>
                    <w:t>4</w:t>
                  </w:r>
                  <w:r>
                    <w:rPr>
                      <w:rFonts w:hint="eastAsia"/>
                      <w:color w:val="auto"/>
                      <w:szCs w:val="21"/>
                    </w:rPr>
                    <w:t>F</w:t>
                  </w:r>
                  <w:r>
                    <w:rPr>
                      <w:rFonts w:hint="eastAsia"/>
                      <w:color w:val="auto"/>
                      <w:szCs w:val="21"/>
                      <w:lang w:eastAsia="zh-CN"/>
                    </w:rPr>
                    <w:t>,</w:t>
                  </w:r>
                  <w:r>
                    <w:rPr>
                      <w:rFonts w:hint="eastAsia"/>
                      <w:color w:val="auto"/>
                      <w:szCs w:val="21"/>
                      <w:lang w:val="en-US" w:eastAsia="zh-CN"/>
                    </w:rPr>
                    <w:t>15.3</w:t>
                  </w:r>
                  <w:r>
                    <w:rPr>
                      <w:rFonts w:hint="eastAsia"/>
                      <w:color w:val="auto"/>
                      <w:szCs w:val="21"/>
                    </w:rPr>
                    <w:t>m</w:t>
                  </w:r>
                </w:p>
              </w:tc>
              <w:tc>
                <w:tcPr>
                  <w:tcW w:w="1353" w:type="pct"/>
                  <w:tcBorders>
                    <w:tl2br w:val="nil"/>
                    <w:tr2bl w:val="nil"/>
                  </w:tcBorders>
                  <w:shd w:val="clear" w:color="auto" w:fill="auto"/>
                  <w:vAlign w:val="center"/>
                </w:tcPr>
                <w:p w14:paraId="64547189">
                  <w:pPr>
                    <w:keepNext w:val="0"/>
                    <w:keepLines w:val="0"/>
                    <w:suppressLineNumbers w:val="0"/>
                    <w:spacing w:before="0" w:beforeAutospacing="0" w:after="0" w:afterAutospacing="0" w:line="276" w:lineRule="auto"/>
                    <w:ind w:left="0" w:right="0"/>
                    <w:jc w:val="center"/>
                    <w:rPr>
                      <w:color w:val="auto"/>
                      <w:szCs w:val="21"/>
                    </w:rPr>
                  </w:pPr>
                  <w:r>
                    <w:rPr>
                      <w:rFonts w:hint="eastAsia"/>
                      <w:color w:val="auto"/>
                      <w:szCs w:val="21"/>
                    </w:rPr>
                    <w:t>人员办公</w:t>
                  </w:r>
                </w:p>
              </w:tc>
            </w:tr>
            <w:tr w14:paraId="7E6221F7">
              <w:trPr>
                <w:trHeight w:val="397" w:hRule="atLeast"/>
                <w:jc w:val="center"/>
              </w:trPr>
              <w:tc>
                <w:tcPr>
                  <w:tcW w:w="1082" w:type="pct"/>
                  <w:tcBorders>
                    <w:tl2br w:val="nil"/>
                    <w:tr2bl w:val="nil"/>
                  </w:tcBorders>
                  <w:shd w:val="clear" w:color="auto" w:fill="auto"/>
                  <w:vAlign w:val="center"/>
                </w:tcPr>
                <w:p w14:paraId="71D5704B">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1</w:t>
                  </w:r>
                  <w:r>
                    <w:rPr>
                      <w:rFonts w:hint="eastAsia"/>
                      <w:color w:val="auto"/>
                      <w:szCs w:val="21"/>
                    </w:rPr>
                    <w:t>#厂房</w:t>
                  </w:r>
                </w:p>
              </w:tc>
              <w:tc>
                <w:tcPr>
                  <w:tcW w:w="859" w:type="pct"/>
                  <w:tcBorders>
                    <w:tl2br w:val="nil"/>
                    <w:tr2bl w:val="nil"/>
                  </w:tcBorders>
                  <w:shd w:val="clear" w:color="auto" w:fill="auto"/>
                  <w:vAlign w:val="center"/>
                </w:tcPr>
                <w:p w14:paraId="69F8FB07">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6554.62</w:t>
                  </w:r>
                </w:p>
              </w:tc>
              <w:tc>
                <w:tcPr>
                  <w:tcW w:w="838" w:type="pct"/>
                  <w:tcBorders>
                    <w:tl2br w:val="nil"/>
                    <w:tr2bl w:val="nil"/>
                  </w:tcBorders>
                  <w:shd w:val="clear" w:color="auto" w:fill="auto"/>
                  <w:vAlign w:val="center"/>
                </w:tcPr>
                <w:p w14:paraId="25E03092">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20860.07</w:t>
                  </w:r>
                </w:p>
              </w:tc>
              <w:tc>
                <w:tcPr>
                  <w:tcW w:w="866" w:type="pct"/>
                  <w:tcBorders>
                    <w:tl2br w:val="nil"/>
                    <w:tr2bl w:val="nil"/>
                  </w:tcBorders>
                  <w:shd w:val="clear" w:color="auto" w:fill="auto"/>
                  <w:vAlign w:val="center"/>
                </w:tcPr>
                <w:p w14:paraId="4AED39A6">
                  <w:pPr>
                    <w:keepNext w:val="0"/>
                    <w:keepLines w:val="0"/>
                    <w:suppressLineNumbers w:val="0"/>
                    <w:spacing w:before="0" w:beforeAutospacing="0" w:after="0" w:afterAutospacing="0"/>
                    <w:ind w:left="0" w:right="0"/>
                    <w:jc w:val="center"/>
                    <w:rPr>
                      <w:color w:val="auto"/>
                      <w:szCs w:val="21"/>
                    </w:rPr>
                  </w:pPr>
                  <w:r>
                    <w:rPr>
                      <w:rFonts w:hint="eastAsia"/>
                      <w:color w:val="auto"/>
                      <w:szCs w:val="21"/>
                    </w:rPr>
                    <w:t>3F</w:t>
                  </w:r>
                  <w:r>
                    <w:rPr>
                      <w:rFonts w:hint="eastAsia"/>
                      <w:color w:val="auto"/>
                      <w:szCs w:val="21"/>
                      <w:lang w:eastAsia="zh-CN"/>
                    </w:rPr>
                    <w:t>,</w:t>
                  </w:r>
                  <w:r>
                    <w:rPr>
                      <w:rFonts w:hint="eastAsia"/>
                      <w:color w:val="auto"/>
                      <w:szCs w:val="21"/>
                      <w:lang w:val="en-US" w:eastAsia="zh-CN"/>
                    </w:rPr>
                    <w:t>21.6</w:t>
                  </w:r>
                  <w:r>
                    <w:rPr>
                      <w:rFonts w:hint="eastAsia"/>
                      <w:color w:val="auto"/>
                      <w:szCs w:val="21"/>
                    </w:rPr>
                    <w:t>m</w:t>
                  </w:r>
                </w:p>
              </w:tc>
              <w:tc>
                <w:tcPr>
                  <w:tcW w:w="1353" w:type="pct"/>
                  <w:tcBorders>
                    <w:tl2br w:val="nil"/>
                    <w:tr2bl w:val="nil"/>
                  </w:tcBorders>
                  <w:shd w:val="clear" w:color="auto" w:fill="auto"/>
                  <w:vAlign w:val="center"/>
                </w:tcPr>
                <w:p w14:paraId="5764B06D">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rPr>
                    <w:t>生产</w:t>
                  </w:r>
                  <w:r>
                    <w:rPr>
                      <w:rFonts w:hint="eastAsia"/>
                      <w:color w:val="auto"/>
                      <w:lang w:eastAsia="zh-CN"/>
                    </w:rPr>
                    <w:t>、</w:t>
                  </w:r>
                  <w:r>
                    <w:rPr>
                      <w:rFonts w:hint="eastAsia"/>
                      <w:color w:val="auto"/>
                      <w:lang w:val="en-US" w:eastAsia="zh-CN"/>
                    </w:rPr>
                    <w:t>仓储</w:t>
                  </w:r>
                </w:p>
              </w:tc>
            </w:tr>
            <w:tr w14:paraId="615424D1">
              <w:trPr>
                <w:trHeight w:val="397" w:hRule="atLeast"/>
                <w:jc w:val="center"/>
              </w:trPr>
              <w:tc>
                <w:tcPr>
                  <w:tcW w:w="1082" w:type="pct"/>
                  <w:tcBorders>
                    <w:tl2br w:val="nil"/>
                    <w:tr2bl w:val="nil"/>
                  </w:tcBorders>
                  <w:shd w:val="clear" w:color="auto" w:fill="auto"/>
                  <w:vAlign w:val="center"/>
                </w:tcPr>
                <w:p w14:paraId="00509E0C">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2</w:t>
                  </w:r>
                  <w:r>
                    <w:rPr>
                      <w:rFonts w:hint="eastAsia"/>
                      <w:color w:val="auto"/>
                      <w:szCs w:val="21"/>
                    </w:rPr>
                    <w:t>#厂房</w:t>
                  </w:r>
                </w:p>
              </w:tc>
              <w:tc>
                <w:tcPr>
                  <w:tcW w:w="859" w:type="pct"/>
                  <w:tcBorders>
                    <w:tl2br w:val="nil"/>
                    <w:tr2bl w:val="nil"/>
                  </w:tcBorders>
                  <w:shd w:val="clear" w:color="auto" w:fill="auto"/>
                  <w:vAlign w:val="center"/>
                </w:tcPr>
                <w:p w14:paraId="5EAC57F1">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6551.67</w:t>
                  </w:r>
                </w:p>
              </w:tc>
              <w:tc>
                <w:tcPr>
                  <w:tcW w:w="838" w:type="pct"/>
                  <w:tcBorders>
                    <w:tl2br w:val="nil"/>
                    <w:tr2bl w:val="nil"/>
                  </w:tcBorders>
                  <w:shd w:val="clear" w:color="auto" w:fill="auto"/>
                  <w:vAlign w:val="center"/>
                </w:tcPr>
                <w:p w14:paraId="6DF7CA22">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13292.76</w:t>
                  </w:r>
                </w:p>
              </w:tc>
              <w:tc>
                <w:tcPr>
                  <w:tcW w:w="866" w:type="pct"/>
                  <w:tcBorders>
                    <w:tl2br w:val="nil"/>
                    <w:tr2bl w:val="nil"/>
                  </w:tcBorders>
                  <w:shd w:val="clear" w:color="auto" w:fill="auto"/>
                  <w:vAlign w:val="center"/>
                </w:tcPr>
                <w:p w14:paraId="493D782F">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2</w:t>
                  </w:r>
                  <w:r>
                    <w:rPr>
                      <w:rFonts w:hint="eastAsia"/>
                      <w:color w:val="auto"/>
                      <w:szCs w:val="21"/>
                    </w:rPr>
                    <w:t>F</w:t>
                  </w:r>
                  <w:r>
                    <w:rPr>
                      <w:rFonts w:hint="eastAsia"/>
                      <w:color w:val="auto"/>
                      <w:szCs w:val="21"/>
                      <w:lang w:eastAsia="zh-CN"/>
                    </w:rPr>
                    <w:t>,</w:t>
                  </w:r>
                  <w:r>
                    <w:rPr>
                      <w:rFonts w:hint="eastAsia"/>
                      <w:color w:val="auto"/>
                      <w:szCs w:val="21"/>
                    </w:rPr>
                    <w:t>1</w:t>
                  </w:r>
                  <w:r>
                    <w:rPr>
                      <w:rFonts w:hint="eastAsia"/>
                      <w:color w:val="auto"/>
                      <w:szCs w:val="21"/>
                      <w:lang w:val="en-US" w:eastAsia="zh-CN"/>
                    </w:rPr>
                    <w:t>8</w:t>
                  </w:r>
                  <w:r>
                    <w:rPr>
                      <w:rFonts w:hint="eastAsia"/>
                      <w:color w:val="auto"/>
                      <w:szCs w:val="21"/>
                    </w:rPr>
                    <w:t>m</w:t>
                  </w:r>
                </w:p>
              </w:tc>
              <w:tc>
                <w:tcPr>
                  <w:tcW w:w="1353" w:type="pct"/>
                  <w:tcBorders>
                    <w:tl2br w:val="nil"/>
                    <w:tr2bl w:val="nil"/>
                  </w:tcBorders>
                  <w:shd w:val="clear" w:color="auto" w:fill="auto"/>
                  <w:vAlign w:val="center"/>
                </w:tcPr>
                <w:p w14:paraId="5CFE208C">
                  <w:pPr>
                    <w:keepNext w:val="0"/>
                    <w:keepLines w:val="0"/>
                    <w:suppressLineNumbers w:val="0"/>
                    <w:spacing w:before="0" w:beforeAutospacing="0" w:after="0" w:afterAutospacing="0"/>
                    <w:ind w:left="0" w:right="0"/>
                    <w:jc w:val="center"/>
                    <w:rPr>
                      <w:color w:val="auto"/>
                      <w:szCs w:val="21"/>
                    </w:rPr>
                  </w:pPr>
                  <w:r>
                    <w:rPr>
                      <w:rFonts w:hint="eastAsia"/>
                      <w:color w:val="auto"/>
                      <w:szCs w:val="21"/>
                    </w:rPr>
                    <w:t>生产</w:t>
                  </w:r>
                </w:p>
              </w:tc>
            </w:tr>
            <w:tr w14:paraId="33BABCDC">
              <w:trPr>
                <w:trHeight w:val="397" w:hRule="atLeast"/>
                <w:jc w:val="center"/>
              </w:trPr>
              <w:tc>
                <w:tcPr>
                  <w:tcW w:w="1082" w:type="pct"/>
                  <w:tcBorders>
                    <w:tl2br w:val="nil"/>
                    <w:tr2bl w:val="nil"/>
                  </w:tcBorders>
                  <w:shd w:val="clear" w:color="auto" w:fill="auto"/>
                  <w:vAlign w:val="center"/>
                </w:tcPr>
                <w:p w14:paraId="35A89ED8">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3</w:t>
                  </w:r>
                  <w:r>
                    <w:rPr>
                      <w:rFonts w:hint="eastAsia"/>
                      <w:color w:val="auto"/>
                      <w:szCs w:val="21"/>
                    </w:rPr>
                    <w:t>#厂房</w:t>
                  </w:r>
                </w:p>
              </w:tc>
              <w:tc>
                <w:tcPr>
                  <w:tcW w:w="859" w:type="pct"/>
                  <w:tcBorders>
                    <w:tl2br w:val="nil"/>
                    <w:tr2bl w:val="nil"/>
                  </w:tcBorders>
                  <w:shd w:val="clear" w:color="auto" w:fill="auto"/>
                  <w:vAlign w:val="center"/>
                </w:tcPr>
                <w:p w14:paraId="1232C4F7">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4272.93</w:t>
                  </w:r>
                </w:p>
              </w:tc>
              <w:tc>
                <w:tcPr>
                  <w:tcW w:w="838" w:type="pct"/>
                  <w:tcBorders>
                    <w:tl2br w:val="nil"/>
                    <w:tr2bl w:val="nil"/>
                  </w:tcBorders>
                  <w:shd w:val="clear" w:color="auto" w:fill="auto"/>
                  <w:vAlign w:val="center"/>
                </w:tcPr>
                <w:p w14:paraId="145EA4DF">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8721.07</w:t>
                  </w:r>
                </w:p>
              </w:tc>
              <w:tc>
                <w:tcPr>
                  <w:tcW w:w="866" w:type="pct"/>
                  <w:tcBorders>
                    <w:tl2br w:val="nil"/>
                    <w:tr2bl w:val="nil"/>
                  </w:tcBorders>
                  <w:shd w:val="clear" w:color="auto" w:fill="auto"/>
                  <w:vAlign w:val="center"/>
                </w:tcPr>
                <w:p w14:paraId="5E134492">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2</w:t>
                  </w:r>
                  <w:r>
                    <w:rPr>
                      <w:rFonts w:hint="eastAsia"/>
                      <w:color w:val="auto"/>
                      <w:szCs w:val="21"/>
                    </w:rPr>
                    <w:t>F</w:t>
                  </w:r>
                  <w:r>
                    <w:rPr>
                      <w:rFonts w:hint="eastAsia"/>
                      <w:color w:val="auto"/>
                      <w:szCs w:val="21"/>
                      <w:lang w:eastAsia="zh-CN"/>
                    </w:rPr>
                    <w:t>,</w:t>
                  </w:r>
                  <w:r>
                    <w:rPr>
                      <w:rFonts w:hint="eastAsia"/>
                      <w:color w:val="auto"/>
                      <w:szCs w:val="21"/>
                    </w:rPr>
                    <w:t>1</w:t>
                  </w:r>
                  <w:r>
                    <w:rPr>
                      <w:rFonts w:hint="eastAsia"/>
                      <w:color w:val="auto"/>
                      <w:szCs w:val="21"/>
                      <w:lang w:val="en-US" w:eastAsia="zh-CN"/>
                    </w:rPr>
                    <w:t>8</w:t>
                  </w:r>
                  <w:r>
                    <w:rPr>
                      <w:rFonts w:hint="eastAsia"/>
                      <w:color w:val="auto"/>
                      <w:szCs w:val="21"/>
                    </w:rPr>
                    <w:t>m</w:t>
                  </w:r>
                </w:p>
              </w:tc>
              <w:tc>
                <w:tcPr>
                  <w:tcW w:w="1353" w:type="pct"/>
                  <w:tcBorders>
                    <w:tl2br w:val="nil"/>
                    <w:tr2bl w:val="nil"/>
                  </w:tcBorders>
                  <w:shd w:val="clear" w:color="auto" w:fill="auto"/>
                  <w:vAlign w:val="center"/>
                </w:tcPr>
                <w:p w14:paraId="2F65BA92">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rPr>
                    <w:t>生产</w:t>
                  </w:r>
                  <w:r>
                    <w:rPr>
                      <w:rFonts w:hint="eastAsia"/>
                      <w:color w:val="auto"/>
                      <w:szCs w:val="21"/>
                      <w:lang w:eastAsia="zh-CN"/>
                    </w:rPr>
                    <w:t>、</w:t>
                  </w:r>
                  <w:r>
                    <w:rPr>
                      <w:rFonts w:hint="eastAsia"/>
                      <w:color w:val="auto"/>
                      <w:szCs w:val="21"/>
                      <w:lang w:val="en-US" w:eastAsia="zh-CN"/>
                    </w:rPr>
                    <w:t>仓储</w:t>
                  </w:r>
                </w:p>
              </w:tc>
            </w:tr>
            <w:tr w14:paraId="1FC092C9">
              <w:trPr>
                <w:trHeight w:val="397" w:hRule="atLeast"/>
                <w:jc w:val="center"/>
              </w:trPr>
              <w:tc>
                <w:tcPr>
                  <w:tcW w:w="1082" w:type="pct"/>
                  <w:tcBorders>
                    <w:tl2br w:val="nil"/>
                    <w:tr2bl w:val="nil"/>
                  </w:tcBorders>
                  <w:shd w:val="clear" w:color="auto" w:fill="auto"/>
                  <w:vAlign w:val="center"/>
                </w:tcPr>
                <w:p w14:paraId="2F2BE6EE">
                  <w:pPr>
                    <w:keepNext w:val="0"/>
                    <w:keepLines w:val="0"/>
                    <w:suppressLineNumbers w:val="0"/>
                    <w:spacing w:before="0" w:beforeAutospacing="0" w:after="0" w:afterAutospacing="0"/>
                    <w:ind w:left="0" w:right="0"/>
                    <w:jc w:val="center"/>
                    <w:rPr>
                      <w:rFonts w:hint="eastAsia" w:eastAsiaTheme="minorEastAsia"/>
                      <w:color w:val="auto"/>
                      <w:szCs w:val="21"/>
                      <w:lang w:eastAsia="zh-CN"/>
                    </w:rPr>
                  </w:pPr>
                  <w:r>
                    <w:rPr>
                      <w:rFonts w:hint="eastAsia"/>
                      <w:color w:val="auto"/>
                      <w:szCs w:val="21"/>
                      <w:lang w:val="en-US" w:eastAsia="zh-CN"/>
                    </w:rPr>
                    <w:t>固废库</w:t>
                  </w:r>
                </w:p>
              </w:tc>
              <w:tc>
                <w:tcPr>
                  <w:tcW w:w="859" w:type="pct"/>
                  <w:tcBorders>
                    <w:tl2br w:val="nil"/>
                    <w:tr2bl w:val="nil"/>
                  </w:tcBorders>
                  <w:shd w:val="clear" w:color="auto" w:fill="auto"/>
                  <w:vAlign w:val="center"/>
                </w:tcPr>
                <w:p w14:paraId="0A99E641">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40</w:t>
                  </w:r>
                </w:p>
              </w:tc>
              <w:tc>
                <w:tcPr>
                  <w:tcW w:w="838" w:type="pct"/>
                  <w:tcBorders>
                    <w:tl2br w:val="nil"/>
                    <w:tr2bl w:val="nil"/>
                  </w:tcBorders>
                  <w:shd w:val="clear" w:color="auto" w:fill="auto"/>
                  <w:vAlign w:val="center"/>
                </w:tcPr>
                <w:p w14:paraId="36EA888D">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40</w:t>
                  </w:r>
                </w:p>
              </w:tc>
              <w:tc>
                <w:tcPr>
                  <w:tcW w:w="866" w:type="pct"/>
                  <w:tcBorders>
                    <w:tl2br w:val="nil"/>
                    <w:tr2bl w:val="nil"/>
                  </w:tcBorders>
                  <w:shd w:val="clear" w:color="auto" w:fill="auto"/>
                  <w:vAlign w:val="center"/>
                </w:tcPr>
                <w:p w14:paraId="5C2DE2FB">
                  <w:pPr>
                    <w:keepNext w:val="0"/>
                    <w:keepLines w:val="0"/>
                    <w:suppressLineNumbers w:val="0"/>
                    <w:spacing w:before="0" w:beforeAutospacing="0" w:after="0" w:afterAutospacing="0"/>
                    <w:ind w:left="0" w:right="0"/>
                    <w:jc w:val="center"/>
                    <w:rPr>
                      <w:color w:val="auto"/>
                      <w:szCs w:val="21"/>
                    </w:rPr>
                  </w:pPr>
                  <w:r>
                    <w:rPr>
                      <w:rFonts w:hint="eastAsia"/>
                      <w:color w:val="auto"/>
                      <w:szCs w:val="21"/>
                    </w:rPr>
                    <w:t>1F</w:t>
                  </w:r>
                  <w:r>
                    <w:rPr>
                      <w:rFonts w:hint="eastAsia"/>
                      <w:color w:val="auto"/>
                      <w:szCs w:val="21"/>
                      <w:lang w:eastAsia="zh-CN"/>
                    </w:rPr>
                    <w:t>,</w:t>
                  </w:r>
                  <w:r>
                    <w:rPr>
                      <w:rFonts w:hint="eastAsia"/>
                      <w:color w:val="auto"/>
                      <w:szCs w:val="21"/>
                      <w:lang w:val="en-US" w:eastAsia="zh-CN"/>
                    </w:rPr>
                    <w:t>3.5</w:t>
                  </w:r>
                  <w:r>
                    <w:rPr>
                      <w:rFonts w:hint="eastAsia"/>
                      <w:color w:val="auto"/>
                      <w:szCs w:val="21"/>
                    </w:rPr>
                    <w:t>m</w:t>
                  </w:r>
                </w:p>
              </w:tc>
              <w:tc>
                <w:tcPr>
                  <w:tcW w:w="1353" w:type="pct"/>
                  <w:tcBorders>
                    <w:tl2br w:val="nil"/>
                    <w:tr2bl w:val="nil"/>
                  </w:tcBorders>
                  <w:shd w:val="clear" w:color="auto" w:fill="auto"/>
                  <w:vAlign w:val="center"/>
                </w:tcPr>
                <w:p w14:paraId="474D36F9">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一般固废暂存</w:t>
                  </w:r>
                </w:p>
              </w:tc>
            </w:tr>
            <w:tr w14:paraId="07D7A8D6">
              <w:trPr>
                <w:trHeight w:val="397" w:hRule="atLeast"/>
                <w:jc w:val="center"/>
              </w:trPr>
              <w:tc>
                <w:tcPr>
                  <w:tcW w:w="1082" w:type="pct"/>
                  <w:tcBorders>
                    <w:tl2br w:val="nil"/>
                    <w:tr2bl w:val="nil"/>
                  </w:tcBorders>
                  <w:shd w:val="clear" w:color="auto" w:fill="auto"/>
                  <w:vAlign w:val="center"/>
                </w:tcPr>
                <w:p w14:paraId="48B3C918">
                  <w:pPr>
                    <w:keepNext w:val="0"/>
                    <w:keepLines w:val="0"/>
                    <w:suppressLineNumbers w:val="0"/>
                    <w:spacing w:before="0" w:beforeAutospacing="0" w:after="0" w:afterAutospacing="0"/>
                    <w:ind w:left="0" w:right="0"/>
                    <w:jc w:val="center"/>
                    <w:rPr>
                      <w:color w:val="auto"/>
                      <w:szCs w:val="21"/>
                    </w:rPr>
                  </w:pPr>
                  <w:r>
                    <w:rPr>
                      <w:rFonts w:hint="eastAsia"/>
                      <w:color w:val="auto"/>
                      <w:szCs w:val="21"/>
                    </w:rPr>
                    <w:t>门卫</w:t>
                  </w:r>
                </w:p>
              </w:tc>
              <w:tc>
                <w:tcPr>
                  <w:tcW w:w="859" w:type="pct"/>
                  <w:tcBorders>
                    <w:tl2br w:val="nil"/>
                    <w:tr2bl w:val="nil"/>
                  </w:tcBorders>
                  <w:shd w:val="clear" w:color="auto" w:fill="auto"/>
                  <w:vAlign w:val="center"/>
                </w:tcPr>
                <w:p w14:paraId="6A366BB5">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78.5</w:t>
                  </w:r>
                </w:p>
              </w:tc>
              <w:tc>
                <w:tcPr>
                  <w:tcW w:w="838" w:type="pct"/>
                  <w:tcBorders>
                    <w:tl2br w:val="nil"/>
                    <w:tr2bl w:val="nil"/>
                  </w:tcBorders>
                  <w:shd w:val="clear" w:color="auto" w:fill="auto"/>
                  <w:vAlign w:val="center"/>
                </w:tcPr>
                <w:p w14:paraId="6CFC375F">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lang w:val="en-US" w:eastAsia="zh-CN"/>
                    </w:rPr>
                    <w:t>78.5</w:t>
                  </w:r>
                </w:p>
              </w:tc>
              <w:tc>
                <w:tcPr>
                  <w:tcW w:w="866" w:type="pct"/>
                  <w:tcBorders>
                    <w:tl2br w:val="nil"/>
                    <w:tr2bl w:val="nil"/>
                  </w:tcBorders>
                  <w:shd w:val="clear" w:color="auto" w:fill="auto"/>
                  <w:vAlign w:val="center"/>
                </w:tcPr>
                <w:p w14:paraId="21BDE795">
                  <w:pPr>
                    <w:keepNext w:val="0"/>
                    <w:keepLines w:val="0"/>
                    <w:suppressLineNumbers w:val="0"/>
                    <w:spacing w:before="0" w:beforeAutospacing="0" w:after="0" w:afterAutospacing="0"/>
                    <w:ind w:left="0" w:right="0"/>
                    <w:jc w:val="center"/>
                    <w:rPr>
                      <w:color w:val="auto"/>
                      <w:szCs w:val="21"/>
                    </w:rPr>
                  </w:pPr>
                  <w:r>
                    <w:rPr>
                      <w:rFonts w:hint="eastAsia"/>
                      <w:color w:val="auto"/>
                      <w:szCs w:val="21"/>
                    </w:rPr>
                    <w:t>1F</w:t>
                  </w:r>
                  <w:r>
                    <w:rPr>
                      <w:rFonts w:hint="eastAsia"/>
                      <w:color w:val="auto"/>
                      <w:szCs w:val="21"/>
                      <w:lang w:eastAsia="zh-CN"/>
                    </w:rPr>
                    <w:t>,</w:t>
                  </w:r>
                  <w:r>
                    <w:rPr>
                      <w:rFonts w:hint="eastAsia"/>
                      <w:color w:val="auto"/>
                      <w:szCs w:val="21"/>
                      <w:lang w:val="en-US" w:eastAsia="zh-CN"/>
                    </w:rPr>
                    <w:t>3.5</w:t>
                  </w:r>
                  <w:r>
                    <w:rPr>
                      <w:rFonts w:hint="eastAsia"/>
                      <w:color w:val="auto"/>
                      <w:szCs w:val="21"/>
                    </w:rPr>
                    <w:t>m</w:t>
                  </w:r>
                </w:p>
              </w:tc>
              <w:tc>
                <w:tcPr>
                  <w:tcW w:w="1353" w:type="pct"/>
                  <w:tcBorders>
                    <w:tl2br w:val="nil"/>
                    <w:tr2bl w:val="nil"/>
                  </w:tcBorders>
                  <w:shd w:val="clear" w:color="auto" w:fill="auto"/>
                  <w:vAlign w:val="center"/>
                </w:tcPr>
                <w:p w14:paraId="7BE237D4">
                  <w:pPr>
                    <w:keepNext w:val="0"/>
                    <w:keepLines w:val="0"/>
                    <w:suppressLineNumbers w:val="0"/>
                    <w:spacing w:before="0" w:beforeAutospacing="0" w:after="0" w:afterAutospacing="0"/>
                    <w:ind w:left="0" w:right="0"/>
                    <w:jc w:val="center"/>
                    <w:rPr>
                      <w:color w:val="auto"/>
                      <w:szCs w:val="21"/>
                    </w:rPr>
                  </w:pPr>
                  <w:r>
                    <w:rPr>
                      <w:rFonts w:hint="eastAsia"/>
                      <w:color w:val="auto"/>
                      <w:szCs w:val="21"/>
                    </w:rPr>
                    <w:t>门卫</w:t>
                  </w:r>
                </w:p>
              </w:tc>
            </w:tr>
            <w:tr w14:paraId="32862B71">
              <w:trPr>
                <w:trHeight w:val="397" w:hRule="atLeast"/>
                <w:jc w:val="center"/>
              </w:trPr>
              <w:tc>
                <w:tcPr>
                  <w:tcW w:w="1082" w:type="pct"/>
                  <w:tcBorders>
                    <w:tl2br w:val="nil"/>
                    <w:tr2bl w:val="nil"/>
                  </w:tcBorders>
                  <w:shd w:val="clear" w:color="auto" w:fill="auto"/>
                  <w:vAlign w:val="center"/>
                </w:tcPr>
                <w:p w14:paraId="3F2DC39F">
                  <w:pPr>
                    <w:keepNext w:val="0"/>
                    <w:keepLines w:val="0"/>
                    <w:suppressLineNumbers w:val="0"/>
                    <w:spacing w:before="0" w:beforeAutospacing="0" w:after="0" w:afterAutospacing="0"/>
                    <w:ind w:left="0" w:right="0"/>
                    <w:jc w:val="center"/>
                    <w:rPr>
                      <w:rFonts w:hint="eastAsia" w:eastAsiaTheme="minorEastAsia"/>
                      <w:color w:val="auto"/>
                      <w:szCs w:val="21"/>
                      <w:lang w:val="en-US" w:eastAsia="zh-CN"/>
                    </w:rPr>
                  </w:pPr>
                  <w:r>
                    <w:rPr>
                      <w:rFonts w:hint="eastAsia"/>
                      <w:color w:val="auto"/>
                      <w:szCs w:val="21"/>
                      <w:lang w:val="en-US" w:eastAsia="zh-CN"/>
                    </w:rPr>
                    <w:t>合计</w:t>
                  </w:r>
                </w:p>
              </w:tc>
              <w:tc>
                <w:tcPr>
                  <w:tcW w:w="859" w:type="pct"/>
                  <w:tcBorders>
                    <w:tl2br w:val="nil"/>
                    <w:tr2bl w:val="nil"/>
                  </w:tcBorders>
                  <w:shd w:val="clear" w:color="auto" w:fill="auto"/>
                  <w:vAlign w:val="center"/>
                </w:tcPr>
                <w:p w14:paraId="0E0C7558">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18157.84</w:t>
                  </w:r>
                </w:p>
              </w:tc>
              <w:tc>
                <w:tcPr>
                  <w:tcW w:w="838" w:type="pct"/>
                  <w:tcBorders>
                    <w:tl2br w:val="nil"/>
                    <w:tr2bl w:val="nil"/>
                  </w:tcBorders>
                  <w:shd w:val="clear" w:color="auto" w:fill="auto"/>
                  <w:vAlign w:val="center"/>
                </w:tcPr>
                <w:p w14:paraId="0AD4C6EB">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45350.64</w:t>
                  </w:r>
                </w:p>
              </w:tc>
              <w:tc>
                <w:tcPr>
                  <w:tcW w:w="866" w:type="pct"/>
                  <w:tcBorders>
                    <w:tl2br w:val="nil"/>
                    <w:tr2bl w:val="nil"/>
                  </w:tcBorders>
                  <w:shd w:val="clear" w:color="auto" w:fill="auto"/>
                  <w:vAlign w:val="center"/>
                </w:tcPr>
                <w:p w14:paraId="1A4954CB">
                  <w:pPr>
                    <w:keepNext w:val="0"/>
                    <w:keepLines w:val="0"/>
                    <w:suppressLineNumbers w:val="0"/>
                    <w:spacing w:before="0" w:beforeAutospacing="0" w:after="0" w:afterAutospacing="0"/>
                    <w:ind w:left="0" w:right="0"/>
                    <w:jc w:val="center"/>
                    <w:rPr>
                      <w:rFonts w:hint="eastAsia" w:eastAsiaTheme="minorEastAsia"/>
                      <w:color w:val="auto"/>
                      <w:szCs w:val="21"/>
                      <w:lang w:val="en-US" w:eastAsia="zh-CN"/>
                    </w:rPr>
                  </w:pPr>
                  <w:r>
                    <w:rPr>
                      <w:rFonts w:hint="eastAsia"/>
                      <w:color w:val="auto"/>
                      <w:szCs w:val="21"/>
                      <w:lang w:val="en-US" w:eastAsia="zh-CN"/>
                    </w:rPr>
                    <w:t>/</w:t>
                  </w:r>
                </w:p>
              </w:tc>
              <w:tc>
                <w:tcPr>
                  <w:tcW w:w="1353" w:type="pct"/>
                  <w:tcBorders>
                    <w:tl2br w:val="nil"/>
                    <w:tr2bl w:val="nil"/>
                  </w:tcBorders>
                  <w:shd w:val="clear" w:color="auto" w:fill="auto"/>
                  <w:vAlign w:val="center"/>
                </w:tcPr>
                <w:p w14:paraId="683EBD65">
                  <w:pPr>
                    <w:keepNext w:val="0"/>
                    <w:keepLines w:val="0"/>
                    <w:suppressLineNumbers w:val="0"/>
                    <w:spacing w:before="0" w:beforeAutospacing="0" w:after="0" w:afterAutospacing="0"/>
                    <w:ind w:left="0" w:right="0"/>
                    <w:jc w:val="center"/>
                    <w:rPr>
                      <w:rFonts w:hint="eastAsia" w:eastAsiaTheme="minorEastAsia"/>
                      <w:color w:val="auto"/>
                      <w:szCs w:val="21"/>
                      <w:lang w:val="en-US" w:eastAsia="zh-CN"/>
                    </w:rPr>
                  </w:pPr>
                  <w:r>
                    <w:rPr>
                      <w:rFonts w:hint="eastAsia"/>
                      <w:color w:val="auto"/>
                      <w:szCs w:val="21"/>
                      <w:lang w:val="en-US" w:eastAsia="zh-CN"/>
                    </w:rPr>
                    <w:t>/</w:t>
                  </w:r>
                </w:p>
              </w:tc>
            </w:tr>
          </w:tbl>
          <w:p w14:paraId="1E1BCEE8">
            <w:pPr>
              <w:pStyle w:val="100"/>
              <w:keepNext w:val="0"/>
              <w:keepLines w:val="0"/>
              <w:suppressLineNumbers w:val="0"/>
              <w:spacing w:before="0" w:beforeAutospacing="0" w:after="0" w:afterAutospacing="0" w:line="240" w:lineRule="auto"/>
              <w:ind w:left="0" w:right="0" w:firstLine="0" w:firstLineChars="0"/>
              <w:jc w:val="center"/>
              <w:rPr>
                <w:rFonts w:eastAsia="宋体"/>
                <w:color w:val="auto"/>
                <w:highlight w:val="none"/>
              </w:rPr>
            </w:pPr>
            <w:r>
              <w:rPr>
                <w:rFonts w:eastAsia="宋体"/>
                <w:b/>
                <w:color w:val="auto"/>
                <w:highlight w:val="none"/>
              </w:rPr>
              <w:t>表2-</w:t>
            </w:r>
            <w:r>
              <w:rPr>
                <w:rFonts w:hint="eastAsia" w:eastAsia="宋体"/>
                <w:b/>
                <w:color w:val="auto"/>
                <w:highlight w:val="none"/>
                <w:lang w:val="en-US" w:eastAsia="zh-CN"/>
              </w:rPr>
              <w:t>4</w:t>
            </w:r>
            <w:r>
              <w:rPr>
                <w:rFonts w:eastAsia="宋体"/>
                <w:b/>
                <w:color w:val="auto"/>
                <w:highlight w:val="none"/>
              </w:rPr>
              <w:t xml:space="preserve">  公用及辅助工程一览表</w:t>
            </w:r>
          </w:p>
          <w:tbl>
            <w:tblPr>
              <w:tblStyle w:val="88"/>
              <w:tblW w:w="48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7"/>
              <w:gridCol w:w="1077"/>
              <w:gridCol w:w="1483"/>
              <w:gridCol w:w="3920"/>
              <w:gridCol w:w="1032"/>
            </w:tblGrid>
            <w:tr w14:paraId="7C84EE17">
              <w:trPr>
                <w:trHeight w:val="90" w:hRule="atLeast"/>
                <w:jc w:val="center"/>
              </w:trPr>
              <w:tc>
                <w:tcPr>
                  <w:tcW w:w="430" w:type="pct"/>
                  <w:vAlign w:val="center"/>
                </w:tcPr>
                <w:p w14:paraId="3D0B48E1">
                  <w:pPr>
                    <w:pStyle w:val="129"/>
                    <w:keepNext w:val="0"/>
                    <w:keepLines w:val="0"/>
                    <w:suppressLineNumbers w:val="0"/>
                    <w:spacing w:before="0" w:beforeAutospacing="0" w:after="0" w:afterAutospacing="0"/>
                    <w:ind w:left="0" w:right="0"/>
                    <w:rPr>
                      <w:rFonts w:hAnsi="Times New Roman"/>
                      <w:color w:val="auto"/>
                      <w:highlight w:val="none"/>
                    </w:rPr>
                  </w:pPr>
                  <w:r>
                    <w:rPr>
                      <w:color w:val="auto"/>
                      <w:highlight w:val="none"/>
                    </w:rPr>
                    <w:t>项目</w:t>
                  </w:r>
                </w:p>
              </w:tc>
              <w:tc>
                <w:tcPr>
                  <w:tcW w:w="655" w:type="pct"/>
                  <w:vAlign w:val="center"/>
                </w:tcPr>
                <w:p w14:paraId="67FAD434">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建设名称</w:t>
                  </w:r>
                </w:p>
              </w:tc>
              <w:tc>
                <w:tcPr>
                  <w:tcW w:w="3286" w:type="pct"/>
                  <w:gridSpan w:val="2"/>
                  <w:vAlign w:val="center"/>
                </w:tcPr>
                <w:p w14:paraId="15EB0160">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工程内容</w:t>
                  </w:r>
                </w:p>
              </w:tc>
              <w:tc>
                <w:tcPr>
                  <w:tcW w:w="627" w:type="pct"/>
                  <w:vAlign w:val="center"/>
                </w:tcPr>
                <w:p w14:paraId="7FC286D2">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备注</w:t>
                  </w:r>
                </w:p>
              </w:tc>
            </w:tr>
            <w:tr w14:paraId="128904C5">
              <w:trPr>
                <w:trHeight w:val="340" w:hRule="atLeast"/>
                <w:jc w:val="center"/>
              </w:trPr>
              <w:tc>
                <w:tcPr>
                  <w:tcW w:w="430" w:type="pct"/>
                  <w:vMerge w:val="restart"/>
                  <w:vAlign w:val="center"/>
                </w:tcPr>
                <w:p w14:paraId="65641C55">
                  <w:pPr>
                    <w:pStyle w:val="154"/>
                    <w:keepNext w:val="0"/>
                    <w:keepLines w:val="0"/>
                    <w:suppressLineNumbers w:val="0"/>
                    <w:spacing w:before="0" w:beforeAutospacing="0" w:after="0" w:afterAutospacing="0"/>
                    <w:ind w:left="0" w:right="0"/>
                    <w:rPr>
                      <w:rFonts w:ascii="Times New Roman" w:hAnsi="Times New Roman" w:cs="Times New Roman"/>
                      <w:color w:val="auto"/>
                      <w:highlight w:val="none"/>
                    </w:rPr>
                  </w:pPr>
                  <w:r>
                    <w:rPr>
                      <w:rFonts w:hint="eastAsia"/>
                      <w:color w:val="auto"/>
                      <w:highlight w:val="none"/>
                    </w:rPr>
                    <w:t>主体工程</w:t>
                  </w:r>
                </w:p>
              </w:tc>
              <w:tc>
                <w:tcPr>
                  <w:tcW w:w="655" w:type="pct"/>
                  <w:vAlign w:val="center"/>
                </w:tcPr>
                <w:p w14:paraId="405DB43D">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szCs w:val="21"/>
                      <w:lang w:val="en-US" w:eastAsia="zh-CN"/>
                    </w:rPr>
                    <w:t>1</w:t>
                  </w:r>
                  <w:r>
                    <w:rPr>
                      <w:rFonts w:hint="eastAsia"/>
                      <w:color w:val="auto"/>
                      <w:szCs w:val="21"/>
                    </w:rPr>
                    <w:t>#厂房</w:t>
                  </w:r>
                </w:p>
              </w:tc>
              <w:tc>
                <w:tcPr>
                  <w:tcW w:w="3286" w:type="pct"/>
                  <w:gridSpan w:val="2"/>
                  <w:vAlign w:val="center"/>
                </w:tcPr>
                <w:p w14:paraId="139B897B">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3</w:t>
                  </w:r>
                  <w:r>
                    <w:rPr>
                      <w:color w:val="auto"/>
                      <w:highlight w:val="none"/>
                    </w:rPr>
                    <w:t>F，</w:t>
                  </w:r>
                  <w:r>
                    <w:rPr>
                      <w:rFonts w:hint="eastAsia"/>
                      <w:color w:val="auto"/>
                      <w:highlight w:val="none"/>
                    </w:rPr>
                    <w:t>建筑面积：</w:t>
                  </w:r>
                  <w:r>
                    <w:rPr>
                      <w:rFonts w:hint="eastAsia"/>
                      <w:color w:val="auto"/>
                      <w:szCs w:val="21"/>
                      <w:lang w:val="en-US" w:eastAsia="zh-CN"/>
                    </w:rPr>
                    <w:t>20860.07</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一层主要为展示厅，二层</w:t>
                  </w:r>
                  <w:r>
                    <w:rPr>
                      <w:rFonts w:hint="eastAsia" w:hAnsi="宋体"/>
                      <w:color w:val="auto"/>
                      <w:highlight w:val="none"/>
                    </w:rPr>
                    <w:t>主要</w:t>
                  </w:r>
                  <w:r>
                    <w:rPr>
                      <w:rFonts w:hAnsi="宋体"/>
                      <w:color w:val="auto"/>
                      <w:highlight w:val="none"/>
                    </w:rPr>
                    <w:t>布置</w:t>
                  </w:r>
                  <w:r>
                    <w:rPr>
                      <w:rFonts w:hint="eastAsia" w:hAnsi="宋体"/>
                      <w:color w:val="auto"/>
                      <w:highlight w:val="none"/>
                      <w:lang w:val="en-US" w:eastAsia="zh-CN"/>
                    </w:rPr>
                    <w:t>仓库和机加工区</w:t>
                  </w:r>
                  <w:r>
                    <w:rPr>
                      <w:rFonts w:hint="eastAsia" w:hAnsi="宋体"/>
                      <w:color w:val="auto"/>
                      <w:highlight w:val="none"/>
                      <w:lang w:eastAsia="zh-CN"/>
                    </w:rPr>
                    <w:t>，</w:t>
                  </w:r>
                  <w:r>
                    <w:rPr>
                      <w:rFonts w:hint="eastAsia" w:hAnsi="宋体"/>
                      <w:color w:val="auto"/>
                      <w:highlight w:val="none"/>
                      <w:lang w:val="en-US" w:eastAsia="zh-CN"/>
                    </w:rPr>
                    <w:t>三层</w:t>
                  </w:r>
                  <w:r>
                    <w:rPr>
                      <w:rFonts w:hint="eastAsia" w:hAnsi="宋体"/>
                      <w:color w:val="auto"/>
                      <w:highlight w:val="none"/>
                    </w:rPr>
                    <w:t>布置</w:t>
                  </w:r>
                  <w:r>
                    <w:rPr>
                      <w:rFonts w:hint="eastAsia" w:hAnsi="宋体"/>
                      <w:color w:val="auto"/>
                      <w:highlight w:val="none"/>
                      <w:lang w:val="en-US" w:eastAsia="zh-CN"/>
                    </w:rPr>
                    <w:t>机加工区和检验区</w:t>
                  </w:r>
                </w:p>
              </w:tc>
              <w:tc>
                <w:tcPr>
                  <w:tcW w:w="627" w:type="pct"/>
                  <w:vAlign w:val="center"/>
                </w:tcPr>
                <w:p w14:paraId="0D27CE1F">
                  <w:pPr>
                    <w:pStyle w:val="154"/>
                    <w:keepNext w:val="0"/>
                    <w:keepLines w:val="0"/>
                    <w:suppressLineNumbers w:val="0"/>
                    <w:spacing w:before="0" w:beforeAutospacing="0" w:after="0" w:afterAutospacing="0"/>
                    <w:ind w:left="0" w:right="0"/>
                    <w:rPr>
                      <w:rFonts w:hint="eastAsia" w:cs="宋体"/>
                      <w:color w:val="auto"/>
                      <w:highlight w:val="none"/>
                    </w:rPr>
                  </w:pPr>
                  <w:r>
                    <w:rPr>
                      <w:color w:val="auto"/>
                      <w:szCs w:val="21"/>
                    </w:rPr>
                    <w:t>新建</w:t>
                  </w:r>
                </w:p>
              </w:tc>
            </w:tr>
            <w:tr w14:paraId="7845012A">
              <w:trPr>
                <w:trHeight w:val="340" w:hRule="atLeast"/>
                <w:jc w:val="center"/>
              </w:trPr>
              <w:tc>
                <w:tcPr>
                  <w:tcW w:w="430" w:type="pct"/>
                  <w:vMerge w:val="continue"/>
                  <w:vAlign w:val="center"/>
                </w:tcPr>
                <w:p w14:paraId="1B7D83B6">
                  <w:pPr>
                    <w:pStyle w:val="154"/>
                    <w:keepNext w:val="0"/>
                    <w:keepLines w:val="0"/>
                    <w:suppressLineNumbers w:val="0"/>
                    <w:spacing w:before="0" w:beforeAutospacing="0" w:after="0" w:afterAutospacing="0"/>
                    <w:ind w:left="0" w:right="0"/>
                    <w:rPr>
                      <w:rFonts w:hint="eastAsia"/>
                      <w:color w:val="auto"/>
                      <w:highlight w:val="none"/>
                    </w:rPr>
                  </w:pPr>
                </w:p>
              </w:tc>
              <w:tc>
                <w:tcPr>
                  <w:tcW w:w="655" w:type="pct"/>
                  <w:vAlign w:val="center"/>
                </w:tcPr>
                <w:p w14:paraId="70E9361E">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szCs w:val="21"/>
                      <w:lang w:val="en-US" w:eastAsia="zh-CN"/>
                    </w:rPr>
                    <w:t>2</w:t>
                  </w:r>
                  <w:r>
                    <w:rPr>
                      <w:rFonts w:hint="eastAsia"/>
                      <w:color w:val="auto"/>
                      <w:szCs w:val="21"/>
                    </w:rPr>
                    <w:t>#厂房</w:t>
                  </w:r>
                </w:p>
              </w:tc>
              <w:tc>
                <w:tcPr>
                  <w:tcW w:w="3286" w:type="pct"/>
                  <w:gridSpan w:val="2"/>
                  <w:vAlign w:val="center"/>
                </w:tcPr>
                <w:p w14:paraId="453AA6CD">
                  <w:pPr>
                    <w:keepNext w:val="0"/>
                    <w:keepLines w:val="0"/>
                    <w:suppressLineNumbers w:val="0"/>
                    <w:adjustRightInd w:val="0"/>
                    <w:snapToGrid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w:t>
                  </w:r>
                  <w:r>
                    <w:rPr>
                      <w:color w:val="auto"/>
                      <w:highlight w:val="none"/>
                    </w:rPr>
                    <w:t>F，</w:t>
                  </w:r>
                  <w:r>
                    <w:rPr>
                      <w:rFonts w:hint="eastAsia"/>
                      <w:color w:val="auto"/>
                      <w:highlight w:val="none"/>
                    </w:rPr>
                    <w:t>建筑面积：</w:t>
                  </w:r>
                  <w:r>
                    <w:rPr>
                      <w:rFonts w:hint="eastAsia"/>
                      <w:color w:val="auto"/>
                      <w:szCs w:val="21"/>
                      <w:lang w:val="en-US" w:eastAsia="zh-CN"/>
                    </w:rPr>
                    <w:t>13292.76</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一层</w:t>
                  </w:r>
                  <w:r>
                    <w:rPr>
                      <w:rFonts w:hAnsi="宋体"/>
                      <w:color w:val="auto"/>
                      <w:highlight w:val="none"/>
                    </w:rPr>
                    <w:t>布置</w:t>
                  </w:r>
                  <w:r>
                    <w:rPr>
                      <w:rFonts w:hint="eastAsia" w:hAnsi="宋体"/>
                      <w:color w:val="auto"/>
                      <w:highlight w:val="none"/>
                      <w:lang w:val="en-US" w:eastAsia="zh-CN"/>
                    </w:rPr>
                    <w:t>仓库和机加工区，二层均布置为机加工区</w:t>
                  </w:r>
                </w:p>
              </w:tc>
              <w:tc>
                <w:tcPr>
                  <w:tcW w:w="627" w:type="pct"/>
                  <w:vAlign w:val="center"/>
                </w:tcPr>
                <w:p w14:paraId="2DE40853">
                  <w:pPr>
                    <w:pStyle w:val="154"/>
                    <w:keepNext w:val="0"/>
                    <w:keepLines w:val="0"/>
                    <w:suppressLineNumbers w:val="0"/>
                    <w:spacing w:before="0" w:beforeAutospacing="0" w:after="0" w:afterAutospacing="0"/>
                    <w:ind w:left="0" w:right="0"/>
                    <w:rPr>
                      <w:rFonts w:hint="eastAsia" w:cs="宋体"/>
                      <w:color w:val="auto"/>
                      <w:highlight w:val="none"/>
                    </w:rPr>
                  </w:pPr>
                  <w:r>
                    <w:rPr>
                      <w:color w:val="auto"/>
                      <w:szCs w:val="21"/>
                    </w:rPr>
                    <w:t>新建</w:t>
                  </w:r>
                </w:p>
              </w:tc>
            </w:tr>
            <w:tr w14:paraId="61F3995D">
              <w:trPr>
                <w:trHeight w:val="340" w:hRule="atLeast"/>
                <w:jc w:val="center"/>
              </w:trPr>
              <w:tc>
                <w:tcPr>
                  <w:tcW w:w="430" w:type="pct"/>
                  <w:vMerge w:val="continue"/>
                  <w:vAlign w:val="center"/>
                </w:tcPr>
                <w:p w14:paraId="3987BDD7">
                  <w:pPr>
                    <w:pStyle w:val="154"/>
                    <w:keepNext w:val="0"/>
                    <w:keepLines w:val="0"/>
                    <w:suppressLineNumbers w:val="0"/>
                    <w:spacing w:before="0" w:beforeAutospacing="0" w:after="0" w:afterAutospacing="0"/>
                    <w:ind w:left="0" w:right="0"/>
                    <w:rPr>
                      <w:rFonts w:ascii="Times New Roman" w:hAnsi="Times New Roman" w:cs="Times New Roman"/>
                      <w:color w:val="auto"/>
                      <w:highlight w:val="none"/>
                    </w:rPr>
                  </w:pPr>
                </w:p>
              </w:tc>
              <w:tc>
                <w:tcPr>
                  <w:tcW w:w="655" w:type="pct"/>
                  <w:vAlign w:val="center"/>
                </w:tcPr>
                <w:p w14:paraId="6819BBA1">
                  <w:pPr>
                    <w:keepNext w:val="0"/>
                    <w:keepLines w:val="0"/>
                    <w:suppressLineNumbers w:val="0"/>
                    <w:adjustRightInd w:val="0"/>
                    <w:snapToGrid w:val="0"/>
                    <w:spacing w:before="0" w:beforeAutospacing="0" w:after="0" w:afterAutospacing="0"/>
                    <w:ind w:left="0" w:right="0"/>
                    <w:jc w:val="center"/>
                    <w:rPr>
                      <w:color w:val="auto"/>
                      <w:highlight w:val="none"/>
                    </w:rPr>
                  </w:pPr>
                  <w:r>
                    <w:rPr>
                      <w:rFonts w:hint="eastAsia"/>
                      <w:color w:val="auto"/>
                      <w:highlight w:val="none"/>
                      <w:lang w:val="en-US" w:eastAsia="zh-CN"/>
                    </w:rPr>
                    <w:t>3#</w:t>
                  </w:r>
                  <w:r>
                    <w:rPr>
                      <w:rFonts w:hint="eastAsia"/>
                      <w:color w:val="auto"/>
                      <w:highlight w:val="none"/>
                    </w:rPr>
                    <w:t>厂房</w:t>
                  </w:r>
                </w:p>
              </w:tc>
              <w:tc>
                <w:tcPr>
                  <w:tcW w:w="3286" w:type="pct"/>
                  <w:gridSpan w:val="2"/>
                  <w:vAlign w:val="center"/>
                </w:tcPr>
                <w:p w14:paraId="0B3B55F9">
                  <w:pPr>
                    <w:keepNext w:val="0"/>
                    <w:keepLines w:val="0"/>
                    <w:suppressLineNumbers w:val="0"/>
                    <w:adjustRightInd w:val="0"/>
                    <w:snapToGrid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w:t>
                  </w:r>
                  <w:r>
                    <w:rPr>
                      <w:color w:val="auto"/>
                      <w:highlight w:val="none"/>
                    </w:rPr>
                    <w:t>F，</w:t>
                  </w:r>
                  <w:r>
                    <w:rPr>
                      <w:rFonts w:hint="eastAsia"/>
                      <w:color w:val="auto"/>
                      <w:highlight w:val="none"/>
                    </w:rPr>
                    <w:t>建筑面积：</w:t>
                  </w:r>
                  <w:r>
                    <w:rPr>
                      <w:rFonts w:hint="eastAsia"/>
                      <w:color w:val="auto"/>
                      <w:szCs w:val="21"/>
                      <w:lang w:val="en-US" w:eastAsia="zh-CN"/>
                    </w:rPr>
                    <w:t>8721.07</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，一</w:t>
                  </w:r>
                  <w:r>
                    <w:rPr>
                      <w:rFonts w:hint="eastAsia" w:hAnsi="宋体"/>
                      <w:color w:val="auto"/>
                      <w:highlight w:val="none"/>
                      <w:lang w:val="en-US" w:eastAsia="zh-CN"/>
                    </w:rPr>
                    <w:t>层</w:t>
                  </w:r>
                  <w:r>
                    <w:rPr>
                      <w:rFonts w:hint="eastAsia" w:hAnsi="宋体"/>
                      <w:color w:val="auto"/>
                      <w:highlight w:val="none"/>
                    </w:rPr>
                    <w:t>主要</w:t>
                  </w:r>
                  <w:r>
                    <w:rPr>
                      <w:rFonts w:hAnsi="宋体"/>
                      <w:color w:val="auto"/>
                      <w:highlight w:val="none"/>
                    </w:rPr>
                    <w:t>布置</w:t>
                  </w:r>
                  <w:r>
                    <w:rPr>
                      <w:rFonts w:hint="eastAsia" w:hAnsi="宋体"/>
                      <w:color w:val="auto"/>
                      <w:highlight w:val="none"/>
                      <w:lang w:val="en-US" w:eastAsia="zh-CN"/>
                    </w:rPr>
                    <w:t>仓库、下料区、喷漆区和喷塑固化区</w:t>
                  </w:r>
                  <w:r>
                    <w:rPr>
                      <w:rFonts w:hint="eastAsia" w:hAnsi="宋体"/>
                      <w:color w:val="auto"/>
                      <w:highlight w:val="none"/>
                      <w:lang w:eastAsia="zh-CN"/>
                    </w:rPr>
                    <w:t>，</w:t>
                  </w:r>
                  <w:r>
                    <w:rPr>
                      <w:rFonts w:hint="eastAsia" w:hAnsi="宋体"/>
                      <w:color w:val="auto"/>
                      <w:highlight w:val="none"/>
                    </w:rPr>
                    <w:t>二楼布置</w:t>
                  </w:r>
                  <w:r>
                    <w:rPr>
                      <w:rFonts w:hint="eastAsia" w:hAnsi="宋体"/>
                      <w:color w:val="auto"/>
                      <w:highlight w:val="none"/>
                      <w:lang w:val="en-US" w:eastAsia="zh-CN"/>
                    </w:rPr>
                    <w:t>焊接区、烘干区</w:t>
                  </w:r>
                </w:p>
              </w:tc>
              <w:tc>
                <w:tcPr>
                  <w:tcW w:w="627" w:type="pct"/>
                  <w:vAlign w:val="center"/>
                </w:tcPr>
                <w:p w14:paraId="2F861635">
                  <w:pPr>
                    <w:pStyle w:val="154"/>
                    <w:keepNext w:val="0"/>
                    <w:keepLines w:val="0"/>
                    <w:suppressLineNumbers w:val="0"/>
                    <w:spacing w:before="0" w:beforeAutospacing="0" w:after="0" w:afterAutospacing="0"/>
                    <w:ind w:left="0" w:right="0"/>
                    <w:rPr>
                      <w:color w:val="auto"/>
                      <w:highlight w:val="none"/>
                    </w:rPr>
                  </w:pPr>
                  <w:r>
                    <w:rPr>
                      <w:color w:val="auto"/>
                      <w:szCs w:val="21"/>
                    </w:rPr>
                    <w:t>新建</w:t>
                  </w:r>
                </w:p>
              </w:tc>
            </w:tr>
            <w:tr w14:paraId="2ACD75A1">
              <w:trPr>
                <w:trHeight w:val="340" w:hRule="atLeast"/>
                <w:jc w:val="center"/>
              </w:trPr>
              <w:tc>
                <w:tcPr>
                  <w:tcW w:w="430" w:type="pct"/>
                  <w:vMerge w:val="restart"/>
                  <w:vAlign w:val="center"/>
                </w:tcPr>
                <w:p w14:paraId="20AFE224">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贮存工程</w:t>
                  </w:r>
                </w:p>
              </w:tc>
              <w:tc>
                <w:tcPr>
                  <w:tcW w:w="655" w:type="pct"/>
                  <w:vAlign w:val="center"/>
                </w:tcPr>
                <w:p w14:paraId="4BB1F759">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仓库</w:t>
                  </w:r>
                </w:p>
              </w:tc>
              <w:tc>
                <w:tcPr>
                  <w:tcW w:w="3286" w:type="pct"/>
                  <w:gridSpan w:val="2"/>
                  <w:vAlign w:val="center"/>
                </w:tcPr>
                <w:p w14:paraId="606E15C5">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rPr>
                  </w:pPr>
                  <w:r>
                    <w:rPr>
                      <w:rFonts w:hint="eastAsia"/>
                      <w:color w:val="auto"/>
                      <w:highlight w:val="none"/>
                    </w:rPr>
                    <w:t>用于原料和成品暂存，</w:t>
                  </w:r>
                  <w:r>
                    <w:rPr>
                      <w:rFonts w:hint="eastAsia" w:eastAsia="宋体"/>
                      <w:color w:val="auto"/>
                      <w:highlight w:val="none"/>
                    </w:rPr>
                    <w:t>位于</w:t>
                  </w:r>
                  <w:r>
                    <w:rPr>
                      <w:rFonts w:hint="eastAsia" w:eastAsia="宋体"/>
                      <w:color w:val="auto"/>
                      <w:highlight w:val="none"/>
                      <w:lang w:val="en-US" w:eastAsia="zh-CN"/>
                    </w:rPr>
                    <w:t>1#</w:t>
                  </w:r>
                  <w:r>
                    <w:rPr>
                      <w:rFonts w:hint="eastAsia" w:eastAsia="宋体"/>
                      <w:color w:val="auto"/>
                      <w:highlight w:val="none"/>
                    </w:rPr>
                    <w:t>厂房</w:t>
                  </w:r>
                  <w:r>
                    <w:rPr>
                      <w:rFonts w:hint="eastAsia" w:eastAsia="宋体"/>
                      <w:color w:val="auto"/>
                      <w:highlight w:val="none"/>
                      <w:lang w:val="en-US" w:eastAsia="zh-CN"/>
                    </w:rPr>
                    <w:t>一层二层和3#厂房一层</w:t>
                  </w:r>
                </w:p>
              </w:tc>
              <w:tc>
                <w:tcPr>
                  <w:tcW w:w="627" w:type="pct"/>
                  <w:vAlign w:val="center"/>
                </w:tcPr>
                <w:p w14:paraId="42D9C86A">
                  <w:pPr>
                    <w:keepNext w:val="0"/>
                    <w:keepLines w:val="0"/>
                    <w:suppressLineNumbers w:val="0"/>
                    <w:adjustRightInd w:val="0"/>
                    <w:snapToGrid w:val="0"/>
                    <w:spacing w:before="0" w:beforeAutospacing="0" w:after="0" w:afterAutospacing="0"/>
                    <w:ind w:left="0" w:right="0"/>
                    <w:jc w:val="center"/>
                    <w:rPr>
                      <w:color w:val="auto"/>
                      <w:highlight w:val="none"/>
                    </w:rPr>
                  </w:pPr>
                  <w:r>
                    <w:rPr>
                      <w:color w:val="auto"/>
                      <w:szCs w:val="21"/>
                    </w:rPr>
                    <w:t>新建</w:t>
                  </w:r>
                </w:p>
              </w:tc>
            </w:tr>
            <w:tr w14:paraId="6B8833F5">
              <w:trPr>
                <w:trHeight w:val="340" w:hRule="atLeast"/>
                <w:jc w:val="center"/>
              </w:trPr>
              <w:tc>
                <w:tcPr>
                  <w:tcW w:w="430" w:type="pct"/>
                  <w:vMerge w:val="continue"/>
                  <w:vAlign w:val="center"/>
                </w:tcPr>
                <w:p w14:paraId="4F09D6E0">
                  <w:pPr>
                    <w:pStyle w:val="154"/>
                    <w:keepNext w:val="0"/>
                    <w:keepLines w:val="0"/>
                    <w:suppressLineNumbers w:val="0"/>
                    <w:spacing w:before="0" w:beforeAutospacing="0" w:after="0" w:afterAutospacing="0"/>
                    <w:ind w:left="0" w:right="0"/>
                    <w:rPr>
                      <w:color w:val="auto"/>
                      <w:highlight w:val="none"/>
                    </w:rPr>
                  </w:pPr>
                </w:p>
              </w:tc>
              <w:tc>
                <w:tcPr>
                  <w:tcW w:w="655" w:type="pct"/>
                  <w:vAlign w:val="center"/>
                </w:tcPr>
                <w:p w14:paraId="46DAD65B">
                  <w:pPr>
                    <w:pStyle w:val="154"/>
                    <w:keepNext w:val="0"/>
                    <w:keepLines w:val="0"/>
                    <w:suppressLineNumbers w:val="0"/>
                    <w:spacing w:before="0" w:beforeAutospacing="0" w:after="0" w:afterAutospacing="0"/>
                    <w:ind w:left="0" w:right="0"/>
                    <w:rPr>
                      <w:color w:val="auto"/>
                      <w:highlight w:val="none"/>
                    </w:rPr>
                  </w:pPr>
                  <w:r>
                    <w:rPr>
                      <w:rFonts w:hint="eastAsia"/>
                      <w:color w:val="auto"/>
                      <w:szCs w:val="21"/>
                      <w:lang w:val="en-US" w:eastAsia="zh-CN"/>
                    </w:rPr>
                    <w:t>固废库</w:t>
                  </w:r>
                </w:p>
              </w:tc>
              <w:tc>
                <w:tcPr>
                  <w:tcW w:w="3286" w:type="pct"/>
                  <w:gridSpan w:val="2"/>
                  <w:vAlign w:val="center"/>
                </w:tcPr>
                <w:p w14:paraId="2C13094B">
                  <w:pPr>
                    <w:keepNext w:val="0"/>
                    <w:keepLines w:val="0"/>
                    <w:suppressLineNumbers w:val="0"/>
                    <w:adjustRightInd w:val="0"/>
                    <w:snapToGrid w:val="0"/>
                    <w:spacing w:before="0" w:beforeAutospacing="0" w:after="0" w:afterAutospacing="0"/>
                    <w:ind w:left="0" w:right="0"/>
                    <w:jc w:val="center"/>
                    <w:rPr>
                      <w:rFonts w:hint="eastAsia"/>
                      <w:color w:val="auto"/>
                      <w:highlight w:val="none"/>
                    </w:rPr>
                  </w:pPr>
                  <w:r>
                    <w:rPr>
                      <w:rFonts w:hint="eastAsia"/>
                      <w:color w:val="auto"/>
                      <w:highlight w:val="none"/>
                    </w:rPr>
                    <w:t>建筑面积：</w:t>
                  </w:r>
                  <w:r>
                    <w:rPr>
                      <w:rFonts w:hint="eastAsia"/>
                      <w:color w:val="auto"/>
                      <w:szCs w:val="21"/>
                      <w:lang w:val="en-US" w:eastAsia="zh-CN"/>
                    </w:rPr>
                    <w:t>40</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位于厂区西北侧，主要用于</w:t>
                  </w:r>
                  <w:r>
                    <w:rPr>
                      <w:rFonts w:hint="eastAsia"/>
                      <w:color w:val="auto"/>
                      <w:szCs w:val="21"/>
                      <w:lang w:val="en-US" w:eastAsia="zh-CN"/>
                    </w:rPr>
                    <w:t>一般固废暂存</w:t>
                  </w:r>
                </w:p>
              </w:tc>
              <w:tc>
                <w:tcPr>
                  <w:tcW w:w="627" w:type="pct"/>
                  <w:vAlign w:val="center"/>
                </w:tcPr>
                <w:p w14:paraId="251C3217">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lang w:val="en-US" w:eastAsia="zh-CN"/>
                    </w:rPr>
                  </w:pPr>
                  <w:r>
                    <w:rPr>
                      <w:rFonts w:hint="eastAsia"/>
                      <w:color w:val="auto"/>
                      <w:szCs w:val="21"/>
                      <w:lang w:val="en-US" w:eastAsia="zh-CN"/>
                    </w:rPr>
                    <w:t>新建</w:t>
                  </w:r>
                </w:p>
              </w:tc>
            </w:tr>
            <w:tr w14:paraId="6C8A8809">
              <w:trPr>
                <w:trHeight w:val="340" w:hRule="atLeast"/>
                <w:jc w:val="center"/>
              </w:trPr>
              <w:tc>
                <w:tcPr>
                  <w:tcW w:w="430" w:type="pct"/>
                  <w:vMerge w:val="continue"/>
                  <w:vAlign w:val="center"/>
                </w:tcPr>
                <w:p w14:paraId="59622FAC">
                  <w:pPr>
                    <w:pStyle w:val="154"/>
                    <w:keepNext w:val="0"/>
                    <w:keepLines w:val="0"/>
                    <w:suppressLineNumbers w:val="0"/>
                    <w:spacing w:before="0" w:beforeAutospacing="0" w:after="0" w:afterAutospacing="0"/>
                    <w:ind w:left="0" w:right="0"/>
                    <w:rPr>
                      <w:color w:val="auto"/>
                      <w:highlight w:val="none"/>
                    </w:rPr>
                  </w:pPr>
                </w:p>
              </w:tc>
              <w:tc>
                <w:tcPr>
                  <w:tcW w:w="655" w:type="pct"/>
                  <w:vAlign w:val="center"/>
                </w:tcPr>
                <w:p w14:paraId="05357144">
                  <w:pPr>
                    <w:pStyle w:val="154"/>
                    <w:keepNext w:val="0"/>
                    <w:keepLines w:val="0"/>
                    <w:suppressLineNumbers w:val="0"/>
                    <w:spacing w:before="0" w:beforeAutospacing="0" w:after="0" w:afterAutospacing="0"/>
                    <w:ind w:left="0" w:right="0"/>
                    <w:rPr>
                      <w:rFonts w:hint="default" w:eastAsiaTheme="minorEastAsia"/>
                      <w:color w:val="auto"/>
                      <w:highlight w:val="none"/>
                      <w:lang w:val="en-US" w:eastAsia="zh-CN"/>
                    </w:rPr>
                  </w:pPr>
                  <w:r>
                    <w:rPr>
                      <w:rFonts w:hint="eastAsia"/>
                      <w:color w:val="auto"/>
                      <w:highlight w:val="none"/>
                      <w:lang w:val="en-US" w:eastAsia="zh-CN"/>
                    </w:rPr>
                    <w:t>危废库</w:t>
                  </w:r>
                </w:p>
              </w:tc>
              <w:tc>
                <w:tcPr>
                  <w:tcW w:w="3286" w:type="pct"/>
                  <w:gridSpan w:val="2"/>
                  <w:vAlign w:val="center"/>
                </w:tcPr>
                <w:p w14:paraId="6FE8379A">
                  <w:pPr>
                    <w:keepNext w:val="0"/>
                    <w:keepLines w:val="0"/>
                    <w:suppressLineNumbers w:val="0"/>
                    <w:adjustRightInd w:val="0"/>
                    <w:snapToGrid w:val="0"/>
                    <w:spacing w:before="0" w:beforeAutospacing="0" w:after="0" w:afterAutospacing="0"/>
                    <w:ind w:left="0" w:right="0"/>
                    <w:jc w:val="center"/>
                    <w:rPr>
                      <w:rFonts w:hint="eastAsia"/>
                      <w:color w:val="auto"/>
                      <w:highlight w:val="none"/>
                    </w:rPr>
                  </w:pPr>
                  <w:r>
                    <w:rPr>
                      <w:rFonts w:hint="eastAsia"/>
                      <w:color w:val="auto"/>
                      <w:highlight w:val="none"/>
                    </w:rPr>
                    <w:t>建筑面积：</w:t>
                  </w:r>
                  <w:r>
                    <w:rPr>
                      <w:rFonts w:hint="eastAsia"/>
                      <w:color w:val="auto"/>
                      <w:szCs w:val="21"/>
                      <w:lang w:val="en-US" w:eastAsia="zh-CN"/>
                    </w:rPr>
                    <w:t>30</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位于2#厂房西北侧，主要用于</w:t>
                  </w:r>
                  <w:r>
                    <w:rPr>
                      <w:rFonts w:hint="eastAsia"/>
                      <w:color w:val="auto"/>
                      <w:szCs w:val="21"/>
                      <w:lang w:val="en-US" w:eastAsia="zh-CN"/>
                    </w:rPr>
                    <w:t>危险废物暂存</w:t>
                  </w:r>
                </w:p>
              </w:tc>
              <w:tc>
                <w:tcPr>
                  <w:tcW w:w="627" w:type="pct"/>
                  <w:vAlign w:val="center"/>
                </w:tcPr>
                <w:p w14:paraId="246487E7">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lang w:val="en-US" w:eastAsia="zh-CN"/>
                    </w:rPr>
                  </w:pPr>
                  <w:r>
                    <w:rPr>
                      <w:rFonts w:hint="eastAsia"/>
                      <w:color w:val="auto"/>
                      <w:szCs w:val="21"/>
                      <w:lang w:val="en-US" w:eastAsia="zh-CN"/>
                    </w:rPr>
                    <w:t>新建</w:t>
                  </w:r>
                </w:p>
              </w:tc>
            </w:tr>
            <w:tr w14:paraId="1AECD191">
              <w:trPr>
                <w:trHeight w:val="340" w:hRule="atLeast"/>
                <w:jc w:val="center"/>
              </w:trPr>
              <w:tc>
                <w:tcPr>
                  <w:tcW w:w="430" w:type="pct"/>
                  <w:vAlign w:val="center"/>
                </w:tcPr>
                <w:p w14:paraId="56ED117C">
                  <w:pPr>
                    <w:pStyle w:val="154"/>
                    <w:keepNext w:val="0"/>
                    <w:keepLines w:val="0"/>
                    <w:suppressLineNumbers w:val="0"/>
                    <w:spacing w:before="0" w:beforeAutospacing="0" w:after="0" w:afterAutospacing="0"/>
                    <w:ind w:left="0" w:right="0"/>
                    <w:rPr>
                      <w:rFonts w:hAnsi="Times New Roman"/>
                      <w:color w:val="auto"/>
                      <w:highlight w:val="none"/>
                    </w:rPr>
                  </w:pPr>
                  <w:r>
                    <w:rPr>
                      <w:rFonts w:hint="eastAsia" w:hAnsi="Times New Roman"/>
                      <w:color w:val="auto"/>
                      <w:highlight w:val="none"/>
                    </w:rPr>
                    <w:t>辅助工程</w:t>
                  </w:r>
                </w:p>
              </w:tc>
              <w:tc>
                <w:tcPr>
                  <w:tcW w:w="655" w:type="pct"/>
                  <w:vAlign w:val="center"/>
                </w:tcPr>
                <w:p w14:paraId="10549C4F">
                  <w:pPr>
                    <w:pStyle w:val="154"/>
                    <w:keepNext w:val="0"/>
                    <w:keepLines w:val="0"/>
                    <w:suppressLineNumbers w:val="0"/>
                    <w:spacing w:before="0" w:beforeAutospacing="0" w:after="0" w:afterAutospacing="0"/>
                    <w:ind w:left="0" w:right="0"/>
                    <w:rPr>
                      <w:rFonts w:hint="eastAsia" w:hAnsi="Times New Roman" w:eastAsiaTheme="minorEastAsia"/>
                      <w:color w:val="auto"/>
                      <w:highlight w:val="none"/>
                      <w:lang w:eastAsia="zh-CN"/>
                    </w:rPr>
                  </w:pPr>
                  <w:r>
                    <w:rPr>
                      <w:color w:val="auto"/>
                      <w:highlight w:val="none"/>
                    </w:rPr>
                    <w:t>办公</w:t>
                  </w:r>
                  <w:r>
                    <w:rPr>
                      <w:rFonts w:hint="eastAsia"/>
                      <w:color w:val="auto"/>
                      <w:highlight w:val="none"/>
                      <w:lang w:val="en-US" w:eastAsia="zh-CN"/>
                    </w:rPr>
                    <w:t>楼</w:t>
                  </w:r>
                </w:p>
              </w:tc>
              <w:tc>
                <w:tcPr>
                  <w:tcW w:w="3286" w:type="pct"/>
                  <w:gridSpan w:val="2"/>
                  <w:vAlign w:val="center"/>
                </w:tcPr>
                <w:p w14:paraId="1BF5C4D2">
                  <w:pPr>
                    <w:pStyle w:val="154"/>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4F，</w:t>
                  </w:r>
                  <w:r>
                    <w:rPr>
                      <w:rFonts w:ascii="Times New Roman" w:hAnsi="Times New Roman" w:eastAsia="宋体" w:cs="Times New Roman"/>
                      <w:color w:val="auto"/>
                      <w:highlight w:val="none"/>
                    </w:rPr>
                    <w:t>建筑面积</w:t>
                  </w:r>
                  <w:r>
                    <w:rPr>
                      <w:rFonts w:hint="default" w:ascii="Times New Roman" w:hAnsi="Times New Roman" w:cs="Times New Roman"/>
                      <w:color w:val="auto"/>
                      <w:szCs w:val="21"/>
                      <w:lang w:val="en-US" w:eastAsia="zh-CN"/>
                    </w:rPr>
                    <w:t>2358.24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位于厂区西北侧，一层</w:t>
                  </w:r>
                  <w:r>
                    <w:rPr>
                      <w:rFonts w:hint="eastAsia" w:ascii="Times New Roman" w:hAnsi="Times New Roman" w:eastAsia="宋体" w:cs="Times New Roman"/>
                      <w:color w:val="auto"/>
                      <w:highlight w:val="none"/>
                    </w:rPr>
                    <w:t>用于员</w:t>
                  </w:r>
                  <w:r>
                    <w:rPr>
                      <w:rFonts w:hint="eastAsia"/>
                      <w:color w:val="auto"/>
                      <w:lang w:val="en-US" w:eastAsia="zh-CN"/>
                    </w:rPr>
                    <w:t>工</w:t>
                  </w:r>
                  <w:r>
                    <w:rPr>
                      <w:rFonts w:hint="eastAsia" w:ascii="Times New Roman" w:hAnsi="Times New Roman" w:eastAsia="宋体" w:cs="Times New Roman"/>
                      <w:color w:val="auto"/>
                      <w:highlight w:val="none"/>
                      <w:lang w:val="en-US" w:eastAsia="zh-CN"/>
                    </w:rPr>
                    <w:t>食堂，二层、三层、四层均用于人员办公</w:t>
                  </w:r>
                </w:p>
              </w:tc>
              <w:tc>
                <w:tcPr>
                  <w:tcW w:w="627" w:type="pct"/>
                  <w:vAlign w:val="center"/>
                </w:tcPr>
                <w:p w14:paraId="321DEE64">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color w:val="auto"/>
                      <w:szCs w:val="21"/>
                    </w:rPr>
                    <w:t>新建</w:t>
                  </w:r>
                </w:p>
              </w:tc>
            </w:tr>
            <w:tr w14:paraId="5574936A">
              <w:trPr>
                <w:trHeight w:val="340" w:hRule="atLeast"/>
                <w:jc w:val="center"/>
              </w:trPr>
              <w:tc>
                <w:tcPr>
                  <w:tcW w:w="430" w:type="pct"/>
                  <w:vMerge w:val="restart"/>
                  <w:vAlign w:val="center"/>
                </w:tcPr>
                <w:p w14:paraId="40A1E66F">
                  <w:pPr>
                    <w:pStyle w:val="154"/>
                    <w:keepNext w:val="0"/>
                    <w:keepLines w:val="0"/>
                    <w:suppressLineNumbers w:val="0"/>
                    <w:spacing w:before="0" w:beforeAutospacing="0" w:after="0" w:afterAutospacing="0"/>
                    <w:ind w:left="0" w:right="0"/>
                    <w:rPr>
                      <w:color w:val="auto"/>
                      <w:highlight w:val="none"/>
                    </w:rPr>
                  </w:pPr>
                  <w:r>
                    <w:rPr>
                      <w:color w:val="auto"/>
                      <w:highlight w:val="none"/>
                    </w:rPr>
                    <w:t>公用工程</w:t>
                  </w:r>
                </w:p>
              </w:tc>
              <w:tc>
                <w:tcPr>
                  <w:tcW w:w="655" w:type="pct"/>
                  <w:vAlign w:val="center"/>
                </w:tcPr>
                <w:p w14:paraId="3499BDDB">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给水</w:t>
                  </w:r>
                </w:p>
              </w:tc>
              <w:tc>
                <w:tcPr>
                  <w:tcW w:w="3286" w:type="pct"/>
                  <w:gridSpan w:val="2"/>
                  <w:vAlign w:val="center"/>
                </w:tcPr>
                <w:p w14:paraId="10C6CFF7">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2045.3</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p>
              </w:tc>
              <w:tc>
                <w:tcPr>
                  <w:tcW w:w="627" w:type="pct"/>
                  <w:vAlign w:val="center"/>
                </w:tcPr>
                <w:p w14:paraId="06A7545C">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市政自来水管网</w:t>
                  </w:r>
                </w:p>
              </w:tc>
            </w:tr>
            <w:tr w14:paraId="338892F0">
              <w:trPr>
                <w:trHeight w:val="340" w:hRule="atLeast"/>
                <w:jc w:val="center"/>
              </w:trPr>
              <w:tc>
                <w:tcPr>
                  <w:tcW w:w="430" w:type="pct"/>
                  <w:vMerge w:val="continue"/>
                  <w:vAlign w:val="center"/>
                </w:tcPr>
                <w:p w14:paraId="688AF42C">
                  <w:pPr>
                    <w:pStyle w:val="154"/>
                    <w:keepNext w:val="0"/>
                    <w:keepLines w:val="0"/>
                    <w:suppressLineNumbers w:val="0"/>
                    <w:spacing w:before="0" w:beforeAutospacing="0" w:after="0" w:afterAutospacing="0"/>
                    <w:ind w:left="0" w:right="0"/>
                    <w:rPr>
                      <w:color w:val="auto"/>
                      <w:highlight w:val="none"/>
                    </w:rPr>
                  </w:pPr>
                </w:p>
              </w:tc>
              <w:tc>
                <w:tcPr>
                  <w:tcW w:w="655" w:type="pct"/>
                  <w:vAlign w:val="center"/>
                </w:tcPr>
                <w:p w14:paraId="14B194EA">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排水</w:t>
                  </w:r>
                </w:p>
              </w:tc>
              <w:tc>
                <w:tcPr>
                  <w:tcW w:w="3286" w:type="pct"/>
                  <w:gridSpan w:val="2"/>
                  <w:vAlign w:val="center"/>
                </w:tcPr>
                <w:p w14:paraId="7EE3BA64">
                  <w:pPr>
                    <w:pStyle w:val="154"/>
                    <w:keepNext w:val="0"/>
                    <w:keepLines w:val="0"/>
                    <w:suppressLineNumbers w:val="0"/>
                    <w:spacing w:before="0" w:beforeAutospacing="0" w:after="0" w:afterAutospacing="0"/>
                    <w:ind w:left="0" w:right="0"/>
                    <w:rPr>
                      <w:rFonts w:ascii="Times New Roman" w:hAnsi="Times New Roman" w:cs="Times New Roman"/>
                      <w:color w:val="auto"/>
                      <w:spacing w:val="0"/>
                      <w:highlight w:val="none"/>
                    </w:rPr>
                  </w:pPr>
                  <w:r>
                    <w:rPr>
                      <w:rFonts w:hint="eastAsia" w:ascii="Times New Roman" w:hAnsi="Times New Roman" w:cs="Times New Roman"/>
                      <w:color w:val="auto"/>
                      <w:highlight w:val="none"/>
                      <w:lang w:val="en-US" w:eastAsia="zh-CN"/>
                    </w:rPr>
                    <w:t>1620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 xml:space="preserve">/a </w:t>
                  </w:r>
                </w:p>
              </w:tc>
              <w:tc>
                <w:tcPr>
                  <w:tcW w:w="627" w:type="pct"/>
                  <w:vAlign w:val="center"/>
                </w:tcPr>
                <w:p w14:paraId="70FD4E02">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市政污水管网</w:t>
                  </w:r>
                </w:p>
              </w:tc>
            </w:tr>
            <w:tr w14:paraId="298B5C8D">
              <w:trPr>
                <w:trHeight w:val="340" w:hRule="atLeast"/>
                <w:jc w:val="center"/>
              </w:trPr>
              <w:tc>
                <w:tcPr>
                  <w:tcW w:w="430" w:type="pct"/>
                  <w:vMerge w:val="continue"/>
                  <w:vAlign w:val="center"/>
                </w:tcPr>
                <w:p w14:paraId="20F7FEEC">
                  <w:pPr>
                    <w:pStyle w:val="154"/>
                    <w:keepNext w:val="0"/>
                    <w:keepLines w:val="0"/>
                    <w:suppressLineNumbers w:val="0"/>
                    <w:spacing w:before="0" w:beforeAutospacing="0" w:after="0" w:afterAutospacing="0"/>
                    <w:ind w:left="0" w:right="0"/>
                    <w:rPr>
                      <w:color w:val="auto"/>
                      <w:highlight w:val="none"/>
                    </w:rPr>
                  </w:pPr>
                </w:p>
              </w:tc>
              <w:tc>
                <w:tcPr>
                  <w:tcW w:w="655" w:type="pct"/>
                  <w:vAlign w:val="center"/>
                </w:tcPr>
                <w:p w14:paraId="63A55744">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供电系统</w:t>
                  </w:r>
                </w:p>
              </w:tc>
              <w:tc>
                <w:tcPr>
                  <w:tcW w:w="3286" w:type="pct"/>
                  <w:gridSpan w:val="2"/>
                  <w:vAlign w:val="center"/>
                </w:tcPr>
                <w:p w14:paraId="08BC6D0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pacing w:val="-10"/>
                      <w:szCs w:val="21"/>
                      <w:highlight w:val="none"/>
                      <w:lang w:val="en-US" w:eastAsia="zh-CN"/>
                    </w:rPr>
                    <w:t>30</w:t>
                  </w:r>
                  <w:r>
                    <w:rPr>
                      <w:color w:val="auto"/>
                      <w:spacing w:val="-10"/>
                      <w:szCs w:val="21"/>
                      <w:highlight w:val="none"/>
                    </w:rPr>
                    <w:t>万kWh/a</w:t>
                  </w:r>
                </w:p>
              </w:tc>
              <w:tc>
                <w:tcPr>
                  <w:tcW w:w="627" w:type="pct"/>
                  <w:vAlign w:val="center"/>
                </w:tcPr>
                <w:p w14:paraId="5AE5D52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市政供电管网</w:t>
                  </w:r>
                </w:p>
              </w:tc>
            </w:tr>
            <w:tr w14:paraId="007488DD">
              <w:trPr>
                <w:trHeight w:val="340" w:hRule="atLeast"/>
                <w:jc w:val="center"/>
              </w:trPr>
              <w:tc>
                <w:tcPr>
                  <w:tcW w:w="430" w:type="pct"/>
                  <w:vMerge w:val="continue"/>
                  <w:vAlign w:val="center"/>
                </w:tcPr>
                <w:p w14:paraId="10627F79">
                  <w:pPr>
                    <w:pStyle w:val="154"/>
                    <w:keepNext w:val="0"/>
                    <w:keepLines w:val="0"/>
                    <w:suppressLineNumbers w:val="0"/>
                    <w:spacing w:before="0" w:beforeAutospacing="0" w:after="0" w:afterAutospacing="0"/>
                    <w:ind w:left="0" w:right="0"/>
                    <w:rPr>
                      <w:color w:val="auto"/>
                      <w:highlight w:val="none"/>
                    </w:rPr>
                  </w:pPr>
                </w:p>
              </w:tc>
              <w:tc>
                <w:tcPr>
                  <w:tcW w:w="655" w:type="pct"/>
                  <w:vAlign w:val="center"/>
                </w:tcPr>
                <w:p w14:paraId="4DF0C21C">
                  <w:pPr>
                    <w:pStyle w:val="154"/>
                    <w:keepNext w:val="0"/>
                    <w:keepLines w:val="0"/>
                    <w:suppressLineNumbers w:val="0"/>
                    <w:spacing w:before="0" w:beforeAutospacing="0" w:after="0" w:afterAutospacing="0"/>
                    <w:ind w:left="0" w:right="0"/>
                    <w:rPr>
                      <w:rFonts w:hint="default" w:eastAsiaTheme="minorEastAsia"/>
                      <w:color w:val="auto"/>
                      <w:highlight w:val="none"/>
                      <w:lang w:val="en-US" w:eastAsia="zh-CN"/>
                    </w:rPr>
                  </w:pPr>
                  <w:r>
                    <w:rPr>
                      <w:rFonts w:hint="eastAsia"/>
                      <w:color w:val="auto"/>
                      <w:highlight w:val="none"/>
                      <w:lang w:val="en-US" w:eastAsia="zh-CN"/>
                    </w:rPr>
                    <w:t>供气系统</w:t>
                  </w:r>
                </w:p>
              </w:tc>
              <w:tc>
                <w:tcPr>
                  <w:tcW w:w="3286" w:type="pct"/>
                  <w:gridSpan w:val="2"/>
                  <w:vAlign w:val="center"/>
                </w:tcPr>
                <w:p w14:paraId="166A568B">
                  <w:pPr>
                    <w:keepNext w:val="0"/>
                    <w:keepLines w:val="0"/>
                    <w:suppressLineNumbers w:val="0"/>
                    <w:adjustRightInd w:val="0"/>
                    <w:snapToGrid w:val="0"/>
                    <w:spacing w:before="0" w:beforeAutospacing="0" w:after="0" w:afterAutospacing="0"/>
                    <w:ind w:left="0" w:right="0"/>
                    <w:jc w:val="center"/>
                    <w:rPr>
                      <w:rFonts w:hint="eastAsia"/>
                      <w:color w:val="auto"/>
                      <w:spacing w:val="-10"/>
                      <w:szCs w:val="21"/>
                      <w:highlight w:val="none"/>
                      <w:lang w:val="en-US" w:eastAsia="zh-CN"/>
                    </w:rPr>
                  </w:pP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200</w:t>
                  </w:r>
                  <w:r>
                    <w:rPr>
                      <w:rFonts w:hint="eastAsia" w:ascii="Times New Roman" w:hAnsi="Times New Roman" w:cs="Times New Roman"/>
                      <w:color w:val="auto"/>
                      <w:highlight w:val="none"/>
                      <w:lang w:val="en-US" w:eastAsia="zh-CN"/>
                    </w:rPr>
                    <w:t>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/a</w:t>
                  </w:r>
                </w:p>
              </w:tc>
              <w:tc>
                <w:tcPr>
                  <w:tcW w:w="627" w:type="pct"/>
                  <w:vAlign w:val="center"/>
                </w:tcPr>
                <w:p w14:paraId="403C42B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市政供</w:t>
                  </w:r>
                  <w:r>
                    <w:rPr>
                      <w:rFonts w:hint="eastAsia"/>
                      <w:color w:val="auto"/>
                      <w:szCs w:val="21"/>
                      <w:highlight w:val="none"/>
                      <w:lang w:val="en-US" w:eastAsia="zh-CN"/>
                    </w:rPr>
                    <w:t>气</w:t>
                  </w:r>
                  <w:r>
                    <w:rPr>
                      <w:color w:val="auto"/>
                      <w:szCs w:val="21"/>
                      <w:highlight w:val="none"/>
                    </w:rPr>
                    <w:t>管网</w:t>
                  </w:r>
                </w:p>
              </w:tc>
            </w:tr>
            <w:tr w14:paraId="664FDA46">
              <w:trPr>
                <w:trHeight w:val="340" w:hRule="atLeast"/>
                <w:jc w:val="center"/>
              </w:trPr>
              <w:tc>
                <w:tcPr>
                  <w:tcW w:w="430" w:type="pct"/>
                  <w:vMerge w:val="restart"/>
                  <w:vAlign w:val="center"/>
                </w:tcPr>
                <w:p w14:paraId="1FB2F48A">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环保工程</w:t>
                  </w:r>
                </w:p>
              </w:tc>
              <w:tc>
                <w:tcPr>
                  <w:tcW w:w="655" w:type="pct"/>
                  <w:vMerge w:val="restart"/>
                  <w:vAlign w:val="center"/>
                </w:tcPr>
                <w:p w14:paraId="5216C46F">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废气处理设施</w:t>
                  </w:r>
                </w:p>
              </w:tc>
              <w:tc>
                <w:tcPr>
                  <w:tcW w:w="902" w:type="pct"/>
                  <w:tcBorders>
                    <w:bottom w:val="single" w:color="000000" w:themeColor="text1" w:sz="4" w:space="0"/>
                    <w:right w:val="single" w:color="000000" w:themeColor="text1" w:sz="4" w:space="0"/>
                  </w:tcBorders>
                  <w:shd w:val="clear" w:color="auto" w:fill="auto"/>
                  <w:vAlign w:val="center"/>
                </w:tcPr>
                <w:p w14:paraId="58849DCF">
                  <w:pPr>
                    <w:pStyle w:val="154"/>
                    <w:keepNext w:val="0"/>
                    <w:keepLines w:val="0"/>
                    <w:suppressLineNumbers w:val="0"/>
                    <w:spacing w:before="0" w:beforeAutospacing="0" w:after="0" w:afterAutospacing="0"/>
                    <w:ind w:left="0" w:leftChars="0" w:right="0" w:rightChars="0"/>
                    <w:rPr>
                      <w:rFonts w:hint="default" w:ascii="Times New Roman" w:hAnsi="Times New Roman" w:cs="Times New Roman" w:eastAsiaTheme="minorEastAsia"/>
                      <w:color w:val="auto"/>
                      <w:spacing w:val="-4"/>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喷漆、烘干和固化</w:t>
                  </w:r>
                  <w:r>
                    <w:rPr>
                      <w:rFonts w:hint="default" w:ascii="Times New Roman" w:hAnsi="Times New Roman" w:cs="Times New Roman"/>
                      <w:color w:val="auto"/>
                      <w:sz w:val="21"/>
                      <w:szCs w:val="21"/>
                      <w:highlight w:val="none"/>
                    </w:rPr>
                    <w:t>废气</w:t>
                  </w:r>
                </w:p>
              </w:tc>
              <w:tc>
                <w:tcPr>
                  <w:tcW w:w="2384" w:type="pct"/>
                  <w:tcBorders>
                    <w:left w:val="single" w:color="000000" w:themeColor="text1" w:sz="4" w:space="0"/>
                  </w:tcBorders>
                  <w:shd w:val="clear" w:color="auto" w:fill="auto"/>
                  <w:vAlign w:val="center"/>
                </w:tcPr>
                <w:p w14:paraId="73A3DC07">
                  <w:pPr>
                    <w:pStyle w:val="154"/>
                    <w:keepNext w:val="0"/>
                    <w:keepLines w:val="0"/>
                    <w:suppressLineNumbers w:val="0"/>
                    <w:spacing w:before="0" w:beforeAutospacing="0" w:after="0" w:afterAutospacing="0"/>
                    <w:ind w:left="0" w:leftChars="0" w:right="0" w:rightChars="0"/>
                    <w:rPr>
                      <w:rFonts w:hint="default" w:ascii="Times New Roman" w:hAnsi="Times New Roman" w:cs="Times New Roman" w:eastAsiaTheme="minorEastAsia"/>
                      <w:color w:val="auto"/>
                      <w:spacing w:val="-4"/>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密闭车间负压</w:t>
                  </w:r>
                  <w:r>
                    <w:rPr>
                      <w:rFonts w:hint="default" w:ascii="Times New Roman" w:hAnsi="Times New Roman" w:cs="Times New Roman"/>
                      <w:bCs/>
                      <w:color w:val="auto"/>
                      <w:sz w:val="21"/>
                      <w:szCs w:val="21"/>
                      <w:highlight w:val="none"/>
                    </w:rPr>
                    <w:t>收集</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干式</w:t>
                  </w:r>
                  <w:r>
                    <w:rPr>
                      <w:rFonts w:hint="default" w:ascii="Times New Roman" w:hAnsi="Times New Roman" w:cs="Times New Roman"/>
                      <w:color w:val="auto"/>
                      <w:sz w:val="21"/>
                      <w:szCs w:val="21"/>
                      <w:highlight w:val="none"/>
                      <w:lang w:val="en-US" w:eastAsia="zh-CN"/>
                    </w:rPr>
                    <w:t>过滤+</w:t>
                  </w:r>
                  <w:r>
                    <w:rPr>
                      <w:rFonts w:hint="default" w:ascii="Times New Roman" w:hAnsi="Times New Roman" w:cs="Times New Roman"/>
                      <w:color w:val="auto"/>
                      <w:sz w:val="21"/>
                      <w:szCs w:val="21"/>
                      <w:highlight w:val="none"/>
                    </w:rPr>
                    <w:t>二级活性炭吸附装置</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15m排气筒DA00</w:t>
                  </w:r>
                  <w:r>
                    <w:rPr>
                      <w:rFonts w:hint="eastAsia" w:ascii="Times New Roman" w:hAnsi="Times New Roman" w:cs="Times New Roman"/>
                      <w:color w:val="auto"/>
                      <w:sz w:val="21"/>
                      <w:szCs w:val="21"/>
                      <w:highlight w:val="none"/>
                      <w:lang w:val="en-US" w:eastAsia="zh-CN"/>
                    </w:rPr>
                    <w:t>1</w:t>
                  </w:r>
                </w:p>
              </w:tc>
              <w:tc>
                <w:tcPr>
                  <w:tcW w:w="627" w:type="pct"/>
                  <w:vMerge w:val="restart"/>
                  <w:vAlign w:val="center"/>
                </w:tcPr>
                <w:p w14:paraId="0CAF5F58">
                  <w:pPr>
                    <w:pStyle w:val="30"/>
                    <w:keepNext w:val="0"/>
                    <w:keepLines w:val="0"/>
                    <w:suppressLineNumbers w:val="0"/>
                    <w:spacing w:before="0" w:beforeAutospacing="0" w:after="0" w:afterAutospacing="0"/>
                    <w:ind w:left="0" w:right="0"/>
                    <w:jc w:val="center"/>
                    <w:rPr>
                      <w:color w:val="auto"/>
                      <w:sz w:val="21"/>
                      <w:szCs w:val="21"/>
                      <w:highlight w:val="none"/>
                    </w:rPr>
                  </w:pPr>
                  <w:r>
                    <w:rPr>
                      <w:color w:val="auto"/>
                      <w:sz w:val="21"/>
                      <w:szCs w:val="21"/>
                      <w:highlight w:val="none"/>
                    </w:rPr>
                    <w:t>新建</w:t>
                  </w:r>
                </w:p>
              </w:tc>
            </w:tr>
            <w:tr w14:paraId="014F4DA4">
              <w:trPr>
                <w:trHeight w:val="340" w:hRule="atLeast"/>
                <w:jc w:val="center"/>
              </w:trPr>
              <w:tc>
                <w:tcPr>
                  <w:tcW w:w="430" w:type="pct"/>
                  <w:vMerge w:val="continue"/>
                  <w:vAlign w:val="center"/>
                </w:tcPr>
                <w:p w14:paraId="5DE02FDE">
                  <w:pPr>
                    <w:pStyle w:val="154"/>
                    <w:keepNext w:val="0"/>
                    <w:keepLines w:val="0"/>
                    <w:suppressLineNumbers w:val="0"/>
                    <w:spacing w:before="0" w:beforeAutospacing="0" w:after="0" w:afterAutospacing="0"/>
                    <w:ind w:left="0" w:right="0"/>
                    <w:rPr>
                      <w:color w:val="auto"/>
                      <w:highlight w:val="none"/>
                    </w:rPr>
                  </w:pPr>
                </w:p>
              </w:tc>
              <w:tc>
                <w:tcPr>
                  <w:tcW w:w="655" w:type="pct"/>
                  <w:vMerge w:val="continue"/>
                  <w:vAlign w:val="center"/>
                </w:tcPr>
                <w:p w14:paraId="07B2CF14">
                  <w:pPr>
                    <w:pStyle w:val="154"/>
                    <w:keepNext w:val="0"/>
                    <w:keepLines w:val="0"/>
                    <w:suppressLineNumbers w:val="0"/>
                    <w:spacing w:before="0" w:beforeAutospacing="0" w:after="0" w:afterAutospacing="0"/>
                    <w:ind w:left="0" w:right="0"/>
                    <w:rPr>
                      <w:color w:val="auto"/>
                      <w:highlight w:val="none"/>
                    </w:rPr>
                  </w:pPr>
                </w:p>
              </w:tc>
              <w:tc>
                <w:tcPr>
                  <w:tcW w:w="902" w:type="pct"/>
                  <w:tcBorders>
                    <w:bottom w:val="single" w:color="000000" w:themeColor="text1" w:sz="4" w:space="0"/>
                    <w:right w:val="single" w:color="000000" w:themeColor="text1" w:sz="4" w:space="0"/>
                  </w:tcBorders>
                  <w:vAlign w:val="center"/>
                </w:tcPr>
                <w:p w14:paraId="6731A2CD">
                  <w:pPr>
                    <w:pStyle w:val="154"/>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w:t>
                  </w:r>
                  <w:r>
                    <w:rPr>
                      <w:rFonts w:hint="eastAsia" w:ascii="Times New Roman" w:hAnsi="Times New Roman" w:cs="Times New Roman"/>
                      <w:color w:val="auto"/>
                      <w:sz w:val="21"/>
                      <w:szCs w:val="21"/>
                      <w:highlight w:val="none"/>
                      <w:lang w:val="en-US" w:eastAsia="zh-CN"/>
                    </w:rPr>
                    <w:t>塑</w:t>
                  </w:r>
                  <w:r>
                    <w:rPr>
                      <w:rFonts w:hint="default" w:ascii="Times New Roman" w:hAnsi="Times New Roman" w:cs="Times New Roman"/>
                      <w:color w:val="auto"/>
                      <w:sz w:val="21"/>
                      <w:szCs w:val="21"/>
                      <w:highlight w:val="none"/>
                    </w:rPr>
                    <w:t>废气</w:t>
                  </w:r>
                </w:p>
              </w:tc>
              <w:tc>
                <w:tcPr>
                  <w:tcW w:w="2384" w:type="pct"/>
                  <w:tcBorders>
                    <w:left w:val="single" w:color="000000" w:themeColor="text1" w:sz="4" w:space="0"/>
                  </w:tcBorders>
                  <w:vAlign w:val="center"/>
                </w:tcPr>
                <w:p w14:paraId="55885516">
                  <w:pPr>
                    <w:pStyle w:val="154"/>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半</w:t>
                  </w:r>
                  <w:r>
                    <w:rPr>
                      <w:rFonts w:hint="default" w:ascii="Times New Roman" w:hAnsi="Times New Roman" w:cs="Times New Roman"/>
                      <w:color w:val="auto"/>
                      <w:sz w:val="21"/>
                      <w:szCs w:val="21"/>
                      <w:highlight w:val="none"/>
                      <w:lang w:val="en-US" w:eastAsia="zh-CN"/>
                    </w:rPr>
                    <w:t>密闭</w:t>
                  </w:r>
                  <w:r>
                    <w:rPr>
                      <w:rFonts w:hint="default" w:ascii="Times New Roman" w:hAnsi="Times New Roman" w:cs="Times New Roman"/>
                      <w:color w:val="auto"/>
                      <w:sz w:val="21"/>
                      <w:szCs w:val="21"/>
                      <w:highlight w:val="none"/>
                    </w:rPr>
                    <w:t>收集+</w:t>
                  </w:r>
                  <w:r>
                    <w:rPr>
                      <w:rFonts w:hint="default" w:ascii="Times New Roman" w:hAnsi="Times New Roman" w:cs="Times New Roman"/>
                      <w:color w:val="auto"/>
                      <w:sz w:val="21"/>
                      <w:szCs w:val="21"/>
                      <w:highlight w:val="none"/>
                      <w:lang w:val="en-US" w:eastAsia="zh-CN"/>
                    </w:rPr>
                    <w:t>布袋除尘器+</w:t>
                  </w:r>
                  <w:r>
                    <w:rPr>
                      <w:rFonts w:hint="default" w:ascii="Times New Roman" w:hAnsi="Times New Roman" w:cs="Times New Roman"/>
                      <w:color w:val="auto"/>
                      <w:sz w:val="21"/>
                      <w:szCs w:val="21"/>
                      <w:highlight w:val="none"/>
                    </w:rPr>
                    <w:t>15m排气筒DA00</w:t>
                  </w:r>
                  <w:r>
                    <w:rPr>
                      <w:rFonts w:hint="default" w:ascii="Times New Roman" w:hAnsi="Times New Roman" w:cs="Times New Roman"/>
                      <w:color w:val="auto"/>
                      <w:sz w:val="21"/>
                      <w:szCs w:val="21"/>
                      <w:highlight w:val="none"/>
                      <w:lang w:val="en-US" w:eastAsia="zh-CN"/>
                    </w:rPr>
                    <w:t>2</w:t>
                  </w:r>
                </w:p>
              </w:tc>
              <w:tc>
                <w:tcPr>
                  <w:tcW w:w="627" w:type="pct"/>
                  <w:vMerge w:val="continue"/>
                  <w:vAlign w:val="center"/>
                </w:tcPr>
                <w:p w14:paraId="5B4B1B43">
                  <w:pPr>
                    <w:pStyle w:val="30"/>
                    <w:keepNext w:val="0"/>
                    <w:keepLines w:val="0"/>
                    <w:suppressLineNumbers w:val="0"/>
                    <w:spacing w:before="0" w:beforeAutospacing="0" w:after="0" w:afterAutospacing="0"/>
                    <w:ind w:left="0" w:right="0"/>
                    <w:jc w:val="center"/>
                    <w:rPr>
                      <w:color w:val="auto"/>
                      <w:sz w:val="21"/>
                      <w:szCs w:val="21"/>
                      <w:highlight w:val="none"/>
                    </w:rPr>
                  </w:pPr>
                </w:p>
              </w:tc>
            </w:tr>
            <w:tr w14:paraId="34140E8C">
              <w:trPr>
                <w:trHeight w:val="340" w:hRule="atLeast"/>
                <w:jc w:val="center"/>
              </w:trPr>
              <w:tc>
                <w:tcPr>
                  <w:tcW w:w="430" w:type="pct"/>
                  <w:vMerge w:val="continue"/>
                  <w:vAlign w:val="center"/>
                </w:tcPr>
                <w:p w14:paraId="0E56ABD7">
                  <w:pPr>
                    <w:pStyle w:val="154"/>
                    <w:keepNext w:val="0"/>
                    <w:keepLines w:val="0"/>
                    <w:suppressLineNumbers w:val="0"/>
                    <w:spacing w:before="0" w:beforeAutospacing="0" w:after="0" w:afterAutospacing="0"/>
                    <w:ind w:left="0" w:right="0"/>
                    <w:rPr>
                      <w:color w:val="auto"/>
                      <w:highlight w:val="none"/>
                    </w:rPr>
                  </w:pPr>
                </w:p>
              </w:tc>
              <w:tc>
                <w:tcPr>
                  <w:tcW w:w="655" w:type="pct"/>
                  <w:vMerge w:val="continue"/>
                  <w:vAlign w:val="center"/>
                </w:tcPr>
                <w:p w14:paraId="54975490">
                  <w:pPr>
                    <w:pStyle w:val="154"/>
                    <w:keepNext w:val="0"/>
                    <w:keepLines w:val="0"/>
                    <w:suppressLineNumbers w:val="0"/>
                    <w:spacing w:before="0" w:beforeAutospacing="0" w:after="0" w:afterAutospacing="0"/>
                    <w:ind w:left="0" w:right="0"/>
                    <w:rPr>
                      <w:color w:val="auto"/>
                      <w:highlight w:val="none"/>
                    </w:rPr>
                  </w:pPr>
                </w:p>
              </w:tc>
              <w:tc>
                <w:tcPr>
                  <w:tcW w:w="902" w:type="pct"/>
                  <w:tcBorders>
                    <w:bottom w:val="single" w:color="000000" w:themeColor="text1" w:sz="4" w:space="0"/>
                    <w:right w:val="single" w:color="000000" w:themeColor="text1" w:sz="4" w:space="0"/>
                  </w:tcBorders>
                  <w:vAlign w:val="center"/>
                </w:tcPr>
                <w:p w14:paraId="3EB1C730">
                  <w:pPr>
                    <w:pStyle w:val="154"/>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下料、打磨粉尘</w:t>
                  </w:r>
                </w:p>
              </w:tc>
              <w:tc>
                <w:tcPr>
                  <w:tcW w:w="2384" w:type="pct"/>
                  <w:tcBorders>
                    <w:left w:val="single" w:color="000000" w:themeColor="text1" w:sz="4" w:space="0"/>
                  </w:tcBorders>
                  <w:vAlign w:val="center"/>
                </w:tcPr>
                <w:p w14:paraId="2A58E688">
                  <w:pPr>
                    <w:pStyle w:val="154"/>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经移动式布袋除尘器处理后以</w:t>
                  </w:r>
                  <w:r>
                    <w:rPr>
                      <w:rFonts w:hint="default" w:ascii="Times New Roman" w:hAnsi="Times New Roman" w:cs="Times New Roman" w:eastAsiaTheme="minorEastAsia"/>
                      <w:color w:val="auto"/>
                      <w:kern w:val="0"/>
                      <w:sz w:val="21"/>
                      <w:szCs w:val="21"/>
                      <w:highlight w:val="none"/>
                      <w:lang w:val="zh-CN"/>
                    </w:rPr>
                    <w:t>无组织排放</w:t>
                  </w:r>
                </w:p>
              </w:tc>
              <w:tc>
                <w:tcPr>
                  <w:tcW w:w="627" w:type="pct"/>
                  <w:vMerge w:val="continue"/>
                  <w:vAlign w:val="center"/>
                </w:tcPr>
                <w:p w14:paraId="37EA6A3C">
                  <w:pPr>
                    <w:pStyle w:val="30"/>
                    <w:keepNext w:val="0"/>
                    <w:keepLines w:val="0"/>
                    <w:suppressLineNumbers w:val="0"/>
                    <w:spacing w:before="0" w:beforeAutospacing="0" w:after="0" w:afterAutospacing="0"/>
                    <w:ind w:left="0" w:right="0"/>
                    <w:jc w:val="center"/>
                    <w:rPr>
                      <w:color w:val="auto"/>
                      <w:sz w:val="21"/>
                      <w:szCs w:val="21"/>
                      <w:highlight w:val="none"/>
                    </w:rPr>
                  </w:pPr>
                </w:p>
              </w:tc>
            </w:tr>
            <w:tr w14:paraId="2518D052">
              <w:trPr>
                <w:trHeight w:val="340" w:hRule="atLeast"/>
                <w:jc w:val="center"/>
              </w:trPr>
              <w:tc>
                <w:tcPr>
                  <w:tcW w:w="430" w:type="pct"/>
                  <w:vMerge w:val="continue"/>
                  <w:vAlign w:val="center"/>
                </w:tcPr>
                <w:p w14:paraId="65F933E1">
                  <w:pPr>
                    <w:pStyle w:val="154"/>
                    <w:keepNext w:val="0"/>
                    <w:keepLines w:val="0"/>
                    <w:suppressLineNumbers w:val="0"/>
                    <w:spacing w:before="0" w:beforeAutospacing="0" w:after="0" w:afterAutospacing="0"/>
                    <w:ind w:left="0" w:right="0"/>
                    <w:rPr>
                      <w:color w:val="auto"/>
                      <w:highlight w:val="none"/>
                    </w:rPr>
                  </w:pPr>
                </w:p>
              </w:tc>
              <w:tc>
                <w:tcPr>
                  <w:tcW w:w="655" w:type="pct"/>
                  <w:vMerge w:val="continue"/>
                  <w:vAlign w:val="center"/>
                </w:tcPr>
                <w:p w14:paraId="227594BC">
                  <w:pPr>
                    <w:pStyle w:val="154"/>
                    <w:keepNext w:val="0"/>
                    <w:keepLines w:val="0"/>
                    <w:suppressLineNumbers w:val="0"/>
                    <w:spacing w:before="0" w:beforeAutospacing="0" w:after="0" w:afterAutospacing="0"/>
                    <w:ind w:left="0" w:right="0"/>
                    <w:rPr>
                      <w:color w:val="auto"/>
                      <w:highlight w:val="none"/>
                    </w:rPr>
                  </w:pPr>
                </w:p>
              </w:tc>
              <w:tc>
                <w:tcPr>
                  <w:tcW w:w="902" w:type="pct"/>
                  <w:tcBorders>
                    <w:bottom w:val="single" w:color="000000" w:themeColor="text1" w:sz="4" w:space="0"/>
                    <w:right w:val="single" w:color="000000" w:themeColor="text1" w:sz="4" w:space="0"/>
                  </w:tcBorders>
                  <w:vAlign w:val="center"/>
                </w:tcPr>
                <w:p w14:paraId="2E178883">
                  <w:pPr>
                    <w:pStyle w:val="154"/>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zh-CN"/>
                    </w:rPr>
                    <w:t>焊接</w:t>
                  </w:r>
                  <w:r>
                    <w:rPr>
                      <w:rFonts w:hint="default" w:ascii="Times New Roman" w:hAnsi="Times New Roman" w:cs="Times New Roman"/>
                      <w:color w:val="auto"/>
                      <w:kern w:val="0"/>
                      <w:sz w:val="21"/>
                      <w:szCs w:val="21"/>
                      <w:highlight w:val="none"/>
                      <w:lang w:val="en-US" w:eastAsia="zh-CN"/>
                    </w:rPr>
                    <w:t>烟尘</w:t>
                  </w:r>
                </w:p>
              </w:tc>
              <w:tc>
                <w:tcPr>
                  <w:tcW w:w="2384" w:type="pct"/>
                  <w:tcBorders>
                    <w:left w:val="single" w:color="000000" w:themeColor="text1" w:sz="4" w:space="0"/>
                  </w:tcBorders>
                  <w:vAlign w:val="center"/>
                </w:tcPr>
                <w:p w14:paraId="4F311E92">
                  <w:pPr>
                    <w:pStyle w:val="154"/>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rPr>
                    <w:t>经</w:t>
                  </w:r>
                  <w:r>
                    <w:rPr>
                      <w:rFonts w:hint="default" w:ascii="Times New Roman" w:hAnsi="Times New Roman" w:cs="Times New Roman" w:eastAsiaTheme="minorEastAsia"/>
                      <w:color w:val="auto"/>
                      <w:kern w:val="0"/>
                      <w:sz w:val="21"/>
                      <w:szCs w:val="21"/>
                      <w:highlight w:val="none"/>
                      <w:lang w:val="zh-CN"/>
                    </w:rPr>
                    <w:t>移动式焊</w:t>
                  </w:r>
                  <w:r>
                    <w:rPr>
                      <w:rFonts w:hint="default" w:ascii="Times New Roman" w:hAnsi="Times New Roman" w:cs="Times New Roman"/>
                      <w:color w:val="auto"/>
                      <w:kern w:val="0"/>
                      <w:sz w:val="21"/>
                      <w:szCs w:val="21"/>
                      <w:highlight w:val="none"/>
                      <w:lang w:val="en-US" w:eastAsia="zh-CN"/>
                    </w:rPr>
                    <w:t>烟</w:t>
                  </w:r>
                  <w:r>
                    <w:rPr>
                      <w:rFonts w:hint="default" w:ascii="Times New Roman" w:hAnsi="Times New Roman" w:cs="Times New Roman" w:eastAsiaTheme="minorEastAsia"/>
                      <w:color w:val="auto"/>
                      <w:kern w:val="0"/>
                      <w:sz w:val="21"/>
                      <w:szCs w:val="21"/>
                      <w:highlight w:val="none"/>
                      <w:lang w:val="zh-CN"/>
                    </w:rPr>
                    <w:t>净化器处理后</w:t>
                  </w:r>
                  <w:r>
                    <w:rPr>
                      <w:rFonts w:hint="eastAsia" w:ascii="Times New Roman" w:hAnsi="Times New Roman" w:cs="Times New Roman"/>
                      <w:color w:val="auto"/>
                      <w:kern w:val="0"/>
                      <w:sz w:val="21"/>
                      <w:szCs w:val="21"/>
                      <w:highlight w:val="none"/>
                      <w:lang w:val="en-US" w:eastAsia="zh-CN"/>
                    </w:rPr>
                    <w:t>以</w:t>
                  </w:r>
                  <w:r>
                    <w:rPr>
                      <w:rFonts w:hint="default" w:ascii="Times New Roman" w:hAnsi="Times New Roman" w:cs="Times New Roman" w:eastAsiaTheme="minorEastAsia"/>
                      <w:color w:val="auto"/>
                      <w:kern w:val="0"/>
                      <w:sz w:val="21"/>
                      <w:szCs w:val="21"/>
                      <w:highlight w:val="none"/>
                      <w:lang w:val="zh-CN"/>
                    </w:rPr>
                    <w:t>无组织排放</w:t>
                  </w:r>
                </w:p>
              </w:tc>
              <w:tc>
                <w:tcPr>
                  <w:tcW w:w="627" w:type="pct"/>
                  <w:vMerge w:val="continue"/>
                  <w:vAlign w:val="center"/>
                </w:tcPr>
                <w:p w14:paraId="6D1B0DE4">
                  <w:pPr>
                    <w:pStyle w:val="30"/>
                    <w:keepNext w:val="0"/>
                    <w:keepLines w:val="0"/>
                    <w:suppressLineNumbers w:val="0"/>
                    <w:spacing w:before="0" w:beforeAutospacing="0" w:after="0" w:afterAutospacing="0"/>
                    <w:ind w:left="0" w:right="0"/>
                    <w:jc w:val="center"/>
                    <w:rPr>
                      <w:color w:val="auto"/>
                      <w:sz w:val="21"/>
                      <w:szCs w:val="21"/>
                      <w:highlight w:val="none"/>
                    </w:rPr>
                  </w:pPr>
                </w:p>
              </w:tc>
            </w:tr>
            <w:tr w14:paraId="06B4EB46">
              <w:trPr>
                <w:trHeight w:val="340" w:hRule="atLeast"/>
                <w:jc w:val="center"/>
              </w:trPr>
              <w:tc>
                <w:tcPr>
                  <w:tcW w:w="430" w:type="pct"/>
                  <w:vMerge w:val="continue"/>
                  <w:vAlign w:val="center"/>
                </w:tcPr>
                <w:p w14:paraId="461376FB">
                  <w:pPr>
                    <w:pStyle w:val="129"/>
                    <w:keepNext w:val="0"/>
                    <w:keepLines w:val="0"/>
                    <w:suppressLineNumbers w:val="0"/>
                    <w:spacing w:before="0" w:beforeAutospacing="0" w:after="0" w:afterAutospacing="0"/>
                    <w:ind w:left="0" w:right="0"/>
                    <w:rPr>
                      <w:color w:val="auto"/>
                      <w:highlight w:val="none"/>
                    </w:rPr>
                  </w:pPr>
                </w:p>
              </w:tc>
              <w:tc>
                <w:tcPr>
                  <w:tcW w:w="655" w:type="pct"/>
                  <w:vAlign w:val="center"/>
                </w:tcPr>
                <w:p w14:paraId="4F5A495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生活污水处理</w:t>
                  </w:r>
                </w:p>
              </w:tc>
              <w:tc>
                <w:tcPr>
                  <w:tcW w:w="3286" w:type="pct"/>
                  <w:gridSpan w:val="2"/>
                  <w:vAlign w:val="center"/>
                </w:tcPr>
                <w:p w14:paraId="159D81E6">
                  <w:pPr>
                    <w:pStyle w:val="154"/>
                    <w:keepNext w:val="0"/>
                    <w:keepLines w:val="0"/>
                    <w:suppressLineNumbers w:val="0"/>
                    <w:spacing w:before="0" w:beforeAutospacing="0" w:after="0" w:afterAutospacing="0"/>
                    <w:ind w:left="0" w:right="0"/>
                    <w:rPr>
                      <w:rFonts w:hAnsi="Times New Roman"/>
                      <w:color w:val="auto"/>
                      <w:highlight w:val="none"/>
                    </w:rPr>
                  </w:pPr>
                  <w:r>
                    <w:rPr>
                      <w:rFonts w:hint="eastAsia" w:ascii="Times New Roman" w:hAnsi="Times New Roman"/>
                      <w:color w:val="auto"/>
                      <w:highlight w:val="none"/>
                      <w:lang w:val="en-US" w:eastAsia="zh-CN"/>
                    </w:rPr>
                    <w:t>综合生活污水经隔油池+</w:t>
                  </w:r>
                  <w:r>
                    <w:rPr>
                      <w:rFonts w:ascii="Times New Roman" w:hAnsi="Times New Roman"/>
                      <w:color w:val="auto"/>
                      <w:highlight w:val="none"/>
                    </w:rPr>
                    <w:t>化粪池处理</w:t>
                  </w:r>
                  <w:r>
                    <w:rPr>
                      <w:rFonts w:hint="eastAsia" w:ascii="Times New Roman" w:hAnsi="Times New Roman"/>
                      <w:color w:val="auto"/>
                      <w:highlight w:val="none"/>
                      <w:lang w:eastAsia="zh-CN"/>
                    </w:rPr>
                    <w:t>达到</w:t>
                  </w:r>
                  <w:r>
                    <w:rPr>
                      <w:rFonts w:ascii="Times New Roman" w:hAnsi="Times New Roman"/>
                      <w:color w:val="auto"/>
                      <w:highlight w:val="none"/>
                    </w:rPr>
                    <w:t>接管标准后接管至</w:t>
                  </w:r>
                  <w:r>
                    <w:rPr>
                      <w:rFonts w:hint="eastAsia" w:ascii="宋体" w:hAnsi="宋体"/>
                      <w:color w:val="auto"/>
                      <w:sz w:val="21"/>
                      <w:szCs w:val="21"/>
                      <w:highlight w:val="none"/>
                    </w:rPr>
                    <w:t>涟水经济开发区西区污水处理厂</w:t>
                  </w:r>
                </w:p>
              </w:tc>
              <w:tc>
                <w:tcPr>
                  <w:tcW w:w="627" w:type="pct"/>
                  <w:vAlign w:val="center"/>
                </w:tcPr>
                <w:p w14:paraId="78C84A2D">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r>
            <w:tr w14:paraId="0ED8EEB5">
              <w:trPr>
                <w:trHeight w:val="340" w:hRule="atLeast"/>
                <w:jc w:val="center"/>
              </w:trPr>
              <w:tc>
                <w:tcPr>
                  <w:tcW w:w="430" w:type="pct"/>
                  <w:vMerge w:val="continue"/>
                  <w:vAlign w:val="center"/>
                </w:tcPr>
                <w:p w14:paraId="2D98D216">
                  <w:pPr>
                    <w:pStyle w:val="129"/>
                    <w:keepNext w:val="0"/>
                    <w:keepLines w:val="0"/>
                    <w:suppressLineNumbers w:val="0"/>
                    <w:spacing w:before="0" w:beforeAutospacing="0" w:after="0" w:afterAutospacing="0"/>
                    <w:ind w:left="0" w:right="0"/>
                    <w:rPr>
                      <w:color w:val="auto"/>
                      <w:highlight w:val="none"/>
                    </w:rPr>
                  </w:pPr>
                </w:p>
              </w:tc>
              <w:tc>
                <w:tcPr>
                  <w:tcW w:w="655" w:type="pct"/>
                  <w:vAlign w:val="center"/>
                </w:tcPr>
                <w:p w14:paraId="2B95AD64">
                  <w:pPr>
                    <w:pStyle w:val="154"/>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清洗废水处理</w:t>
                  </w:r>
                </w:p>
              </w:tc>
              <w:tc>
                <w:tcPr>
                  <w:tcW w:w="3286" w:type="pct"/>
                  <w:gridSpan w:val="2"/>
                  <w:vAlign w:val="center"/>
                </w:tcPr>
                <w:p w14:paraId="7765268B">
                  <w:pPr>
                    <w:pStyle w:val="154"/>
                    <w:keepNext w:val="0"/>
                    <w:keepLines w:val="0"/>
                    <w:suppressLineNumbers w:val="0"/>
                    <w:spacing w:before="0" w:beforeAutospacing="0" w:after="0" w:afterAutospacing="0"/>
                    <w:ind w:left="0" w:right="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经</w:t>
                  </w:r>
                  <w:r>
                    <w:rPr>
                      <w:rFonts w:hint="eastAsia" w:cs="Times New Roman"/>
                      <w:color w:val="auto"/>
                      <w:kern w:val="2"/>
                      <w:sz w:val="21"/>
                      <w:szCs w:val="21"/>
                      <w:highlight w:val="none"/>
                      <w:lang w:val="en-US" w:eastAsia="zh-CN"/>
                    </w:rPr>
                    <w:t>气浮+混凝沉淀池</w:t>
                  </w:r>
                  <w:r>
                    <w:rPr>
                      <w:rFonts w:hint="eastAsia" w:ascii="Times New Roman" w:hAnsi="Times New Roman"/>
                      <w:color w:val="auto"/>
                      <w:highlight w:val="none"/>
                      <w:lang w:val="en-US" w:eastAsia="zh-CN"/>
                    </w:rPr>
                    <w:t>处理达到</w:t>
                  </w:r>
                  <w:r>
                    <w:rPr>
                      <w:rFonts w:ascii="Times New Roman" w:hAnsi="Times New Roman"/>
                      <w:color w:val="auto"/>
                      <w:highlight w:val="none"/>
                    </w:rPr>
                    <w:t>接管标准后接管至</w:t>
                  </w:r>
                  <w:r>
                    <w:rPr>
                      <w:rFonts w:hint="eastAsia" w:ascii="宋体" w:hAnsi="宋体"/>
                      <w:color w:val="auto"/>
                      <w:sz w:val="21"/>
                      <w:szCs w:val="21"/>
                      <w:highlight w:val="none"/>
                    </w:rPr>
                    <w:t>涟水经济开发区西区污水处理厂</w:t>
                  </w:r>
                </w:p>
              </w:tc>
              <w:tc>
                <w:tcPr>
                  <w:tcW w:w="627" w:type="pct"/>
                  <w:vAlign w:val="center"/>
                </w:tcPr>
                <w:p w14:paraId="6797231B">
                  <w:pPr>
                    <w:pStyle w:val="154"/>
                    <w:keepNext w:val="0"/>
                    <w:keepLines w:val="0"/>
                    <w:suppressLineNumbers w:val="0"/>
                    <w:spacing w:before="0" w:beforeAutospacing="0" w:after="0" w:afterAutospacing="0"/>
                    <w:ind w:left="0" w:right="0"/>
                    <w:rPr>
                      <w:color w:val="auto"/>
                      <w:highlight w:val="none"/>
                    </w:rPr>
                  </w:pPr>
                  <w:r>
                    <w:rPr>
                      <w:color w:val="auto"/>
                      <w:highlight w:val="none"/>
                    </w:rPr>
                    <w:t>新建</w:t>
                  </w:r>
                </w:p>
              </w:tc>
            </w:tr>
            <w:tr w14:paraId="59750D45">
              <w:trPr>
                <w:trHeight w:val="340" w:hRule="atLeast"/>
                <w:jc w:val="center"/>
              </w:trPr>
              <w:tc>
                <w:tcPr>
                  <w:tcW w:w="430" w:type="pct"/>
                  <w:vMerge w:val="continue"/>
                  <w:vAlign w:val="center"/>
                </w:tcPr>
                <w:p w14:paraId="54AC89A3">
                  <w:pPr>
                    <w:pStyle w:val="129"/>
                    <w:keepNext w:val="0"/>
                    <w:keepLines w:val="0"/>
                    <w:suppressLineNumbers w:val="0"/>
                    <w:spacing w:before="0" w:beforeAutospacing="0" w:after="0" w:afterAutospacing="0"/>
                    <w:ind w:left="0" w:right="0"/>
                    <w:rPr>
                      <w:color w:val="auto"/>
                      <w:highlight w:val="none"/>
                    </w:rPr>
                  </w:pPr>
                </w:p>
              </w:tc>
              <w:tc>
                <w:tcPr>
                  <w:tcW w:w="655" w:type="pct"/>
                  <w:vAlign w:val="center"/>
                </w:tcPr>
                <w:p w14:paraId="7EE7AA7A">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噪声治理</w:t>
                  </w:r>
                </w:p>
              </w:tc>
              <w:tc>
                <w:tcPr>
                  <w:tcW w:w="3286" w:type="pct"/>
                  <w:gridSpan w:val="2"/>
                  <w:vAlign w:val="center"/>
                </w:tcPr>
                <w:p w14:paraId="729B2BB7">
                  <w:pPr>
                    <w:pStyle w:val="154"/>
                    <w:keepNext w:val="0"/>
                    <w:keepLines w:val="0"/>
                    <w:suppressLineNumbers w:val="0"/>
                    <w:spacing w:before="0" w:beforeAutospacing="0" w:after="0" w:afterAutospacing="0"/>
                    <w:ind w:left="0" w:right="0"/>
                    <w:rPr>
                      <w:color w:val="auto"/>
                      <w:highlight w:val="none"/>
                    </w:rPr>
                  </w:pPr>
                  <w:r>
                    <w:rPr>
                      <w:rFonts w:ascii="Times New Roman" w:hAnsi="Times New Roman"/>
                      <w:color w:val="auto"/>
                      <w:kern w:val="0"/>
                      <w:highlight w:val="none"/>
                    </w:rPr>
                    <w:t>降噪、隔声、减振、合理布局等措施</w:t>
                  </w:r>
                </w:p>
              </w:tc>
              <w:tc>
                <w:tcPr>
                  <w:tcW w:w="627" w:type="pct"/>
                  <w:vAlign w:val="center"/>
                </w:tcPr>
                <w:p w14:paraId="203EA68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r>
            <w:tr w14:paraId="621ABE5F">
              <w:trPr>
                <w:trHeight w:val="340" w:hRule="atLeast"/>
                <w:jc w:val="center"/>
              </w:trPr>
              <w:tc>
                <w:tcPr>
                  <w:tcW w:w="430" w:type="pct"/>
                  <w:vMerge w:val="continue"/>
                  <w:vAlign w:val="center"/>
                </w:tcPr>
                <w:p w14:paraId="1839245D">
                  <w:pPr>
                    <w:pStyle w:val="129"/>
                    <w:keepNext w:val="0"/>
                    <w:keepLines w:val="0"/>
                    <w:suppressLineNumbers w:val="0"/>
                    <w:spacing w:before="0" w:beforeAutospacing="0" w:after="0" w:afterAutospacing="0"/>
                    <w:ind w:left="0" w:right="0"/>
                    <w:rPr>
                      <w:color w:val="auto"/>
                      <w:highlight w:val="none"/>
                    </w:rPr>
                  </w:pPr>
                </w:p>
              </w:tc>
              <w:tc>
                <w:tcPr>
                  <w:tcW w:w="655" w:type="pct"/>
                  <w:vAlign w:val="center"/>
                </w:tcPr>
                <w:p w14:paraId="7A33FF4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危废暂存场所</w:t>
                  </w:r>
                </w:p>
              </w:tc>
              <w:tc>
                <w:tcPr>
                  <w:tcW w:w="3286" w:type="pct"/>
                  <w:gridSpan w:val="2"/>
                  <w:vAlign w:val="center"/>
                </w:tcPr>
                <w:p w14:paraId="4B088C5C">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Times New Roman" w:eastAsia="宋体" w:cs="Times New Roman"/>
                      <w:color w:val="auto"/>
                      <w:highlight w:val="none"/>
                    </w:rPr>
                    <w:t>暂存</w:t>
                  </w:r>
                  <w:r>
                    <w:rPr>
                      <w:rFonts w:ascii="Times New Roman" w:hAnsi="Times New Roman" w:eastAsia="宋体" w:cs="Times New Roman"/>
                      <w:color w:val="auto"/>
                      <w:kern w:val="0"/>
                      <w:highlight w:val="none"/>
                    </w:rPr>
                    <w:t>危废仓库（</w:t>
                  </w:r>
                  <w:r>
                    <w:rPr>
                      <w:rFonts w:hint="eastAsia" w:ascii="Times New Roman" w:hAnsi="Times New Roman" w:eastAsia="宋体" w:cs="Times New Roman"/>
                      <w:color w:val="auto"/>
                      <w:kern w:val="0"/>
                      <w:highlight w:val="none"/>
                      <w:lang w:val="en-US" w:eastAsia="zh-CN"/>
                    </w:rPr>
                    <w:t>3</w:t>
                  </w:r>
                  <w:r>
                    <w:rPr>
                      <w:rFonts w:ascii="Times New Roman" w:hAnsi="Times New Roman" w:eastAsia="宋体" w:cs="Times New Roman"/>
                      <w:color w:val="auto"/>
                      <w:kern w:val="0"/>
                      <w:highlight w:val="none"/>
                    </w:rPr>
                    <w:t>0m²），定期</w:t>
                  </w:r>
                  <w:r>
                    <w:rPr>
                      <w:rFonts w:hint="eastAsia" w:ascii="Times New Roman" w:hAnsi="Times New Roman" w:eastAsia="宋体" w:cs="Times New Roman"/>
                      <w:color w:val="auto"/>
                      <w:kern w:val="0"/>
                      <w:highlight w:val="none"/>
                      <w:lang w:eastAsia="zh-CN"/>
                    </w:rPr>
                    <w:t>交由</w:t>
                  </w:r>
                  <w:r>
                    <w:rPr>
                      <w:rFonts w:ascii="Times New Roman" w:hAnsi="Times New Roman" w:eastAsia="宋体" w:cs="Times New Roman"/>
                      <w:color w:val="auto"/>
                      <w:kern w:val="0"/>
                      <w:highlight w:val="none"/>
                    </w:rPr>
                    <w:t>资质单位安全处置</w:t>
                  </w:r>
                </w:p>
              </w:tc>
              <w:tc>
                <w:tcPr>
                  <w:tcW w:w="627" w:type="pct"/>
                  <w:vAlign w:val="center"/>
                </w:tcPr>
                <w:p w14:paraId="1F8B19C1">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r>
            <w:tr w14:paraId="0A64CAAB">
              <w:trPr>
                <w:trHeight w:val="340" w:hRule="atLeast"/>
                <w:jc w:val="center"/>
              </w:trPr>
              <w:tc>
                <w:tcPr>
                  <w:tcW w:w="430" w:type="pct"/>
                  <w:vMerge w:val="continue"/>
                  <w:vAlign w:val="center"/>
                </w:tcPr>
                <w:p w14:paraId="0DFEC7FB">
                  <w:pPr>
                    <w:pStyle w:val="129"/>
                    <w:keepNext w:val="0"/>
                    <w:keepLines w:val="0"/>
                    <w:suppressLineNumbers w:val="0"/>
                    <w:spacing w:before="0" w:beforeAutospacing="0" w:after="0" w:afterAutospacing="0"/>
                    <w:ind w:left="0" w:right="0"/>
                    <w:rPr>
                      <w:color w:val="auto"/>
                      <w:highlight w:val="none"/>
                    </w:rPr>
                  </w:pPr>
                </w:p>
              </w:tc>
              <w:tc>
                <w:tcPr>
                  <w:tcW w:w="655" w:type="pct"/>
                  <w:vAlign w:val="center"/>
                </w:tcPr>
                <w:p w14:paraId="2152C73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一般工业固废仓库</w:t>
                  </w:r>
                </w:p>
              </w:tc>
              <w:tc>
                <w:tcPr>
                  <w:tcW w:w="3286" w:type="pct"/>
                  <w:gridSpan w:val="2"/>
                  <w:vAlign w:val="center"/>
                </w:tcPr>
                <w:p w14:paraId="3ACD62F8">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Times New Roman" w:eastAsia="宋体" w:cs="Times New Roman"/>
                      <w:color w:val="auto"/>
                      <w:spacing w:val="0"/>
                      <w:highlight w:val="none"/>
                    </w:rPr>
                    <w:t>暂存一般固废</w:t>
                  </w:r>
                  <w:r>
                    <w:rPr>
                      <w:rFonts w:ascii="Times New Roman" w:hAnsi="Times New Roman" w:eastAsia="宋体" w:cs="Times New Roman"/>
                      <w:color w:val="auto"/>
                      <w:spacing w:val="0"/>
                      <w:kern w:val="0"/>
                      <w:highlight w:val="none"/>
                    </w:rPr>
                    <w:t>仓</w:t>
                  </w:r>
                  <w:r>
                    <w:rPr>
                      <w:rFonts w:ascii="Times New Roman" w:hAnsi="Times New Roman" w:eastAsia="宋体" w:cs="Times New Roman"/>
                      <w:color w:val="auto"/>
                      <w:spacing w:val="0"/>
                      <w:highlight w:val="none"/>
                    </w:rPr>
                    <w:t>库（</w:t>
                  </w:r>
                  <w:r>
                    <w:rPr>
                      <w:rFonts w:hint="eastAsia" w:ascii="Times New Roman" w:hAnsi="Times New Roman" w:eastAsia="宋体" w:cs="Times New Roman"/>
                      <w:color w:val="auto"/>
                      <w:spacing w:val="0"/>
                      <w:highlight w:val="none"/>
                      <w:lang w:val="en-US" w:eastAsia="zh-CN"/>
                    </w:rPr>
                    <w:t>4</w:t>
                  </w:r>
                  <w:r>
                    <w:rPr>
                      <w:rFonts w:ascii="Times New Roman" w:hAnsi="Times New Roman" w:eastAsia="宋体" w:cs="Times New Roman"/>
                      <w:color w:val="auto"/>
                      <w:spacing w:val="0"/>
                      <w:highlight w:val="none"/>
                    </w:rPr>
                    <w:t>0</w:t>
                  </w:r>
                  <w:r>
                    <w:rPr>
                      <w:rFonts w:ascii="Times New Roman" w:hAnsi="Times New Roman" w:eastAsia="宋体" w:cs="Times New Roman"/>
                      <w:color w:val="auto"/>
                      <w:spacing w:val="0"/>
                      <w:kern w:val="0"/>
                      <w:highlight w:val="none"/>
                    </w:rPr>
                    <w:t>m²</w:t>
                  </w:r>
                  <w:r>
                    <w:rPr>
                      <w:rFonts w:ascii="Times New Roman" w:hAnsi="Times New Roman" w:eastAsia="宋体" w:cs="Times New Roman"/>
                      <w:color w:val="auto"/>
                      <w:spacing w:val="0"/>
                      <w:highlight w:val="none"/>
                    </w:rPr>
                    <w:t>），定期外售综合利用</w:t>
                  </w:r>
                </w:p>
              </w:tc>
              <w:tc>
                <w:tcPr>
                  <w:tcW w:w="627" w:type="pct"/>
                  <w:vAlign w:val="center"/>
                </w:tcPr>
                <w:p w14:paraId="5FA0F91D">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r>
          </w:tbl>
          <w:p w14:paraId="3B0EE21E">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3.</w:t>
            </w:r>
            <w:r>
              <w:rPr>
                <w:rFonts w:hAnsi="宋体"/>
                <w:b/>
                <w:color w:val="auto"/>
                <w:kern w:val="0"/>
                <w:sz w:val="24"/>
                <w:highlight w:val="none"/>
                <w:lang w:val="zh-CN"/>
              </w:rPr>
              <w:t>主要生产设备、设施及参数</w:t>
            </w:r>
          </w:p>
          <w:p w14:paraId="1629CCD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项目运行期主要生产设备、设施及参数见表</w:t>
            </w:r>
            <w:r>
              <w:rPr>
                <w:color w:val="auto"/>
                <w:sz w:val="24"/>
                <w:highlight w:val="none"/>
              </w:rPr>
              <w:t>2-</w:t>
            </w:r>
            <w:r>
              <w:rPr>
                <w:rFonts w:hint="eastAsia"/>
                <w:color w:val="auto"/>
                <w:sz w:val="24"/>
                <w:highlight w:val="none"/>
                <w:lang w:val="en-US" w:eastAsia="zh-CN"/>
              </w:rPr>
              <w:t>5</w:t>
            </w:r>
            <w:r>
              <w:rPr>
                <w:rFonts w:hAnsi="宋体"/>
                <w:color w:val="auto"/>
                <w:sz w:val="24"/>
                <w:highlight w:val="none"/>
              </w:rPr>
              <w:t>。</w:t>
            </w:r>
          </w:p>
          <w:p w14:paraId="1F421C92">
            <w:pPr>
              <w:keepNext w:val="0"/>
              <w:keepLines w:val="0"/>
              <w:suppressLineNumbers w:val="0"/>
              <w:wordWrap w:val="0"/>
              <w:adjustRightInd w:val="0"/>
              <w:snapToGrid w:val="0"/>
              <w:spacing w:before="0" w:beforeAutospacing="0" w:after="0" w:afterAutospacing="0"/>
              <w:ind w:left="0" w:right="0"/>
              <w:jc w:val="center"/>
              <w:rPr>
                <w:color w:val="auto"/>
                <w:szCs w:val="21"/>
                <w:highlight w:val="none"/>
              </w:rPr>
            </w:pPr>
            <w:r>
              <w:rPr>
                <w:rFonts w:hAnsi="宋体"/>
                <w:b/>
                <w:color w:val="auto"/>
                <w:sz w:val="24"/>
                <w:highlight w:val="none"/>
              </w:rPr>
              <w:t>表</w:t>
            </w:r>
            <w:r>
              <w:rPr>
                <w:b/>
                <w:color w:val="auto"/>
                <w:sz w:val="24"/>
                <w:highlight w:val="none"/>
              </w:rPr>
              <w:t>2-</w:t>
            </w:r>
            <w:r>
              <w:rPr>
                <w:rFonts w:hint="eastAsia"/>
                <w:b/>
                <w:color w:val="auto"/>
                <w:sz w:val="24"/>
                <w:highlight w:val="none"/>
                <w:lang w:val="en-US" w:eastAsia="zh-CN"/>
              </w:rPr>
              <w:t>5</w:t>
            </w:r>
            <w:r>
              <w:rPr>
                <w:b/>
                <w:color w:val="auto"/>
                <w:sz w:val="24"/>
                <w:highlight w:val="none"/>
              </w:rPr>
              <w:t xml:space="preserve">  </w:t>
            </w:r>
            <w:r>
              <w:rPr>
                <w:rFonts w:hAnsi="宋体"/>
                <w:b/>
                <w:color w:val="auto"/>
                <w:sz w:val="24"/>
                <w:highlight w:val="none"/>
              </w:rPr>
              <w:t>项目运营期设备一览表</w:t>
            </w:r>
          </w:p>
          <w:tbl>
            <w:tblPr>
              <w:tblStyle w:val="88"/>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81"/>
              <w:gridCol w:w="2133"/>
              <w:gridCol w:w="2184"/>
              <w:gridCol w:w="1529"/>
              <w:gridCol w:w="1858"/>
            </w:tblGrid>
            <w:tr w14:paraId="6BAD51AC">
              <w:trPr>
                <w:trHeight w:val="340" w:hRule="atLeast"/>
                <w:jc w:val="center"/>
              </w:trPr>
              <w:tc>
                <w:tcPr>
                  <w:tcW w:w="406" w:type="pct"/>
                  <w:tcMar>
                    <w:top w:w="15" w:type="dxa"/>
                    <w:left w:w="15" w:type="dxa"/>
                    <w:right w:w="15" w:type="dxa"/>
                  </w:tcMar>
                  <w:vAlign w:val="center"/>
                </w:tcPr>
                <w:p w14:paraId="1438E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序号</w:t>
                  </w:r>
                </w:p>
              </w:tc>
              <w:tc>
                <w:tcPr>
                  <w:tcW w:w="1271" w:type="pct"/>
                  <w:tcMar>
                    <w:top w:w="15" w:type="dxa"/>
                    <w:left w:w="15" w:type="dxa"/>
                    <w:right w:w="15" w:type="dxa"/>
                  </w:tcMar>
                  <w:vAlign w:val="center"/>
                </w:tcPr>
                <w:p w14:paraId="733A40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设备名称</w:t>
                  </w:r>
                </w:p>
              </w:tc>
              <w:tc>
                <w:tcPr>
                  <w:tcW w:w="1301" w:type="pct"/>
                  <w:tcMar>
                    <w:top w:w="15" w:type="dxa"/>
                    <w:left w:w="15" w:type="dxa"/>
                    <w:right w:w="15" w:type="dxa"/>
                  </w:tcMar>
                  <w:vAlign w:val="center"/>
                </w:tcPr>
                <w:p w14:paraId="7C71D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型号</w:t>
                  </w:r>
                </w:p>
              </w:tc>
              <w:tc>
                <w:tcPr>
                  <w:tcW w:w="911" w:type="pct"/>
                  <w:vAlign w:val="center"/>
                </w:tcPr>
                <w:p w14:paraId="44F44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数量</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台/套）</w:t>
                  </w:r>
                </w:p>
              </w:tc>
              <w:tc>
                <w:tcPr>
                  <w:tcW w:w="1107" w:type="pct"/>
                  <w:vAlign w:val="center"/>
                </w:tcPr>
                <w:p w14:paraId="42A15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用途</w:t>
                  </w:r>
                </w:p>
              </w:tc>
            </w:tr>
            <w:tr w14:paraId="0D924ADE">
              <w:trPr>
                <w:trHeight w:val="340" w:hRule="atLeast"/>
                <w:jc w:val="center"/>
              </w:trPr>
              <w:tc>
                <w:tcPr>
                  <w:tcW w:w="406" w:type="pct"/>
                  <w:tcMar>
                    <w:top w:w="15" w:type="dxa"/>
                    <w:left w:w="15" w:type="dxa"/>
                    <w:right w:w="15" w:type="dxa"/>
                  </w:tcMar>
                  <w:vAlign w:val="center"/>
                </w:tcPr>
                <w:p w14:paraId="452EF6B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w:t>
                  </w:r>
                </w:p>
              </w:tc>
              <w:tc>
                <w:tcPr>
                  <w:tcW w:w="1271" w:type="pct"/>
                  <w:shd w:val="clear" w:color="auto" w:fill="auto"/>
                  <w:tcMar>
                    <w:top w:w="15" w:type="dxa"/>
                    <w:left w:w="15" w:type="dxa"/>
                    <w:right w:w="15" w:type="dxa"/>
                  </w:tcMar>
                  <w:vAlign w:val="center"/>
                </w:tcPr>
                <w:p w14:paraId="670748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激光切割机</w:t>
                  </w:r>
                </w:p>
              </w:tc>
              <w:tc>
                <w:tcPr>
                  <w:tcW w:w="1301" w:type="pct"/>
                  <w:shd w:val="clear" w:color="auto" w:fill="auto"/>
                  <w:tcMar>
                    <w:top w:w="15" w:type="dxa"/>
                    <w:left w:w="15" w:type="dxa"/>
                    <w:right w:w="15" w:type="dxa"/>
                  </w:tcMar>
                  <w:vAlign w:val="center"/>
                </w:tcPr>
                <w:p w14:paraId="55AB2D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T20000</w:t>
                  </w:r>
                </w:p>
              </w:tc>
              <w:tc>
                <w:tcPr>
                  <w:tcW w:w="911" w:type="pct"/>
                  <w:shd w:val="clear" w:color="auto" w:fill="auto"/>
                  <w:vAlign w:val="center"/>
                </w:tcPr>
                <w:p w14:paraId="1C1AC5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shd w:val="clear" w:color="auto" w:fill="auto"/>
                  <w:vAlign w:val="center"/>
                </w:tcPr>
                <w:p w14:paraId="1B6C032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下料</w:t>
                  </w:r>
                </w:p>
              </w:tc>
            </w:tr>
            <w:tr w14:paraId="44D1B1DE">
              <w:trPr>
                <w:trHeight w:val="340" w:hRule="atLeast"/>
                <w:jc w:val="center"/>
              </w:trPr>
              <w:tc>
                <w:tcPr>
                  <w:tcW w:w="406" w:type="pct"/>
                  <w:tcMar>
                    <w:top w:w="15" w:type="dxa"/>
                    <w:left w:w="15" w:type="dxa"/>
                    <w:right w:w="15" w:type="dxa"/>
                  </w:tcMar>
                  <w:vAlign w:val="center"/>
                </w:tcPr>
                <w:p w14:paraId="634EE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271" w:type="pct"/>
                  <w:shd w:val="clear" w:color="auto" w:fill="auto"/>
                  <w:tcMar>
                    <w:top w:w="15" w:type="dxa"/>
                    <w:left w:w="15" w:type="dxa"/>
                    <w:right w:w="15" w:type="dxa"/>
                  </w:tcMar>
                  <w:vAlign w:val="center"/>
                </w:tcPr>
                <w:p w14:paraId="59B44F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数控折弯机</w:t>
                  </w:r>
                </w:p>
              </w:tc>
              <w:tc>
                <w:tcPr>
                  <w:tcW w:w="1301" w:type="pct"/>
                  <w:shd w:val="clear" w:color="auto" w:fill="auto"/>
                  <w:tcMar>
                    <w:top w:w="15" w:type="dxa"/>
                    <w:left w:w="15" w:type="dxa"/>
                    <w:right w:w="15" w:type="dxa"/>
                  </w:tcMar>
                  <w:vAlign w:val="center"/>
                </w:tcPr>
                <w:p w14:paraId="4F72B1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WE67K</w:t>
                  </w:r>
                </w:p>
              </w:tc>
              <w:tc>
                <w:tcPr>
                  <w:tcW w:w="911" w:type="pct"/>
                  <w:shd w:val="clear" w:color="auto" w:fill="auto"/>
                  <w:vAlign w:val="center"/>
                </w:tcPr>
                <w:p w14:paraId="142BF7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shd w:val="clear" w:color="auto" w:fill="auto"/>
                  <w:vAlign w:val="center"/>
                </w:tcPr>
                <w:p w14:paraId="140D6E2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下料</w:t>
                  </w:r>
                </w:p>
              </w:tc>
            </w:tr>
            <w:tr w14:paraId="67C50BD9">
              <w:trPr>
                <w:trHeight w:val="340" w:hRule="atLeast"/>
                <w:jc w:val="center"/>
              </w:trPr>
              <w:tc>
                <w:tcPr>
                  <w:tcW w:w="406" w:type="pct"/>
                  <w:tcMar>
                    <w:top w:w="15" w:type="dxa"/>
                    <w:left w:w="15" w:type="dxa"/>
                    <w:right w:w="15" w:type="dxa"/>
                  </w:tcMar>
                  <w:vAlign w:val="center"/>
                </w:tcPr>
                <w:p w14:paraId="138FF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3</w:t>
                  </w:r>
                </w:p>
              </w:tc>
              <w:tc>
                <w:tcPr>
                  <w:tcW w:w="1271" w:type="pct"/>
                  <w:shd w:val="clear" w:color="auto" w:fill="auto"/>
                  <w:tcMar>
                    <w:top w:w="15" w:type="dxa"/>
                    <w:left w:w="15" w:type="dxa"/>
                    <w:right w:w="15" w:type="dxa"/>
                  </w:tcMar>
                  <w:vAlign w:val="center"/>
                </w:tcPr>
                <w:p w14:paraId="16A111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自动喷涂线</w:t>
                  </w:r>
                  <w:r>
                    <w:rPr>
                      <w:rFonts w:hint="eastAsia" w:cs="Times New Roman"/>
                      <w:color w:val="auto"/>
                      <w:kern w:val="2"/>
                      <w:sz w:val="21"/>
                      <w:szCs w:val="21"/>
                      <w:highlight w:val="none"/>
                      <w:lang w:val="en-US" w:eastAsia="zh-CN"/>
                    </w:rPr>
                    <w:t>（传送带、喷枪等）</w:t>
                  </w:r>
                </w:p>
              </w:tc>
              <w:tc>
                <w:tcPr>
                  <w:tcW w:w="1301" w:type="pct"/>
                  <w:shd w:val="clear" w:color="auto" w:fill="auto"/>
                  <w:tcMar>
                    <w:top w:w="15" w:type="dxa"/>
                    <w:left w:w="15" w:type="dxa"/>
                    <w:right w:w="15" w:type="dxa"/>
                  </w:tcMar>
                  <w:vAlign w:val="center"/>
                </w:tcPr>
                <w:p w14:paraId="706FF8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t>
                  </w:r>
                </w:p>
              </w:tc>
              <w:tc>
                <w:tcPr>
                  <w:tcW w:w="911" w:type="pct"/>
                  <w:shd w:val="clear" w:color="auto" w:fill="auto"/>
                  <w:vAlign w:val="center"/>
                </w:tcPr>
                <w:p w14:paraId="7F5215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w:t>
                  </w:r>
                </w:p>
              </w:tc>
              <w:tc>
                <w:tcPr>
                  <w:tcW w:w="1107" w:type="pct"/>
                  <w:shd w:val="clear" w:color="auto" w:fill="auto"/>
                  <w:vAlign w:val="center"/>
                </w:tcPr>
                <w:p w14:paraId="58938B5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喷漆</w:t>
                  </w:r>
                </w:p>
              </w:tc>
            </w:tr>
            <w:tr w14:paraId="4CC7DEF3">
              <w:trPr>
                <w:trHeight w:val="340" w:hRule="atLeast"/>
                <w:jc w:val="center"/>
              </w:trPr>
              <w:tc>
                <w:tcPr>
                  <w:tcW w:w="406" w:type="pct"/>
                  <w:tcMar>
                    <w:top w:w="15" w:type="dxa"/>
                    <w:left w:w="15" w:type="dxa"/>
                    <w:right w:w="15" w:type="dxa"/>
                  </w:tcMar>
                  <w:vAlign w:val="center"/>
                </w:tcPr>
                <w:p w14:paraId="0907A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271" w:type="pct"/>
                  <w:shd w:val="clear" w:color="auto" w:fill="auto"/>
                  <w:tcMar>
                    <w:top w:w="15" w:type="dxa"/>
                    <w:left w:w="15" w:type="dxa"/>
                    <w:right w:w="15" w:type="dxa"/>
                  </w:tcMar>
                  <w:vAlign w:val="center"/>
                </w:tcPr>
                <w:p w14:paraId="381137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压铆机</w:t>
                  </w:r>
                </w:p>
              </w:tc>
              <w:tc>
                <w:tcPr>
                  <w:tcW w:w="1301" w:type="pct"/>
                  <w:shd w:val="clear" w:color="auto" w:fill="auto"/>
                  <w:tcMar>
                    <w:top w:w="15" w:type="dxa"/>
                    <w:left w:w="15" w:type="dxa"/>
                    <w:right w:w="15" w:type="dxa"/>
                  </w:tcMar>
                  <w:vAlign w:val="center"/>
                </w:tcPr>
                <w:p w14:paraId="3086D2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M820</w:t>
                  </w:r>
                </w:p>
              </w:tc>
              <w:tc>
                <w:tcPr>
                  <w:tcW w:w="911" w:type="pct"/>
                  <w:shd w:val="clear" w:color="auto" w:fill="auto"/>
                  <w:vAlign w:val="center"/>
                </w:tcPr>
                <w:p w14:paraId="533689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shd w:val="clear" w:color="auto" w:fill="auto"/>
                  <w:vAlign w:val="center"/>
                </w:tcPr>
                <w:p w14:paraId="453B490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装配</w:t>
                  </w:r>
                </w:p>
              </w:tc>
            </w:tr>
            <w:tr w14:paraId="3EF1EE75">
              <w:trPr>
                <w:trHeight w:val="340" w:hRule="atLeast"/>
                <w:jc w:val="center"/>
              </w:trPr>
              <w:tc>
                <w:tcPr>
                  <w:tcW w:w="406" w:type="pct"/>
                  <w:tcMar>
                    <w:top w:w="15" w:type="dxa"/>
                    <w:left w:w="15" w:type="dxa"/>
                    <w:right w:w="15" w:type="dxa"/>
                  </w:tcMar>
                  <w:vAlign w:val="center"/>
                </w:tcPr>
                <w:p w14:paraId="4E3A5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271" w:type="pct"/>
                  <w:shd w:val="clear" w:color="auto" w:fill="auto"/>
                  <w:tcMar>
                    <w:top w:w="15" w:type="dxa"/>
                    <w:left w:w="15" w:type="dxa"/>
                    <w:right w:w="15" w:type="dxa"/>
                  </w:tcMar>
                  <w:vAlign w:val="center"/>
                </w:tcPr>
                <w:p w14:paraId="15FE5E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焊机</w:t>
                  </w:r>
                </w:p>
              </w:tc>
              <w:tc>
                <w:tcPr>
                  <w:tcW w:w="1301" w:type="pct"/>
                  <w:shd w:val="clear" w:color="auto" w:fill="auto"/>
                  <w:tcMar>
                    <w:top w:w="15" w:type="dxa"/>
                    <w:left w:w="15" w:type="dxa"/>
                    <w:right w:w="15" w:type="dxa"/>
                  </w:tcMar>
                  <w:vAlign w:val="center"/>
                </w:tcPr>
                <w:p w14:paraId="089154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YD350D</w:t>
                  </w:r>
                </w:p>
              </w:tc>
              <w:tc>
                <w:tcPr>
                  <w:tcW w:w="911" w:type="pct"/>
                  <w:shd w:val="clear" w:color="auto" w:fill="auto"/>
                  <w:vAlign w:val="center"/>
                </w:tcPr>
                <w:p w14:paraId="50411F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shd w:val="clear" w:color="auto" w:fill="auto"/>
                  <w:vAlign w:val="center"/>
                </w:tcPr>
                <w:p w14:paraId="31BC614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焊接</w:t>
                  </w:r>
                </w:p>
              </w:tc>
            </w:tr>
            <w:tr w14:paraId="389B5DAC">
              <w:trPr>
                <w:trHeight w:val="340" w:hRule="atLeast"/>
                <w:jc w:val="center"/>
              </w:trPr>
              <w:tc>
                <w:tcPr>
                  <w:tcW w:w="406" w:type="pct"/>
                  <w:tcMar>
                    <w:top w:w="15" w:type="dxa"/>
                    <w:left w:w="15" w:type="dxa"/>
                    <w:right w:w="15" w:type="dxa"/>
                  </w:tcMar>
                  <w:vAlign w:val="center"/>
                </w:tcPr>
                <w:p w14:paraId="6F0A3C2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1271" w:type="pct"/>
                  <w:shd w:val="clear" w:color="auto" w:fill="auto"/>
                  <w:tcMar>
                    <w:top w:w="15" w:type="dxa"/>
                    <w:left w:w="15" w:type="dxa"/>
                    <w:right w:w="15" w:type="dxa"/>
                  </w:tcMar>
                  <w:vAlign w:val="center"/>
                </w:tcPr>
                <w:p w14:paraId="517822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烤箱</w:t>
                  </w:r>
                </w:p>
              </w:tc>
              <w:tc>
                <w:tcPr>
                  <w:tcW w:w="1301" w:type="pct"/>
                  <w:shd w:val="clear" w:color="auto" w:fill="auto"/>
                  <w:tcMar>
                    <w:top w:w="15" w:type="dxa"/>
                    <w:left w:w="15" w:type="dxa"/>
                    <w:right w:w="15" w:type="dxa"/>
                  </w:tcMar>
                  <w:vAlign w:val="center"/>
                </w:tcPr>
                <w:p w14:paraId="490006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JB8000</w:t>
                  </w:r>
                </w:p>
              </w:tc>
              <w:tc>
                <w:tcPr>
                  <w:tcW w:w="911" w:type="pct"/>
                  <w:shd w:val="clear" w:color="auto" w:fill="auto"/>
                  <w:vAlign w:val="center"/>
                </w:tcPr>
                <w:p w14:paraId="084174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shd w:val="clear" w:color="auto" w:fill="auto"/>
                  <w:vAlign w:val="center"/>
                </w:tcPr>
                <w:p w14:paraId="77B714A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烘干</w:t>
                  </w:r>
                </w:p>
              </w:tc>
            </w:tr>
            <w:tr w14:paraId="10D56642">
              <w:trPr>
                <w:trHeight w:val="340" w:hRule="atLeast"/>
                <w:jc w:val="center"/>
              </w:trPr>
              <w:tc>
                <w:tcPr>
                  <w:tcW w:w="406" w:type="pct"/>
                  <w:tcMar>
                    <w:top w:w="15" w:type="dxa"/>
                    <w:left w:w="15" w:type="dxa"/>
                    <w:right w:w="15" w:type="dxa"/>
                  </w:tcMar>
                  <w:vAlign w:val="center"/>
                </w:tcPr>
                <w:p w14:paraId="034DE8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1271" w:type="pct"/>
                  <w:shd w:val="clear" w:color="auto" w:fill="auto"/>
                  <w:tcMar>
                    <w:top w:w="15" w:type="dxa"/>
                    <w:left w:w="15" w:type="dxa"/>
                    <w:right w:w="15" w:type="dxa"/>
                  </w:tcMar>
                  <w:vAlign w:val="center"/>
                </w:tcPr>
                <w:p w14:paraId="4265D5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金属超声波清洗线</w:t>
                  </w:r>
                </w:p>
              </w:tc>
              <w:tc>
                <w:tcPr>
                  <w:tcW w:w="1301" w:type="pct"/>
                  <w:shd w:val="clear" w:color="auto" w:fill="auto"/>
                  <w:tcMar>
                    <w:top w:w="15" w:type="dxa"/>
                    <w:left w:w="15" w:type="dxa"/>
                    <w:right w:w="15" w:type="dxa"/>
                  </w:tcMar>
                  <w:vAlign w:val="center"/>
                </w:tcPr>
                <w:p w14:paraId="65285B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t>
                  </w:r>
                </w:p>
              </w:tc>
              <w:tc>
                <w:tcPr>
                  <w:tcW w:w="911" w:type="pct"/>
                  <w:shd w:val="clear" w:color="auto" w:fill="auto"/>
                  <w:vAlign w:val="center"/>
                </w:tcPr>
                <w:p w14:paraId="48DFD9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shd w:val="clear" w:color="auto" w:fill="auto"/>
                  <w:vAlign w:val="center"/>
                </w:tcPr>
                <w:p w14:paraId="3D8D6B2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超声波清洗</w:t>
                  </w:r>
                </w:p>
              </w:tc>
            </w:tr>
            <w:tr w14:paraId="004A89F3">
              <w:trPr>
                <w:trHeight w:val="340" w:hRule="atLeast"/>
                <w:jc w:val="center"/>
              </w:trPr>
              <w:tc>
                <w:tcPr>
                  <w:tcW w:w="406" w:type="pct"/>
                  <w:tcMar>
                    <w:top w:w="15" w:type="dxa"/>
                    <w:left w:w="15" w:type="dxa"/>
                    <w:right w:w="15" w:type="dxa"/>
                  </w:tcMar>
                  <w:vAlign w:val="center"/>
                </w:tcPr>
                <w:p w14:paraId="3EC42F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w:t>
                  </w:r>
                </w:p>
              </w:tc>
              <w:tc>
                <w:tcPr>
                  <w:tcW w:w="1271" w:type="pct"/>
                  <w:shd w:val="clear" w:color="auto" w:fill="auto"/>
                  <w:tcMar>
                    <w:top w:w="15" w:type="dxa"/>
                    <w:left w:w="15" w:type="dxa"/>
                    <w:right w:w="15" w:type="dxa"/>
                  </w:tcMar>
                  <w:vAlign w:val="center"/>
                </w:tcPr>
                <w:p w14:paraId="6ADCEA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1301" w:type="pct"/>
                  <w:shd w:val="clear" w:color="auto" w:fill="auto"/>
                  <w:tcMar>
                    <w:top w:w="15" w:type="dxa"/>
                    <w:left w:w="15" w:type="dxa"/>
                    <w:right w:w="15" w:type="dxa"/>
                  </w:tcMar>
                  <w:vAlign w:val="center"/>
                </w:tcPr>
                <w:p w14:paraId="446FBF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V8</w:t>
                  </w:r>
                </w:p>
              </w:tc>
              <w:tc>
                <w:tcPr>
                  <w:tcW w:w="911" w:type="pct"/>
                  <w:shd w:val="clear" w:color="auto" w:fill="auto"/>
                  <w:vAlign w:val="center"/>
                </w:tcPr>
                <w:p w14:paraId="707B6E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80</w:t>
                  </w:r>
                </w:p>
              </w:tc>
              <w:tc>
                <w:tcPr>
                  <w:tcW w:w="1107" w:type="pct"/>
                  <w:shd w:val="clear" w:color="auto" w:fill="auto"/>
                  <w:vAlign w:val="center"/>
                </w:tcPr>
                <w:p w14:paraId="4A2B729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7FC13862">
              <w:trPr>
                <w:trHeight w:val="340" w:hRule="atLeast"/>
                <w:jc w:val="center"/>
              </w:trPr>
              <w:tc>
                <w:tcPr>
                  <w:tcW w:w="406" w:type="pct"/>
                  <w:tcMar>
                    <w:top w:w="15" w:type="dxa"/>
                    <w:left w:w="15" w:type="dxa"/>
                    <w:right w:w="15" w:type="dxa"/>
                  </w:tcMar>
                  <w:vAlign w:val="center"/>
                </w:tcPr>
                <w:p w14:paraId="0C70E4D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w:t>
                  </w:r>
                </w:p>
              </w:tc>
              <w:tc>
                <w:tcPr>
                  <w:tcW w:w="1271" w:type="pct"/>
                  <w:shd w:val="clear" w:color="auto" w:fill="auto"/>
                  <w:tcMar>
                    <w:top w:w="15" w:type="dxa"/>
                    <w:left w:w="15" w:type="dxa"/>
                    <w:right w:w="15" w:type="dxa"/>
                  </w:tcMar>
                  <w:vAlign w:val="center"/>
                </w:tcPr>
                <w:p w14:paraId="2C3D35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1301" w:type="pct"/>
                  <w:shd w:val="clear" w:color="auto" w:fill="auto"/>
                  <w:tcMar>
                    <w:top w:w="15" w:type="dxa"/>
                    <w:left w:w="15" w:type="dxa"/>
                    <w:right w:w="15" w:type="dxa"/>
                  </w:tcMar>
                  <w:vAlign w:val="center"/>
                </w:tcPr>
                <w:p w14:paraId="05E73B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V10</w:t>
                  </w:r>
                </w:p>
              </w:tc>
              <w:tc>
                <w:tcPr>
                  <w:tcW w:w="911" w:type="pct"/>
                  <w:shd w:val="clear" w:color="auto" w:fill="auto"/>
                  <w:vAlign w:val="center"/>
                </w:tcPr>
                <w:p w14:paraId="07953B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w:t>
                  </w:r>
                </w:p>
              </w:tc>
              <w:tc>
                <w:tcPr>
                  <w:tcW w:w="1107" w:type="pct"/>
                  <w:shd w:val="clear" w:color="auto" w:fill="auto"/>
                  <w:vAlign w:val="center"/>
                </w:tcPr>
                <w:p w14:paraId="1F4D01C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08D51E96">
              <w:trPr>
                <w:trHeight w:val="340" w:hRule="atLeast"/>
                <w:jc w:val="center"/>
              </w:trPr>
              <w:tc>
                <w:tcPr>
                  <w:tcW w:w="406" w:type="pct"/>
                  <w:tcMar>
                    <w:top w:w="15" w:type="dxa"/>
                    <w:left w:w="15" w:type="dxa"/>
                    <w:right w:w="15" w:type="dxa"/>
                  </w:tcMar>
                  <w:vAlign w:val="center"/>
                </w:tcPr>
                <w:p w14:paraId="5B8313A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1271" w:type="pct"/>
                  <w:shd w:val="clear" w:color="auto" w:fill="auto"/>
                  <w:tcMar>
                    <w:top w:w="15" w:type="dxa"/>
                    <w:left w:w="15" w:type="dxa"/>
                    <w:right w:w="15" w:type="dxa"/>
                  </w:tcMar>
                  <w:vAlign w:val="center"/>
                </w:tcPr>
                <w:p w14:paraId="336F87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1301" w:type="pct"/>
                  <w:shd w:val="clear" w:color="auto" w:fill="auto"/>
                  <w:tcMar>
                    <w:top w:w="15" w:type="dxa"/>
                    <w:left w:w="15" w:type="dxa"/>
                    <w:right w:w="15" w:type="dxa"/>
                  </w:tcMar>
                  <w:vAlign w:val="center"/>
                </w:tcPr>
                <w:p w14:paraId="675992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V16</w:t>
                  </w:r>
                </w:p>
              </w:tc>
              <w:tc>
                <w:tcPr>
                  <w:tcW w:w="911" w:type="pct"/>
                  <w:shd w:val="clear" w:color="auto" w:fill="auto"/>
                  <w:vAlign w:val="center"/>
                </w:tcPr>
                <w:p w14:paraId="4D777C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w:t>
                  </w:r>
                </w:p>
              </w:tc>
              <w:tc>
                <w:tcPr>
                  <w:tcW w:w="1107" w:type="pct"/>
                  <w:shd w:val="clear" w:color="auto" w:fill="auto"/>
                  <w:vAlign w:val="center"/>
                </w:tcPr>
                <w:p w14:paraId="70EE4DF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514BB22D">
              <w:trPr>
                <w:trHeight w:val="340" w:hRule="atLeast"/>
                <w:jc w:val="center"/>
              </w:trPr>
              <w:tc>
                <w:tcPr>
                  <w:tcW w:w="406" w:type="pct"/>
                  <w:tcMar>
                    <w:top w:w="15" w:type="dxa"/>
                    <w:left w:w="15" w:type="dxa"/>
                    <w:right w:w="15" w:type="dxa"/>
                  </w:tcMar>
                  <w:vAlign w:val="center"/>
                </w:tcPr>
                <w:p w14:paraId="73501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w:t>
                  </w:r>
                </w:p>
              </w:tc>
              <w:tc>
                <w:tcPr>
                  <w:tcW w:w="1271" w:type="pct"/>
                  <w:shd w:val="clear" w:color="auto" w:fill="auto"/>
                  <w:tcMar>
                    <w:top w:w="15" w:type="dxa"/>
                    <w:left w:w="15" w:type="dxa"/>
                    <w:right w:w="15" w:type="dxa"/>
                  </w:tcMar>
                  <w:vAlign w:val="center"/>
                </w:tcPr>
                <w:p w14:paraId="295385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立式钻攻中心</w:t>
                  </w:r>
                </w:p>
              </w:tc>
              <w:tc>
                <w:tcPr>
                  <w:tcW w:w="1301" w:type="pct"/>
                  <w:shd w:val="clear" w:color="auto" w:fill="auto"/>
                  <w:tcMar>
                    <w:top w:w="15" w:type="dxa"/>
                    <w:left w:w="15" w:type="dxa"/>
                    <w:right w:w="15" w:type="dxa"/>
                  </w:tcMar>
                  <w:vAlign w:val="center"/>
                </w:tcPr>
                <w:p w14:paraId="215D25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T7</w:t>
                  </w:r>
                </w:p>
              </w:tc>
              <w:tc>
                <w:tcPr>
                  <w:tcW w:w="911" w:type="pct"/>
                  <w:shd w:val="clear" w:color="auto" w:fill="auto"/>
                  <w:vAlign w:val="center"/>
                </w:tcPr>
                <w:p w14:paraId="45C9CD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200</w:t>
                  </w:r>
                </w:p>
              </w:tc>
              <w:tc>
                <w:tcPr>
                  <w:tcW w:w="1107" w:type="pct"/>
                  <w:shd w:val="clear" w:color="auto" w:fill="auto"/>
                  <w:vAlign w:val="center"/>
                </w:tcPr>
                <w:p w14:paraId="2699FAD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472E150D">
              <w:trPr>
                <w:trHeight w:val="340" w:hRule="atLeast"/>
                <w:jc w:val="center"/>
              </w:trPr>
              <w:tc>
                <w:tcPr>
                  <w:tcW w:w="406" w:type="pct"/>
                  <w:tcMar>
                    <w:top w:w="15" w:type="dxa"/>
                    <w:left w:w="15" w:type="dxa"/>
                    <w:right w:w="15" w:type="dxa"/>
                  </w:tcMar>
                  <w:vAlign w:val="center"/>
                </w:tcPr>
                <w:p w14:paraId="54702C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c>
                <w:tcPr>
                  <w:tcW w:w="1271" w:type="pct"/>
                  <w:shd w:val="clear" w:color="auto" w:fill="auto"/>
                  <w:tcMar>
                    <w:top w:w="15" w:type="dxa"/>
                    <w:left w:w="15" w:type="dxa"/>
                    <w:right w:w="15" w:type="dxa"/>
                  </w:tcMar>
                  <w:vAlign w:val="center"/>
                </w:tcPr>
                <w:p w14:paraId="75A643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龙门加工中心</w:t>
                  </w:r>
                </w:p>
              </w:tc>
              <w:tc>
                <w:tcPr>
                  <w:tcW w:w="1301" w:type="pct"/>
                  <w:shd w:val="clear" w:color="auto" w:fill="auto"/>
                  <w:tcMar>
                    <w:top w:w="15" w:type="dxa"/>
                    <w:left w:w="15" w:type="dxa"/>
                    <w:right w:w="15" w:type="dxa"/>
                  </w:tcMar>
                  <w:vAlign w:val="center"/>
                </w:tcPr>
                <w:p w14:paraId="7E1BCB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GMC4025</w:t>
                  </w:r>
                </w:p>
              </w:tc>
              <w:tc>
                <w:tcPr>
                  <w:tcW w:w="911" w:type="pct"/>
                  <w:shd w:val="clear" w:color="auto" w:fill="auto"/>
                  <w:vAlign w:val="center"/>
                </w:tcPr>
                <w:p w14:paraId="6F14D4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c>
                <w:tcPr>
                  <w:tcW w:w="1107" w:type="pct"/>
                  <w:shd w:val="clear" w:color="auto" w:fill="auto"/>
                  <w:vAlign w:val="center"/>
                </w:tcPr>
                <w:p w14:paraId="17D6D2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0C3578E9">
              <w:trPr>
                <w:trHeight w:val="340" w:hRule="atLeast"/>
                <w:jc w:val="center"/>
              </w:trPr>
              <w:tc>
                <w:tcPr>
                  <w:tcW w:w="406" w:type="pct"/>
                  <w:tcMar>
                    <w:top w:w="15" w:type="dxa"/>
                    <w:left w:w="15" w:type="dxa"/>
                    <w:right w:w="15" w:type="dxa"/>
                  </w:tcMar>
                  <w:vAlign w:val="center"/>
                </w:tcPr>
                <w:p w14:paraId="45749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13</w:t>
                  </w:r>
                </w:p>
              </w:tc>
              <w:tc>
                <w:tcPr>
                  <w:tcW w:w="1271" w:type="pct"/>
                  <w:shd w:val="clear" w:color="auto" w:fill="auto"/>
                  <w:tcMar>
                    <w:top w:w="15" w:type="dxa"/>
                    <w:left w:w="15" w:type="dxa"/>
                    <w:right w:w="15" w:type="dxa"/>
                  </w:tcMar>
                  <w:vAlign w:val="center"/>
                </w:tcPr>
                <w:p w14:paraId="5F812A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龙门加工中心</w:t>
                  </w:r>
                </w:p>
              </w:tc>
              <w:tc>
                <w:tcPr>
                  <w:tcW w:w="1301" w:type="pct"/>
                  <w:shd w:val="clear" w:color="auto" w:fill="auto"/>
                  <w:tcMar>
                    <w:top w:w="15" w:type="dxa"/>
                    <w:left w:w="15" w:type="dxa"/>
                    <w:right w:w="15" w:type="dxa"/>
                  </w:tcMar>
                  <w:vAlign w:val="center"/>
                </w:tcPr>
                <w:p w14:paraId="3E2F46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GMC2012</w:t>
                  </w:r>
                </w:p>
              </w:tc>
              <w:tc>
                <w:tcPr>
                  <w:tcW w:w="911" w:type="pct"/>
                  <w:shd w:val="clear" w:color="auto" w:fill="auto"/>
                  <w:vAlign w:val="center"/>
                </w:tcPr>
                <w:p w14:paraId="7291CE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c>
                <w:tcPr>
                  <w:tcW w:w="1107" w:type="pct"/>
                  <w:shd w:val="clear" w:color="auto" w:fill="auto"/>
                  <w:vAlign w:val="center"/>
                </w:tcPr>
                <w:p w14:paraId="566254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1D6A1E86">
              <w:trPr>
                <w:trHeight w:val="340" w:hRule="atLeast"/>
                <w:jc w:val="center"/>
              </w:trPr>
              <w:tc>
                <w:tcPr>
                  <w:tcW w:w="406" w:type="pct"/>
                  <w:tcMar>
                    <w:top w:w="15" w:type="dxa"/>
                    <w:left w:w="15" w:type="dxa"/>
                    <w:right w:w="15" w:type="dxa"/>
                  </w:tcMar>
                  <w:vAlign w:val="center"/>
                </w:tcPr>
                <w:p w14:paraId="13F30D7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14</w:t>
                  </w:r>
                </w:p>
              </w:tc>
              <w:tc>
                <w:tcPr>
                  <w:tcW w:w="1271" w:type="pct"/>
                  <w:shd w:val="clear" w:color="auto" w:fill="auto"/>
                  <w:tcMar>
                    <w:top w:w="15" w:type="dxa"/>
                    <w:left w:w="15" w:type="dxa"/>
                    <w:right w:w="15" w:type="dxa"/>
                  </w:tcMar>
                  <w:vAlign w:val="center"/>
                </w:tcPr>
                <w:p w14:paraId="50D88A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龙门导轨磨床</w:t>
                  </w:r>
                </w:p>
              </w:tc>
              <w:tc>
                <w:tcPr>
                  <w:tcW w:w="1301" w:type="pct"/>
                  <w:shd w:val="clear" w:color="auto" w:fill="auto"/>
                  <w:tcMar>
                    <w:top w:w="15" w:type="dxa"/>
                    <w:left w:w="15" w:type="dxa"/>
                    <w:right w:w="15" w:type="dxa"/>
                  </w:tcMar>
                  <w:vAlign w:val="center"/>
                </w:tcPr>
                <w:p w14:paraId="0D6CD4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FSG40160D</w:t>
                  </w:r>
                </w:p>
              </w:tc>
              <w:tc>
                <w:tcPr>
                  <w:tcW w:w="911" w:type="pct"/>
                  <w:shd w:val="clear" w:color="auto" w:fill="auto"/>
                  <w:vAlign w:val="center"/>
                </w:tcPr>
                <w:p w14:paraId="33C5CD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shd w:val="clear" w:color="auto" w:fill="auto"/>
                  <w:vAlign w:val="center"/>
                </w:tcPr>
                <w:p w14:paraId="3A17C6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02B01BAA">
              <w:trPr>
                <w:trHeight w:val="340" w:hRule="atLeast"/>
                <w:jc w:val="center"/>
              </w:trPr>
              <w:tc>
                <w:tcPr>
                  <w:tcW w:w="406" w:type="pct"/>
                  <w:vAlign w:val="center"/>
                </w:tcPr>
                <w:p w14:paraId="4A43C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w:t>
                  </w:r>
                </w:p>
              </w:tc>
              <w:tc>
                <w:tcPr>
                  <w:tcW w:w="1271" w:type="pct"/>
                  <w:shd w:val="clear" w:color="auto" w:fill="auto"/>
                  <w:vAlign w:val="center"/>
                </w:tcPr>
                <w:p w14:paraId="1AEBA6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数控车床</w:t>
                  </w:r>
                </w:p>
              </w:tc>
              <w:tc>
                <w:tcPr>
                  <w:tcW w:w="1301" w:type="pct"/>
                  <w:shd w:val="clear" w:color="auto" w:fill="auto"/>
                  <w:vAlign w:val="center"/>
                </w:tcPr>
                <w:p w14:paraId="5187CC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CK6150B</w:t>
                  </w:r>
                </w:p>
              </w:tc>
              <w:tc>
                <w:tcPr>
                  <w:tcW w:w="911" w:type="pct"/>
                  <w:shd w:val="clear" w:color="auto" w:fill="auto"/>
                  <w:vAlign w:val="center"/>
                </w:tcPr>
                <w:p w14:paraId="26523A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shd w:val="clear" w:color="auto" w:fill="auto"/>
                  <w:vAlign w:val="center"/>
                </w:tcPr>
                <w:p w14:paraId="66AE34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74905945">
              <w:trPr>
                <w:trHeight w:val="340" w:hRule="atLeast"/>
                <w:jc w:val="center"/>
              </w:trPr>
              <w:tc>
                <w:tcPr>
                  <w:tcW w:w="406" w:type="pct"/>
                  <w:vAlign w:val="center"/>
                </w:tcPr>
                <w:p w14:paraId="5AF68F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w:t>
                  </w:r>
                </w:p>
              </w:tc>
              <w:tc>
                <w:tcPr>
                  <w:tcW w:w="1271" w:type="pct"/>
                  <w:shd w:val="clear" w:color="auto" w:fill="auto"/>
                  <w:vAlign w:val="center"/>
                </w:tcPr>
                <w:p w14:paraId="3003B9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普通车床</w:t>
                  </w:r>
                </w:p>
              </w:tc>
              <w:tc>
                <w:tcPr>
                  <w:tcW w:w="1301" w:type="pct"/>
                  <w:shd w:val="clear" w:color="auto" w:fill="auto"/>
                  <w:vAlign w:val="center"/>
                </w:tcPr>
                <w:p w14:paraId="6BD0F6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CW6180</w:t>
                  </w:r>
                </w:p>
              </w:tc>
              <w:tc>
                <w:tcPr>
                  <w:tcW w:w="911" w:type="pct"/>
                  <w:shd w:val="clear" w:color="auto" w:fill="auto"/>
                  <w:vAlign w:val="center"/>
                </w:tcPr>
                <w:p w14:paraId="2FF97E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shd w:val="clear" w:color="auto" w:fill="auto"/>
                  <w:vAlign w:val="center"/>
                </w:tcPr>
                <w:p w14:paraId="61B391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35C7ECF3">
              <w:trPr>
                <w:trHeight w:val="340" w:hRule="atLeast"/>
                <w:jc w:val="center"/>
              </w:trPr>
              <w:tc>
                <w:tcPr>
                  <w:tcW w:w="406" w:type="pct"/>
                  <w:vAlign w:val="center"/>
                </w:tcPr>
                <w:p w14:paraId="7BAC129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17</w:t>
                  </w:r>
                </w:p>
              </w:tc>
              <w:tc>
                <w:tcPr>
                  <w:tcW w:w="1271" w:type="pct"/>
                  <w:shd w:val="clear" w:color="auto" w:fill="auto"/>
                  <w:vAlign w:val="center"/>
                </w:tcPr>
                <w:p w14:paraId="306A49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炮塔铣床</w:t>
                  </w:r>
                </w:p>
              </w:tc>
              <w:tc>
                <w:tcPr>
                  <w:tcW w:w="1301" w:type="pct"/>
                  <w:shd w:val="clear" w:color="auto" w:fill="auto"/>
                  <w:vAlign w:val="center"/>
                </w:tcPr>
                <w:p w14:paraId="7C18F1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X52K</w:t>
                  </w:r>
                </w:p>
              </w:tc>
              <w:tc>
                <w:tcPr>
                  <w:tcW w:w="911" w:type="pct"/>
                  <w:shd w:val="clear" w:color="auto" w:fill="auto"/>
                  <w:vAlign w:val="center"/>
                </w:tcPr>
                <w:p w14:paraId="0D494E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shd w:val="clear" w:color="auto" w:fill="auto"/>
                  <w:vAlign w:val="center"/>
                </w:tcPr>
                <w:p w14:paraId="218DCB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5BBE3C97">
              <w:trPr>
                <w:trHeight w:val="340" w:hRule="atLeast"/>
                <w:jc w:val="center"/>
              </w:trPr>
              <w:tc>
                <w:tcPr>
                  <w:tcW w:w="406" w:type="pct"/>
                  <w:vAlign w:val="center"/>
                </w:tcPr>
                <w:p w14:paraId="670E98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18</w:t>
                  </w:r>
                </w:p>
              </w:tc>
              <w:tc>
                <w:tcPr>
                  <w:tcW w:w="1271" w:type="pct"/>
                  <w:shd w:val="clear" w:color="auto" w:fill="auto"/>
                  <w:vAlign w:val="center"/>
                </w:tcPr>
                <w:p w14:paraId="792F36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摇臂钻床</w:t>
                  </w:r>
                </w:p>
              </w:tc>
              <w:tc>
                <w:tcPr>
                  <w:tcW w:w="1301" w:type="pct"/>
                  <w:shd w:val="clear" w:color="auto" w:fill="auto"/>
                  <w:vAlign w:val="center"/>
                </w:tcPr>
                <w:p w14:paraId="6B3AAC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Z3050</w:t>
                  </w:r>
                </w:p>
              </w:tc>
              <w:tc>
                <w:tcPr>
                  <w:tcW w:w="911" w:type="pct"/>
                  <w:shd w:val="clear" w:color="auto" w:fill="auto"/>
                  <w:vAlign w:val="center"/>
                </w:tcPr>
                <w:p w14:paraId="6CBB61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shd w:val="clear" w:color="auto" w:fill="auto"/>
                  <w:vAlign w:val="center"/>
                </w:tcPr>
                <w:p w14:paraId="2C0304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76586A8E">
              <w:trPr>
                <w:trHeight w:val="340" w:hRule="atLeast"/>
                <w:jc w:val="center"/>
              </w:trPr>
              <w:tc>
                <w:tcPr>
                  <w:tcW w:w="406" w:type="pct"/>
                  <w:vAlign w:val="center"/>
                </w:tcPr>
                <w:p w14:paraId="0E615E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19</w:t>
                  </w:r>
                </w:p>
              </w:tc>
              <w:tc>
                <w:tcPr>
                  <w:tcW w:w="1271" w:type="pct"/>
                  <w:shd w:val="clear" w:color="auto" w:fill="auto"/>
                  <w:vAlign w:val="center"/>
                </w:tcPr>
                <w:p w14:paraId="14EE09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平面磨床</w:t>
                  </w:r>
                </w:p>
              </w:tc>
              <w:tc>
                <w:tcPr>
                  <w:tcW w:w="1301" w:type="pct"/>
                  <w:shd w:val="clear" w:color="auto" w:fill="auto"/>
                  <w:vAlign w:val="center"/>
                </w:tcPr>
                <w:p w14:paraId="7657BA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M7150</w:t>
                  </w:r>
                </w:p>
              </w:tc>
              <w:tc>
                <w:tcPr>
                  <w:tcW w:w="911" w:type="pct"/>
                  <w:shd w:val="clear" w:color="auto" w:fill="auto"/>
                  <w:vAlign w:val="center"/>
                </w:tcPr>
                <w:p w14:paraId="00650F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c>
                <w:tcPr>
                  <w:tcW w:w="1107" w:type="pct"/>
                  <w:shd w:val="clear" w:color="auto" w:fill="auto"/>
                  <w:vAlign w:val="center"/>
                </w:tcPr>
                <w:p w14:paraId="0EF80D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打磨</w:t>
                  </w:r>
                </w:p>
              </w:tc>
            </w:tr>
            <w:tr w14:paraId="5AF52B77">
              <w:trPr>
                <w:trHeight w:val="340" w:hRule="atLeast"/>
                <w:jc w:val="center"/>
              </w:trPr>
              <w:tc>
                <w:tcPr>
                  <w:tcW w:w="406" w:type="pct"/>
                  <w:vAlign w:val="center"/>
                </w:tcPr>
                <w:p w14:paraId="673C269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20</w:t>
                  </w:r>
                </w:p>
              </w:tc>
              <w:tc>
                <w:tcPr>
                  <w:tcW w:w="1271" w:type="pct"/>
                  <w:shd w:val="clear" w:color="auto" w:fill="auto"/>
                  <w:vAlign w:val="center"/>
                </w:tcPr>
                <w:p w14:paraId="37C8B7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平面磨床</w:t>
                  </w:r>
                </w:p>
              </w:tc>
              <w:tc>
                <w:tcPr>
                  <w:tcW w:w="1301" w:type="pct"/>
                  <w:shd w:val="clear" w:color="auto" w:fill="auto"/>
                  <w:vAlign w:val="center"/>
                </w:tcPr>
                <w:p w14:paraId="4DE01F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MY3270</w:t>
                  </w:r>
                </w:p>
              </w:tc>
              <w:tc>
                <w:tcPr>
                  <w:tcW w:w="911" w:type="pct"/>
                  <w:shd w:val="clear" w:color="auto" w:fill="auto"/>
                  <w:vAlign w:val="center"/>
                </w:tcPr>
                <w:p w14:paraId="46FF4A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vAlign w:val="center"/>
                </w:tcPr>
                <w:p w14:paraId="608EE8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打磨</w:t>
                  </w:r>
                </w:p>
              </w:tc>
            </w:tr>
            <w:tr w14:paraId="7A8EDA72">
              <w:trPr>
                <w:trHeight w:val="340" w:hRule="atLeast"/>
                <w:jc w:val="center"/>
              </w:trPr>
              <w:tc>
                <w:tcPr>
                  <w:tcW w:w="406" w:type="pct"/>
                  <w:vAlign w:val="center"/>
                </w:tcPr>
                <w:p w14:paraId="258EA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21</w:t>
                  </w:r>
                </w:p>
              </w:tc>
              <w:tc>
                <w:tcPr>
                  <w:tcW w:w="1271" w:type="pct"/>
                  <w:shd w:val="clear" w:color="auto" w:fill="auto"/>
                  <w:vAlign w:val="center"/>
                </w:tcPr>
                <w:p w14:paraId="0B7439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攻丝机</w:t>
                  </w:r>
                </w:p>
              </w:tc>
              <w:tc>
                <w:tcPr>
                  <w:tcW w:w="1301" w:type="pct"/>
                  <w:shd w:val="clear" w:color="auto" w:fill="auto"/>
                  <w:vAlign w:val="center"/>
                </w:tcPr>
                <w:p w14:paraId="55DBB8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SWJ-15</w:t>
                  </w:r>
                </w:p>
              </w:tc>
              <w:tc>
                <w:tcPr>
                  <w:tcW w:w="911" w:type="pct"/>
                  <w:shd w:val="clear" w:color="auto" w:fill="auto"/>
                  <w:vAlign w:val="center"/>
                </w:tcPr>
                <w:p w14:paraId="0CAD9EC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vAlign w:val="center"/>
                </w:tcPr>
                <w:p w14:paraId="4B3222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5446A911">
              <w:trPr>
                <w:trHeight w:val="340" w:hRule="atLeast"/>
                <w:jc w:val="center"/>
              </w:trPr>
              <w:tc>
                <w:tcPr>
                  <w:tcW w:w="406" w:type="pct"/>
                  <w:vAlign w:val="center"/>
                </w:tcPr>
                <w:p w14:paraId="0FF84C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22</w:t>
                  </w:r>
                </w:p>
              </w:tc>
              <w:tc>
                <w:tcPr>
                  <w:tcW w:w="1271" w:type="pct"/>
                  <w:shd w:val="clear" w:color="auto" w:fill="auto"/>
                  <w:vAlign w:val="center"/>
                </w:tcPr>
                <w:p w14:paraId="44F16C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台式钻床</w:t>
                  </w:r>
                </w:p>
              </w:tc>
              <w:tc>
                <w:tcPr>
                  <w:tcW w:w="1301" w:type="pct"/>
                  <w:shd w:val="clear" w:color="auto" w:fill="auto"/>
                  <w:vAlign w:val="center"/>
                </w:tcPr>
                <w:p w14:paraId="55068D5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ZQS4116</w:t>
                  </w:r>
                </w:p>
              </w:tc>
              <w:tc>
                <w:tcPr>
                  <w:tcW w:w="911" w:type="pct"/>
                  <w:shd w:val="clear" w:color="auto" w:fill="auto"/>
                  <w:vAlign w:val="center"/>
                </w:tcPr>
                <w:p w14:paraId="6F91ED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c>
                <w:tcPr>
                  <w:tcW w:w="1107" w:type="pct"/>
                  <w:vAlign w:val="center"/>
                </w:tcPr>
                <w:p w14:paraId="3D647C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r>
            <w:tr w14:paraId="327DBDE0">
              <w:trPr>
                <w:trHeight w:val="340" w:hRule="atLeast"/>
                <w:jc w:val="center"/>
              </w:trPr>
              <w:tc>
                <w:tcPr>
                  <w:tcW w:w="406" w:type="pct"/>
                  <w:vAlign w:val="center"/>
                </w:tcPr>
                <w:p w14:paraId="5612A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23</w:t>
                  </w:r>
                </w:p>
              </w:tc>
              <w:tc>
                <w:tcPr>
                  <w:tcW w:w="1271" w:type="pct"/>
                  <w:shd w:val="clear" w:color="auto" w:fill="auto"/>
                  <w:vAlign w:val="center"/>
                </w:tcPr>
                <w:p w14:paraId="1B31B3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自动磨刀机</w:t>
                  </w:r>
                </w:p>
              </w:tc>
              <w:tc>
                <w:tcPr>
                  <w:tcW w:w="1301" w:type="pct"/>
                  <w:shd w:val="clear" w:color="auto" w:fill="auto"/>
                  <w:vAlign w:val="center"/>
                </w:tcPr>
                <w:p w14:paraId="75D1D10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YA-AE12</w:t>
                  </w:r>
                </w:p>
              </w:tc>
              <w:tc>
                <w:tcPr>
                  <w:tcW w:w="911" w:type="pct"/>
                  <w:shd w:val="clear" w:color="auto" w:fill="auto"/>
                  <w:vAlign w:val="center"/>
                </w:tcPr>
                <w:p w14:paraId="0E40C9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vAlign w:val="center"/>
                </w:tcPr>
                <w:p w14:paraId="44DCDB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打磨</w:t>
                  </w:r>
                </w:p>
              </w:tc>
            </w:tr>
            <w:tr w14:paraId="2A2CA64E">
              <w:trPr>
                <w:trHeight w:val="340" w:hRule="atLeast"/>
                <w:jc w:val="center"/>
              </w:trPr>
              <w:tc>
                <w:tcPr>
                  <w:tcW w:w="406" w:type="pct"/>
                  <w:vAlign w:val="center"/>
                </w:tcPr>
                <w:p w14:paraId="3293DB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24</w:t>
                  </w:r>
                </w:p>
              </w:tc>
              <w:tc>
                <w:tcPr>
                  <w:tcW w:w="1271" w:type="pct"/>
                  <w:shd w:val="clear" w:color="auto" w:fill="auto"/>
                  <w:vAlign w:val="center"/>
                </w:tcPr>
                <w:p w14:paraId="42904B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激光干涉仪</w:t>
                  </w:r>
                </w:p>
              </w:tc>
              <w:tc>
                <w:tcPr>
                  <w:tcW w:w="1301" w:type="pct"/>
                  <w:shd w:val="clear" w:color="auto" w:fill="auto"/>
                  <w:vAlign w:val="center"/>
                </w:tcPr>
                <w:p w14:paraId="66FF68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XL80</w:t>
                  </w:r>
                </w:p>
              </w:tc>
              <w:tc>
                <w:tcPr>
                  <w:tcW w:w="911" w:type="pct"/>
                  <w:shd w:val="clear" w:color="auto" w:fill="auto"/>
                  <w:vAlign w:val="center"/>
                </w:tcPr>
                <w:p w14:paraId="628216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c>
                <w:tcPr>
                  <w:tcW w:w="1107" w:type="pct"/>
                  <w:vAlign w:val="center"/>
                </w:tcPr>
                <w:p w14:paraId="41CE0B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r>
            <w:tr w14:paraId="0193DADA">
              <w:trPr>
                <w:trHeight w:val="340" w:hRule="atLeast"/>
                <w:jc w:val="center"/>
              </w:trPr>
              <w:tc>
                <w:tcPr>
                  <w:tcW w:w="406" w:type="pct"/>
                  <w:vAlign w:val="center"/>
                </w:tcPr>
                <w:p w14:paraId="0663D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25</w:t>
                  </w:r>
                </w:p>
              </w:tc>
              <w:tc>
                <w:tcPr>
                  <w:tcW w:w="1271" w:type="pct"/>
                  <w:shd w:val="clear" w:color="auto" w:fill="auto"/>
                  <w:vAlign w:val="center"/>
                </w:tcPr>
                <w:p w14:paraId="49EF2B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球杆仪</w:t>
                  </w:r>
                </w:p>
              </w:tc>
              <w:tc>
                <w:tcPr>
                  <w:tcW w:w="1301" w:type="pct"/>
                  <w:shd w:val="clear" w:color="auto" w:fill="auto"/>
                  <w:vAlign w:val="center"/>
                </w:tcPr>
                <w:p w14:paraId="7C2F2E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QC20-W</w:t>
                  </w:r>
                </w:p>
              </w:tc>
              <w:tc>
                <w:tcPr>
                  <w:tcW w:w="911" w:type="pct"/>
                  <w:shd w:val="clear" w:color="auto" w:fill="auto"/>
                  <w:vAlign w:val="center"/>
                </w:tcPr>
                <w:p w14:paraId="2BF093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c>
                <w:tcPr>
                  <w:tcW w:w="1107" w:type="pct"/>
                  <w:vAlign w:val="center"/>
                </w:tcPr>
                <w:p w14:paraId="5AC4AB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r>
            <w:tr w14:paraId="05962969">
              <w:trPr>
                <w:trHeight w:val="340" w:hRule="atLeast"/>
                <w:jc w:val="center"/>
              </w:trPr>
              <w:tc>
                <w:tcPr>
                  <w:tcW w:w="406" w:type="pct"/>
                  <w:vAlign w:val="center"/>
                </w:tcPr>
                <w:p w14:paraId="0BF899D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26</w:t>
                  </w:r>
                </w:p>
              </w:tc>
              <w:tc>
                <w:tcPr>
                  <w:tcW w:w="1271" w:type="pct"/>
                  <w:shd w:val="clear" w:color="auto" w:fill="auto"/>
                  <w:vAlign w:val="center"/>
                </w:tcPr>
                <w:p w14:paraId="50F3E2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盐雾测试仪</w:t>
                  </w:r>
                </w:p>
              </w:tc>
              <w:tc>
                <w:tcPr>
                  <w:tcW w:w="1301" w:type="pct"/>
                  <w:shd w:val="clear" w:color="auto" w:fill="auto"/>
                  <w:vAlign w:val="center"/>
                </w:tcPr>
                <w:p w14:paraId="541488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STP-30</w:t>
                  </w:r>
                </w:p>
              </w:tc>
              <w:tc>
                <w:tcPr>
                  <w:tcW w:w="911" w:type="pct"/>
                  <w:shd w:val="clear" w:color="auto" w:fill="auto"/>
                  <w:vAlign w:val="center"/>
                </w:tcPr>
                <w:p w14:paraId="44F8D3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vAlign w:val="center"/>
                </w:tcPr>
                <w:p w14:paraId="460C51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r>
            <w:tr w14:paraId="16276B28">
              <w:trPr>
                <w:trHeight w:val="340" w:hRule="atLeast"/>
                <w:jc w:val="center"/>
              </w:trPr>
              <w:tc>
                <w:tcPr>
                  <w:tcW w:w="406" w:type="pct"/>
                  <w:vAlign w:val="center"/>
                </w:tcPr>
                <w:p w14:paraId="3F674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27</w:t>
                  </w:r>
                </w:p>
              </w:tc>
              <w:tc>
                <w:tcPr>
                  <w:tcW w:w="1271" w:type="pct"/>
                  <w:shd w:val="clear" w:color="auto" w:fill="auto"/>
                  <w:vAlign w:val="center"/>
                </w:tcPr>
                <w:p w14:paraId="628929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三坐标检测仪</w:t>
                  </w:r>
                </w:p>
              </w:tc>
              <w:tc>
                <w:tcPr>
                  <w:tcW w:w="1301" w:type="pct"/>
                  <w:shd w:val="clear" w:color="auto" w:fill="auto"/>
                  <w:vAlign w:val="center"/>
                </w:tcPr>
                <w:p w14:paraId="59CFC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Croma Plus</w:t>
                  </w:r>
                </w:p>
              </w:tc>
              <w:tc>
                <w:tcPr>
                  <w:tcW w:w="911" w:type="pct"/>
                  <w:shd w:val="clear" w:color="auto" w:fill="auto"/>
                  <w:vAlign w:val="center"/>
                </w:tcPr>
                <w:p w14:paraId="0FB257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c>
                <w:tcPr>
                  <w:tcW w:w="1107" w:type="pct"/>
                  <w:vAlign w:val="center"/>
                </w:tcPr>
                <w:p w14:paraId="0391E8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检验</w:t>
                  </w:r>
                </w:p>
              </w:tc>
            </w:tr>
            <w:tr w14:paraId="17894872">
              <w:trPr>
                <w:trHeight w:val="340" w:hRule="atLeast"/>
                <w:jc w:val="center"/>
              </w:trPr>
              <w:tc>
                <w:tcPr>
                  <w:tcW w:w="406" w:type="pct"/>
                  <w:vAlign w:val="center"/>
                </w:tcPr>
                <w:p w14:paraId="52E7ADE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28</w:t>
                  </w:r>
                </w:p>
              </w:tc>
              <w:tc>
                <w:tcPr>
                  <w:tcW w:w="1271" w:type="pct"/>
                  <w:shd w:val="clear" w:color="auto" w:fill="auto"/>
                  <w:vAlign w:val="center"/>
                </w:tcPr>
                <w:p w14:paraId="7B789D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其他配套设备</w:t>
                  </w:r>
                </w:p>
              </w:tc>
              <w:tc>
                <w:tcPr>
                  <w:tcW w:w="1301" w:type="pct"/>
                  <w:shd w:val="clear" w:color="auto" w:fill="auto"/>
                  <w:vAlign w:val="center"/>
                </w:tcPr>
                <w:p w14:paraId="410A8B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t>
                  </w:r>
                </w:p>
              </w:tc>
              <w:tc>
                <w:tcPr>
                  <w:tcW w:w="911" w:type="pct"/>
                  <w:shd w:val="clear" w:color="auto" w:fill="auto"/>
                  <w:vAlign w:val="center"/>
                </w:tcPr>
                <w:p w14:paraId="46D0C7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w:t>
                  </w:r>
                </w:p>
              </w:tc>
              <w:tc>
                <w:tcPr>
                  <w:tcW w:w="1107" w:type="pct"/>
                  <w:vAlign w:val="center"/>
                </w:tcPr>
                <w:p w14:paraId="2D803D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调试辅助</w:t>
                  </w:r>
                </w:p>
              </w:tc>
            </w:tr>
            <w:tr w14:paraId="778BC0A6">
              <w:trPr>
                <w:trHeight w:val="340" w:hRule="atLeast"/>
                <w:jc w:val="center"/>
              </w:trPr>
              <w:tc>
                <w:tcPr>
                  <w:tcW w:w="406" w:type="pct"/>
                  <w:shd w:val="clear" w:color="auto" w:fill="auto"/>
                  <w:vAlign w:val="center"/>
                </w:tcPr>
                <w:p w14:paraId="6E28C4D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29</w:t>
                  </w:r>
                </w:p>
              </w:tc>
              <w:tc>
                <w:tcPr>
                  <w:tcW w:w="1271" w:type="pct"/>
                  <w:shd w:val="clear" w:color="auto" w:fill="auto"/>
                  <w:vAlign w:val="center"/>
                </w:tcPr>
                <w:p w14:paraId="3FBB4D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喷漆房</w:t>
                  </w:r>
                </w:p>
              </w:tc>
              <w:tc>
                <w:tcPr>
                  <w:tcW w:w="1301" w:type="pct"/>
                  <w:shd w:val="clear" w:color="auto" w:fill="auto"/>
                  <w:vAlign w:val="center"/>
                </w:tcPr>
                <w:p w14:paraId="0017C9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911" w:type="pct"/>
                  <w:shd w:val="clear" w:color="auto" w:fill="auto"/>
                  <w:vAlign w:val="center"/>
                </w:tcPr>
                <w:p w14:paraId="7C13C4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1107" w:type="pct"/>
                  <w:vAlign w:val="center"/>
                </w:tcPr>
                <w:p w14:paraId="038D7194">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喷漆</w:t>
                  </w:r>
                </w:p>
              </w:tc>
            </w:tr>
            <w:tr w14:paraId="1A49FE15">
              <w:trPr>
                <w:trHeight w:val="340" w:hRule="atLeast"/>
                <w:jc w:val="center"/>
              </w:trPr>
              <w:tc>
                <w:tcPr>
                  <w:tcW w:w="406" w:type="pct"/>
                  <w:shd w:val="clear" w:color="auto" w:fill="auto"/>
                  <w:vAlign w:val="center"/>
                </w:tcPr>
                <w:p w14:paraId="2D610B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rPr>
                    <w:t>30</w:t>
                  </w:r>
                </w:p>
              </w:tc>
              <w:tc>
                <w:tcPr>
                  <w:tcW w:w="1271" w:type="pct"/>
                  <w:shd w:val="clear" w:color="auto" w:fill="auto"/>
                  <w:vAlign w:val="center"/>
                </w:tcPr>
                <w:p w14:paraId="21642E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喷塑室</w:t>
                  </w:r>
                </w:p>
              </w:tc>
              <w:tc>
                <w:tcPr>
                  <w:tcW w:w="1301" w:type="pct"/>
                  <w:shd w:val="clear" w:color="auto" w:fill="auto"/>
                  <w:vAlign w:val="center"/>
                </w:tcPr>
                <w:p w14:paraId="0659BE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911" w:type="pct"/>
                  <w:shd w:val="clear" w:color="auto" w:fill="auto"/>
                  <w:vAlign w:val="center"/>
                </w:tcPr>
                <w:p w14:paraId="301483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1107" w:type="pct"/>
                  <w:vAlign w:val="center"/>
                </w:tcPr>
                <w:p w14:paraId="73C5DDBE">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喷塑</w:t>
                  </w:r>
                </w:p>
              </w:tc>
            </w:tr>
            <w:tr w14:paraId="03865E9E">
              <w:trPr>
                <w:trHeight w:val="340" w:hRule="atLeast"/>
                <w:jc w:val="center"/>
              </w:trPr>
              <w:tc>
                <w:tcPr>
                  <w:tcW w:w="406" w:type="pct"/>
                  <w:vAlign w:val="center"/>
                </w:tcPr>
                <w:p w14:paraId="4175E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w:t>
                  </w:r>
                </w:p>
              </w:tc>
              <w:tc>
                <w:tcPr>
                  <w:tcW w:w="1271" w:type="pct"/>
                  <w:shd w:val="clear" w:color="auto" w:fill="auto"/>
                  <w:vAlign w:val="center"/>
                </w:tcPr>
                <w:p w14:paraId="2536AC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固化室</w:t>
                  </w:r>
                </w:p>
              </w:tc>
              <w:tc>
                <w:tcPr>
                  <w:tcW w:w="1301" w:type="pct"/>
                  <w:shd w:val="clear" w:color="auto" w:fill="auto"/>
                  <w:vAlign w:val="center"/>
                </w:tcPr>
                <w:p w14:paraId="4A0036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911" w:type="pct"/>
                  <w:shd w:val="clear" w:color="auto" w:fill="auto"/>
                  <w:vAlign w:val="center"/>
                </w:tcPr>
                <w:p w14:paraId="410963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1107" w:type="pct"/>
                  <w:vAlign w:val="center"/>
                </w:tcPr>
                <w:p w14:paraId="28E3901B">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固化</w:t>
                  </w:r>
                </w:p>
              </w:tc>
            </w:tr>
          </w:tbl>
          <w:p w14:paraId="06A96003">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4.</w:t>
            </w:r>
            <w:r>
              <w:rPr>
                <w:rFonts w:hAnsi="宋体"/>
                <w:b/>
                <w:color w:val="auto"/>
                <w:kern w:val="0"/>
                <w:sz w:val="24"/>
                <w:highlight w:val="none"/>
                <w:lang w:val="zh-CN"/>
              </w:rPr>
              <w:t>原辅材料及燃料</w:t>
            </w:r>
          </w:p>
          <w:p w14:paraId="728D70AF">
            <w:pPr>
              <w:keepNext w:val="0"/>
              <w:keepLines w:val="0"/>
              <w:suppressLineNumbers w:val="0"/>
              <w:wordWrap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项目主要原辅材料见表</w:t>
            </w:r>
            <w:r>
              <w:rPr>
                <w:color w:val="auto"/>
                <w:sz w:val="24"/>
                <w:highlight w:val="none"/>
              </w:rPr>
              <w:t>2-</w:t>
            </w:r>
            <w:r>
              <w:rPr>
                <w:rFonts w:hint="eastAsia"/>
                <w:color w:val="auto"/>
                <w:sz w:val="24"/>
                <w:highlight w:val="none"/>
                <w:lang w:val="en-US" w:eastAsia="zh-CN"/>
              </w:rPr>
              <w:t>6</w:t>
            </w:r>
            <w:r>
              <w:rPr>
                <w:rFonts w:hAnsi="宋体"/>
                <w:color w:val="auto"/>
                <w:sz w:val="24"/>
                <w:highlight w:val="none"/>
              </w:rPr>
              <w:t>。</w:t>
            </w:r>
          </w:p>
          <w:p w14:paraId="6B92C7B0">
            <w:pPr>
              <w:keepNext w:val="0"/>
              <w:keepLines w:val="0"/>
              <w:suppressLineNumbers w:val="0"/>
              <w:wordWrap w:val="0"/>
              <w:adjustRightInd w:val="0"/>
              <w:snapToGrid w:val="0"/>
              <w:spacing w:before="0" w:beforeAutospacing="0" w:after="0" w:afterAutospacing="0"/>
              <w:ind w:left="0" w:right="0"/>
              <w:jc w:val="center"/>
              <w:rPr>
                <w:rFonts w:hint="eastAsia" w:eastAsiaTheme="minorEastAsia"/>
                <w:color w:val="auto"/>
                <w:highlight w:val="none"/>
                <w:lang w:val="en-US" w:eastAsia="zh-CN"/>
              </w:rPr>
            </w:pPr>
            <w:r>
              <w:rPr>
                <w:rFonts w:hAnsi="宋体"/>
                <w:b/>
                <w:color w:val="auto"/>
                <w:sz w:val="24"/>
                <w:highlight w:val="none"/>
              </w:rPr>
              <w:t>表</w:t>
            </w:r>
            <w:r>
              <w:rPr>
                <w:b/>
                <w:color w:val="auto"/>
                <w:sz w:val="24"/>
                <w:highlight w:val="none"/>
              </w:rPr>
              <w:t>2-</w:t>
            </w:r>
            <w:r>
              <w:rPr>
                <w:rFonts w:hint="eastAsia"/>
                <w:b/>
                <w:color w:val="auto"/>
                <w:sz w:val="24"/>
                <w:highlight w:val="none"/>
                <w:lang w:val="en-US" w:eastAsia="zh-CN"/>
              </w:rPr>
              <w:t>6</w:t>
            </w:r>
            <w:r>
              <w:rPr>
                <w:b/>
                <w:color w:val="auto"/>
                <w:sz w:val="24"/>
                <w:highlight w:val="none"/>
              </w:rPr>
              <w:t xml:space="preserve">  </w:t>
            </w:r>
            <w:r>
              <w:rPr>
                <w:rFonts w:hAnsi="宋体"/>
                <w:b/>
                <w:color w:val="auto"/>
                <w:sz w:val="24"/>
                <w:highlight w:val="none"/>
              </w:rPr>
              <w:t>主要原辅材料及燃料使用情况</w:t>
            </w:r>
            <w:r>
              <w:rPr>
                <w:rFonts w:hint="eastAsia" w:hAnsi="宋体"/>
                <w:b/>
                <w:color w:val="auto"/>
                <w:sz w:val="24"/>
                <w:highlight w:val="none"/>
              </w:rPr>
              <w:t xml:space="preserve">  </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292"/>
              <w:gridCol w:w="1725"/>
              <w:gridCol w:w="1331"/>
              <w:gridCol w:w="1002"/>
              <w:gridCol w:w="1019"/>
              <w:gridCol w:w="732"/>
              <w:gridCol w:w="735"/>
            </w:tblGrid>
            <w:tr w14:paraId="4F20BB03">
              <w:trPr>
                <w:trHeight w:val="340" w:hRule="atLeast"/>
                <w:jc w:val="center"/>
              </w:trPr>
              <w:tc>
                <w:tcPr>
                  <w:tcW w:w="326" w:type="pct"/>
                  <w:tcBorders>
                    <w:top w:val="single" w:color="auto" w:sz="12" w:space="0"/>
                  </w:tcBorders>
                  <w:vAlign w:val="center"/>
                </w:tcPr>
                <w:p w14:paraId="2EB1D2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类型</w:t>
                  </w:r>
                </w:p>
              </w:tc>
              <w:tc>
                <w:tcPr>
                  <w:tcW w:w="770" w:type="pct"/>
                  <w:tcBorders>
                    <w:top w:val="single" w:color="auto" w:sz="12" w:space="0"/>
                  </w:tcBorders>
                  <w:vAlign w:val="center"/>
                </w:tcPr>
                <w:p w14:paraId="4EF4D5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名称</w:t>
                  </w:r>
                </w:p>
              </w:tc>
              <w:tc>
                <w:tcPr>
                  <w:tcW w:w="1028" w:type="pct"/>
                  <w:tcBorders>
                    <w:top w:val="single" w:color="auto" w:sz="12" w:space="0"/>
                  </w:tcBorders>
                  <w:vAlign w:val="center"/>
                </w:tcPr>
                <w:p w14:paraId="6860E2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b/>
                      <w:color w:val="auto"/>
                      <w:sz w:val="21"/>
                      <w:szCs w:val="21"/>
                      <w:highlight w:val="none"/>
                    </w:rPr>
                    <w:t>主要成分</w:t>
                  </w:r>
                  <w:r>
                    <w:rPr>
                      <w:rFonts w:hint="default" w:ascii="Times New Roman" w:hAnsi="Times New Roman" w:cs="Times New Roman"/>
                      <w:b/>
                      <w:color w:val="auto"/>
                      <w:sz w:val="21"/>
                      <w:szCs w:val="21"/>
                      <w:highlight w:val="none"/>
                      <w:lang w:eastAsia="zh-CN"/>
                    </w:rPr>
                    <w:t>、</w:t>
                  </w:r>
                  <w:r>
                    <w:rPr>
                      <w:rFonts w:hint="default" w:ascii="Times New Roman" w:hAnsi="Times New Roman" w:cs="Times New Roman"/>
                      <w:b/>
                      <w:color w:val="auto"/>
                      <w:sz w:val="21"/>
                      <w:szCs w:val="21"/>
                      <w:highlight w:val="none"/>
                      <w:lang w:val="en-US" w:eastAsia="zh-CN"/>
                    </w:rPr>
                    <w:t>规格</w:t>
                  </w:r>
                </w:p>
              </w:tc>
              <w:tc>
                <w:tcPr>
                  <w:tcW w:w="793" w:type="pct"/>
                  <w:tcBorders>
                    <w:top w:val="single" w:color="auto" w:sz="12" w:space="0"/>
                  </w:tcBorders>
                  <w:vAlign w:val="center"/>
                </w:tcPr>
                <w:p w14:paraId="46A5EFCD">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包装</w:t>
                  </w:r>
                  <w:r>
                    <w:rPr>
                      <w:rFonts w:hint="default" w:ascii="Times New Roman" w:hAnsi="Times New Roman" w:cs="Times New Roman"/>
                      <w:b/>
                      <w:color w:val="auto"/>
                      <w:sz w:val="21"/>
                      <w:szCs w:val="21"/>
                      <w:highlight w:val="none"/>
                    </w:rPr>
                    <w:t>规格</w:t>
                  </w:r>
                </w:p>
              </w:tc>
              <w:tc>
                <w:tcPr>
                  <w:tcW w:w="597" w:type="pct"/>
                  <w:tcBorders>
                    <w:top w:val="single" w:color="auto" w:sz="12" w:space="0"/>
                  </w:tcBorders>
                  <w:vAlign w:val="center"/>
                </w:tcPr>
                <w:p w14:paraId="0A55BE3A">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年消耗量</w:t>
                  </w:r>
                </w:p>
              </w:tc>
              <w:tc>
                <w:tcPr>
                  <w:tcW w:w="607" w:type="pct"/>
                  <w:tcBorders>
                    <w:top w:val="single" w:color="auto" w:sz="12" w:space="0"/>
                  </w:tcBorders>
                  <w:vAlign w:val="center"/>
                </w:tcPr>
                <w:p w14:paraId="33EA98F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最大贮存量</w:t>
                  </w:r>
                </w:p>
              </w:tc>
              <w:tc>
                <w:tcPr>
                  <w:tcW w:w="436" w:type="pct"/>
                  <w:tcBorders>
                    <w:top w:val="single" w:color="auto" w:sz="12" w:space="0"/>
                  </w:tcBorders>
                  <w:vAlign w:val="center"/>
                </w:tcPr>
                <w:p w14:paraId="0FB3DB35">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贮存位置</w:t>
                  </w:r>
                </w:p>
              </w:tc>
              <w:tc>
                <w:tcPr>
                  <w:tcW w:w="438" w:type="pct"/>
                  <w:tcBorders>
                    <w:top w:val="single" w:color="auto" w:sz="12" w:space="0"/>
                  </w:tcBorders>
                  <w:vAlign w:val="center"/>
                </w:tcPr>
                <w:p w14:paraId="7ECA446D">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来源及运输</w:t>
                  </w:r>
                </w:p>
              </w:tc>
            </w:tr>
            <w:tr w14:paraId="2C2E241D">
              <w:trPr>
                <w:trHeight w:val="340" w:hRule="atLeast"/>
                <w:jc w:val="center"/>
              </w:trPr>
              <w:tc>
                <w:tcPr>
                  <w:tcW w:w="326" w:type="pct"/>
                  <w:vMerge w:val="restart"/>
                  <w:vAlign w:val="center"/>
                </w:tcPr>
                <w:p w14:paraId="4AD8FC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w:t>
                  </w:r>
                  <w:r>
                    <w:rPr>
                      <w:rFonts w:hint="default" w:ascii="Times New Roman" w:hAnsi="Times New Roman" w:cs="Times New Roman"/>
                      <w:color w:val="auto"/>
                      <w:sz w:val="21"/>
                      <w:szCs w:val="21"/>
                      <w:highlight w:val="none"/>
                      <w:lang w:val="en-US" w:eastAsia="zh-CN"/>
                    </w:rPr>
                    <w:t>辅</w:t>
                  </w:r>
                  <w:r>
                    <w:rPr>
                      <w:rFonts w:hint="default" w:ascii="Times New Roman" w:hAnsi="Times New Roman" w:cs="Times New Roman"/>
                      <w:color w:val="auto"/>
                      <w:sz w:val="21"/>
                      <w:szCs w:val="21"/>
                      <w:highlight w:val="none"/>
                    </w:rPr>
                    <w:t>料</w:t>
                  </w:r>
                </w:p>
              </w:tc>
              <w:tc>
                <w:tcPr>
                  <w:tcW w:w="770" w:type="pct"/>
                  <w:shd w:val="clear" w:color="auto" w:fill="auto"/>
                  <w:vAlign w:val="center"/>
                </w:tcPr>
                <w:p w14:paraId="47A1C7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铸件</w:t>
                  </w:r>
                </w:p>
              </w:tc>
              <w:tc>
                <w:tcPr>
                  <w:tcW w:w="1028" w:type="pct"/>
                  <w:shd w:val="clear" w:color="auto" w:fill="auto"/>
                  <w:vAlign w:val="center"/>
                </w:tcPr>
                <w:p w14:paraId="62787CAD">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3518C242">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1t/捆</w:t>
                  </w:r>
                </w:p>
              </w:tc>
              <w:tc>
                <w:tcPr>
                  <w:tcW w:w="597" w:type="pct"/>
                  <w:shd w:val="clear" w:color="auto" w:fill="auto"/>
                  <w:vAlign w:val="center"/>
                </w:tcPr>
                <w:p w14:paraId="3388CD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6000吨</w:t>
                  </w:r>
                </w:p>
              </w:tc>
              <w:tc>
                <w:tcPr>
                  <w:tcW w:w="607" w:type="pct"/>
                  <w:tcBorders>
                    <w:bottom w:val="single" w:color="auto" w:sz="4" w:space="0"/>
                  </w:tcBorders>
                  <w:vAlign w:val="center"/>
                </w:tcPr>
                <w:p w14:paraId="7A7507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100吨</w:t>
                  </w:r>
                </w:p>
              </w:tc>
              <w:tc>
                <w:tcPr>
                  <w:tcW w:w="436" w:type="pct"/>
                  <w:vMerge w:val="restart"/>
                  <w:vAlign w:val="center"/>
                </w:tcPr>
                <w:p w14:paraId="495143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来料</w:t>
                  </w:r>
                  <w:r>
                    <w:rPr>
                      <w:rFonts w:hint="default" w:ascii="Times New Roman" w:hAnsi="Times New Roman" w:cs="Times New Roman"/>
                      <w:color w:val="auto"/>
                      <w:sz w:val="21"/>
                      <w:szCs w:val="21"/>
                      <w:highlight w:val="none"/>
                    </w:rPr>
                    <w:t>仓库</w:t>
                  </w:r>
                </w:p>
              </w:tc>
              <w:tc>
                <w:tcPr>
                  <w:tcW w:w="438" w:type="pct"/>
                  <w:vMerge w:val="restart"/>
                  <w:vAlign w:val="center"/>
                </w:tcPr>
                <w:p w14:paraId="0C4FC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外购/汽车</w:t>
                  </w:r>
                </w:p>
              </w:tc>
            </w:tr>
            <w:tr w14:paraId="06C6891E">
              <w:trPr>
                <w:trHeight w:val="340" w:hRule="atLeast"/>
                <w:jc w:val="center"/>
              </w:trPr>
              <w:tc>
                <w:tcPr>
                  <w:tcW w:w="326" w:type="pct"/>
                  <w:vMerge w:val="continue"/>
                  <w:vAlign w:val="center"/>
                </w:tcPr>
                <w:p w14:paraId="62BAA1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2E3171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钣金</w:t>
                  </w:r>
                </w:p>
              </w:tc>
              <w:tc>
                <w:tcPr>
                  <w:tcW w:w="1028" w:type="pct"/>
                  <w:shd w:val="clear" w:color="auto" w:fill="auto"/>
                  <w:vAlign w:val="center"/>
                </w:tcPr>
                <w:p w14:paraId="2FA842F8">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3" w:type="pct"/>
                  <w:shd w:val="clear" w:color="auto" w:fill="auto"/>
                  <w:vAlign w:val="center"/>
                </w:tcPr>
                <w:p w14:paraId="7A5063B4">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3t/捆</w:t>
                  </w:r>
                </w:p>
              </w:tc>
              <w:tc>
                <w:tcPr>
                  <w:tcW w:w="597" w:type="pct"/>
                  <w:shd w:val="clear" w:color="auto" w:fill="auto"/>
                  <w:vAlign w:val="center"/>
                </w:tcPr>
                <w:p w14:paraId="2ABA41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1500吨</w:t>
                  </w:r>
                </w:p>
              </w:tc>
              <w:tc>
                <w:tcPr>
                  <w:tcW w:w="607" w:type="pct"/>
                  <w:tcBorders>
                    <w:bottom w:val="single" w:color="auto" w:sz="4" w:space="0"/>
                  </w:tcBorders>
                  <w:vAlign w:val="center"/>
                </w:tcPr>
                <w:p w14:paraId="4B9BEF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100吨</w:t>
                  </w:r>
                </w:p>
              </w:tc>
              <w:tc>
                <w:tcPr>
                  <w:tcW w:w="436" w:type="pct"/>
                  <w:vMerge w:val="continue"/>
                  <w:vAlign w:val="center"/>
                </w:tcPr>
                <w:p w14:paraId="73F8CD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438" w:type="pct"/>
                  <w:vMerge w:val="continue"/>
                  <w:vAlign w:val="center"/>
                </w:tcPr>
                <w:p w14:paraId="09CE95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24C7BE66">
              <w:trPr>
                <w:trHeight w:val="340" w:hRule="atLeast"/>
                <w:jc w:val="center"/>
              </w:trPr>
              <w:tc>
                <w:tcPr>
                  <w:tcW w:w="326" w:type="pct"/>
                  <w:vMerge w:val="continue"/>
                  <w:vAlign w:val="center"/>
                </w:tcPr>
                <w:p w14:paraId="196FB2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2F714C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ascii="宋体" w:hAnsi="宋体"/>
                      <w:color w:val="auto"/>
                      <w:kern w:val="0"/>
                      <w:szCs w:val="21"/>
                      <w:highlight w:val="none"/>
                    </w:rPr>
                    <w:t>钢材</w:t>
                  </w:r>
                </w:p>
              </w:tc>
              <w:tc>
                <w:tcPr>
                  <w:tcW w:w="1028" w:type="pct"/>
                  <w:shd w:val="clear" w:color="auto" w:fill="auto"/>
                  <w:vAlign w:val="center"/>
                </w:tcPr>
                <w:p w14:paraId="399A1512">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3" w:type="pct"/>
                  <w:shd w:val="clear" w:color="auto" w:fill="auto"/>
                  <w:vAlign w:val="center"/>
                </w:tcPr>
                <w:p w14:paraId="5CDEA1CB">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3t/捆</w:t>
                  </w:r>
                </w:p>
              </w:tc>
              <w:tc>
                <w:tcPr>
                  <w:tcW w:w="597" w:type="pct"/>
                  <w:shd w:val="clear" w:color="auto" w:fill="auto"/>
                  <w:vAlign w:val="center"/>
                </w:tcPr>
                <w:p w14:paraId="373117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2500吨</w:t>
                  </w:r>
                </w:p>
              </w:tc>
              <w:tc>
                <w:tcPr>
                  <w:tcW w:w="607" w:type="pct"/>
                  <w:tcBorders>
                    <w:bottom w:val="single" w:color="auto" w:sz="4" w:space="0"/>
                  </w:tcBorders>
                  <w:vAlign w:val="center"/>
                </w:tcPr>
                <w:p w14:paraId="1C9E4A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100吨</w:t>
                  </w:r>
                </w:p>
              </w:tc>
              <w:tc>
                <w:tcPr>
                  <w:tcW w:w="436" w:type="pct"/>
                  <w:vMerge w:val="continue"/>
                  <w:vAlign w:val="center"/>
                </w:tcPr>
                <w:p w14:paraId="0E56D5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438" w:type="pct"/>
                  <w:vMerge w:val="continue"/>
                  <w:vAlign w:val="center"/>
                </w:tcPr>
                <w:p w14:paraId="7C7E6E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063D7777">
              <w:trPr>
                <w:trHeight w:val="340" w:hRule="atLeast"/>
                <w:jc w:val="center"/>
              </w:trPr>
              <w:tc>
                <w:tcPr>
                  <w:tcW w:w="326" w:type="pct"/>
                  <w:vMerge w:val="continue"/>
                  <w:vAlign w:val="center"/>
                </w:tcPr>
                <w:p w14:paraId="6A57BC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1465A9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导轨</w:t>
                  </w:r>
                </w:p>
              </w:tc>
              <w:tc>
                <w:tcPr>
                  <w:tcW w:w="1028" w:type="pct"/>
                  <w:shd w:val="clear" w:color="auto" w:fill="auto"/>
                  <w:vAlign w:val="center"/>
                </w:tcPr>
                <w:p w14:paraId="41C281E6">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2855B7F0">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10根/捆</w:t>
                  </w:r>
                </w:p>
              </w:tc>
              <w:tc>
                <w:tcPr>
                  <w:tcW w:w="597" w:type="pct"/>
                  <w:shd w:val="clear" w:color="auto" w:fill="auto"/>
                  <w:vAlign w:val="center"/>
                </w:tcPr>
                <w:p w14:paraId="74D182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10000根</w:t>
                  </w:r>
                </w:p>
              </w:tc>
              <w:tc>
                <w:tcPr>
                  <w:tcW w:w="607" w:type="pct"/>
                  <w:tcBorders>
                    <w:bottom w:val="single" w:color="auto" w:sz="4" w:space="0"/>
                  </w:tcBorders>
                  <w:vAlign w:val="center"/>
                </w:tcPr>
                <w:p w14:paraId="04043F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2000根</w:t>
                  </w:r>
                </w:p>
              </w:tc>
              <w:tc>
                <w:tcPr>
                  <w:tcW w:w="436" w:type="pct"/>
                  <w:vMerge w:val="continue"/>
                  <w:vAlign w:val="center"/>
                </w:tcPr>
                <w:p w14:paraId="2061A0B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281C23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5AEA74EF">
              <w:trPr>
                <w:trHeight w:val="454" w:hRule="atLeast"/>
                <w:jc w:val="center"/>
              </w:trPr>
              <w:tc>
                <w:tcPr>
                  <w:tcW w:w="326" w:type="pct"/>
                  <w:vMerge w:val="continue"/>
                  <w:vAlign w:val="center"/>
                </w:tcPr>
                <w:p w14:paraId="4E2FE3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3E884A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丝杠</w:t>
                  </w:r>
                </w:p>
              </w:tc>
              <w:tc>
                <w:tcPr>
                  <w:tcW w:w="1028" w:type="pct"/>
                  <w:shd w:val="clear" w:color="auto" w:fill="auto"/>
                  <w:vAlign w:val="center"/>
                </w:tcPr>
                <w:p w14:paraId="1AF71054">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3850222C">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10根/捆</w:t>
                  </w:r>
                </w:p>
              </w:tc>
              <w:tc>
                <w:tcPr>
                  <w:tcW w:w="597" w:type="pct"/>
                  <w:shd w:val="clear" w:color="auto" w:fill="auto"/>
                  <w:vAlign w:val="center"/>
                </w:tcPr>
                <w:p w14:paraId="0DBADF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5000根</w:t>
                  </w:r>
                </w:p>
              </w:tc>
              <w:tc>
                <w:tcPr>
                  <w:tcW w:w="607" w:type="pct"/>
                  <w:tcBorders>
                    <w:bottom w:val="single" w:color="auto" w:sz="4" w:space="0"/>
                  </w:tcBorders>
                  <w:vAlign w:val="center"/>
                </w:tcPr>
                <w:p w14:paraId="179CDA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1000根</w:t>
                  </w:r>
                </w:p>
              </w:tc>
              <w:tc>
                <w:tcPr>
                  <w:tcW w:w="436" w:type="pct"/>
                  <w:vMerge w:val="continue"/>
                  <w:vAlign w:val="center"/>
                </w:tcPr>
                <w:p w14:paraId="043021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02C3F4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0F269FCA">
              <w:trPr>
                <w:trHeight w:val="340" w:hRule="atLeast"/>
                <w:jc w:val="center"/>
              </w:trPr>
              <w:tc>
                <w:tcPr>
                  <w:tcW w:w="326" w:type="pct"/>
                  <w:vMerge w:val="continue"/>
                  <w:vAlign w:val="center"/>
                </w:tcPr>
                <w:p w14:paraId="44F24C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20E6A24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电机</w:t>
                  </w:r>
                </w:p>
              </w:tc>
              <w:tc>
                <w:tcPr>
                  <w:tcW w:w="1028" w:type="pct"/>
                  <w:shd w:val="clear" w:color="auto" w:fill="auto"/>
                  <w:vAlign w:val="center"/>
                </w:tcPr>
                <w:p w14:paraId="6408037D">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1FA106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10台/箱</w:t>
                  </w:r>
                </w:p>
              </w:tc>
              <w:tc>
                <w:tcPr>
                  <w:tcW w:w="597" w:type="pct"/>
                  <w:shd w:val="clear" w:color="auto" w:fill="auto"/>
                  <w:vAlign w:val="center"/>
                </w:tcPr>
                <w:p w14:paraId="7CB8101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5000台</w:t>
                  </w:r>
                </w:p>
              </w:tc>
              <w:tc>
                <w:tcPr>
                  <w:tcW w:w="607" w:type="pct"/>
                  <w:tcBorders>
                    <w:bottom w:val="single" w:color="auto" w:sz="4" w:space="0"/>
                  </w:tcBorders>
                  <w:vAlign w:val="center"/>
                </w:tcPr>
                <w:p w14:paraId="424740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500台</w:t>
                  </w:r>
                </w:p>
              </w:tc>
              <w:tc>
                <w:tcPr>
                  <w:tcW w:w="436" w:type="pct"/>
                  <w:vMerge w:val="continue"/>
                  <w:vAlign w:val="center"/>
                </w:tcPr>
                <w:p w14:paraId="6492D9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2979F5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40DAF404">
              <w:trPr>
                <w:trHeight w:val="340" w:hRule="atLeast"/>
                <w:jc w:val="center"/>
              </w:trPr>
              <w:tc>
                <w:tcPr>
                  <w:tcW w:w="326" w:type="pct"/>
                  <w:vMerge w:val="continue"/>
                  <w:vAlign w:val="center"/>
                </w:tcPr>
                <w:p w14:paraId="3BC2B8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4BBF94F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主轴</w:t>
                  </w:r>
                </w:p>
              </w:tc>
              <w:tc>
                <w:tcPr>
                  <w:tcW w:w="1028" w:type="pct"/>
                  <w:shd w:val="clear" w:color="auto" w:fill="auto"/>
                  <w:vAlign w:val="center"/>
                </w:tcPr>
                <w:p w14:paraId="73AF1E2A">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03BA16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10台/箱</w:t>
                  </w:r>
                </w:p>
              </w:tc>
              <w:tc>
                <w:tcPr>
                  <w:tcW w:w="597" w:type="pct"/>
                  <w:shd w:val="clear" w:color="auto" w:fill="auto"/>
                  <w:vAlign w:val="center"/>
                </w:tcPr>
                <w:p w14:paraId="0A7F2E4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2000台</w:t>
                  </w:r>
                </w:p>
              </w:tc>
              <w:tc>
                <w:tcPr>
                  <w:tcW w:w="607" w:type="pct"/>
                  <w:tcBorders>
                    <w:bottom w:val="single" w:color="auto" w:sz="4" w:space="0"/>
                  </w:tcBorders>
                  <w:vAlign w:val="center"/>
                </w:tcPr>
                <w:p w14:paraId="04FC4F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rPr>
                    <w:t>2</w:t>
                  </w:r>
                  <w:r>
                    <w:rPr>
                      <w:rFonts w:hint="default" w:ascii="Times New Roman" w:hAnsi="Times New Roman" w:cs="Times New Roman"/>
                      <w:color w:val="auto"/>
                      <w:kern w:val="2"/>
                      <w:sz w:val="21"/>
                      <w:szCs w:val="21"/>
                      <w:highlight w:val="none"/>
                      <w:lang w:val="en-US" w:eastAsia="zh-CN"/>
                    </w:rPr>
                    <w:t>00台</w:t>
                  </w:r>
                </w:p>
              </w:tc>
              <w:tc>
                <w:tcPr>
                  <w:tcW w:w="436" w:type="pct"/>
                  <w:vMerge w:val="continue"/>
                  <w:vAlign w:val="center"/>
                </w:tcPr>
                <w:p w14:paraId="0B6104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3FD449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760BA867">
              <w:trPr>
                <w:trHeight w:val="397" w:hRule="atLeast"/>
                <w:jc w:val="center"/>
              </w:trPr>
              <w:tc>
                <w:tcPr>
                  <w:tcW w:w="326" w:type="pct"/>
                  <w:vMerge w:val="continue"/>
                  <w:vAlign w:val="center"/>
                </w:tcPr>
                <w:p w14:paraId="64E427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13C9DE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电气部件</w:t>
                  </w:r>
                </w:p>
              </w:tc>
              <w:tc>
                <w:tcPr>
                  <w:tcW w:w="1028" w:type="pct"/>
                  <w:shd w:val="clear" w:color="auto" w:fill="auto"/>
                  <w:vAlign w:val="center"/>
                </w:tcPr>
                <w:p w14:paraId="3A8425FA">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4CFC260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10套/箱</w:t>
                  </w:r>
                </w:p>
              </w:tc>
              <w:tc>
                <w:tcPr>
                  <w:tcW w:w="597" w:type="pct"/>
                  <w:shd w:val="clear" w:color="auto" w:fill="auto"/>
                  <w:vAlign w:val="center"/>
                </w:tcPr>
                <w:p w14:paraId="511B53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rPr>
                    <w:t>20</w:t>
                  </w:r>
                  <w:r>
                    <w:rPr>
                      <w:rFonts w:hint="default" w:ascii="Times New Roman" w:hAnsi="Times New Roman" w:cs="Times New Roman"/>
                      <w:color w:val="auto"/>
                      <w:kern w:val="2"/>
                      <w:sz w:val="21"/>
                      <w:szCs w:val="21"/>
                      <w:highlight w:val="none"/>
                      <w:lang w:val="en-US" w:eastAsia="zh-CN"/>
                    </w:rPr>
                    <w:t>00套</w:t>
                  </w:r>
                </w:p>
              </w:tc>
              <w:tc>
                <w:tcPr>
                  <w:tcW w:w="607" w:type="pct"/>
                  <w:tcBorders>
                    <w:bottom w:val="single" w:color="auto" w:sz="4" w:space="0"/>
                  </w:tcBorders>
                  <w:vAlign w:val="center"/>
                </w:tcPr>
                <w:p w14:paraId="41DFD44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100套</w:t>
                  </w:r>
                </w:p>
              </w:tc>
              <w:tc>
                <w:tcPr>
                  <w:tcW w:w="436" w:type="pct"/>
                  <w:vMerge w:val="continue"/>
                  <w:vAlign w:val="center"/>
                </w:tcPr>
                <w:p w14:paraId="350E19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5C2295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14862A36">
              <w:trPr>
                <w:trHeight w:val="397" w:hRule="atLeast"/>
                <w:jc w:val="center"/>
              </w:trPr>
              <w:tc>
                <w:tcPr>
                  <w:tcW w:w="326" w:type="pct"/>
                  <w:vMerge w:val="continue"/>
                  <w:vAlign w:val="center"/>
                </w:tcPr>
                <w:p w14:paraId="0255CB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66BA88F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控制系统</w:t>
                  </w:r>
                </w:p>
              </w:tc>
              <w:tc>
                <w:tcPr>
                  <w:tcW w:w="1028" w:type="pct"/>
                  <w:shd w:val="clear" w:color="auto" w:fill="auto"/>
                  <w:vAlign w:val="center"/>
                </w:tcPr>
                <w:p w14:paraId="4349C28B">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5A5637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10套/箱</w:t>
                  </w:r>
                </w:p>
              </w:tc>
              <w:tc>
                <w:tcPr>
                  <w:tcW w:w="597" w:type="pct"/>
                  <w:shd w:val="clear" w:color="auto" w:fill="auto"/>
                  <w:vAlign w:val="center"/>
                </w:tcPr>
                <w:p w14:paraId="79C02D2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rPr>
                    <w:t>20</w:t>
                  </w:r>
                  <w:r>
                    <w:rPr>
                      <w:rFonts w:hint="default" w:ascii="Times New Roman" w:hAnsi="Times New Roman" w:cs="Times New Roman"/>
                      <w:color w:val="auto"/>
                      <w:kern w:val="2"/>
                      <w:sz w:val="21"/>
                      <w:szCs w:val="21"/>
                      <w:highlight w:val="none"/>
                      <w:lang w:val="en-US" w:eastAsia="zh-CN"/>
                    </w:rPr>
                    <w:t>00套</w:t>
                  </w:r>
                </w:p>
              </w:tc>
              <w:tc>
                <w:tcPr>
                  <w:tcW w:w="607" w:type="pct"/>
                  <w:tcBorders>
                    <w:bottom w:val="single" w:color="auto" w:sz="4" w:space="0"/>
                  </w:tcBorders>
                  <w:vAlign w:val="center"/>
                </w:tcPr>
                <w:p w14:paraId="7C807B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rPr>
                    <w:t>100套</w:t>
                  </w:r>
                </w:p>
              </w:tc>
              <w:tc>
                <w:tcPr>
                  <w:tcW w:w="436" w:type="pct"/>
                  <w:vMerge w:val="continue"/>
                  <w:vAlign w:val="center"/>
                </w:tcPr>
                <w:p w14:paraId="6D8A43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472680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74E0FB17">
              <w:trPr>
                <w:trHeight w:val="397" w:hRule="atLeast"/>
                <w:jc w:val="center"/>
              </w:trPr>
              <w:tc>
                <w:tcPr>
                  <w:tcW w:w="326" w:type="pct"/>
                  <w:vMerge w:val="continue"/>
                  <w:vAlign w:val="center"/>
                </w:tcPr>
                <w:p w14:paraId="47FB23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5B097A6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电线电缆</w:t>
                  </w:r>
                </w:p>
              </w:tc>
              <w:tc>
                <w:tcPr>
                  <w:tcW w:w="1028" w:type="pct"/>
                  <w:shd w:val="clear" w:color="auto" w:fill="auto"/>
                  <w:vAlign w:val="center"/>
                </w:tcPr>
                <w:p w14:paraId="0AB1EC8B">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1F3287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10套/箱</w:t>
                  </w:r>
                </w:p>
              </w:tc>
              <w:tc>
                <w:tcPr>
                  <w:tcW w:w="597" w:type="pct"/>
                  <w:shd w:val="clear" w:color="auto" w:fill="auto"/>
                  <w:vAlign w:val="center"/>
                </w:tcPr>
                <w:p w14:paraId="1381535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rPr>
                    <w:t>20</w:t>
                  </w:r>
                  <w:r>
                    <w:rPr>
                      <w:rFonts w:hint="default" w:ascii="Times New Roman" w:hAnsi="Times New Roman" w:cs="Times New Roman"/>
                      <w:color w:val="auto"/>
                      <w:kern w:val="2"/>
                      <w:sz w:val="21"/>
                      <w:szCs w:val="21"/>
                      <w:highlight w:val="none"/>
                      <w:lang w:val="en-US" w:eastAsia="zh-CN"/>
                    </w:rPr>
                    <w:t>00套</w:t>
                  </w:r>
                </w:p>
              </w:tc>
              <w:tc>
                <w:tcPr>
                  <w:tcW w:w="607" w:type="pct"/>
                  <w:tcBorders>
                    <w:bottom w:val="single" w:color="auto" w:sz="4" w:space="0"/>
                  </w:tcBorders>
                  <w:vAlign w:val="center"/>
                </w:tcPr>
                <w:p w14:paraId="6BC853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rPr>
                    <w:t>100套</w:t>
                  </w:r>
                </w:p>
              </w:tc>
              <w:tc>
                <w:tcPr>
                  <w:tcW w:w="436" w:type="pct"/>
                  <w:vMerge w:val="continue"/>
                  <w:vAlign w:val="center"/>
                </w:tcPr>
                <w:p w14:paraId="00C1EB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7998B4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508D6852">
              <w:trPr>
                <w:trHeight w:val="397" w:hRule="atLeast"/>
                <w:jc w:val="center"/>
              </w:trPr>
              <w:tc>
                <w:tcPr>
                  <w:tcW w:w="326" w:type="pct"/>
                  <w:vMerge w:val="continue"/>
                  <w:vAlign w:val="center"/>
                </w:tcPr>
                <w:p w14:paraId="16CCDB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66DF600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大理石床身</w:t>
                  </w:r>
                </w:p>
              </w:tc>
              <w:tc>
                <w:tcPr>
                  <w:tcW w:w="1028" w:type="pct"/>
                  <w:shd w:val="clear" w:color="auto" w:fill="auto"/>
                  <w:vAlign w:val="center"/>
                </w:tcPr>
                <w:p w14:paraId="249E73FF">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793" w:type="pct"/>
                  <w:shd w:val="clear" w:color="auto" w:fill="auto"/>
                  <w:vAlign w:val="center"/>
                </w:tcPr>
                <w:p w14:paraId="0372D38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10套/箱</w:t>
                  </w:r>
                </w:p>
              </w:tc>
              <w:tc>
                <w:tcPr>
                  <w:tcW w:w="597" w:type="pct"/>
                  <w:shd w:val="clear" w:color="auto" w:fill="auto"/>
                  <w:vAlign w:val="center"/>
                </w:tcPr>
                <w:p w14:paraId="5F86BCC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rPr>
                    <w:t>20</w:t>
                  </w:r>
                  <w:r>
                    <w:rPr>
                      <w:rFonts w:hint="default" w:ascii="Times New Roman" w:hAnsi="Times New Roman" w:cs="Times New Roman"/>
                      <w:color w:val="auto"/>
                      <w:kern w:val="2"/>
                      <w:sz w:val="21"/>
                      <w:szCs w:val="21"/>
                      <w:highlight w:val="none"/>
                      <w:lang w:val="en-US" w:eastAsia="zh-CN"/>
                    </w:rPr>
                    <w:t>00套</w:t>
                  </w:r>
                </w:p>
              </w:tc>
              <w:tc>
                <w:tcPr>
                  <w:tcW w:w="607" w:type="pct"/>
                  <w:tcBorders>
                    <w:bottom w:val="single" w:color="auto" w:sz="4" w:space="0"/>
                  </w:tcBorders>
                  <w:vAlign w:val="center"/>
                </w:tcPr>
                <w:p w14:paraId="7AFFEE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100套</w:t>
                  </w:r>
                </w:p>
              </w:tc>
              <w:tc>
                <w:tcPr>
                  <w:tcW w:w="436" w:type="pct"/>
                  <w:vMerge w:val="continue"/>
                  <w:vAlign w:val="center"/>
                </w:tcPr>
                <w:p w14:paraId="3DD780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347D2B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75576A6E">
              <w:trPr>
                <w:trHeight w:val="397" w:hRule="atLeast"/>
                <w:jc w:val="center"/>
              </w:trPr>
              <w:tc>
                <w:tcPr>
                  <w:tcW w:w="326" w:type="pct"/>
                  <w:vMerge w:val="continue"/>
                  <w:vAlign w:val="center"/>
                </w:tcPr>
                <w:p w14:paraId="1FF885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tcBorders>
                    <w:top w:val="single" w:color="auto" w:sz="4" w:space="0"/>
                  </w:tcBorders>
                  <w:shd w:val="clear" w:color="auto" w:fill="auto"/>
                  <w:vAlign w:val="center"/>
                </w:tcPr>
                <w:p w14:paraId="379FC64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五金配件、小配件</w:t>
                  </w:r>
                </w:p>
              </w:tc>
              <w:tc>
                <w:tcPr>
                  <w:tcW w:w="1028" w:type="pct"/>
                  <w:shd w:val="clear" w:color="auto" w:fill="auto"/>
                  <w:vAlign w:val="center"/>
                </w:tcPr>
                <w:p w14:paraId="50287636">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93" w:type="pct"/>
                  <w:shd w:val="clear" w:color="auto" w:fill="auto"/>
                  <w:vAlign w:val="center"/>
                </w:tcPr>
                <w:p w14:paraId="3D3AA0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10kg/箱</w:t>
                  </w:r>
                </w:p>
              </w:tc>
              <w:tc>
                <w:tcPr>
                  <w:tcW w:w="597" w:type="pct"/>
                  <w:shd w:val="clear" w:color="auto" w:fill="auto"/>
                  <w:vAlign w:val="center"/>
                </w:tcPr>
                <w:p w14:paraId="08567D6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100吨</w:t>
                  </w:r>
                </w:p>
              </w:tc>
              <w:tc>
                <w:tcPr>
                  <w:tcW w:w="607" w:type="pct"/>
                  <w:vAlign w:val="center"/>
                </w:tcPr>
                <w:p w14:paraId="2AA2B4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10吨</w:t>
                  </w:r>
                </w:p>
              </w:tc>
              <w:tc>
                <w:tcPr>
                  <w:tcW w:w="436" w:type="pct"/>
                  <w:vMerge w:val="continue"/>
                  <w:vAlign w:val="center"/>
                </w:tcPr>
                <w:p w14:paraId="3413F8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110C2B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23A0096B">
              <w:trPr>
                <w:trHeight w:val="397" w:hRule="atLeast"/>
                <w:jc w:val="center"/>
              </w:trPr>
              <w:tc>
                <w:tcPr>
                  <w:tcW w:w="326" w:type="pct"/>
                  <w:vMerge w:val="continue"/>
                  <w:vAlign w:val="center"/>
                </w:tcPr>
                <w:p w14:paraId="04561E2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tcBorders>
                    <w:top w:val="single" w:color="auto" w:sz="4" w:space="0"/>
                  </w:tcBorders>
                  <w:shd w:val="clear" w:color="auto" w:fill="auto"/>
                  <w:vAlign w:val="center"/>
                </w:tcPr>
                <w:p w14:paraId="1BD3A11F">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氯化钠</w:t>
                  </w:r>
                </w:p>
              </w:tc>
              <w:tc>
                <w:tcPr>
                  <w:tcW w:w="1028" w:type="pct"/>
                  <w:shd w:val="clear" w:color="auto" w:fill="auto"/>
                  <w:vAlign w:val="center"/>
                </w:tcPr>
                <w:p w14:paraId="112D41F3">
                  <w:pPr>
                    <w:keepNext w:val="0"/>
                    <w:keepLines w:val="0"/>
                    <w:suppressLineNumbers w:val="0"/>
                    <w:spacing w:before="0" w:beforeAutospacing="0" w:after="0" w:afterAutospacing="0" w:line="240" w:lineRule="atLeast"/>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93" w:type="pct"/>
                  <w:shd w:val="clear" w:color="auto" w:fill="auto"/>
                  <w:vAlign w:val="center"/>
                </w:tcPr>
                <w:p w14:paraId="7453850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1kg/</w:t>
                  </w:r>
                  <w:r>
                    <w:rPr>
                      <w:rFonts w:hint="eastAsia" w:cs="Times New Roman"/>
                      <w:color w:val="auto"/>
                      <w:szCs w:val="21"/>
                      <w:highlight w:val="none"/>
                      <w:lang w:val="en-US" w:eastAsia="zh-CN"/>
                    </w:rPr>
                    <w:t>袋</w:t>
                  </w:r>
                </w:p>
              </w:tc>
              <w:tc>
                <w:tcPr>
                  <w:tcW w:w="597" w:type="pct"/>
                  <w:shd w:val="clear" w:color="auto" w:fill="auto"/>
                  <w:vAlign w:val="center"/>
                </w:tcPr>
                <w:p w14:paraId="7593752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0.01吨</w:t>
                  </w:r>
                </w:p>
              </w:tc>
              <w:tc>
                <w:tcPr>
                  <w:tcW w:w="607" w:type="pct"/>
                  <w:vAlign w:val="center"/>
                </w:tcPr>
                <w:p w14:paraId="7FBFBB01">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0.01吨</w:t>
                  </w:r>
                </w:p>
              </w:tc>
              <w:tc>
                <w:tcPr>
                  <w:tcW w:w="436" w:type="pct"/>
                  <w:vMerge w:val="continue"/>
                  <w:vAlign w:val="center"/>
                </w:tcPr>
                <w:p w14:paraId="485C6F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1A2AF6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7886F3A3">
              <w:trPr>
                <w:trHeight w:val="367" w:hRule="atLeast"/>
                <w:jc w:val="center"/>
              </w:trPr>
              <w:tc>
                <w:tcPr>
                  <w:tcW w:w="326" w:type="pct"/>
                  <w:vMerge w:val="continue"/>
                  <w:vAlign w:val="center"/>
                </w:tcPr>
                <w:p w14:paraId="08A227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235DFFE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水性漆</w:t>
                  </w:r>
                </w:p>
              </w:tc>
              <w:tc>
                <w:tcPr>
                  <w:tcW w:w="1028" w:type="pct"/>
                  <w:shd w:val="clear" w:color="auto" w:fill="auto"/>
                  <w:vAlign w:val="center"/>
                </w:tcPr>
                <w:p w14:paraId="0A997BE6">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kern w:val="0"/>
                      <w:szCs w:val="21"/>
                      <w:highlight w:val="none"/>
                      <w:lang w:val="en-US" w:eastAsia="zh-CN"/>
                    </w:rPr>
                    <w:t>水性丙烯酸</w:t>
                  </w:r>
                  <w:r>
                    <w:rPr>
                      <w:rFonts w:hint="eastAsia"/>
                      <w:color w:val="auto"/>
                      <w:kern w:val="0"/>
                      <w:szCs w:val="21"/>
                      <w:highlight w:val="none"/>
                    </w:rPr>
                    <w:t>树脂</w:t>
                  </w:r>
                  <w:r>
                    <w:rPr>
                      <w:rFonts w:hint="eastAsia"/>
                      <w:color w:val="auto"/>
                      <w:kern w:val="0"/>
                      <w:szCs w:val="21"/>
                      <w:highlight w:val="none"/>
                      <w:lang w:val="en-US" w:eastAsia="zh-CN"/>
                    </w:rPr>
                    <w:t>15%～35</w:t>
                  </w:r>
                  <w:r>
                    <w:rPr>
                      <w:rFonts w:hint="eastAsia"/>
                      <w:color w:val="auto"/>
                      <w:kern w:val="0"/>
                      <w:szCs w:val="21"/>
                      <w:highlight w:val="none"/>
                    </w:rPr>
                    <w:t>%、</w:t>
                  </w:r>
                  <w:r>
                    <w:rPr>
                      <w:rFonts w:hint="eastAsia"/>
                      <w:color w:val="auto"/>
                      <w:kern w:val="0"/>
                      <w:szCs w:val="21"/>
                      <w:highlight w:val="none"/>
                      <w:lang w:val="en-US" w:eastAsia="zh-CN"/>
                    </w:rPr>
                    <w:t>水性氨基树脂</w:t>
                  </w:r>
                  <w:r>
                    <w:rPr>
                      <w:rFonts w:hint="eastAsia"/>
                      <w:color w:val="auto"/>
                      <w:kern w:val="0"/>
                      <w:szCs w:val="21"/>
                      <w:highlight w:val="none"/>
                    </w:rPr>
                    <w:t>1</w:t>
                  </w:r>
                  <w:r>
                    <w:rPr>
                      <w:rFonts w:hint="eastAsia"/>
                      <w:color w:val="auto"/>
                      <w:kern w:val="0"/>
                      <w:szCs w:val="21"/>
                      <w:highlight w:val="none"/>
                      <w:lang w:val="en-US" w:eastAsia="zh-CN"/>
                    </w:rPr>
                    <w:t>0%～</w:t>
                  </w:r>
                  <w:r>
                    <w:rPr>
                      <w:rFonts w:hint="eastAsia"/>
                      <w:color w:val="auto"/>
                      <w:kern w:val="0"/>
                      <w:szCs w:val="21"/>
                      <w:highlight w:val="none"/>
                    </w:rPr>
                    <w:t>1</w:t>
                  </w:r>
                  <w:r>
                    <w:rPr>
                      <w:rFonts w:hint="eastAsia"/>
                      <w:color w:val="auto"/>
                      <w:kern w:val="0"/>
                      <w:szCs w:val="21"/>
                      <w:highlight w:val="none"/>
                      <w:lang w:val="en-US" w:eastAsia="zh-CN"/>
                    </w:rPr>
                    <w:t>4</w:t>
                  </w:r>
                  <w:r>
                    <w:rPr>
                      <w:rFonts w:hint="eastAsia"/>
                      <w:color w:val="auto"/>
                      <w:kern w:val="0"/>
                      <w:szCs w:val="21"/>
                      <w:highlight w:val="none"/>
                    </w:rPr>
                    <w:t>%、</w:t>
                  </w:r>
                  <w:r>
                    <w:rPr>
                      <w:rFonts w:hint="eastAsia"/>
                      <w:color w:val="auto"/>
                      <w:kern w:val="0"/>
                      <w:szCs w:val="21"/>
                      <w:highlight w:val="none"/>
                      <w:lang w:val="en-US" w:eastAsia="zh-CN"/>
                    </w:rPr>
                    <w:t>其他颜填料</w:t>
                  </w:r>
                  <w:r>
                    <w:rPr>
                      <w:rFonts w:hint="eastAsia"/>
                      <w:color w:val="auto"/>
                      <w:kern w:val="0"/>
                      <w:szCs w:val="21"/>
                      <w:highlight w:val="none"/>
                    </w:rPr>
                    <w:t>5</w:t>
                  </w:r>
                  <w:r>
                    <w:rPr>
                      <w:rFonts w:hint="eastAsia"/>
                      <w:color w:val="auto"/>
                      <w:kern w:val="0"/>
                      <w:szCs w:val="21"/>
                      <w:highlight w:val="none"/>
                      <w:lang w:eastAsia="zh-CN"/>
                    </w:rPr>
                    <w:t>%～</w:t>
                  </w:r>
                  <w:r>
                    <w:rPr>
                      <w:rFonts w:hint="eastAsia"/>
                      <w:color w:val="auto"/>
                      <w:kern w:val="0"/>
                      <w:szCs w:val="21"/>
                      <w:highlight w:val="none"/>
                      <w:lang w:val="en-US" w:eastAsia="zh-CN"/>
                    </w:rPr>
                    <w:t>16</w:t>
                  </w:r>
                  <w:r>
                    <w:rPr>
                      <w:rFonts w:hint="eastAsia"/>
                      <w:color w:val="auto"/>
                      <w:kern w:val="0"/>
                      <w:szCs w:val="21"/>
                      <w:highlight w:val="none"/>
                    </w:rPr>
                    <w:t>%、</w:t>
                  </w:r>
                  <w:r>
                    <w:rPr>
                      <w:rFonts w:hint="eastAsia"/>
                      <w:color w:val="auto"/>
                      <w:kern w:val="0"/>
                      <w:szCs w:val="21"/>
                      <w:highlight w:val="none"/>
                      <w:lang w:val="en-US" w:eastAsia="zh-CN"/>
                    </w:rPr>
                    <w:t>二</w:t>
                  </w:r>
                  <w:r>
                    <w:rPr>
                      <w:rFonts w:hint="eastAsia"/>
                      <w:color w:val="auto"/>
                      <w:kern w:val="0"/>
                      <w:szCs w:val="21"/>
                      <w:highlight w:val="none"/>
                    </w:rPr>
                    <w:t>丙二醇甲醚1</w:t>
                  </w:r>
                  <w:r>
                    <w:rPr>
                      <w:rFonts w:hint="eastAsia"/>
                      <w:color w:val="auto"/>
                      <w:kern w:val="0"/>
                      <w:szCs w:val="21"/>
                      <w:highlight w:val="none"/>
                      <w:lang w:val="en-US" w:eastAsia="zh-CN"/>
                    </w:rPr>
                    <w:t>0%～15</w:t>
                  </w:r>
                  <w:r>
                    <w:rPr>
                      <w:rFonts w:hint="eastAsia"/>
                      <w:color w:val="auto"/>
                      <w:kern w:val="0"/>
                      <w:szCs w:val="21"/>
                      <w:highlight w:val="none"/>
                    </w:rPr>
                    <w:t>%</w:t>
                  </w:r>
                  <w:r>
                    <w:rPr>
                      <w:rFonts w:hint="eastAsia"/>
                      <w:color w:val="auto"/>
                      <w:kern w:val="0"/>
                      <w:szCs w:val="21"/>
                      <w:highlight w:val="none"/>
                      <w:lang w:eastAsia="zh-CN"/>
                    </w:rPr>
                    <w:t>、</w:t>
                  </w:r>
                  <w:r>
                    <w:rPr>
                      <w:rFonts w:hint="eastAsia"/>
                      <w:color w:val="auto"/>
                      <w:kern w:val="0"/>
                      <w:szCs w:val="21"/>
                      <w:highlight w:val="none"/>
                      <w:lang w:val="en-US" w:eastAsia="zh-CN"/>
                    </w:rPr>
                    <w:t>流平剂3%～5</w:t>
                  </w:r>
                  <w:r>
                    <w:rPr>
                      <w:rFonts w:hint="eastAsia"/>
                      <w:color w:val="auto"/>
                      <w:kern w:val="0"/>
                      <w:szCs w:val="21"/>
                      <w:highlight w:val="none"/>
                    </w:rPr>
                    <w:t>%</w:t>
                  </w:r>
                  <w:r>
                    <w:rPr>
                      <w:rFonts w:hint="eastAsia"/>
                      <w:color w:val="auto"/>
                      <w:kern w:val="0"/>
                      <w:szCs w:val="21"/>
                      <w:highlight w:val="none"/>
                      <w:lang w:eastAsia="zh-CN"/>
                    </w:rPr>
                    <w:t>、</w:t>
                  </w:r>
                  <w:r>
                    <w:rPr>
                      <w:rFonts w:hint="eastAsia"/>
                      <w:color w:val="auto"/>
                      <w:kern w:val="0"/>
                      <w:szCs w:val="21"/>
                      <w:highlight w:val="none"/>
                      <w:lang w:val="en-US" w:eastAsia="zh-CN"/>
                    </w:rPr>
                    <w:t>水30%～40</w:t>
                  </w:r>
                  <w:r>
                    <w:rPr>
                      <w:rFonts w:hint="eastAsia"/>
                      <w:color w:val="auto"/>
                      <w:kern w:val="0"/>
                      <w:szCs w:val="21"/>
                      <w:highlight w:val="none"/>
                    </w:rPr>
                    <w:t>%</w:t>
                  </w:r>
                </w:p>
              </w:tc>
              <w:tc>
                <w:tcPr>
                  <w:tcW w:w="793" w:type="pct"/>
                  <w:shd w:val="clear" w:color="auto" w:fill="auto"/>
                  <w:vAlign w:val="center"/>
                </w:tcPr>
                <w:p w14:paraId="74DE47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20kg/桶</w:t>
                  </w:r>
                </w:p>
              </w:tc>
              <w:tc>
                <w:tcPr>
                  <w:tcW w:w="597" w:type="pct"/>
                  <w:shd w:val="clear" w:color="auto" w:fill="auto"/>
                  <w:vAlign w:val="center"/>
                </w:tcPr>
                <w:p w14:paraId="2E4780A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10吨</w:t>
                  </w:r>
                </w:p>
              </w:tc>
              <w:tc>
                <w:tcPr>
                  <w:tcW w:w="607" w:type="pct"/>
                  <w:vAlign w:val="center"/>
                </w:tcPr>
                <w:p w14:paraId="2AB17D5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1吨</w:t>
                  </w:r>
                </w:p>
              </w:tc>
              <w:tc>
                <w:tcPr>
                  <w:tcW w:w="436" w:type="pct"/>
                  <w:vMerge w:val="continue"/>
                  <w:vAlign w:val="center"/>
                </w:tcPr>
                <w:p w14:paraId="1263B5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127689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4E841AB2">
              <w:trPr>
                <w:trHeight w:val="340" w:hRule="atLeast"/>
                <w:jc w:val="center"/>
              </w:trPr>
              <w:tc>
                <w:tcPr>
                  <w:tcW w:w="326" w:type="pct"/>
                  <w:vMerge w:val="continue"/>
                  <w:vAlign w:val="center"/>
                </w:tcPr>
                <w:p w14:paraId="7CAA93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55C61B4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塑粉</w:t>
                  </w:r>
                </w:p>
              </w:tc>
              <w:tc>
                <w:tcPr>
                  <w:tcW w:w="1028" w:type="pct"/>
                  <w:vAlign w:val="center"/>
                </w:tcPr>
                <w:p w14:paraId="4ED107FE">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color w:val="auto"/>
                      <w:szCs w:val="21"/>
                      <w:highlight w:val="none"/>
                      <w:lang w:val="en-US" w:eastAsia="zh-CN"/>
                    </w:rPr>
                    <w:t>/</w:t>
                  </w:r>
                </w:p>
              </w:tc>
              <w:tc>
                <w:tcPr>
                  <w:tcW w:w="793" w:type="pct"/>
                  <w:vAlign w:val="center"/>
                </w:tcPr>
                <w:p w14:paraId="0F94546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20kg/袋</w:t>
                  </w:r>
                </w:p>
              </w:tc>
              <w:tc>
                <w:tcPr>
                  <w:tcW w:w="597" w:type="pct"/>
                  <w:shd w:val="clear" w:color="auto" w:fill="auto"/>
                  <w:vAlign w:val="center"/>
                </w:tcPr>
                <w:p w14:paraId="6C84E2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5吨</w:t>
                  </w:r>
                </w:p>
              </w:tc>
              <w:tc>
                <w:tcPr>
                  <w:tcW w:w="607" w:type="pct"/>
                  <w:vAlign w:val="center"/>
                </w:tcPr>
                <w:p w14:paraId="120BB26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0.5吨</w:t>
                  </w:r>
                </w:p>
              </w:tc>
              <w:tc>
                <w:tcPr>
                  <w:tcW w:w="436" w:type="pct"/>
                  <w:vMerge w:val="continue"/>
                  <w:vAlign w:val="center"/>
                </w:tcPr>
                <w:p w14:paraId="190CA2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04BF4C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309627F8">
              <w:trPr>
                <w:trHeight w:val="340" w:hRule="atLeast"/>
                <w:jc w:val="center"/>
              </w:trPr>
              <w:tc>
                <w:tcPr>
                  <w:tcW w:w="326" w:type="pct"/>
                  <w:vMerge w:val="continue"/>
                  <w:vAlign w:val="center"/>
                </w:tcPr>
                <w:p w14:paraId="18045B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5C1C80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润滑油</w:t>
                  </w:r>
                </w:p>
              </w:tc>
              <w:tc>
                <w:tcPr>
                  <w:tcW w:w="1028" w:type="pct"/>
                  <w:vAlign w:val="center"/>
                </w:tcPr>
                <w:p w14:paraId="5F6310D4">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矿物油</w:t>
                  </w:r>
                </w:p>
              </w:tc>
              <w:tc>
                <w:tcPr>
                  <w:tcW w:w="793" w:type="pct"/>
                  <w:vAlign w:val="center"/>
                </w:tcPr>
                <w:p w14:paraId="2E84386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Cs w:val="21"/>
                      <w:highlight w:val="none"/>
                    </w:rPr>
                    <w:t>200kg/桶</w:t>
                  </w:r>
                </w:p>
              </w:tc>
              <w:tc>
                <w:tcPr>
                  <w:tcW w:w="597" w:type="pct"/>
                  <w:shd w:val="clear" w:color="auto" w:fill="auto"/>
                  <w:vAlign w:val="center"/>
                </w:tcPr>
                <w:p w14:paraId="03288F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1吨</w:t>
                  </w:r>
                </w:p>
              </w:tc>
              <w:tc>
                <w:tcPr>
                  <w:tcW w:w="607" w:type="pct"/>
                  <w:vAlign w:val="center"/>
                </w:tcPr>
                <w:p w14:paraId="47891D0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0.2吨</w:t>
                  </w:r>
                </w:p>
              </w:tc>
              <w:tc>
                <w:tcPr>
                  <w:tcW w:w="436" w:type="pct"/>
                  <w:vMerge w:val="continue"/>
                  <w:vAlign w:val="center"/>
                </w:tcPr>
                <w:p w14:paraId="530215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5F143A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1764D92F">
              <w:trPr>
                <w:trHeight w:val="340" w:hRule="atLeast"/>
                <w:jc w:val="center"/>
              </w:trPr>
              <w:tc>
                <w:tcPr>
                  <w:tcW w:w="326" w:type="pct"/>
                  <w:vMerge w:val="continue"/>
                  <w:vAlign w:val="center"/>
                </w:tcPr>
                <w:p w14:paraId="069DD9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0C9803A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切削液</w:t>
                  </w:r>
                </w:p>
              </w:tc>
              <w:tc>
                <w:tcPr>
                  <w:tcW w:w="1028" w:type="pct"/>
                  <w:vAlign w:val="center"/>
                </w:tcPr>
                <w:p w14:paraId="129A85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93" w:type="pct"/>
                  <w:vAlign w:val="center"/>
                </w:tcPr>
                <w:p w14:paraId="5EE488A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Cs w:val="21"/>
                      <w:highlight w:val="none"/>
                    </w:rPr>
                    <w:t>200kg/桶</w:t>
                  </w:r>
                </w:p>
              </w:tc>
              <w:tc>
                <w:tcPr>
                  <w:tcW w:w="597" w:type="pct"/>
                  <w:shd w:val="clear" w:color="auto" w:fill="auto"/>
                  <w:vAlign w:val="center"/>
                </w:tcPr>
                <w:p w14:paraId="3AE5005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1吨</w:t>
                  </w:r>
                </w:p>
              </w:tc>
              <w:tc>
                <w:tcPr>
                  <w:tcW w:w="607" w:type="pct"/>
                  <w:vAlign w:val="center"/>
                </w:tcPr>
                <w:p w14:paraId="45B927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0.2吨</w:t>
                  </w:r>
                </w:p>
              </w:tc>
              <w:tc>
                <w:tcPr>
                  <w:tcW w:w="436" w:type="pct"/>
                  <w:vMerge w:val="continue"/>
                  <w:vAlign w:val="center"/>
                </w:tcPr>
                <w:p w14:paraId="53A4A4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4E4B6A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6713294A">
              <w:trPr>
                <w:trHeight w:val="340" w:hRule="atLeast"/>
                <w:jc w:val="center"/>
              </w:trPr>
              <w:tc>
                <w:tcPr>
                  <w:tcW w:w="326" w:type="pct"/>
                  <w:vMerge w:val="continue"/>
                  <w:vAlign w:val="center"/>
                </w:tcPr>
                <w:p w14:paraId="6CB6FA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7777259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无铅焊丝</w:t>
                  </w:r>
                </w:p>
              </w:tc>
              <w:tc>
                <w:tcPr>
                  <w:tcW w:w="1028" w:type="pct"/>
                  <w:vAlign w:val="center"/>
                </w:tcPr>
                <w:p w14:paraId="0EA0A3C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w:t>
                  </w:r>
                </w:p>
              </w:tc>
              <w:tc>
                <w:tcPr>
                  <w:tcW w:w="793" w:type="pct"/>
                  <w:vAlign w:val="center"/>
                </w:tcPr>
                <w:p w14:paraId="3851137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10kg/箱</w:t>
                  </w:r>
                </w:p>
              </w:tc>
              <w:tc>
                <w:tcPr>
                  <w:tcW w:w="597" w:type="pct"/>
                  <w:shd w:val="clear" w:color="auto" w:fill="auto"/>
                  <w:vAlign w:val="center"/>
                </w:tcPr>
                <w:p w14:paraId="7C9A24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3吨</w:t>
                  </w:r>
                </w:p>
              </w:tc>
              <w:tc>
                <w:tcPr>
                  <w:tcW w:w="607" w:type="pct"/>
                  <w:vAlign w:val="center"/>
                </w:tcPr>
                <w:p w14:paraId="5B3137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0.3吨</w:t>
                  </w:r>
                </w:p>
              </w:tc>
              <w:tc>
                <w:tcPr>
                  <w:tcW w:w="436" w:type="pct"/>
                  <w:vMerge w:val="continue"/>
                  <w:vAlign w:val="center"/>
                </w:tcPr>
                <w:p w14:paraId="3E0CE3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16EECF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771FE9DE">
              <w:trPr>
                <w:trHeight w:val="340" w:hRule="atLeast"/>
                <w:jc w:val="center"/>
              </w:trPr>
              <w:tc>
                <w:tcPr>
                  <w:tcW w:w="326" w:type="pct"/>
                  <w:vMerge w:val="continue"/>
                  <w:vAlign w:val="center"/>
                </w:tcPr>
                <w:p w14:paraId="369BF4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6DD6A89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氩气</w:t>
                  </w:r>
                </w:p>
              </w:tc>
              <w:tc>
                <w:tcPr>
                  <w:tcW w:w="1028" w:type="pct"/>
                  <w:vAlign w:val="center"/>
                </w:tcPr>
                <w:p w14:paraId="4C5BE81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kern w:val="2"/>
                      <w:sz w:val="21"/>
                      <w:szCs w:val="21"/>
                      <w:highlight w:val="none"/>
                      <w:lang w:val="en-US" w:eastAsia="zh-CN" w:bidi="ar-SA"/>
                    </w:rPr>
                    <w:t>氩</w:t>
                  </w:r>
                </w:p>
              </w:tc>
              <w:tc>
                <w:tcPr>
                  <w:tcW w:w="793" w:type="pct"/>
                  <w:vAlign w:val="center"/>
                </w:tcPr>
                <w:p w14:paraId="75FC1D7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Cs w:val="21"/>
                      <w:highlight w:val="none"/>
                    </w:rPr>
                    <w:t>40升/瓶</w:t>
                  </w:r>
                </w:p>
              </w:tc>
              <w:tc>
                <w:tcPr>
                  <w:tcW w:w="597" w:type="pct"/>
                  <w:shd w:val="clear" w:color="auto" w:fill="auto"/>
                  <w:vAlign w:val="center"/>
                </w:tcPr>
                <w:p w14:paraId="75EDEFC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800升</w:t>
                  </w:r>
                </w:p>
              </w:tc>
              <w:tc>
                <w:tcPr>
                  <w:tcW w:w="607" w:type="pct"/>
                  <w:vAlign w:val="center"/>
                </w:tcPr>
                <w:p w14:paraId="7F2B2D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kern w:val="2"/>
                      <w:sz w:val="21"/>
                      <w:szCs w:val="21"/>
                      <w:highlight w:val="none"/>
                      <w:lang w:val="en-US" w:eastAsia="zh-CN" w:bidi="ar-SA"/>
                    </w:rPr>
                    <w:t>200升</w:t>
                  </w:r>
                </w:p>
              </w:tc>
              <w:tc>
                <w:tcPr>
                  <w:tcW w:w="436" w:type="pct"/>
                  <w:vMerge w:val="continue"/>
                  <w:vAlign w:val="center"/>
                </w:tcPr>
                <w:p w14:paraId="4834ED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0190D9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6E44BCFA">
              <w:trPr>
                <w:trHeight w:val="340" w:hRule="atLeast"/>
                <w:jc w:val="center"/>
              </w:trPr>
              <w:tc>
                <w:tcPr>
                  <w:tcW w:w="326" w:type="pct"/>
                  <w:vMerge w:val="continue"/>
                  <w:vAlign w:val="center"/>
                </w:tcPr>
                <w:p w14:paraId="1E7088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70" w:type="pct"/>
                  <w:shd w:val="clear" w:color="auto" w:fill="auto"/>
                  <w:vAlign w:val="center"/>
                </w:tcPr>
                <w:p w14:paraId="776C78F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二氧化碳气体</w:t>
                  </w:r>
                </w:p>
              </w:tc>
              <w:tc>
                <w:tcPr>
                  <w:tcW w:w="1028" w:type="pct"/>
                  <w:vAlign w:val="center"/>
                </w:tcPr>
                <w:p w14:paraId="5A0B874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kern w:val="2"/>
                      <w:sz w:val="21"/>
                      <w:szCs w:val="21"/>
                      <w:highlight w:val="none"/>
                      <w:lang w:val="en-US" w:eastAsia="zh-CN" w:bidi="ar-SA"/>
                    </w:rPr>
                    <w:t>二氧化碳</w:t>
                  </w:r>
                </w:p>
              </w:tc>
              <w:tc>
                <w:tcPr>
                  <w:tcW w:w="793" w:type="pct"/>
                  <w:vAlign w:val="center"/>
                </w:tcPr>
                <w:p w14:paraId="085CA26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40升/瓶</w:t>
                  </w:r>
                </w:p>
              </w:tc>
              <w:tc>
                <w:tcPr>
                  <w:tcW w:w="597" w:type="pct"/>
                  <w:shd w:val="clear" w:color="auto" w:fill="auto"/>
                  <w:vAlign w:val="center"/>
                </w:tcPr>
                <w:p w14:paraId="1112C43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800升</w:t>
                  </w:r>
                </w:p>
              </w:tc>
              <w:tc>
                <w:tcPr>
                  <w:tcW w:w="607" w:type="pct"/>
                  <w:vAlign w:val="center"/>
                </w:tcPr>
                <w:p w14:paraId="51FC61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bidi="ar-SA"/>
                    </w:rPr>
                    <w:t>200升</w:t>
                  </w:r>
                </w:p>
              </w:tc>
              <w:tc>
                <w:tcPr>
                  <w:tcW w:w="436" w:type="pct"/>
                  <w:vMerge w:val="continue"/>
                  <w:vAlign w:val="center"/>
                </w:tcPr>
                <w:p w14:paraId="287CD5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38" w:type="pct"/>
                  <w:vMerge w:val="continue"/>
                  <w:vAlign w:val="center"/>
                </w:tcPr>
                <w:p w14:paraId="41123D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14:paraId="6BAEDA99">
            <w:pPr>
              <w:keepNext w:val="0"/>
              <w:keepLines w:val="0"/>
              <w:suppressLineNumbers w:val="0"/>
              <w:autoSpaceDE w:val="0"/>
              <w:autoSpaceDN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2</w:t>
            </w:r>
            <w:r>
              <w:rPr>
                <w:rFonts w:hint="eastAsia"/>
                <w:b/>
                <w:color w:val="auto"/>
                <w:sz w:val="24"/>
                <w:highlight w:val="none"/>
              </w:rPr>
              <w:t>-</w:t>
            </w:r>
            <w:r>
              <w:rPr>
                <w:rFonts w:hint="eastAsia"/>
                <w:b/>
                <w:color w:val="auto"/>
                <w:sz w:val="24"/>
                <w:highlight w:val="none"/>
                <w:lang w:val="en-US" w:eastAsia="zh-CN"/>
              </w:rPr>
              <w:t>7</w:t>
            </w:r>
            <w:r>
              <w:rPr>
                <w:rFonts w:hint="eastAsia"/>
                <w:b/>
                <w:color w:val="auto"/>
                <w:sz w:val="24"/>
                <w:highlight w:val="none"/>
              </w:rPr>
              <w:t xml:space="preserve"> </w:t>
            </w:r>
            <w:r>
              <w:rPr>
                <w:rFonts w:hAnsi="宋体"/>
                <w:b/>
                <w:color w:val="auto"/>
                <w:sz w:val="24"/>
                <w:highlight w:val="none"/>
              </w:rPr>
              <w:t>原辅材料理化性质</w:t>
            </w:r>
            <w:r>
              <w:rPr>
                <w:rFonts w:hint="eastAsia" w:hAnsi="宋体"/>
                <w:b/>
                <w:color w:val="auto"/>
                <w:sz w:val="24"/>
                <w:highlight w:val="none"/>
              </w:rPr>
              <w:t>一览</w:t>
            </w:r>
            <w:r>
              <w:rPr>
                <w:rFonts w:hAnsi="宋体"/>
                <w:b/>
                <w:color w:val="auto"/>
                <w:sz w:val="24"/>
                <w:highlight w:val="none"/>
              </w:rPr>
              <w:t>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800"/>
              <w:gridCol w:w="6585"/>
            </w:tblGrid>
            <w:tr w14:paraId="4AD3510E">
              <w:trPr>
                <w:trHeight w:val="340" w:hRule="atLeast"/>
                <w:jc w:val="center"/>
              </w:trPr>
              <w:tc>
                <w:tcPr>
                  <w:tcW w:w="1073" w:type="pct"/>
                  <w:tcBorders>
                    <w:tl2br w:val="nil"/>
                    <w:tr2bl w:val="nil"/>
                  </w:tcBorders>
                  <w:vAlign w:val="center"/>
                </w:tcPr>
                <w:p w14:paraId="1E564C56">
                  <w:pPr>
                    <w:pStyle w:val="283"/>
                    <w:keepNext w:val="0"/>
                    <w:keepLines w:val="0"/>
                    <w:suppressLineNumbers w:val="0"/>
                    <w:spacing w:before="0" w:beforeAutospacing="0" w:after="0" w:afterAutospacing="0" w:line="240" w:lineRule="auto"/>
                    <w:ind w:left="0" w:right="0"/>
                    <w:rPr>
                      <w:rFonts w:ascii="Times New Roman" w:hAnsi="Times New Roman" w:eastAsia="宋体" w:cs="Times New Roman"/>
                      <w:b/>
                      <w:color w:val="auto"/>
                      <w:sz w:val="21"/>
                      <w:highlight w:val="none"/>
                    </w:rPr>
                  </w:pPr>
                  <w:r>
                    <w:rPr>
                      <w:rFonts w:ascii="Times New Roman" w:hAnsi="宋体" w:eastAsia="宋体" w:cs="Times New Roman"/>
                      <w:b/>
                      <w:color w:val="auto"/>
                      <w:sz w:val="21"/>
                      <w:highlight w:val="none"/>
                    </w:rPr>
                    <w:t>名称</w:t>
                  </w:r>
                </w:p>
              </w:tc>
              <w:tc>
                <w:tcPr>
                  <w:tcW w:w="3926" w:type="pct"/>
                  <w:tcBorders>
                    <w:tl2br w:val="nil"/>
                    <w:tr2bl w:val="nil"/>
                  </w:tcBorders>
                  <w:vAlign w:val="center"/>
                </w:tcPr>
                <w:p w14:paraId="5B6BD18D">
                  <w:pPr>
                    <w:pStyle w:val="283"/>
                    <w:keepNext w:val="0"/>
                    <w:keepLines w:val="0"/>
                    <w:suppressLineNumbers w:val="0"/>
                    <w:spacing w:before="0" w:beforeAutospacing="0" w:after="0" w:afterAutospacing="0" w:line="240" w:lineRule="auto"/>
                    <w:ind w:left="0" w:right="0"/>
                    <w:rPr>
                      <w:rFonts w:ascii="Times New Roman" w:hAnsi="Times New Roman" w:eastAsia="宋体" w:cs="Times New Roman"/>
                      <w:b/>
                      <w:color w:val="auto"/>
                      <w:sz w:val="21"/>
                      <w:highlight w:val="none"/>
                    </w:rPr>
                  </w:pPr>
                  <w:r>
                    <w:rPr>
                      <w:rFonts w:ascii="Times New Roman" w:hAnsi="宋体" w:eastAsia="宋体" w:cs="Times New Roman"/>
                      <w:b/>
                      <w:color w:val="auto"/>
                      <w:sz w:val="21"/>
                      <w:highlight w:val="none"/>
                    </w:rPr>
                    <w:t>理化</w:t>
                  </w:r>
                  <w:r>
                    <w:rPr>
                      <w:rFonts w:hint="eastAsia" w:ascii="Times New Roman" w:hAnsi="宋体" w:eastAsia="宋体" w:cs="Times New Roman"/>
                      <w:b/>
                      <w:color w:val="auto"/>
                      <w:sz w:val="21"/>
                      <w:highlight w:val="none"/>
                    </w:rPr>
                    <w:t>性质</w:t>
                  </w:r>
                </w:p>
              </w:tc>
            </w:tr>
            <w:tr w14:paraId="7F3E9406">
              <w:trPr>
                <w:trHeight w:val="340" w:hRule="atLeast"/>
                <w:jc w:val="center"/>
              </w:trPr>
              <w:tc>
                <w:tcPr>
                  <w:tcW w:w="1073" w:type="pct"/>
                  <w:tcBorders>
                    <w:tl2br w:val="nil"/>
                    <w:tr2bl w:val="nil"/>
                  </w:tcBorders>
                  <w:vAlign w:val="center"/>
                </w:tcPr>
                <w:p w14:paraId="774A499E">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kern w:val="0"/>
                      <w:szCs w:val="21"/>
                      <w:highlight w:val="none"/>
                      <w:lang w:val="en-US" w:eastAsia="zh-CN"/>
                    </w:rPr>
                    <w:t>二</w:t>
                  </w:r>
                  <w:r>
                    <w:rPr>
                      <w:rFonts w:hint="eastAsia"/>
                      <w:color w:val="auto"/>
                      <w:kern w:val="0"/>
                      <w:szCs w:val="21"/>
                      <w:highlight w:val="none"/>
                    </w:rPr>
                    <w:t>丙二醇甲醚</w:t>
                  </w:r>
                </w:p>
              </w:tc>
              <w:tc>
                <w:tcPr>
                  <w:tcW w:w="3926" w:type="pct"/>
                  <w:tcBorders>
                    <w:tl2br w:val="nil"/>
                    <w:tr2bl w:val="nil"/>
                  </w:tcBorders>
                  <w:vAlign w:val="center"/>
                </w:tcPr>
                <w:p w14:paraId="251412B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eastAsia" w:eastAsiaTheme="minorEastAsia"/>
                      <w:color w:val="auto"/>
                      <w:szCs w:val="21"/>
                      <w:highlight w:val="none"/>
                      <w:lang w:eastAsia="zh-CN"/>
                    </w:rPr>
                  </w:pPr>
                  <w:r>
                    <w:rPr>
                      <w:rFonts w:hint="eastAsia"/>
                      <w:color w:val="auto"/>
                      <w:kern w:val="0"/>
                      <w:szCs w:val="21"/>
                      <w:highlight w:val="none"/>
                    </w:rPr>
                    <w:t>无色透明</w:t>
                  </w:r>
                  <w:r>
                    <w:rPr>
                      <w:rFonts w:hint="eastAsia"/>
                      <w:color w:val="auto"/>
                      <w:kern w:val="0"/>
                      <w:szCs w:val="21"/>
                      <w:highlight w:val="none"/>
                      <w:lang w:eastAsia="zh-CN"/>
                    </w:rPr>
                    <w:t>黏稠</w:t>
                  </w:r>
                  <w:r>
                    <w:rPr>
                      <w:rFonts w:hint="eastAsia"/>
                      <w:color w:val="auto"/>
                      <w:kern w:val="0"/>
                      <w:szCs w:val="21"/>
                      <w:highlight w:val="none"/>
                    </w:rPr>
                    <w:t>液体，</w:t>
                  </w:r>
                  <w:r>
                    <w:rPr>
                      <w:color w:val="auto"/>
                      <w:highlight w:val="none"/>
                    </w:rPr>
                    <w:fldChar w:fldCharType="begin"/>
                  </w:r>
                  <w:r>
                    <w:rPr>
                      <w:color w:val="auto"/>
                      <w:highlight w:val="none"/>
                    </w:rPr>
                    <w:instrText xml:space="preserve"> HYPERLINK "https://baike.baidu.com/item/%E6%B2%B8%E7%82%B9/3784678?fromModule=lemma_inlink" \t "https://baike.baidu.com/item/%E4%B8%99%E4%BA%8C%E9%86%87%E7%94%B2%E9%86%9A/_blank" </w:instrText>
                  </w:r>
                  <w:r>
                    <w:rPr>
                      <w:color w:val="auto"/>
                      <w:highlight w:val="none"/>
                    </w:rPr>
                    <w:fldChar w:fldCharType="separate"/>
                  </w:r>
                  <w:r>
                    <w:rPr>
                      <w:color w:val="auto"/>
                      <w:kern w:val="0"/>
                      <w:szCs w:val="21"/>
                      <w:highlight w:val="none"/>
                    </w:rPr>
                    <w:t>沸点</w:t>
                  </w:r>
                  <w:r>
                    <w:rPr>
                      <w:color w:val="auto"/>
                      <w:kern w:val="0"/>
                      <w:szCs w:val="21"/>
                      <w:highlight w:val="none"/>
                    </w:rPr>
                    <w:fldChar w:fldCharType="end"/>
                  </w:r>
                  <w:r>
                    <w:rPr>
                      <w:color w:val="auto"/>
                      <w:kern w:val="0"/>
                      <w:szCs w:val="21"/>
                      <w:highlight w:val="none"/>
                    </w:rPr>
                    <w:t>：1</w:t>
                  </w:r>
                  <w:r>
                    <w:rPr>
                      <w:rFonts w:hint="eastAsia"/>
                      <w:color w:val="auto"/>
                      <w:kern w:val="0"/>
                      <w:szCs w:val="21"/>
                      <w:highlight w:val="none"/>
                      <w:lang w:val="en-US" w:eastAsia="zh-CN"/>
                    </w:rPr>
                    <w:t>9</w:t>
                  </w:r>
                  <w:r>
                    <w:rPr>
                      <w:color w:val="auto"/>
                      <w:kern w:val="0"/>
                      <w:szCs w:val="21"/>
                      <w:highlight w:val="none"/>
                    </w:rPr>
                    <w:t>0°C，</w:t>
                  </w:r>
                  <w:r>
                    <w:rPr>
                      <w:rFonts w:hint="eastAsia"/>
                      <w:color w:val="auto"/>
                      <w:kern w:val="0"/>
                      <w:szCs w:val="21"/>
                      <w:highlight w:val="none"/>
                      <w:lang w:val="en-US" w:eastAsia="zh-CN"/>
                    </w:rPr>
                    <w:t>熔点：85</w:t>
                  </w:r>
                  <w:r>
                    <w:rPr>
                      <w:color w:val="auto"/>
                      <w:kern w:val="0"/>
                      <w:szCs w:val="21"/>
                      <w:highlight w:val="none"/>
                    </w:rPr>
                    <w:t>°C</w:t>
                  </w:r>
                  <w:r>
                    <w:rPr>
                      <w:rFonts w:hint="eastAsia"/>
                      <w:color w:val="auto"/>
                      <w:kern w:val="0"/>
                      <w:szCs w:val="21"/>
                      <w:highlight w:val="none"/>
                      <w:lang w:val="en-US" w:eastAsia="zh-CN"/>
                    </w:rPr>
                    <w:t>，</w:t>
                  </w:r>
                  <w:r>
                    <w:rPr>
                      <w:color w:val="auto"/>
                      <w:highlight w:val="none"/>
                    </w:rPr>
                    <w:fldChar w:fldCharType="begin"/>
                  </w:r>
                  <w:r>
                    <w:rPr>
                      <w:color w:val="auto"/>
                      <w:highlight w:val="none"/>
                    </w:rPr>
                    <w:instrText xml:space="preserve"> HYPERLINK "https://baike.baidu.com/item/%E9%97%AA%E7%82%B9/2519439?fromModule=lemma_inlink" \t "https://baike.baidu.com/item/%E4%B8%99%E4%BA%8C%E9%86%87%E7%94%B2%E9%86%9A/_blank" </w:instrText>
                  </w:r>
                  <w:r>
                    <w:rPr>
                      <w:color w:val="auto"/>
                      <w:highlight w:val="none"/>
                    </w:rPr>
                    <w:fldChar w:fldCharType="separate"/>
                  </w:r>
                  <w:r>
                    <w:rPr>
                      <w:color w:val="auto"/>
                      <w:kern w:val="0"/>
                      <w:szCs w:val="21"/>
                      <w:highlight w:val="none"/>
                    </w:rPr>
                    <w:t>闪点</w:t>
                  </w:r>
                  <w:r>
                    <w:rPr>
                      <w:color w:val="auto"/>
                      <w:kern w:val="0"/>
                      <w:szCs w:val="21"/>
                      <w:highlight w:val="none"/>
                    </w:rPr>
                    <w:fldChar w:fldCharType="end"/>
                  </w:r>
                  <w:r>
                    <w:rPr>
                      <w:color w:val="auto"/>
                      <w:kern w:val="0"/>
                      <w:szCs w:val="21"/>
                      <w:highlight w:val="none"/>
                    </w:rPr>
                    <w:t>：</w:t>
                  </w:r>
                  <w:r>
                    <w:rPr>
                      <w:rFonts w:hint="eastAsia"/>
                      <w:color w:val="auto"/>
                      <w:kern w:val="0"/>
                      <w:szCs w:val="21"/>
                      <w:highlight w:val="none"/>
                      <w:lang w:val="en-US" w:eastAsia="zh-CN"/>
                    </w:rPr>
                    <w:t>85</w:t>
                  </w:r>
                  <w:r>
                    <w:rPr>
                      <w:color w:val="auto"/>
                      <w:kern w:val="0"/>
                      <w:szCs w:val="21"/>
                      <w:highlight w:val="none"/>
                    </w:rPr>
                    <w:t>°C，易燃，</w:t>
                  </w:r>
                  <w:r>
                    <w:rPr>
                      <w:rFonts w:ascii="Arial" w:hAnsi="Arial" w:eastAsia="宋体" w:cs="Arial"/>
                      <w:i w:val="0"/>
                      <w:iCs w:val="0"/>
                      <w:caps w:val="0"/>
                      <w:color w:val="auto"/>
                      <w:spacing w:val="0"/>
                      <w:sz w:val="21"/>
                      <w:szCs w:val="21"/>
                      <w:highlight w:val="none"/>
                      <w:shd w:val="clear" w:fill="FFFFFF"/>
                    </w:rPr>
                    <w:t>与水混溶。能溶解油脂、橡胶、天然树脂乙基纤维素、硝酸纤维素、聚乙酸乙烯酯、聚乙烯醇缩丁醛、醇酸树脂、酚醛树脂、尿素树脂等。</w:t>
                  </w:r>
                  <w:r>
                    <w:rPr>
                      <w:color w:val="auto"/>
                      <w:kern w:val="0"/>
                      <w:szCs w:val="21"/>
                      <w:highlight w:val="none"/>
                    </w:rPr>
                    <w:t>主要用作溶剂、</w:t>
                  </w:r>
                  <w:r>
                    <w:rPr>
                      <w:rFonts w:hint="eastAsia"/>
                      <w:color w:val="auto"/>
                      <w:kern w:val="0"/>
                      <w:szCs w:val="21"/>
                      <w:highlight w:val="none"/>
                      <w:lang w:val="en-US" w:eastAsia="zh-CN"/>
                    </w:rPr>
                    <w:t>偶联</w:t>
                  </w:r>
                  <w:r>
                    <w:rPr>
                      <w:color w:val="auto"/>
                      <w:kern w:val="0"/>
                      <w:szCs w:val="21"/>
                      <w:highlight w:val="none"/>
                    </w:rPr>
                    <w:t>剂和稀释剂</w:t>
                  </w:r>
                  <w:r>
                    <w:rPr>
                      <w:rFonts w:hint="eastAsia"/>
                      <w:color w:val="auto"/>
                      <w:kern w:val="0"/>
                      <w:szCs w:val="21"/>
                      <w:highlight w:val="none"/>
                    </w:rPr>
                    <w:t>，</w:t>
                  </w:r>
                  <w:r>
                    <w:rPr>
                      <w:color w:val="auto"/>
                      <w:kern w:val="0"/>
                      <w:szCs w:val="21"/>
                      <w:highlight w:val="none"/>
                    </w:rPr>
                    <w:t>急性毒性：LD</w:t>
                  </w:r>
                  <w:r>
                    <w:rPr>
                      <w:color w:val="auto"/>
                      <w:kern w:val="0"/>
                      <w:szCs w:val="21"/>
                      <w:highlight w:val="none"/>
                      <w:vertAlign w:val="subscript"/>
                    </w:rPr>
                    <w:t>50</w:t>
                  </w:r>
                  <w:r>
                    <w:rPr>
                      <w:rFonts w:hint="eastAsia"/>
                      <w:color w:val="auto"/>
                      <w:kern w:val="0"/>
                      <w:szCs w:val="21"/>
                      <w:highlight w:val="none"/>
                      <w:vertAlign w:val="subscript"/>
                      <w:lang w:eastAsia="zh-CN"/>
                    </w:rPr>
                    <w:t>:</w:t>
                  </w:r>
                  <w:r>
                    <w:rPr>
                      <w:rFonts w:hint="eastAsia"/>
                      <w:color w:val="auto"/>
                      <w:kern w:val="0"/>
                      <w:szCs w:val="21"/>
                      <w:highlight w:val="none"/>
                      <w:lang w:val="en-US" w:eastAsia="zh-CN"/>
                    </w:rPr>
                    <w:t>5400</w:t>
                  </w:r>
                  <w:r>
                    <w:rPr>
                      <w:color w:val="auto"/>
                      <w:kern w:val="0"/>
                      <w:szCs w:val="21"/>
                      <w:highlight w:val="none"/>
                    </w:rPr>
                    <w:t>mg/kg（大鼠经口），</w:t>
                  </w:r>
                  <w:r>
                    <w:rPr>
                      <w:rFonts w:hint="eastAsia"/>
                      <w:color w:val="auto"/>
                      <w:kern w:val="0"/>
                      <w:szCs w:val="21"/>
                      <w:highlight w:val="none"/>
                      <w:lang w:val="en-US" w:eastAsia="zh-CN"/>
                    </w:rPr>
                    <w:t>75</w:t>
                  </w:r>
                  <w:r>
                    <w:rPr>
                      <w:color w:val="auto"/>
                      <w:kern w:val="0"/>
                      <w:szCs w:val="21"/>
                      <w:highlight w:val="none"/>
                    </w:rPr>
                    <w:t>00mg/kg（</w:t>
                  </w:r>
                  <w:r>
                    <w:rPr>
                      <w:rFonts w:hint="eastAsia"/>
                      <w:color w:val="auto"/>
                      <w:kern w:val="0"/>
                      <w:szCs w:val="21"/>
                      <w:highlight w:val="none"/>
                      <w:lang w:val="en-US" w:eastAsia="zh-CN"/>
                    </w:rPr>
                    <w:t>狗经口</w:t>
                  </w:r>
                  <w:r>
                    <w:rPr>
                      <w:color w:val="auto"/>
                      <w:kern w:val="0"/>
                      <w:szCs w:val="21"/>
                      <w:highlight w:val="none"/>
                    </w:rPr>
                    <w:t>）</w:t>
                  </w:r>
                  <w:r>
                    <w:rPr>
                      <w:rFonts w:hint="eastAsia"/>
                      <w:color w:val="auto"/>
                      <w:kern w:val="0"/>
                      <w:szCs w:val="21"/>
                      <w:highlight w:val="none"/>
                      <w:lang w:eastAsia="zh-CN"/>
                    </w:rPr>
                    <w:t>。</w:t>
                  </w:r>
                </w:p>
              </w:tc>
            </w:tr>
            <w:tr w14:paraId="612497EA">
              <w:trPr>
                <w:trHeight w:val="340" w:hRule="atLeast"/>
                <w:jc w:val="center"/>
              </w:trPr>
              <w:tc>
                <w:tcPr>
                  <w:tcW w:w="1073" w:type="pct"/>
                  <w:tcBorders>
                    <w:tl2br w:val="nil"/>
                    <w:tr2bl w:val="nil"/>
                  </w:tcBorders>
                  <w:vAlign w:val="center"/>
                </w:tcPr>
                <w:p w14:paraId="5CC2C567">
                  <w:pPr>
                    <w:keepNext w:val="0"/>
                    <w:keepLines w:val="0"/>
                    <w:suppressLineNumbers w:val="0"/>
                    <w:spacing w:before="0" w:beforeAutospacing="0" w:after="0" w:afterAutospacing="0"/>
                    <w:ind w:left="0" w:right="0"/>
                    <w:jc w:val="center"/>
                    <w:rPr>
                      <w:rFonts w:hint="eastAsia" w:ascii="宋体" w:hAnsi="宋体" w:eastAsiaTheme="minorEastAsia"/>
                      <w:bCs/>
                      <w:color w:val="auto"/>
                      <w:szCs w:val="21"/>
                      <w:highlight w:val="none"/>
                      <w:lang w:val="en-US" w:eastAsia="zh-CN"/>
                    </w:rPr>
                  </w:pPr>
                  <w:r>
                    <w:rPr>
                      <w:rFonts w:hint="eastAsia" w:ascii="宋体" w:hAnsi="宋体"/>
                      <w:bCs/>
                      <w:color w:val="auto"/>
                      <w:szCs w:val="21"/>
                      <w:highlight w:val="none"/>
                      <w:lang w:val="en-US" w:eastAsia="zh-CN"/>
                    </w:rPr>
                    <w:t>润滑油</w:t>
                  </w:r>
                </w:p>
              </w:tc>
              <w:tc>
                <w:tcPr>
                  <w:tcW w:w="3926" w:type="pct"/>
                  <w:tcBorders>
                    <w:tl2br w:val="nil"/>
                    <w:tr2bl w:val="nil"/>
                  </w:tcBorders>
                  <w:vAlign w:val="center"/>
                </w:tcPr>
                <w:p w14:paraId="1830A2A5">
                  <w:pPr>
                    <w:keepNext w:val="0"/>
                    <w:keepLines w:val="0"/>
                    <w:suppressLineNumbers w:val="0"/>
                    <w:spacing w:before="0" w:beforeAutospacing="0" w:after="0" w:afterAutospacing="0"/>
                    <w:ind w:left="0" w:right="0"/>
                    <w:jc w:val="left"/>
                    <w:rPr>
                      <w:rFonts w:hint="default" w:eastAsiaTheme="minorEastAsia"/>
                      <w:color w:val="auto"/>
                      <w:highlight w:val="none"/>
                      <w:lang w:val="en-US" w:eastAsia="zh-CN"/>
                    </w:rPr>
                  </w:pPr>
                  <w:r>
                    <w:rPr>
                      <w:rFonts w:hAnsiTheme="minorEastAsia"/>
                      <w:color w:val="auto"/>
                      <w:kern w:val="0"/>
                      <w:szCs w:val="21"/>
                      <w:highlight w:val="none"/>
                    </w:rPr>
                    <w:t>沸点、初沸点和沸程（℃）：</w:t>
                  </w:r>
                  <w:r>
                    <w:rPr>
                      <w:color w:val="auto"/>
                      <w:kern w:val="0"/>
                      <w:szCs w:val="21"/>
                      <w:highlight w:val="none"/>
                    </w:rPr>
                    <w:t>310.3</w:t>
                  </w:r>
                  <w:r>
                    <w:rPr>
                      <w:rFonts w:hAnsiTheme="minorEastAsia"/>
                      <w:color w:val="auto"/>
                      <w:kern w:val="0"/>
                      <w:szCs w:val="21"/>
                      <w:highlight w:val="none"/>
                    </w:rPr>
                    <w:t>℃</w:t>
                  </w:r>
                  <w:r>
                    <w:rPr>
                      <w:color w:val="auto"/>
                      <w:kern w:val="0"/>
                      <w:szCs w:val="21"/>
                      <w:highlight w:val="none"/>
                    </w:rPr>
                    <w:t>at760 mmHg</w:t>
                  </w:r>
                  <w:r>
                    <w:rPr>
                      <w:rFonts w:hAnsiTheme="minorEastAsia"/>
                      <w:color w:val="auto"/>
                      <w:kern w:val="0"/>
                      <w:szCs w:val="21"/>
                      <w:highlight w:val="none"/>
                    </w:rPr>
                    <w:t>，相对密度</w:t>
                  </w:r>
                  <w:r>
                    <w:rPr>
                      <w:rFonts w:hint="eastAsia" w:hAnsiTheme="minorEastAsia"/>
                      <w:color w:val="auto"/>
                      <w:kern w:val="0"/>
                      <w:szCs w:val="21"/>
                      <w:highlight w:val="none"/>
                      <w:lang w:eastAsia="zh-CN"/>
                    </w:rPr>
                    <w:t>（</w:t>
                  </w:r>
                  <w:r>
                    <w:rPr>
                      <w:rFonts w:hAnsiTheme="minorEastAsia"/>
                      <w:color w:val="auto"/>
                      <w:kern w:val="0"/>
                      <w:szCs w:val="21"/>
                      <w:highlight w:val="none"/>
                    </w:rPr>
                    <w:t>水以</w:t>
                  </w:r>
                  <w:r>
                    <w:rPr>
                      <w:color w:val="auto"/>
                      <w:kern w:val="0"/>
                      <w:szCs w:val="21"/>
                      <w:highlight w:val="none"/>
                    </w:rPr>
                    <w:t>1</w:t>
                  </w:r>
                  <w:r>
                    <w:rPr>
                      <w:rFonts w:hAnsiTheme="minorEastAsia"/>
                      <w:color w:val="auto"/>
                      <w:kern w:val="0"/>
                      <w:szCs w:val="21"/>
                      <w:highlight w:val="none"/>
                    </w:rPr>
                    <w:t>计</w:t>
                  </w:r>
                  <w:r>
                    <w:rPr>
                      <w:rFonts w:hint="eastAsia" w:hAnsiTheme="minorEastAsia"/>
                      <w:color w:val="auto"/>
                      <w:kern w:val="0"/>
                      <w:szCs w:val="21"/>
                      <w:highlight w:val="none"/>
                      <w:lang w:eastAsia="zh-CN"/>
                    </w:rPr>
                    <w:t>）</w:t>
                  </w:r>
                  <w:r>
                    <w:rPr>
                      <w:rFonts w:hAnsiTheme="minorEastAsia"/>
                      <w:color w:val="auto"/>
                      <w:kern w:val="0"/>
                      <w:szCs w:val="21"/>
                      <w:highlight w:val="none"/>
                    </w:rPr>
                    <w:t>：</w:t>
                  </w:r>
                  <w:r>
                    <w:rPr>
                      <w:color w:val="auto"/>
                      <w:kern w:val="0"/>
                      <w:szCs w:val="21"/>
                      <w:highlight w:val="none"/>
                    </w:rPr>
                    <w:t>1.161g/cm</w:t>
                  </w:r>
                  <w:r>
                    <w:rPr>
                      <w:color w:val="auto"/>
                      <w:kern w:val="0"/>
                      <w:szCs w:val="21"/>
                      <w:highlight w:val="none"/>
                      <w:vertAlign w:val="superscript"/>
                    </w:rPr>
                    <w:t>3</w:t>
                  </w:r>
                  <w:r>
                    <w:rPr>
                      <w:rFonts w:hAnsiTheme="minorEastAsia"/>
                      <w:color w:val="auto"/>
                      <w:kern w:val="0"/>
                      <w:szCs w:val="21"/>
                      <w:highlight w:val="none"/>
                    </w:rPr>
                    <w:t>，闪点（℃）：</w:t>
                  </w:r>
                  <w:r>
                    <w:rPr>
                      <w:color w:val="auto"/>
                      <w:kern w:val="0"/>
                      <w:szCs w:val="21"/>
                      <w:highlight w:val="none"/>
                    </w:rPr>
                    <w:t>127.3</w:t>
                  </w:r>
                  <w:r>
                    <w:rPr>
                      <w:rFonts w:hAnsiTheme="minorEastAsia"/>
                      <w:color w:val="auto"/>
                      <w:kern w:val="0"/>
                      <w:szCs w:val="21"/>
                      <w:highlight w:val="none"/>
                    </w:rPr>
                    <w:t>℃</w:t>
                  </w:r>
                  <w:r>
                    <w:rPr>
                      <w:rFonts w:hint="eastAsia" w:hAnsiTheme="minorEastAsia"/>
                      <w:color w:val="auto"/>
                      <w:kern w:val="0"/>
                      <w:szCs w:val="21"/>
                      <w:highlight w:val="none"/>
                      <w:lang w:eastAsia="zh-CN"/>
                    </w:rPr>
                    <w:t>，</w:t>
                  </w:r>
                  <w:r>
                    <w:rPr>
                      <w:rFonts w:hint="eastAsia" w:hAnsiTheme="minorEastAsia"/>
                      <w:color w:val="auto"/>
                      <w:kern w:val="0"/>
                      <w:szCs w:val="21"/>
                      <w:highlight w:val="none"/>
                      <w:lang w:val="en-US" w:eastAsia="zh-CN"/>
                    </w:rPr>
                    <w:t>可燃，无毒。</w:t>
                  </w:r>
                </w:p>
              </w:tc>
            </w:tr>
            <w:tr w14:paraId="3A2DF223">
              <w:trPr>
                <w:trHeight w:val="340" w:hRule="atLeast"/>
                <w:jc w:val="center"/>
              </w:trPr>
              <w:tc>
                <w:tcPr>
                  <w:tcW w:w="1073" w:type="pct"/>
                  <w:tcBorders>
                    <w:tl2br w:val="nil"/>
                    <w:tr2bl w:val="nil"/>
                  </w:tcBorders>
                  <w:vAlign w:val="center"/>
                </w:tcPr>
                <w:p w14:paraId="589F20D4">
                  <w:pPr>
                    <w:keepNext w:val="0"/>
                    <w:keepLines w:val="0"/>
                    <w:suppressLineNumbers w:val="0"/>
                    <w:spacing w:before="0" w:beforeAutospacing="0" w:after="0" w:afterAutospacing="0"/>
                    <w:ind w:left="0" w:right="0"/>
                    <w:jc w:val="center"/>
                    <w:rPr>
                      <w:rFonts w:hint="eastAsia" w:eastAsiaTheme="minorEastAsia"/>
                      <w:color w:val="auto"/>
                      <w:highlight w:val="none"/>
                      <w:lang w:val="en-US" w:eastAsia="zh-CN"/>
                    </w:rPr>
                  </w:pPr>
                  <w:r>
                    <w:rPr>
                      <w:rFonts w:hint="eastAsia"/>
                      <w:color w:val="auto"/>
                      <w:highlight w:val="none"/>
                      <w:lang w:val="en-US" w:eastAsia="zh-CN"/>
                    </w:rPr>
                    <w:t>切削液</w:t>
                  </w:r>
                </w:p>
              </w:tc>
              <w:tc>
                <w:tcPr>
                  <w:tcW w:w="3926" w:type="pct"/>
                  <w:tcBorders>
                    <w:tl2br w:val="nil"/>
                    <w:tr2bl w:val="nil"/>
                  </w:tcBorders>
                  <w:vAlign w:val="center"/>
                </w:tcPr>
                <w:p w14:paraId="0569BAB8">
                  <w:pPr>
                    <w:keepNext w:val="0"/>
                    <w:keepLines w:val="0"/>
                    <w:suppressLineNumbers w:val="0"/>
                    <w:spacing w:before="0" w:beforeAutospacing="0" w:after="0" w:afterAutospacing="0"/>
                    <w:ind w:left="0" w:right="0"/>
                    <w:jc w:val="left"/>
                    <w:rPr>
                      <w:color w:val="auto"/>
                      <w:highlight w:val="none"/>
                    </w:rPr>
                  </w:pPr>
                  <w:r>
                    <w:rPr>
                      <w:rFonts w:hint="eastAsia" w:hAnsiTheme="minorEastAsia"/>
                      <w:color w:val="auto"/>
                      <w:szCs w:val="21"/>
                      <w:highlight w:val="none"/>
                      <w:lang w:eastAsia="zh-CN"/>
                    </w:rPr>
                    <w:t>外观性状</w:t>
                  </w:r>
                  <w:r>
                    <w:rPr>
                      <w:rFonts w:hAnsiTheme="minorEastAsia"/>
                      <w:color w:val="auto"/>
                      <w:szCs w:val="21"/>
                      <w:highlight w:val="none"/>
                    </w:rPr>
                    <w:t>：淡黄色透明液体，比重：</w:t>
                  </w:r>
                  <w:r>
                    <w:rPr>
                      <w:color w:val="auto"/>
                      <w:szCs w:val="21"/>
                      <w:highlight w:val="none"/>
                    </w:rPr>
                    <w:t>0.93-1.03</w:t>
                  </w:r>
                  <w:r>
                    <w:rPr>
                      <w:rFonts w:hAnsiTheme="minorEastAsia"/>
                      <w:color w:val="auto"/>
                      <w:szCs w:val="21"/>
                      <w:highlight w:val="none"/>
                    </w:rPr>
                    <w:t>（与水相对值），气味：有特有气味，水中溶解度：以任意比互溶，</w:t>
                  </w:r>
                  <w:r>
                    <w:rPr>
                      <w:rFonts w:hAnsiTheme="minorEastAsia"/>
                      <w:color w:val="auto"/>
                      <w:kern w:val="0"/>
                      <w:szCs w:val="21"/>
                      <w:highlight w:val="none"/>
                    </w:rPr>
                    <w:t>稳定性：常温常压下稳定。</w:t>
                  </w:r>
                </w:p>
              </w:tc>
            </w:tr>
            <w:tr w14:paraId="53D49118">
              <w:trPr>
                <w:trHeight w:val="340" w:hRule="atLeast"/>
                <w:jc w:val="center"/>
              </w:trPr>
              <w:tc>
                <w:tcPr>
                  <w:tcW w:w="1073" w:type="pct"/>
                  <w:tcBorders>
                    <w:tl2br w:val="nil"/>
                    <w:tr2bl w:val="nil"/>
                  </w:tcBorders>
                  <w:vAlign w:val="center"/>
                </w:tcPr>
                <w:p w14:paraId="004BEA4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s="Times New Roman"/>
                      <w:color w:val="auto"/>
                      <w:kern w:val="2"/>
                      <w:sz w:val="21"/>
                      <w:szCs w:val="21"/>
                      <w:highlight w:val="none"/>
                      <w:lang w:val="en-US" w:eastAsia="zh-CN" w:bidi="ar-SA"/>
                    </w:rPr>
                    <w:t>氩气</w:t>
                  </w:r>
                </w:p>
              </w:tc>
              <w:tc>
                <w:tcPr>
                  <w:tcW w:w="3926" w:type="pct"/>
                  <w:tcBorders>
                    <w:tl2br w:val="nil"/>
                    <w:tr2bl w:val="nil"/>
                  </w:tcBorders>
                  <w:vAlign w:val="center"/>
                </w:tcPr>
                <w:p w14:paraId="096CDE78">
                  <w:pPr>
                    <w:keepNext w:val="0"/>
                    <w:keepLines w:val="0"/>
                    <w:widowControl/>
                    <w:suppressLineNumbers w:val="0"/>
                    <w:spacing w:before="0" w:beforeAutospacing="0" w:after="0" w:afterAutospacing="0"/>
                    <w:ind w:left="0" w:right="0"/>
                    <w:rPr>
                      <w:color w:val="auto"/>
                      <w:szCs w:val="21"/>
                      <w:highlight w:val="none"/>
                    </w:rPr>
                  </w:pPr>
                  <w:r>
                    <w:rPr>
                      <w:rFonts w:hAnsi="宋体"/>
                      <w:color w:val="auto"/>
                      <w:szCs w:val="21"/>
                      <w:highlight w:val="none"/>
                    </w:rPr>
                    <w:t>无色无臭的惰性气体；蒸汽压</w:t>
                  </w:r>
                  <w:r>
                    <w:rPr>
                      <w:color w:val="auto"/>
                      <w:szCs w:val="21"/>
                      <w:highlight w:val="none"/>
                    </w:rPr>
                    <w:t>202.64kPa(-179</w:t>
                  </w:r>
                  <w:r>
                    <w:rPr>
                      <w:rFonts w:ascii="宋体" w:hAnsi="宋体"/>
                      <w:color w:val="auto"/>
                      <w:szCs w:val="21"/>
                      <w:highlight w:val="none"/>
                    </w:rPr>
                    <w:t>℃</w:t>
                  </w:r>
                  <w:r>
                    <w:rPr>
                      <w:rFonts w:hint="eastAsia" w:ascii="宋体" w:hAnsi="宋体"/>
                      <w:color w:val="auto"/>
                      <w:szCs w:val="21"/>
                      <w:highlight w:val="none"/>
                      <w:lang w:eastAsia="zh-CN"/>
                    </w:rPr>
                    <w:t>）</w:t>
                  </w:r>
                  <w:r>
                    <w:rPr>
                      <w:rFonts w:hAnsi="宋体"/>
                      <w:color w:val="auto"/>
                      <w:szCs w:val="21"/>
                      <w:highlight w:val="none"/>
                    </w:rPr>
                    <w:t>；熔点</w:t>
                  </w:r>
                  <w:r>
                    <w:rPr>
                      <w:color w:val="auto"/>
                      <w:szCs w:val="21"/>
                      <w:highlight w:val="none"/>
                    </w:rPr>
                    <w:t xml:space="preserve"> -189.2</w:t>
                  </w:r>
                  <w:r>
                    <w:rPr>
                      <w:rFonts w:ascii="宋体" w:hAnsi="宋体"/>
                      <w:color w:val="auto"/>
                      <w:szCs w:val="21"/>
                      <w:highlight w:val="none"/>
                    </w:rPr>
                    <w:t>℃</w:t>
                  </w:r>
                  <w:r>
                    <w:rPr>
                      <w:rFonts w:hAnsi="宋体"/>
                      <w:color w:val="auto"/>
                      <w:szCs w:val="21"/>
                      <w:highlight w:val="none"/>
                    </w:rPr>
                    <w:t>；沸点</w:t>
                  </w:r>
                  <w:r>
                    <w:rPr>
                      <w:color w:val="auto"/>
                      <w:szCs w:val="21"/>
                      <w:highlight w:val="none"/>
                    </w:rPr>
                    <w:t>-185.7</w:t>
                  </w:r>
                  <w:r>
                    <w:rPr>
                      <w:rFonts w:ascii="宋体" w:hAnsi="宋体"/>
                      <w:color w:val="auto"/>
                      <w:szCs w:val="21"/>
                      <w:highlight w:val="none"/>
                    </w:rPr>
                    <w:t>℃</w:t>
                  </w:r>
                  <w:r>
                    <w:rPr>
                      <w:rFonts w:hAnsi="宋体"/>
                      <w:color w:val="auto"/>
                      <w:szCs w:val="21"/>
                      <w:highlight w:val="none"/>
                    </w:rPr>
                    <w:t>溶解性：微溶于水；密度：相对密度</w:t>
                  </w:r>
                  <w:r>
                    <w:rPr>
                      <w:rFonts w:hint="eastAsia" w:hAnsi="宋体"/>
                      <w:color w:val="auto"/>
                      <w:szCs w:val="21"/>
                      <w:highlight w:val="none"/>
                      <w:lang w:eastAsia="zh-CN"/>
                    </w:rPr>
                    <w:t>（</w:t>
                  </w:r>
                  <w:r>
                    <w:rPr>
                      <w:rFonts w:hAnsi="宋体"/>
                      <w:color w:val="auto"/>
                      <w:szCs w:val="21"/>
                      <w:highlight w:val="none"/>
                    </w:rPr>
                    <w:t>水</w:t>
                  </w:r>
                  <w:r>
                    <w:rPr>
                      <w:color w:val="auto"/>
                      <w:szCs w:val="21"/>
                      <w:highlight w:val="none"/>
                    </w:rPr>
                    <w:t>=1)1.40(-186</w:t>
                  </w:r>
                  <w:r>
                    <w:rPr>
                      <w:rFonts w:ascii="宋体" w:hAnsi="宋体"/>
                      <w:color w:val="auto"/>
                      <w:szCs w:val="21"/>
                      <w:highlight w:val="none"/>
                    </w:rPr>
                    <w:t>℃</w:t>
                  </w:r>
                  <w:r>
                    <w:rPr>
                      <w:rFonts w:hint="eastAsia" w:ascii="宋体" w:hAnsi="宋体"/>
                      <w:color w:val="auto"/>
                      <w:szCs w:val="21"/>
                      <w:highlight w:val="none"/>
                      <w:lang w:eastAsia="zh-CN"/>
                    </w:rPr>
                    <w:t>）</w:t>
                  </w:r>
                  <w:r>
                    <w:rPr>
                      <w:rFonts w:hAnsi="宋体"/>
                      <w:color w:val="auto"/>
                      <w:szCs w:val="21"/>
                      <w:highlight w:val="none"/>
                    </w:rPr>
                    <w:t>；相对密度</w:t>
                  </w:r>
                  <w:r>
                    <w:rPr>
                      <w:rFonts w:hint="eastAsia" w:hAnsi="宋体"/>
                      <w:color w:val="auto"/>
                      <w:szCs w:val="21"/>
                      <w:highlight w:val="none"/>
                      <w:lang w:eastAsia="zh-CN"/>
                    </w:rPr>
                    <w:t>（</w:t>
                  </w:r>
                  <w:r>
                    <w:rPr>
                      <w:rFonts w:hAnsi="宋体"/>
                      <w:color w:val="auto"/>
                      <w:szCs w:val="21"/>
                      <w:highlight w:val="none"/>
                    </w:rPr>
                    <w:t>空气</w:t>
                  </w:r>
                  <w:r>
                    <w:rPr>
                      <w:color w:val="auto"/>
                      <w:szCs w:val="21"/>
                      <w:highlight w:val="none"/>
                    </w:rPr>
                    <w:t>=1)1.38</w:t>
                  </w:r>
                  <w:r>
                    <w:rPr>
                      <w:rFonts w:hAnsi="宋体"/>
                      <w:color w:val="auto"/>
                      <w:szCs w:val="21"/>
                      <w:highlight w:val="none"/>
                    </w:rPr>
                    <w:t>；主要用途：用于灯泡充气和对不锈钢、镁、铝等的电弧焊接，即</w:t>
                  </w:r>
                  <w:r>
                    <w:rPr>
                      <w:color w:val="auto"/>
                      <w:szCs w:val="21"/>
                      <w:highlight w:val="none"/>
                    </w:rPr>
                    <w:t>“</w:t>
                  </w:r>
                  <w:r>
                    <w:rPr>
                      <w:rFonts w:hAnsi="宋体"/>
                      <w:color w:val="auto"/>
                      <w:szCs w:val="21"/>
                      <w:highlight w:val="none"/>
                    </w:rPr>
                    <w:t>氩弧焊</w:t>
                  </w:r>
                  <w:r>
                    <w:rPr>
                      <w:color w:val="auto"/>
                      <w:szCs w:val="21"/>
                      <w:highlight w:val="none"/>
                    </w:rPr>
                    <w:t>”</w:t>
                  </w:r>
                </w:p>
              </w:tc>
            </w:tr>
            <w:tr w14:paraId="512E1E29">
              <w:trPr>
                <w:trHeight w:val="340" w:hRule="atLeast"/>
                <w:jc w:val="center"/>
              </w:trPr>
              <w:tc>
                <w:tcPr>
                  <w:tcW w:w="1073" w:type="pct"/>
                  <w:tcBorders>
                    <w:tl2br w:val="nil"/>
                    <w:tr2bl w:val="nil"/>
                  </w:tcBorders>
                  <w:vAlign w:val="center"/>
                </w:tcPr>
                <w:p w14:paraId="1E443359">
                  <w:pPr>
                    <w:keepNext w:val="0"/>
                    <w:keepLines w:val="0"/>
                    <w:suppressLineNumbers w:val="0"/>
                    <w:adjustRightInd w:val="0"/>
                    <w:snapToGrid w:val="0"/>
                    <w:spacing w:before="0" w:beforeAutospacing="0" w:after="0" w:afterAutospacing="0"/>
                    <w:ind w:left="0" w:right="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二氧化碳</w:t>
                  </w:r>
                </w:p>
              </w:tc>
              <w:tc>
                <w:tcPr>
                  <w:tcW w:w="3926" w:type="pct"/>
                  <w:tcBorders>
                    <w:tl2br w:val="nil"/>
                    <w:tr2bl w:val="nil"/>
                  </w:tcBorders>
                  <w:vAlign w:val="center"/>
                </w:tcPr>
                <w:p w14:paraId="2BA9189D">
                  <w:pPr>
                    <w:keepNext w:val="0"/>
                    <w:keepLines w:val="0"/>
                    <w:widowControl/>
                    <w:suppressLineNumbers w:val="0"/>
                    <w:spacing w:before="0" w:beforeAutospacing="0" w:after="0" w:afterAutospacing="0"/>
                    <w:ind w:left="0" w:right="0"/>
                    <w:rPr>
                      <w:rFonts w:hint="eastAsia" w:hAnsi="宋体" w:eastAsia="宋体"/>
                      <w:color w:val="auto"/>
                      <w:sz w:val="21"/>
                      <w:szCs w:val="21"/>
                      <w:highlight w:val="none"/>
                      <w:lang w:eastAsia="zh-CN"/>
                    </w:rPr>
                  </w:pPr>
                  <w:r>
                    <w:rPr>
                      <w:rFonts w:ascii="Arial" w:hAnsi="Arial" w:eastAsia="宋体" w:cs="Arial"/>
                      <w:i w:val="0"/>
                      <w:iCs w:val="0"/>
                      <w:caps w:val="0"/>
                      <w:color w:val="auto"/>
                      <w:spacing w:val="0"/>
                      <w:sz w:val="21"/>
                      <w:szCs w:val="21"/>
                      <w:shd w:val="clear" w:fill="FFFFFF"/>
                    </w:rPr>
                    <w:t>常温下是一种无色无味气体，且无毒。密度比空气略大，能溶于水，并生成</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"https://baike.so.com/doc/517945-548359.html"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96"/>
                      <w:rFonts w:hint="default" w:ascii="Arial" w:hAnsi="Arial" w:eastAsia="宋体" w:cs="Arial"/>
                      <w:i w:val="0"/>
                      <w:iCs w:val="0"/>
                      <w:caps w:val="0"/>
                      <w:color w:val="auto"/>
                      <w:spacing w:val="0"/>
                      <w:sz w:val="21"/>
                      <w:szCs w:val="21"/>
                      <w:u w:val="none"/>
                      <w:shd w:val="clear" w:fill="FFFFFF"/>
                    </w:rPr>
                    <w:t>碳酸</w:t>
                  </w:r>
                  <w:r>
                    <w:rPr>
                      <w:rFonts w:hint="default" w:ascii="Arial" w:hAnsi="Arial" w:eastAsia="宋体" w:cs="Arial"/>
                      <w:i w:val="0"/>
                      <w:iCs w:val="0"/>
                      <w:caps w:val="0"/>
                      <w:color w:val="auto"/>
                      <w:spacing w:val="0"/>
                      <w:sz w:val="21"/>
                      <w:szCs w:val="21"/>
                      <w:u w:val="none"/>
                      <w:shd w:val="clear" w:fill="FFFFFF"/>
                    </w:rPr>
                    <w:fldChar w:fldCharType="end"/>
                  </w:r>
                  <w:r>
                    <w:rPr>
                      <w:rFonts w:hint="eastAsia" w:ascii="Arial" w:hAnsi="Arial" w:eastAsia="宋体" w:cs="Arial"/>
                      <w:i w:val="0"/>
                      <w:iCs w:val="0"/>
                      <w:caps w:val="0"/>
                      <w:color w:val="auto"/>
                      <w:spacing w:val="0"/>
                      <w:sz w:val="21"/>
                      <w:szCs w:val="21"/>
                      <w:u w:val="none"/>
                      <w:shd w:val="clear" w:fill="FFFFFF"/>
                      <w:lang w:eastAsia="zh-CN"/>
                    </w:rPr>
                    <w:t>。</w:t>
                  </w:r>
                </w:p>
              </w:tc>
            </w:tr>
          </w:tbl>
          <w:p w14:paraId="6F585856">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2" w:firstLineChars="200"/>
              <w:rPr>
                <w:color w:val="auto"/>
                <w:kern w:val="0"/>
                <w:sz w:val="24"/>
                <w:highlight w:val="none"/>
              </w:rPr>
            </w:pPr>
            <w:r>
              <w:rPr>
                <w:b/>
                <w:bCs/>
                <w:color w:val="auto"/>
                <w:kern w:val="0"/>
                <w:sz w:val="24"/>
                <w:highlight w:val="none"/>
              </w:rPr>
              <w:t>建设项目</w:t>
            </w:r>
            <w:r>
              <w:rPr>
                <w:rFonts w:hint="eastAsia"/>
                <w:b/>
                <w:bCs/>
                <w:color w:val="auto"/>
                <w:kern w:val="0"/>
                <w:sz w:val="24"/>
                <w:highlight w:val="none"/>
                <w:lang w:val="en-US" w:eastAsia="zh-CN"/>
              </w:rPr>
              <w:t>水性</w:t>
            </w:r>
            <w:r>
              <w:rPr>
                <w:rFonts w:hint="eastAsia"/>
                <w:b/>
                <w:bCs/>
                <w:color w:val="auto"/>
                <w:kern w:val="0"/>
                <w:sz w:val="24"/>
                <w:highlight w:val="none"/>
              </w:rPr>
              <w:t>漆</w:t>
            </w:r>
            <w:r>
              <w:rPr>
                <w:b/>
                <w:bCs/>
                <w:color w:val="auto"/>
                <w:kern w:val="0"/>
                <w:sz w:val="24"/>
                <w:highlight w:val="none"/>
              </w:rPr>
              <w:t>与《低挥发性有机化合物含量涂料产品技术要求》（GB/T 38597-2020）、《工业防护涂料中有害物质限量》（GB 30981-2020）相符性分析：</w:t>
            </w:r>
          </w:p>
          <w:p w14:paraId="2B41D860">
            <w:pPr>
              <w:keepNext w:val="0"/>
              <w:keepLines w:val="0"/>
              <w:widowControl/>
              <w:suppressLineNumbers w:val="0"/>
              <w:spacing w:before="0" w:beforeAutospacing="0" w:after="0" w:afterAutospacing="0" w:line="360" w:lineRule="auto"/>
              <w:ind w:left="0" w:right="0"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建设项目使用的</w:t>
            </w:r>
            <w:r>
              <w:rPr>
                <w:rFonts w:hint="eastAsia" w:ascii="宋体" w:hAnsi="宋体" w:cs="宋体"/>
                <w:color w:val="auto"/>
                <w:kern w:val="0"/>
                <w:sz w:val="24"/>
                <w:highlight w:val="none"/>
                <w:lang w:val="en-US" w:eastAsia="zh-CN"/>
              </w:rPr>
              <w:t>水性</w:t>
            </w:r>
            <w:r>
              <w:rPr>
                <w:rFonts w:hint="eastAsia" w:ascii="宋体" w:hAnsi="宋体" w:cs="宋体"/>
                <w:color w:val="auto"/>
                <w:kern w:val="0"/>
                <w:sz w:val="24"/>
                <w:highlight w:val="none"/>
              </w:rPr>
              <w:t>漆符合相关技术要求中</w:t>
            </w:r>
            <w:r>
              <w:rPr>
                <w:color w:val="auto"/>
                <w:kern w:val="0"/>
                <w:sz w:val="24"/>
                <w:highlight w:val="none"/>
              </w:rPr>
              <w:t>VOCs</w:t>
            </w:r>
            <w:r>
              <w:rPr>
                <w:rFonts w:hint="eastAsia" w:ascii="宋体" w:hAnsi="宋体" w:cs="宋体"/>
                <w:color w:val="auto"/>
                <w:kern w:val="0"/>
                <w:sz w:val="24"/>
                <w:highlight w:val="none"/>
              </w:rPr>
              <w:t>含量的限值要求，相符性分析见下表。</w:t>
            </w:r>
          </w:p>
          <w:p w14:paraId="18169B8A">
            <w:pPr>
              <w:keepNext w:val="0"/>
              <w:keepLines w:val="0"/>
              <w:widowControl/>
              <w:suppressLineNumbers w:val="0"/>
              <w:spacing w:before="0" w:beforeAutospacing="0" w:after="0" w:afterAutospacing="0"/>
              <w:ind w:left="0" w:right="0"/>
              <w:jc w:val="center"/>
              <w:rPr>
                <w:rFonts w:ascii="宋体" w:hAnsi="宋体" w:cs="宋体"/>
                <w:color w:val="auto"/>
                <w:kern w:val="0"/>
                <w:sz w:val="24"/>
                <w:highlight w:val="none"/>
              </w:rPr>
            </w:pPr>
            <w:r>
              <w:rPr>
                <w:b/>
                <w:color w:val="auto"/>
                <w:sz w:val="24"/>
                <w:highlight w:val="none"/>
              </w:rPr>
              <w:t>表2-</w:t>
            </w:r>
            <w:r>
              <w:rPr>
                <w:rFonts w:hint="eastAsia"/>
                <w:b/>
                <w:color w:val="auto"/>
                <w:sz w:val="24"/>
                <w:highlight w:val="none"/>
                <w:lang w:val="en-US" w:eastAsia="zh-CN"/>
              </w:rPr>
              <w:t>8</w:t>
            </w:r>
            <w:r>
              <w:rPr>
                <w:rFonts w:hint="eastAsia"/>
                <w:b/>
                <w:color w:val="auto"/>
                <w:sz w:val="24"/>
                <w:highlight w:val="none"/>
              </w:rPr>
              <w:t xml:space="preserve">  </w:t>
            </w:r>
            <w:r>
              <w:rPr>
                <w:rFonts w:hint="eastAsia" w:ascii="宋体" w:hAnsi="宋体" w:cs="宋体"/>
                <w:b/>
                <w:bCs/>
                <w:color w:val="auto"/>
                <w:kern w:val="0"/>
                <w:sz w:val="24"/>
                <w:highlight w:val="none"/>
              </w:rPr>
              <w:t>漆料</w:t>
            </w:r>
            <w:r>
              <w:rPr>
                <w:b/>
                <w:bCs/>
                <w:color w:val="auto"/>
                <w:kern w:val="0"/>
                <w:sz w:val="24"/>
                <w:highlight w:val="none"/>
              </w:rPr>
              <w:t>VOCs</w:t>
            </w:r>
            <w:r>
              <w:rPr>
                <w:rFonts w:hint="eastAsia" w:ascii="宋体" w:hAnsi="宋体" w:cs="宋体"/>
                <w:b/>
                <w:bCs/>
                <w:color w:val="auto"/>
                <w:kern w:val="0"/>
                <w:sz w:val="24"/>
                <w:highlight w:val="none"/>
              </w:rPr>
              <w:t>含量的限值要求</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20"/>
              <w:gridCol w:w="1808"/>
              <w:gridCol w:w="669"/>
              <w:gridCol w:w="1121"/>
              <w:gridCol w:w="1522"/>
              <w:gridCol w:w="968"/>
            </w:tblGrid>
            <w:tr w14:paraId="24B62A39">
              <w:trPr>
                <w:cantSplit/>
                <w:trHeight w:val="419" w:hRule="atLeast"/>
                <w:jc w:val="center"/>
              </w:trPr>
              <w:tc>
                <w:tcPr>
                  <w:tcW w:w="2020" w:type="dxa"/>
                  <w:tcMar>
                    <w:top w:w="0" w:type="dxa"/>
                    <w:left w:w="0" w:type="dxa"/>
                    <w:bottom w:w="0" w:type="dxa"/>
                    <w:right w:w="0" w:type="dxa"/>
                  </w:tcMar>
                  <w:vAlign w:val="center"/>
                </w:tcPr>
                <w:p w14:paraId="3659CD9B">
                  <w:pPr>
                    <w:keepNext w:val="0"/>
                    <w:keepLines w:val="0"/>
                    <w:suppressLineNumbers w:val="0"/>
                    <w:spacing w:before="0" w:beforeAutospacing="0" w:after="0" w:afterAutospacing="0"/>
                    <w:ind w:left="0" w:right="0"/>
                    <w:jc w:val="center"/>
                    <w:rPr>
                      <w:rFonts w:eastAsiaTheme="minorEastAsia"/>
                      <w:b/>
                      <w:bCs/>
                      <w:color w:val="auto"/>
                      <w:szCs w:val="21"/>
                      <w:highlight w:val="none"/>
                    </w:rPr>
                  </w:pPr>
                  <w:r>
                    <w:rPr>
                      <w:rFonts w:hint="eastAsia" w:hAnsiTheme="minorEastAsia" w:eastAsiaTheme="minorEastAsia"/>
                      <w:b/>
                      <w:bCs/>
                      <w:color w:val="auto"/>
                      <w:szCs w:val="21"/>
                      <w:highlight w:val="none"/>
                    </w:rPr>
                    <w:t>文件</w:t>
                  </w:r>
                </w:p>
              </w:tc>
              <w:tc>
                <w:tcPr>
                  <w:tcW w:w="2477" w:type="dxa"/>
                  <w:gridSpan w:val="2"/>
                  <w:vAlign w:val="center"/>
                </w:tcPr>
                <w:p w14:paraId="2E31904C">
                  <w:pPr>
                    <w:keepNext w:val="0"/>
                    <w:keepLines w:val="0"/>
                    <w:suppressLineNumbers w:val="0"/>
                    <w:spacing w:before="0" w:beforeAutospacing="0" w:after="0" w:afterAutospacing="0"/>
                    <w:ind w:left="0" w:right="0"/>
                    <w:jc w:val="center"/>
                    <w:rPr>
                      <w:rFonts w:hAnsiTheme="minorEastAsia" w:eastAsiaTheme="minorEastAsia"/>
                      <w:b/>
                      <w:bCs/>
                      <w:color w:val="auto"/>
                      <w:highlight w:val="none"/>
                    </w:rPr>
                  </w:pPr>
                  <w:r>
                    <w:rPr>
                      <w:rFonts w:hint="eastAsia" w:hAnsiTheme="minorEastAsia" w:eastAsiaTheme="minorEastAsia"/>
                      <w:b/>
                      <w:bCs/>
                      <w:color w:val="auto"/>
                      <w:highlight w:val="none"/>
                    </w:rPr>
                    <w:t>涂料类型</w:t>
                  </w:r>
                </w:p>
              </w:tc>
              <w:tc>
                <w:tcPr>
                  <w:tcW w:w="1121" w:type="dxa"/>
                  <w:vAlign w:val="center"/>
                </w:tcPr>
                <w:p w14:paraId="3E79770C">
                  <w:pPr>
                    <w:keepNext w:val="0"/>
                    <w:keepLines w:val="0"/>
                    <w:suppressLineNumbers w:val="0"/>
                    <w:spacing w:before="0" w:beforeAutospacing="0" w:after="0" w:afterAutospacing="0"/>
                    <w:ind w:left="0" w:right="0"/>
                    <w:jc w:val="center"/>
                    <w:rPr>
                      <w:rFonts w:hAnsiTheme="minorEastAsia" w:eastAsiaTheme="minorEastAsia"/>
                      <w:b/>
                      <w:bCs/>
                      <w:color w:val="auto"/>
                      <w:highlight w:val="none"/>
                    </w:rPr>
                  </w:pPr>
                  <w:r>
                    <w:rPr>
                      <w:rFonts w:hint="eastAsia" w:hAnsiTheme="minorEastAsia" w:eastAsiaTheme="minorEastAsia"/>
                      <w:b/>
                      <w:bCs/>
                      <w:color w:val="auto"/>
                      <w:highlight w:val="none"/>
                    </w:rPr>
                    <w:t>限值要求</w:t>
                  </w:r>
                </w:p>
              </w:tc>
              <w:tc>
                <w:tcPr>
                  <w:tcW w:w="1522" w:type="dxa"/>
                  <w:vAlign w:val="center"/>
                </w:tcPr>
                <w:p w14:paraId="54D8CD1E">
                  <w:pPr>
                    <w:keepNext w:val="0"/>
                    <w:keepLines w:val="0"/>
                    <w:suppressLineNumbers w:val="0"/>
                    <w:spacing w:before="0" w:beforeAutospacing="0" w:after="0" w:afterAutospacing="0"/>
                    <w:ind w:left="0" w:right="0"/>
                    <w:jc w:val="center"/>
                    <w:rPr>
                      <w:rFonts w:hAnsiTheme="minorEastAsia" w:eastAsiaTheme="minorEastAsia"/>
                      <w:b/>
                      <w:bCs/>
                      <w:color w:val="auto"/>
                      <w:highlight w:val="none"/>
                    </w:rPr>
                  </w:pPr>
                  <w:r>
                    <w:rPr>
                      <w:rFonts w:hint="eastAsia" w:hAnsiTheme="minorEastAsia" w:eastAsiaTheme="minorEastAsia"/>
                      <w:b/>
                      <w:bCs/>
                      <w:color w:val="auto"/>
                      <w:highlight w:val="none"/>
                    </w:rPr>
                    <w:t>建设项目含量</w:t>
                  </w:r>
                </w:p>
              </w:tc>
              <w:tc>
                <w:tcPr>
                  <w:tcW w:w="968" w:type="dxa"/>
                  <w:vAlign w:val="center"/>
                </w:tcPr>
                <w:p w14:paraId="1C41D5DC">
                  <w:pPr>
                    <w:keepNext w:val="0"/>
                    <w:keepLines w:val="0"/>
                    <w:suppressLineNumbers w:val="0"/>
                    <w:spacing w:before="0" w:beforeAutospacing="0" w:after="0" w:afterAutospacing="0"/>
                    <w:ind w:left="0" w:right="0"/>
                    <w:jc w:val="center"/>
                    <w:rPr>
                      <w:rFonts w:hAnsiTheme="minorEastAsia" w:eastAsiaTheme="minorEastAsia"/>
                      <w:b/>
                      <w:bCs/>
                      <w:color w:val="auto"/>
                      <w:highlight w:val="none"/>
                    </w:rPr>
                  </w:pPr>
                  <w:r>
                    <w:rPr>
                      <w:rFonts w:hint="eastAsia" w:hAnsiTheme="minorEastAsia" w:eastAsiaTheme="minorEastAsia"/>
                      <w:b/>
                      <w:bCs/>
                      <w:color w:val="auto"/>
                      <w:highlight w:val="none"/>
                    </w:rPr>
                    <w:t>相符性判定</w:t>
                  </w:r>
                </w:p>
              </w:tc>
            </w:tr>
            <w:tr w14:paraId="4CB53A68">
              <w:trPr>
                <w:cantSplit/>
                <w:trHeight w:val="419" w:hRule="atLeast"/>
                <w:jc w:val="center"/>
              </w:trPr>
              <w:tc>
                <w:tcPr>
                  <w:tcW w:w="2020" w:type="dxa"/>
                  <w:tcMar>
                    <w:top w:w="0" w:type="dxa"/>
                    <w:left w:w="0" w:type="dxa"/>
                    <w:bottom w:w="0" w:type="dxa"/>
                    <w:right w:w="0" w:type="dxa"/>
                  </w:tcMar>
                  <w:vAlign w:val="center"/>
                </w:tcPr>
                <w:p w14:paraId="7B7E8340">
                  <w:pPr>
                    <w:keepNext w:val="0"/>
                    <w:keepLines w:val="0"/>
                    <w:suppressLineNumbers w:val="0"/>
                    <w:spacing w:before="0" w:beforeAutospacing="0" w:after="0" w:afterAutospacing="0"/>
                    <w:ind w:left="0" w:right="0"/>
                    <w:jc w:val="center"/>
                    <w:rPr>
                      <w:color w:val="auto"/>
                      <w:szCs w:val="21"/>
                      <w:highlight w:val="none"/>
                    </w:rPr>
                  </w:pPr>
                  <w:r>
                    <w:rPr>
                      <w:rFonts w:hint="eastAsia" w:ascii="宋体" w:hAnsi="宋体" w:cs="宋体"/>
                      <w:color w:val="auto"/>
                      <w:kern w:val="0"/>
                      <w:szCs w:val="21"/>
                      <w:highlight w:val="none"/>
                    </w:rPr>
                    <w:t>《低挥发性有机化合物含量涂料产品技术要求》（GB/T38597-2020）</w:t>
                  </w:r>
                </w:p>
              </w:tc>
              <w:tc>
                <w:tcPr>
                  <w:tcW w:w="1808" w:type="dxa"/>
                  <w:vAlign w:val="center"/>
                </w:tcPr>
                <w:p w14:paraId="3F7E3772">
                  <w:pPr>
                    <w:keepNext w:val="0"/>
                    <w:keepLines w:val="0"/>
                    <w:widowControl/>
                    <w:suppressLineNumbers w:val="0"/>
                    <w:spacing w:before="0" w:beforeAutospacing="0" w:after="0" w:afterAutospacing="0"/>
                    <w:ind w:left="0" w:right="0"/>
                    <w:jc w:val="center"/>
                    <w:rPr>
                      <w:rFonts w:hint="eastAsia" w:eastAsiaTheme="minorEastAsia"/>
                      <w:color w:val="auto"/>
                      <w:kern w:val="0"/>
                      <w:szCs w:val="21"/>
                      <w:highlight w:val="none"/>
                      <w:lang w:eastAsia="zh-CN"/>
                    </w:rPr>
                  </w:pPr>
                  <w:r>
                    <w:rPr>
                      <w:rFonts w:hint="eastAsia"/>
                      <w:color w:val="auto"/>
                      <w:kern w:val="0"/>
                      <w:sz w:val="21"/>
                      <w:szCs w:val="21"/>
                      <w:highlight w:val="none"/>
                      <w:lang w:val="en-US" w:eastAsia="zh-CN"/>
                    </w:rPr>
                    <w:t>机械设备</w:t>
                  </w:r>
                  <w:r>
                    <w:rPr>
                      <w:rFonts w:hint="eastAsia"/>
                      <w:color w:val="auto"/>
                      <w:kern w:val="0"/>
                      <w:sz w:val="21"/>
                      <w:szCs w:val="21"/>
                      <w:highlight w:val="none"/>
                    </w:rPr>
                    <w:t>涂料</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工程机械和农业机械涂料（含零部件涂料）－底漆</w:t>
                  </w:r>
                </w:p>
              </w:tc>
              <w:tc>
                <w:tcPr>
                  <w:tcW w:w="669" w:type="dxa"/>
                  <w:vAlign w:val="center"/>
                </w:tcPr>
                <w:p w14:paraId="6821DA5E">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lang w:val="en-US" w:eastAsia="zh-CN"/>
                    </w:rPr>
                    <w:t>水性</w:t>
                  </w:r>
                  <w:r>
                    <w:rPr>
                      <w:rFonts w:hint="eastAsia"/>
                      <w:color w:val="auto"/>
                      <w:kern w:val="0"/>
                      <w:szCs w:val="21"/>
                      <w:highlight w:val="none"/>
                    </w:rPr>
                    <w:t>涂料</w:t>
                  </w:r>
                </w:p>
              </w:tc>
              <w:tc>
                <w:tcPr>
                  <w:tcW w:w="1121" w:type="dxa"/>
                  <w:vAlign w:val="center"/>
                </w:tcPr>
                <w:p w14:paraId="75C32CB3">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rPr>
                    <w:t>≤</w:t>
                  </w:r>
                  <w:r>
                    <w:rPr>
                      <w:rFonts w:hint="eastAsia"/>
                      <w:color w:val="auto"/>
                      <w:kern w:val="0"/>
                      <w:szCs w:val="21"/>
                      <w:highlight w:val="none"/>
                      <w:lang w:val="en-US" w:eastAsia="zh-CN"/>
                    </w:rPr>
                    <w:t>250</w:t>
                  </w:r>
                  <w:r>
                    <w:rPr>
                      <w:rFonts w:hint="eastAsia"/>
                      <w:color w:val="auto"/>
                      <w:kern w:val="0"/>
                      <w:szCs w:val="21"/>
                      <w:highlight w:val="none"/>
                    </w:rPr>
                    <w:t>g/L</w:t>
                  </w:r>
                </w:p>
              </w:tc>
              <w:tc>
                <w:tcPr>
                  <w:tcW w:w="1522" w:type="dxa"/>
                  <w:vAlign w:val="center"/>
                </w:tcPr>
                <w:p w14:paraId="5B96C616">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lang w:val="en-US" w:eastAsia="zh-CN"/>
                    </w:rPr>
                    <w:t>162.5</w:t>
                  </w:r>
                  <w:r>
                    <w:rPr>
                      <w:rFonts w:hint="eastAsia"/>
                      <w:color w:val="auto"/>
                      <w:kern w:val="0"/>
                      <w:szCs w:val="21"/>
                      <w:highlight w:val="none"/>
                    </w:rPr>
                    <w:t>g/L</w:t>
                  </w:r>
                </w:p>
              </w:tc>
              <w:tc>
                <w:tcPr>
                  <w:tcW w:w="968" w:type="dxa"/>
                  <w:vAlign w:val="center"/>
                </w:tcPr>
                <w:p w14:paraId="423A2BF5">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符合</w:t>
                  </w:r>
                </w:p>
              </w:tc>
            </w:tr>
            <w:tr w14:paraId="6D7F507C">
              <w:trPr>
                <w:cantSplit/>
                <w:trHeight w:val="391" w:hRule="atLeast"/>
                <w:jc w:val="center"/>
              </w:trPr>
              <w:tc>
                <w:tcPr>
                  <w:tcW w:w="2020" w:type="dxa"/>
                  <w:tcMar>
                    <w:top w:w="0" w:type="dxa"/>
                    <w:left w:w="0" w:type="dxa"/>
                    <w:bottom w:w="0" w:type="dxa"/>
                    <w:right w:w="0" w:type="dxa"/>
                  </w:tcMar>
                  <w:vAlign w:val="center"/>
                </w:tcPr>
                <w:p w14:paraId="5F8E90E7">
                  <w:pPr>
                    <w:keepNext w:val="0"/>
                    <w:keepLines w:val="0"/>
                    <w:suppressLineNumbers w:val="0"/>
                    <w:spacing w:before="0" w:beforeAutospacing="0" w:after="0" w:afterAutospacing="0"/>
                    <w:ind w:left="0" w:right="0"/>
                    <w:jc w:val="center"/>
                    <w:rPr>
                      <w:rFonts w:ascii="宋体" w:hAnsi="宋体" w:cs="宋体"/>
                      <w:color w:val="auto"/>
                      <w:kern w:val="0"/>
                      <w:szCs w:val="21"/>
                      <w:highlight w:val="none"/>
                    </w:rPr>
                  </w:pPr>
                  <w:r>
                    <w:rPr>
                      <w:rFonts w:hint="eastAsia" w:ascii="宋体" w:hAnsi="宋体" w:cs="宋体"/>
                      <w:color w:val="auto"/>
                      <w:kern w:val="0"/>
                      <w:szCs w:val="21"/>
                      <w:highlight w:val="none"/>
                    </w:rPr>
                    <w:t>《工业防护涂料中有害物质限量》（GB30981-2020）</w:t>
                  </w:r>
                </w:p>
              </w:tc>
              <w:tc>
                <w:tcPr>
                  <w:tcW w:w="1808" w:type="dxa"/>
                  <w:vAlign w:val="center"/>
                </w:tcPr>
                <w:p w14:paraId="7B59E80C">
                  <w:pPr>
                    <w:keepNext w:val="0"/>
                    <w:keepLines w:val="0"/>
                    <w:widowControl/>
                    <w:suppressLineNumbers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 w:val="21"/>
                      <w:szCs w:val="21"/>
                      <w:highlight w:val="none"/>
                      <w:lang w:val="en-US" w:eastAsia="zh-CN"/>
                    </w:rPr>
                    <w:t>机械设备</w:t>
                  </w:r>
                  <w:r>
                    <w:rPr>
                      <w:rFonts w:hint="eastAsia"/>
                      <w:color w:val="auto"/>
                      <w:kern w:val="0"/>
                      <w:sz w:val="21"/>
                      <w:szCs w:val="21"/>
                      <w:highlight w:val="none"/>
                    </w:rPr>
                    <w:t>涂料</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工程机械和农业机械涂料（含零部件涂料）－底漆</w:t>
                  </w:r>
                </w:p>
              </w:tc>
              <w:tc>
                <w:tcPr>
                  <w:tcW w:w="669" w:type="dxa"/>
                  <w:vAlign w:val="center"/>
                </w:tcPr>
                <w:p w14:paraId="43281769">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lang w:val="en-US" w:eastAsia="zh-CN"/>
                    </w:rPr>
                    <w:t>水性</w:t>
                  </w:r>
                  <w:r>
                    <w:rPr>
                      <w:rFonts w:hint="eastAsia"/>
                      <w:color w:val="auto"/>
                      <w:kern w:val="0"/>
                      <w:szCs w:val="21"/>
                      <w:highlight w:val="none"/>
                    </w:rPr>
                    <w:t>涂料</w:t>
                  </w:r>
                </w:p>
              </w:tc>
              <w:tc>
                <w:tcPr>
                  <w:tcW w:w="1121" w:type="dxa"/>
                  <w:vAlign w:val="center"/>
                </w:tcPr>
                <w:p w14:paraId="7416E524">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rPr>
                    <w:t>≤</w:t>
                  </w:r>
                  <w:r>
                    <w:rPr>
                      <w:rFonts w:hint="eastAsia"/>
                      <w:color w:val="auto"/>
                      <w:kern w:val="0"/>
                      <w:szCs w:val="21"/>
                      <w:highlight w:val="none"/>
                      <w:lang w:val="en-US" w:eastAsia="zh-CN"/>
                    </w:rPr>
                    <w:t>30</w:t>
                  </w:r>
                  <w:r>
                    <w:rPr>
                      <w:rFonts w:hint="eastAsia"/>
                      <w:color w:val="auto"/>
                      <w:kern w:val="0"/>
                      <w:szCs w:val="21"/>
                      <w:highlight w:val="none"/>
                    </w:rPr>
                    <w:t>0g/L</w:t>
                  </w:r>
                </w:p>
              </w:tc>
              <w:tc>
                <w:tcPr>
                  <w:tcW w:w="1522" w:type="dxa"/>
                  <w:vAlign w:val="center"/>
                </w:tcPr>
                <w:p w14:paraId="2D6199A7">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lang w:val="en-US" w:eastAsia="zh-CN"/>
                    </w:rPr>
                    <w:t>162.5</w:t>
                  </w:r>
                  <w:r>
                    <w:rPr>
                      <w:rFonts w:hint="eastAsia"/>
                      <w:color w:val="auto"/>
                      <w:kern w:val="0"/>
                      <w:szCs w:val="21"/>
                      <w:highlight w:val="none"/>
                    </w:rPr>
                    <w:t>g/L</w:t>
                  </w:r>
                </w:p>
              </w:tc>
              <w:tc>
                <w:tcPr>
                  <w:tcW w:w="968" w:type="dxa"/>
                  <w:vAlign w:val="center"/>
                </w:tcPr>
                <w:p w14:paraId="14507403">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符合</w:t>
                  </w:r>
                </w:p>
              </w:tc>
            </w:tr>
          </w:tbl>
          <w:p w14:paraId="7A566DC8">
            <w:pPr>
              <w:keepNext w:val="0"/>
              <w:keepLines w:val="0"/>
              <w:widowControl/>
              <w:suppressLineNumbers w:val="0"/>
              <w:spacing w:before="0" w:beforeAutospacing="0" w:after="0" w:afterAutospacing="0"/>
              <w:ind w:left="0" w:right="0"/>
              <w:rPr>
                <w:rFonts w:eastAsiaTheme="minorEastAsia"/>
                <w:b/>
                <w:color w:val="auto"/>
                <w:kern w:val="0"/>
                <w:sz w:val="24"/>
                <w:szCs w:val="20"/>
                <w:highlight w:val="none"/>
              </w:rPr>
            </w:pPr>
            <w:r>
              <w:rPr>
                <w:rFonts w:hint="eastAsia"/>
                <w:color w:val="auto"/>
                <w:szCs w:val="21"/>
                <w:highlight w:val="none"/>
              </w:rPr>
              <w:t>注：根据企业提供的MSDS，</w:t>
            </w:r>
            <w:r>
              <w:rPr>
                <w:rFonts w:hint="eastAsia"/>
                <w:color w:val="auto"/>
                <w:szCs w:val="21"/>
                <w:highlight w:val="none"/>
                <w:lang w:val="en-US" w:eastAsia="zh-CN"/>
              </w:rPr>
              <w:t>水性漆</w:t>
            </w:r>
            <w:r>
              <w:rPr>
                <w:rFonts w:hint="eastAsia"/>
                <w:color w:val="auto"/>
                <w:szCs w:val="21"/>
                <w:highlight w:val="none"/>
              </w:rPr>
              <w:t>密度为</w:t>
            </w:r>
            <w:r>
              <w:rPr>
                <w:rFonts w:hint="eastAsia"/>
                <w:color w:val="auto"/>
                <w:szCs w:val="21"/>
                <w:highlight w:val="none"/>
                <w:lang w:val="en-US" w:eastAsia="zh-CN"/>
              </w:rPr>
              <w:t>1.3</w:t>
            </w:r>
            <w:r>
              <w:rPr>
                <w:rFonts w:hint="eastAsia"/>
                <w:color w:val="auto"/>
                <w:szCs w:val="21"/>
                <w:highlight w:val="none"/>
              </w:rPr>
              <w:t>g/cm</w:t>
            </w:r>
            <w:r>
              <w:rPr>
                <w:rFonts w:hint="eastAsia"/>
                <w:color w:val="auto"/>
                <w:szCs w:val="21"/>
                <w:highlight w:val="none"/>
                <w:vertAlign w:val="superscript"/>
              </w:rPr>
              <w:t>3</w:t>
            </w:r>
            <w:r>
              <w:rPr>
                <w:rFonts w:hint="eastAsia"/>
                <w:color w:val="auto"/>
                <w:szCs w:val="21"/>
                <w:highlight w:val="none"/>
              </w:rPr>
              <w:t>，水性漆中挥发性有机成分为</w:t>
            </w:r>
            <w:r>
              <w:rPr>
                <w:rFonts w:hint="eastAsia"/>
                <w:color w:val="auto"/>
                <w:kern w:val="0"/>
                <w:szCs w:val="21"/>
                <w:highlight w:val="none"/>
                <w:lang w:val="en-US" w:eastAsia="zh-CN" w:bidi="ar"/>
              </w:rPr>
              <w:t>二丙二醇甲醚</w:t>
            </w:r>
            <w:r>
              <w:rPr>
                <w:rFonts w:hint="eastAsia"/>
                <w:color w:val="auto"/>
                <w:szCs w:val="21"/>
                <w:highlight w:val="none"/>
              </w:rPr>
              <w:t>，含量合计占比在1</w:t>
            </w:r>
            <w:r>
              <w:rPr>
                <w:rFonts w:hint="eastAsia"/>
                <w:color w:val="auto"/>
                <w:szCs w:val="21"/>
                <w:highlight w:val="none"/>
                <w:lang w:val="en-US" w:eastAsia="zh-CN"/>
              </w:rPr>
              <w:t>0%～15</w:t>
            </w:r>
            <w:r>
              <w:rPr>
                <w:rFonts w:hint="eastAsia"/>
                <w:color w:val="auto"/>
                <w:szCs w:val="21"/>
                <w:highlight w:val="none"/>
              </w:rPr>
              <w:t>%，根据《江苏省重点行业挥发性有机物排放量计算暂行办法》（苏环办</w:t>
            </w:r>
            <w:r>
              <w:rPr>
                <w:rFonts w:hint="eastAsia"/>
                <w:color w:val="auto"/>
                <w:szCs w:val="21"/>
                <w:highlight w:val="none"/>
                <w:lang w:eastAsia="zh-CN"/>
              </w:rPr>
              <w:t>〔2016〕154号</w:t>
            </w:r>
            <w:r>
              <w:rPr>
                <w:rFonts w:hint="eastAsia"/>
                <w:color w:val="auto"/>
                <w:szCs w:val="21"/>
                <w:highlight w:val="none"/>
              </w:rPr>
              <w:t>）“物料中VOCs含量可以以供货商提供的质检报告（MSDS文件）为核定依据，如文件中的溶剂含量数据为百分比范围，取其范围中值”，因此，本次评价</w:t>
            </w:r>
            <w:r>
              <w:rPr>
                <w:rFonts w:hint="eastAsia"/>
                <w:color w:val="auto"/>
                <w:szCs w:val="21"/>
                <w:highlight w:val="none"/>
                <w:lang w:val="en-US" w:eastAsia="zh-CN"/>
              </w:rPr>
              <w:t>水性</w:t>
            </w:r>
            <w:r>
              <w:rPr>
                <w:rFonts w:hint="eastAsia"/>
                <w:color w:val="auto"/>
                <w:szCs w:val="21"/>
                <w:highlight w:val="none"/>
              </w:rPr>
              <w:t>漆中挥发性有机成分含量取1</w:t>
            </w:r>
            <w:r>
              <w:rPr>
                <w:rFonts w:hint="eastAsia"/>
                <w:color w:val="auto"/>
                <w:szCs w:val="21"/>
                <w:highlight w:val="none"/>
                <w:lang w:val="en-US" w:eastAsia="zh-CN"/>
              </w:rPr>
              <w:t>2</w:t>
            </w:r>
            <w:r>
              <w:rPr>
                <w:rFonts w:hint="eastAsia"/>
                <w:color w:val="auto"/>
                <w:szCs w:val="21"/>
                <w:highlight w:val="none"/>
              </w:rPr>
              <w:t>.5%，因此</w:t>
            </w:r>
            <w:r>
              <w:rPr>
                <w:rFonts w:hint="eastAsia"/>
                <w:color w:val="auto"/>
                <w:szCs w:val="21"/>
                <w:highlight w:val="none"/>
                <w:lang w:val="en-US" w:eastAsia="zh-CN"/>
              </w:rPr>
              <w:t>水性</w:t>
            </w:r>
            <w:r>
              <w:rPr>
                <w:rFonts w:hint="eastAsia"/>
                <w:color w:val="auto"/>
                <w:szCs w:val="21"/>
                <w:highlight w:val="none"/>
              </w:rPr>
              <w:t>漆的VOCs含量为</w:t>
            </w:r>
            <w:r>
              <w:rPr>
                <w:rFonts w:hint="eastAsia"/>
                <w:color w:val="auto"/>
                <w:kern w:val="0"/>
                <w:szCs w:val="21"/>
                <w:highlight w:val="none"/>
              </w:rPr>
              <w:t>1</w:t>
            </w:r>
            <w:r>
              <w:rPr>
                <w:rFonts w:hint="eastAsia"/>
                <w:color w:val="auto"/>
                <w:kern w:val="0"/>
                <w:szCs w:val="21"/>
                <w:highlight w:val="none"/>
                <w:lang w:val="en-US" w:eastAsia="zh-CN"/>
              </w:rPr>
              <w:t>2</w:t>
            </w:r>
            <w:r>
              <w:rPr>
                <w:rFonts w:hint="eastAsia"/>
                <w:color w:val="auto"/>
                <w:kern w:val="0"/>
                <w:szCs w:val="21"/>
                <w:highlight w:val="none"/>
              </w:rPr>
              <w:t>.5/100*1.</w:t>
            </w:r>
            <w:r>
              <w:rPr>
                <w:rFonts w:hint="eastAsia"/>
                <w:color w:val="auto"/>
                <w:kern w:val="0"/>
                <w:szCs w:val="21"/>
                <w:highlight w:val="none"/>
                <w:lang w:val="en-US" w:eastAsia="zh-CN"/>
              </w:rPr>
              <w:t>3</w:t>
            </w:r>
            <w:r>
              <w:rPr>
                <w:rFonts w:hint="eastAsia"/>
                <w:color w:val="auto"/>
                <w:kern w:val="0"/>
                <w:szCs w:val="21"/>
                <w:highlight w:val="none"/>
              </w:rPr>
              <w:t>*1000=1</w:t>
            </w:r>
            <w:r>
              <w:rPr>
                <w:rFonts w:hint="eastAsia"/>
                <w:color w:val="auto"/>
                <w:kern w:val="0"/>
                <w:szCs w:val="21"/>
                <w:highlight w:val="none"/>
                <w:lang w:val="en-US" w:eastAsia="zh-CN"/>
              </w:rPr>
              <w:t>62.5</w:t>
            </w:r>
            <w:r>
              <w:rPr>
                <w:rFonts w:hint="eastAsia"/>
                <w:color w:val="auto"/>
                <w:kern w:val="0"/>
                <w:szCs w:val="21"/>
                <w:highlight w:val="none"/>
              </w:rPr>
              <w:t>g/L。</w:t>
            </w:r>
          </w:p>
          <w:p w14:paraId="79B5A5FD">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5.</w:t>
            </w:r>
            <w:r>
              <w:rPr>
                <w:rFonts w:hAnsi="宋体"/>
                <w:b/>
                <w:color w:val="auto"/>
                <w:kern w:val="0"/>
                <w:sz w:val="24"/>
                <w:highlight w:val="none"/>
                <w:lang w:val="zh-CN"/>
              </w:rPr>
              <w:t>劳动定员及工作制度</w:t>
            </w:r>
          </w:p>
          <w:p w14:paraId="53159EF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Ansi="宋体"/>
                <w:color w:val="auto"/>
                <w:sz w:val="24"/>
                <w:highlight w:val="none"/>
              </w:rPr>
            </w:pPr>
            <w:r>
              <w:rPr>
                <w:rFonts w:hAnsi="宋体"/>
                <w:color w:val="auto"/>
                <w:kern w:val="0"/>
                <w:sz w:val="24"/>
                <w:highlight w:val="none"/>
              </w:rPr>
              <w:t>职工定员总数为</w:t>
            </w:r>
            <w:r>
              <w:rPr>
                <w:rFonts w:hint="eastAsia"/>
                <w:color w:val="auto"/>
                <w:kern w:val="0"/>
                <w:sz w:val="24"/>
                <w:highlight w:val="none"/>
                <w:lang w:val="en-US" w:eastAsia="zh-CN"/>
              </w:rPr>
              <w:t>50</w:t>
            </w:r>
            <w:r>
              <w:rPr>
                <w:rFonts w:hAnsi="宋体"/>
                <w:color w:val="auto"/>
                <w:kern w:val="0"/>
                <w:sz w:val="24"/>
                <w:highlight w:val="none"/>
              </w:rPr>
              <w:t>人，</w:t>
            </w:r>
            <w:r>
              <w:rPr>
                <w:rFonts w:hint="eastAsia" w:hAnsi="宋体"/>
                <w:color w:val="auto"/>
                <w:sz w:val="24"/>
                <w:highlight w:val="none"/>
                <w:lang w:val="en-US" w:eastAsia="zh-CN"/>
              </w:rPr>
              <w:t>有员工食堂，</w:t>
            </w:r>
            <w:r>
              <w:rPr>
                <w:rFonts w:hint="eastAsia" w:cs="Times New Roman"/>
                <w:color w:val="auto"/>
                <w:sz w:val="24"/>
                <w:lang w:val="en-US" w:eastAsia="zh-CN"/>
              </w:rPr>
              <w:t>无</w:t>
            </w:r>
            <w:r>
              <w:rPr>
                <w:rFonts w:hint="eastAsia" w:cs="Times New Roman"/>
                <w:color w:val="auto"/>
                <w:sz w:val="24"/>
                <w:lang w:eastAsia="zh-CN"/>
              </w:rPr>
              <w:t>住宿，</w:t>
            </w:r>
            <w:r>
              <w:rPr>
                <w:rFonts w:hAnsi="宋体"/>
                <w:color w:val="auto"/>
                <w:sz w:val="24"/>
                <w:highlight w:val="none"/>
              </w:rPr>
              <w:t>计划年工作</w:t>
            </w:r>
            <w:r>
              <w:rPr>
                <w:color w:val="auto"/>
                <w:sz w:val="24"/>
                <w:highlight w:val="none"/>
              </w:rPr>
              <w:t>300</w:t>
            </w:r>
            <w:r>
              <w:rPr>
                <w:rFonts w:hAnsi="宋体"/>
                <w:color w:val="auto"/>
                <w:sz w:val="24"/>
                <w:highlight w:val="none"/>
              </w:rPr>
              <w:t>天，生产采用</w:t>
            </w:r>
            <w:r>
              <w:rPr>
                <w:rFonts w:hint="eastAsia" w:hAnsi="宋体"/>
                <w:color w:val="auto"/>
                <w:sz w:val="24"/>
                <w:highlight w:val="none"/>
                <w:lang w:val="en-US" w:eastAsia="zh-CN"/>
              </w:rPr>
              <w:t>单</w:t>
            </w:r>
            <w:r>
              <w:rPr>
                <w:rFonts w:hAnsi="宋体"/>
                <w:color w:val="auto"/>
                <w:sz w:val="24"/>
                <w:highlight w:val="none"/>
              </w:rPr>
              <w:t>班制，每</w:t>
            </w:r>
            <w:r>
              <w:rPr>
                <w:rFonts w:hint="eastAsia" w:hAnsi="宋体"/>
                <w:color w:val="auto"/>
                <w:sz w:val="24"/>
                <w:highlight w:val="none"/>
                <w:lang w:val="en-US" w:eastAsia="zh-CN"/>
              </w:rPr>
              <w:t>天</w:t>
            </w:r>
            <w:r>
              <w:rPr>
                <w:color w:val="auto"/>
                <w:sz w:val="24"/>
                <w:highlight w:val="none"/>
              </w:rPr>
              <w:t>8</w:t>
            </w:r>
            <w:r>
              <w:rPr>
                <w:rFonts w:hAnsi="宋体"/>
                <w:color w:val="auto"/>
                <w:sz w:val="24"/>
                <w:highlight w:val="none"/>
              </w:rPr>
              <w:t>小时。</w:t>
            </w:r>
          </w:p>
          <w:p w14:paraId="7AD58776">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sz w:val="24"/>
                <w:highlight w:val="none"/>
              </w:rPr>
            </w:pPr>
            <w:r>
              <w:rPr>
                <w:rFonts w:hint="eastAsia"/>
                <w:b/>
                <w:color w:val="auto"/>
                <w:sz w:val="24"/>
                <w:highlight w:val="none"/>
              </w:rPr>
              <w:t>6</w:t>
            </w:r>
            <w:r>
              <w:rPr>
                <w:b/>
                <w:color w:val="auto"/>
                <w:sz w:val="24"/>
                <w:highlight w:val="none"/>
              </w:rPr>
              <w:t>.项目</w:t>
            </w:r>
            <w:r>
              <w:rPr>
                <w:rFonts w:hint="eastAsia"/>
                <w:b/>
                <w:color w:val="auto"/>
                <w:kern w:val="0"/>
                <w:sz w:val="24"/>
                <w:highlight w:val="none"/>
                <w:lang w:val="zh-CN"/>
              </w:rPr>
              <w:t>公用工程</w:t>
            </w:r>
          </w:p>
          <w:p w14:paraId="2823EB20">
            <w:pPr>
              <w:pStyle w:val="100"/>
              <w:keepNext w:val="0"/>
              <w:keepLines w:val="0"/>
              <w:suppressLineNumbers w:val="0"/>
              <w:spacing w:before="0" w:beforeAutospacing="0" w:after="0" w:afterAutospacing="0"/>
              <w:ind w:left="0" w:right="0" w:firstLine="480"/>
              <w:rPr>
                <w:rFonts w:ascii="宋体" w:hAnsi="宋体" w:eastAsia="宋体" w:cs="宋体"/>
                <w:bCs/>
                <w:color w:val="auto"/>
                <w:highlight w:val="none"/>
              </w:rPr>
            </w:pPr>
            <w:r>
              <w:rPr>
                <w:rFonts w:hint="eastAsia" w:ascii="宋体" w:hAnsi="宋体" w:eastAsia="宋体" w:cs="宋体"/>
                <w:bCs/>
                <w:color w:val="auto"/>
                <w:highlight w:val="none"/>
              </w:rPr>
              <w:t>项目用水主要为</w:t>
            </w:r>
            <w:r>
              <w:rPr>
                <w:rFonts w:hint="eastAsia" w:ascii="宋体" w:hAnsi="宋体" w:eastAsia="宋体" w:cs="宋体"/>
                <w:bCs/>
                <w:color w:val="auto"/>
                <w:highlight w:val="none"/>
                <w:lang w:val="en-US" w:eastAsia="zh-CN"/>
              </w:rPr>
              <w:t>综合</w:t>
            </w:r>
            <w:r>
              <w:rPr>
                <w:rFonts w:hint="eastAsia" w:ascii="宋体" w:hAnsi="宋体" w:eastAsia="宋体" w:cs="宋体"/>
                <w:bCs/>
                <w:color w:val="auto"/>
                <w:highlight w:val="none"/>
              </w:rPr>
              <w:t>生活用水</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包含食堂用水）、切削液调配用水、水性漆调配用水、喷枪清洗用水和超声波清洗用水及盐雾测试用水</w:t>
            </w:r>
            <w:r>
              <w:rPr>
                <w:rFonts w:hint="eastAsia" w:ascii="宋体" w:hAnsi="宋体" w:eastAsia="宋体" w:cs="宋体"/>
                <w:bCs/>
                <w:color w:val="auto"/>
                <w:highlight w:val="none"/>
              </w:rPr>
              <w:t>。</w:t>
            </w:r>
          </w:p>
          <w:p w14:paraId="2017CACF">
            <w:pPr>
              <w:keepNext w:val="0"/>
              <w:keepLines w:val="0"/>
              <w:suppressLineNumbers w:val="0"/>
              <w:adjustRightInd w:val="0"/>
              <w:snapToGrid w:val="0"/>
              <w:spacing w:before="0" w:beforeAutospacing="0" w:after="0" w:afterAutospacing="0" w:line="360" w:lineRule="auto"/>
              <w:ind w:left="0" w:right="0" w:firstLine="480" w:firstLineChars="200"/>
              <w:jc w:val="left"/>
              <w:rPr>
                <w:rFonts w:ascii="宋体" w:hAnsi="宋体"/>
                <w:color w:val="auto"/>
                <w:sz w:val="24"/>
                <w:highlight w:val="none"/>
              </w:rPr>
            </w:pPr>
            <w:r>
              <w:rPr>
                <w:rFonts w:hint="eastAsia" w:ascii="宋体" w:hAnsi="宋体"/>
                <w:color w:val="auto"/>
                <w:sz w:val="24"/>
                <w:highlight w:val="none"/>
              </w:rPr>
              <w:t>（1）给水</w:t>
            </w:r>
          </w:p>
          <w:p w14:paraId="6B1A95E6">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rFonts w:hint="eastAsia" w:ascii="宋体" w:hAnsi="宋体"/>
                <w:color w:val="auto"/>
                <w:sz w:val="24"/>
                <w:highlight w:val="none"/>
              </w:rPr>
              <w:t>①</w:t>
            </w:r>
            <w:r>
              <w:rPr>
                <w:color w:val="auto"/>
                <w:sz w:val="24"/>
                <w:highlight w:val="none"/>
              </w:rPr>
              <w:t>生活</w:t>
            </w:r>
            <w:r>
              <w:rPr>
                <w:rFonts w:hint="eastAsia"/>
                <w:color w:val="auto"/>
                <w:sz w:val="24"/>
                <w:highlight w:val="none"/>
              </w:rPr>
              <w:t>用</w:t>
            </w:r>
            <w:r>
              <w:rPr>
                <w:color w:val="auto"/>
                <w:sz w:val="24"/>
                <w:highlight w:val="none"/>
              </w:rPr>
              <w:t>水</w:t>
            </w:r>
          </w:p>
          <w:p w14:paraId="32D65AEC">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color w:val="auto"/>
                <w:sz w:val="24"/>
                <w:highlight w:val="none"/>
              </w:rPr>
              <w:t>项目劳动定员为</w:t>
            </w:r>
            <w:r>
              <w:rPr>
                <w:rFonts w:hint="eastAsia"/>
                <w:color w:val="auto"/>
                <w:sz w:val="24"/>
                <w:highlight w:val="none"/>
                <w:lang w:val="en-US" w:eastAsia="zh-CN"/>
              </w:rPr>
              <w:t>50</w:t>
            </w:r>
            <w:r>
              <w:rPr>
                <w:color w:val="auto"/>
                <w:sz w:val="24"/>
                <w:highlight w:val="none"/>
              </w:rPr>
              <w:t>人，</w:t>
            </w:r>
            <w:r>
              <w:rPr>
                <w:rFonts w:hint="default" w:ascii="Times New Roman" w:hAnsi="Times New Roman" w:cs="Times New Roman"/>
                <w:color w:val="auto"/>
                <w:sz w:val="24"/>
              </w:rPr>
              <w:t>根据</w:t>
            </w:r>
            <w:r>
              <w:rPr>
                <w:rFonts w:hint="eastAsia" w:cs="Times New Roman"/>
                <w:color w:val="auto"/>
                <w:sz w:val="24"/>
                <w:lang w:eastAsia="zh-CN"/>
              </w:rPr>
              <w:t>《</w:t>
            </w:r>
            <w:r>
              <w:rPr>
                <w:rFonts w:hint="default" w:ascii="Times New Roman" w:hAnsi="Times New Roman" w:cs="Times New Roman"/>
                <w:color w:val="auto"/>
                <w:sz w:val="24"/>
              </w:rPr>
              <w:t>江苏省工业、服务业和生活用水定</w:t>
            </w:r>
            <w:r>
              <w:rPr>
                <w:rFonts w:hint="eastAsia" w:ascii="Times New Roman" w:hAnsi="Times New Roman" w:cs="Times New Roman"/>
                <w:color w:val="auto"/>
                <w:sz w:val="24"/>
                <w:lang w:eastAsia="zh-CN"/>
              </w:rPr>
              <w:t>额</w:t>
            </w:r>
            <w:r>
              <w:rPr>
                <w:rFonts w:hint="eastAsia" w:cs="Times New Roman"/>
                <w:color w:val="auto"/>
                <w:sz w:val="24"/>
                <w:lang w:eastAsia="zh-CN"/>
              </w:rPr>
              <w:t>》</w:t>
            </w:r>
            <w:r>
              <w:rPr>
                <w:rFonts w:hint="default" w:ascii="Times New Roman" w:hAnsi="Times New Roman" w:cs="Times New Roman"/>
                <w:color w:val="auto"/>
                <w:sz w:val="24"/>
              </w:rPr>
              <w:t>（2014年修订），企业管理人员生活用水可取</w:t>
            </w:r>
            <w:r>
              <w:rPr>
                <w:rFonts w:hint="eastAsia" w:cs="Times New Roman"/>
                <w:color w:val="auto"/>
                <w:sz w:val="24"/>
                <w:lang w:val="en-US" w:eastAsia="zh-CN"/>
              </w:rPr>
              <w:t>80～150</w:t>
            </w:r>
            <w:r>
              <w:rPr>
                <w:rFonts w:hint="default" w:ascii="Times New Roman" w:hAnsi="Times New Roman" w:cs="Times New Roman"/>
                <w:color w:val="auto"/>
                <w:sz w:val="24"/>
              </w:rPr>
              <w:t>L/人·</w:t>
            </w:r>
            <w:r>
              <w:rPr>
                <w:rFonts w:hint="eastAsia" w:cs="Times New Roman"/>
                <w:color w:val="auto"/>
                <w:sz w:val="24"/>
                <w:lang w:val="en-US" w:eastAsia="zh-CN"/>
              </w:rPr>
              <w:t>d</w:t>
            </w:r>
            <w:r>
              <w:rPr>
                <w:rFonts w:hint="default" w:ascii="Times New Roman" w:hAnsi="Times New Roman" w:cs="Times New Roman"/>
                <w:color w:val="auto"/>
                <w:sz w:val="24"/>
              </w:rPr>
              <w:t>，</w:t>
            </w:r>
            <w:r>
              <w:rPr>
                <w:rFonts w:hint="eastAsia" w:cs="Times New Roman"/>
                <w:color w:val="auto"/>
                <w:sz w:val="24"/>
                <w:lang w:eastAsia="zh-CN"/>
              </w:rPr>
              <w:t>项目厂区内不提供住宿，</w:t>
            </w:r>
            <w:r>
              <w:rPr>
                <w:rFonts w:hint="default" w:ascii="Times New Roman" w:hAnsi="Times New Roman" w:cs="Times New Roman"/>
                <w:color w:val="auto"/>
                <w:sz w:val="24"/>
              </w:rPr>
              <w:t>本次评价取</w:t>
            </w:r>
            <w:r>
              <w:rPr>
                <w:rFonts w:hint="eastAsia" w:cs="Times New Roman"/>
                <w:color w:val="auto"/>
                <w:sz w:val="24"/>
                <w:lang w:val="en-US" w:eastAsia="zh-CN"/>
              </w:rPr>
              <w:t>值80</w:t>
            </w:r>
            <w:r>
              <w:rPr>
                <w:rFonts w:hint="default" w:ascii="Times New Roman" w:hAnsi="Times New Roman" w:cs="Times New Roman"/>
                <w:color w:val="auto"/>
                <w:sz w:val="24"/>
              </w:rPr>
              <w:t>L/人·</w:t>
            </w:r>
            <w:r>
              <w:rPr>
                <w:rFonts w:hint="eastAsia" w:cs="Times New Roman"/>
                <w:color w:val="auto"/>
                <w:sz w:val="24"/>
                <w:lang w:val="en-US" w:eastAsia="zh-CN"/>
              </w:rPr>
              <w:t>d</w:t>
            </w:r>
            <w:r>
              <w:rPr>
                <w:rFonts w:hint="default" w:ascii="Times New Roman" w:hAnsi="Times New Roman" w:cs="Times New Roman"/>
                <w:color w:val="auto"/>
                <w:sz w:val="24"/>
              </w:rPr>
              <w:t>，</w:t>
            </w:r>
            <w:r>
              <w:rPr>
                <w:color w:val="auto"/>
                <w:sz w:val="24"/>
                <w:highlight w:val="none"/>
              </w:rPr>
              <w:t>年生产时间为3</w:t>
            </w:r>
            <w:r>
              <w:rPr>
                <w:rFonts w:hint="eastAsia"/>
                <w:color w:val="auto"/>
                <w:sz w:val="24"/>
                <w:highlight w:val="none"/>
              </w:rPr>
              <w:t>00天</w:t>
            </w:r>
            <w:r>
              <w:rPr>
                <w:color w:val="auto"/>
                <w:sz w:val="24"/>
                <w:highlight w:val="none"/>
              </w:rPr>
              <w:t>。则生活用水总用量为</w:t>
            </w:r>
            <w:r>
              <w:rPr>
                <w:rFonts w:hint="eastAsia"/>
                <w:color w:val="auto"/>
                <w:sz w:val="24"/>
                <w:highlight w:val="none"/>
                <w:lang w:val="en-US" w:eastAsia="zh-CN"/>
              </w:rPr>
              <w:t>1200t</w:t>
            </w:r>
            <w:r>
              <w:rPr>
                <w:color w:val="auto"/>
                <w:sz w:val="24"/>
                <w:highlight w:val="none"/>
              </w:rPr>
              <w:t>/a。</w:t>
            </w:r>
          </w:p>
          <w:p w14:paraId="407121AE">
            <w:pPr>
              <w:keepNext w:val="0"/>
              <w:keepLines w:val="0"/>
              <w:suppressLineNumbers w:val="0"/>
              <w:adjustRightInd w:val="0"/>
              <w:snapToGrid w:val="0"/>
              <w:spacing w:before="0" w:beforeAutospacing="0" w:after="0" w:afterAutospacing="0" w:line="360" w:lineRule="auto"/>
              <w:ind w:left="0" w:right="0" w:firstLine="480" w:firstLineChars="200"/>
              <w:jc w:val="left"/>
              <w:rPr>
                <w:b w:val="0"/>
                <w:bCs w:val="0"/>
                <w:color w:val="auto"/>
                <w:sz w:val="24"/>
                <w:highlight w:val="none"/>
              </w:rPr>
            </w:pPr>
            <w:r>
              <w:rPr>
                <w:bCs/>
                <w:color w:val="auto"/>
                <w:sz w:val="24"/>
                <w:highlight w:val="none"/>
              </w:rPr>
              <w:t>②</w:t>
            </w:r>
            <w:r>
              <w:rPr>
                <w:b w:val="0"/>
                <w:bCs w:val="0"/>
                <w:color w:val="auto"/>
                <w:sz w:val="24"/>
                <w:highlight w:val="none"/>
              </w:rPr>
              <w:t>水性漆</w:t>
            </w:r>
            <w:r>
              <w:rPr>
                <w:rFonts w:hint="eastAsia" w:ascii="宋体" w:hAnsi="宋体" w:eastAsia="宋体" w:cs="宋体"/>
                <w:bCs/>
                <w:color w:val="auto"/>
                <w:sz w:val="24"/>
                <w:szCs w:val="24"/>
                <w:highlight w:val="none"/>
                <w:lang w:val="en-US" w:eastAsia="zh-CN"/>
              </w:rPr>
              <w:t>调配</w:t>
            </w:r>
            <w:r>
              <w:rPr>
                <w:rFonts w:hint="eastAsia"/>
                <w:b w:val="0"/>
                <w:bCs w:val="0"/>
                <w:color w:val="auto"/>
                <w:sz w:val="24"/>
                <w:highlight w:val="none"/>
                <w:lang w:val="en-US" w:eastAsia="zh-CN"/>
              </w:rPr>
              <w:t>用</w:t>
            </w:r>
            <w:r>
              <w:rPr>
                <w:b w:val="0"/>
                <w:bCs w:val="0"/>
                <w:color w:val="auto"/>
                <w:sz w:val="24"/>
                <w:highlight w:val="none"/>
              </w:rPr>
              <w:t>水</w:t>
            </w:r>
          </w:p>
          <w:p w14:paraId="407121A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项目水性漆</w:t>
            </w:r>
            <w:r>
              <w:rPr>
                <w:rFonts w:hint="eastAsia"/>
                <w:color w:val="auto"/>
                <w:sz w:val="24"/>
                <w:highlight w:val="none"/>
                <w:lang w:val="en-US" w:eastAsia="zh-CN"/>
              </w:rPr>
              <w:t>使用前加水进行调配，主要</w:t>
            </w:r>
            <w:r>
              <w:rPr>
                <w:color w:val="auto"/>
                <w:sz w:val="24"/>
                <w:highlight w:val="none"/>
              </w:rPr>
              <w:t>按照1:1比例加水稀释使用，本项目水性漆用量为</w:t>
            </w:r>
            <w:r>
              <w:rPr>
                <w:rFonts w:hint="eastAsia"/>
                <w:color w:val="auto"/>
                <w:sz w:val="24"/>
                <w:highlight w:val="none"/>
                <w:lang w:val="en-US" w:eastAsia="zh-CN"/>
              </w:rPr>
              <w:t>10t</w:t>
            </w:r>
            <w:r>
              <w:rPr>
                <w:color w:val="auto"/>
                <w:sz w:val="24"/>
                <w:highlight w:val="none"/>
              </w:rPr>
              <w:t>/a，则</w:t>
            </w:r>
            <w:r>
              <w:rPr>
                <w:rFonts w:hint="eastAsia"/>
                <w:color w:val="auto"/>
                <w:sz w:val="24"/>
                <w:highlight w:val="none"/>
                <w:lang w:val="en-US" w:eastAsia="zh-CN"/>
              </w:rPr>
              <w:t>水性漆配比</w:t>
            </w:r>
            <w:r>
              <w:rPr>
                <w:color w:val="auto"/>
                <w:sz w:val="24"/>
                <w:highlight w:val="none"/>
              </w:rPr>
              <w:t>用水量为</w:t>
            </w:r>
            <w:r>
              <w:rPr>
                <w:rFonts w:hint="eastAsia"/>
                <w:color w:val="auto"/>
                <w:sz w:val="24"/>
                <w:highlight w:val="none"/>
                <w:lang w:val="en-US" w:eastAsia="zh-CN"/>
              </w:rPr>
              <w:t>10t</w:t>
            </w:r>
            <w:r>
              <w:rPr>
                <w:color w:val="auto"/>
                <w:sz w:val="24"/>
                <w:highlight w:val="none"/>
              </w:rPr>
              <w:t>/a</w:t>
            </w:r>
            <w:r>
              <w:rPr>
                <w:rFonts w:hint="eastAsia"/>
                <w:color w:val="auto"/>
                <w:sz w:val="24"/>
                <w:highlight w:val="none"/>
                <w:lang w:eastAsia="zh-CN"/>
              </w:rPr>
              <w:t>（</w:t>
            </w:r>
            <w:r>
              <w:rPr>
                <w:rFonts w:hint="eastAsia"/>
                <w:color w:val="auto"/>
                <w:sz w:val="24"/>
                <w:highlight w:val="none"/>
                <w:lang w:val="en-US" w:eastAsia="zh-CN"/>
              </w:rPr>
              <w:t>其中9.6t</w:t>
            </w:r>
            <w:r>
              <w:rPr>
                <w:color w:val="auto"/>
                <w:sz w:val="24"/>
                <w:highlight w:val="none"/>
              </w:rPr>
              <w:t>/a</w:t>
            </w:r>
            <w:r>
              <w:rPr>
                <w:rFonts w:hint="eastAsia"/>
                <w:color w:val="auto"/>
                <w:sz w:val="24"/>
                <w:highlight w:val="none"/>
                <w:lang w:val="en-US" w:eastAsia="zh-CN"/>
              </w:rPr>
              <w:t>来源于自来水，0.4t</w:t>
            </w:r>
            <w:r>
              <w:rPr>
                <w:color w:val="auto"/>
                <w:sz w:val="24"/>
                <w:highlight w:val="none"/>
              </w:rPr>
              <w:t>/a</w:t>
            </w:r>
            <w:r>
              <w:rPr>
                <w:rFonts w:hint="eastAsia"/>
                <w:color w:val="auto"/>
                <w:sz w:val="24"/>
                <w:highlight w:val="none"/>
                <w:lang w:val="en-US" w:eastAsia="zh-CN"/>
              </w:rPr>
              <w:t>来源于喷枪清洗回用）</w:t>
            </w:r>
            <w:r>
              <w:rPr>
                <w:rFonts w:hint="eastAsia"/>
                <w:bCs/>
                <w:color w:val="auto"/>
                <w:sz w:val="24"/>
                <w:highlight w:val="none"/>
              </w:rPr>
              <w:t>。</w:t>
            </w:r>
          </w:p>
          <w:p w14:paraId="06103C76">
            <w:pPr>
              <w:keepNext w:val="0"/>
              <w:keepLines w:val="0"/>
              <w:suppressLineNumbers w:val="0"/>
              <w:adjustRightInd w:val="0"/>
              <w:snapToGrid w:val="0"/>
              <w:spacing w:before="0" w:beforeAutospacing="0" w:after="0" w:afterAutospacing="0" w:line="360" w:lineRule="auto"/>
              <w:ind w:left="0" w:right="0" w:firstLine="480" w:firstLineChars="200"/>
              <w:jc w:val="left"/>
              <w:rPr>
                <w:b w:val="0"/>
                <w:bCs w:val="0"/>
                <w:color w:val="auto"/>
                <w:sz w:val="24"/>
                <w:highlight w:val="none"/>
              </w:rPr>
            </w:pPr>
            <w:r>
              <w:rPr>
                <w:rFonts w:hint="default" w:ascii="Times New Roman" w:hAnsi="Times New Roman" w:cs="Times New Roman"/>
                <w:color w:val="auto"/>
                <w:sz w:val="24"/>
                <w:highlight w:val="none"/>
              </w:rPr>
              <w:t>③</w:t>
            </w:r>
            <w:r>
              <w:rPr>
                <w:b w:val="0"/>
                <w:bCs w:val="0"/>
                <w:color w:val="auto"/>
                <w:sz w:val="24"/>
                <w:highlight w:val="none"/>
              </w:rPr>
              <w:t>喷枪清洗用水</w:t>
            </w:r>
          </w:p>
          <w:p w14:paraId="6C529B7A">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highlight w:val="none"/>
              </w:rPr>
            </w:pPr>
            <w:r>
              <w:rPr>
                <w:color w:val="auto"/>
                <w:sz w:val="24"/>
                <w:highlight w:val="none"/>
              </w:rPr>
              <w:t>项目</w:t>
            </w:r>
            <w:r>
              <w:rPr>
                <w:rFonts w:hint="eastAsia"/>
                <w:color w:val="auto"/>
                <w:sz w:val="24"/>
                <w:highlight w:val="none"/>
                <w:lang w:val="en-US" w:eastAsia="zh-CN"/>
              </w:rPr>
              <w:t>喷漆</w:t>
            </w:r>
            <w:r>
              <w:rPr>
                <w:color w:val="auto"/>
                <w:sz w:val="24"/>
                <w:highlight w:val="none"/>
              </w:rPr>
              <w:t>工序</w:t>
            </w:r>
            <w:r>
              <w:rPr>
                <w:bCs/>
                <w:color w:val="auto"/>
                <w:sz w:val="24"/>
                <w:highlight w:val="none"/>
              </w:rPr>
              <w:t>喷枪当日使用完毕后使用少量</w:t>
            </w:r>
            <w:r>
              <w:rPr>
                <w:rFonts w:hint="eastAsia"/>
                <w:bCs/>
                <w:color w:val="auto"/>
                <w:sz w:val="24"/>
                <w:highlight w:val="none"/>
                <w:lang w:val="en-US" w:eastAsia="zh-CN"/>
              </w:rPr>
              <w:t>自来</w:t>
            </w:r>
            <w:r>
              <w:rPr>
                <w:bCs/>
                <w:color w:val="auto"/>
                <w:sz w:val="24"/>
                <w:highlight w:val="none"/>
              </w:rPr>
              <w:t>水进行清洗，</w:t>
            </w:r>
            <w:r>
              <w:rPr>
                <w:rFonts w:hint="eastAsia"/>
                <w:bCs/>
                <w:color w:val="auto"/>
                <w:sz w:val="24"/>
                <w:highlight w:val="none"/>
                <w:lang w:val="en-US" w:eastAsia="zh-CN"/>
              </w:rPr>
              <w:t>清洗用水</w:t>
            </w:r>
            <w:r>
              <w:rPr>
                <w:bCs/>
                <w:color w:val="auto"/>
                <w:sz w:val="24"/>
                <w:highlight w:val="none"/>
              </w:rPr>
              <w:t>量约为0.5</w:t>
            </w:r>
            <w:r>
              <w:rPr>
                <w:rFonts w:hint="eastAsia"/>
                <w:color w:val="auto"/>
                <w:sz w:val="24"/>
                <w:highlight w:val="none"/>
                <w:lang w:val="en-US" w:eastAsia="zh-CN"/>
              </w:rPr>
              <w:t>t</w:t>
            </w:r>
            <w:r>
              <w:rPr>
                <w:color w:val="auto"/>
                <w:sz w:val="24"/>
                <w:highlight w:val="none"/>
              </w:rPr>
              <w:t>/a</w:t>
            </w:r>
            <w:r>
              <w:rPr>
                <w:bCs/>
                <w:color w:val="auto"/>
                <w:sz w:val="24"/>
                <w:highlight w:val="none"/>
              </w:rPr>
              <w:t>，清洗水回用于水性漆兑水，</w:t>
            </w:r>
            <w:r>
              <w:rPr>
                <w:rFonts w:hint="eastAsia"/>
                <w:bCs/>
                <w:color w:val="auto"/>
                <w:sz w:val="24"/>
                <w:highlight w:val="none"/>
                <w:lang w:val="en-US" w:eastAsia="zh-CN"/>
              </w:rPr>
              <w:t>由于</w:t>
            </w:r>
            <w:r>
              <w:rPr>
                <w:rFonts w:hint="eastAsia"/>
                <w:color w:val="auto"/>
                <w:sz w:val="24"/>
                <w:highlight w:val="none"/>
                <w:lang w:val="en-US" w:eastAsia="zh-CN"/>
              </w:rPr>
              <w:t>清洗过程损耗量约为20%</w:t>
            </w:r>
            <w:r>
              <w:rPr>
                <w:color w:val="auto"/>
                <w:sz w:val="24"/>
                <w:highlight w:val="none"/>
              </w:rPr>
              <w:t>，则</w:t>
            </w:r>
            <w:r>
              <w:rPr>
                <w:rFonts w:hint="eastAsia"/>
                <w:color w:val="auto"/>
                <w:sz w:val="24"/>
                <w:highlight w:val="none"/>
                <w:lang w:val="en-US" w:eastAsia="zh-CN"/>
              </w:rPr>
              <w:t>回用水</w:t>
            </w:r>
            <w:r>
              <w:rPr>
                <w:color w:val="auto"/>
                <w:sz w:val="24"/>
                <w:highlight w:val="none"/>
              </w:rPr>
              <w:t>量</w:t>
            </w:r>
            <w:r>
              <w:rPr>
                <w:rFonts w:hint="eastAsia"/>
                <w:color w:val="auto"/>
                <w:sz w:val="24"/>
                <w:highlight w:val="none"/>
                <w:lang w:val="en-US" w:eastAsia="zh-CN"/>
              </w:rPr>
              <w:t>约</w:t>
            </w:r>
            <w:r>
              <w:rPr>
                <w:color w:val="auto"/>
                <w:sz w:val="24"/>
                <w:highlight w:val="none"/>
              </w:rPr>
              <w:t>为</w:t>
            </w:r>
            <w:r>
              <w:rPr>
                <w:rFonts w:hint="eastAsia"/>
                <w:color w:val="auto"/>
                <w:sz w:val="24"/>
                <w:highlight w:val="none"/>
                <w:lang w:val="en-US" w:eastAsia="zh-CN"/>
              </w:rPr>
              <w:t>0.4t</w:t>
            </w:r>
            <w:r>
              <w:rPr>
                <w:color w:val="auto"/>
                <w:sz w:val="24"/>
                <w:highlight w:val="none"/>
              </w:rPr>
              <w:t>/a</w:t>
            </w:r>
            <w:r>
              <w:rPr>
                <w:rFonts w:hint="eastAsia"/>
                <w:bCs/>
                <w:color w:val="auto"/>
                <w:sz w:val="24"/>
                <w:highlight w:val="none"/>
              </w:rPr>
              <w:t>。</w:t>
            </w:r>
          </w:p>
          <w:p w14:paraId="419D261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highlight w:val="none"/>
              </w:rPr>
            </w:pPr>
            <w:r>
              <w:rPr>
                <w:rFonts w:hint="eastAsia" w:ascii="宋体" w:hAnsi="宋体" w:eastAsia="宋体" w:cs="宋体"/>
                <w:bCs/>
                <w:color w:val="auto"/>
                <w:sz w:val="24"/>
                <w:highlight w:val="none"/>
              </w:rPr>
              <w:t>④</w:t>
            </w:r>
            <w:r>
              <w:rPr>
                <w:rFonts w:hint="default" w:ascii="Times New Roman" w:hAnsi="Times New Roman" w:eastAsia="宋体" w:cs="Times New Roman"/>
                <w:bCs/>
                <w:color w:val="auto"/>
                <w:sz w:val="24"/>
                <w:highlight w:val="none"/>
                <w:lang w:val="en-US" w:eastAsia="zh-CN"/>
              </w:rPr>
              <w:t>切削液</w:t>
            </w:r>
            <w:r>
              <w:rPr>
                <w:rFonts w:hint="eastAsia" w:ascii="宋体" w:hAnsi="宋体" w:eastAsia="宋体" w:cs="宋体"/>
                <w:bCs/>
                <w:color w:val="auto"/>
                <w:sz w:val="24"/>
                <w:szCs w:val="24"/>
                <w:highlight w:val="none"/>
                <w:lang w:val="en-US" w:eastAsia="zh-CN"/>
              </w:rPr>
              <w:t>调配</w:t>
            </w:r>
            <w:r>
              <w:rPr>
                <w:rFonts w:hint="default" w:ascii="Times New Roman" w:hAnsi="Times New Roman" w:eastAsia="宋体" w:cs="Times New Roman"/>
                <w:bCs/>
                <w:color w:val="auto"/>
                <w:sz w:val="24"/>
                <w:highlight w:val="none"/>
              </w:rPr>
              <w:t>用水</w:t>
            </w:r>
          </w:p>
          <w:p w14:paraId="032AAC08">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rFonts w:hint="eastAsia" w:cs="Times New Roman"/>
                <w:color w:val="auto"/>
                <w:sz w:val="24"/>
                <w:highlight w:val="none"/>
                <w:lang w:val="en-US" w:eastAsia="zh-CN"/>
              </w:rPr>
              <w:t>项目</w:t>
            </w:r>
            <w:r>
              <w:rPr>
                <w:rFonts w:hint="default" w:ascii="Times New Roman" w:hAnsi="Times New Roman" w:cs="Times New Roman"/>
                <w:color w:val="auto"/>
                <w:sz w:val="24"/>
                <w:szCs w:val="24"/>
                <w:highlight w:val="none"/>
              </w:rPr>
              <w:t>切削液</w:t>
            </w:r>
            <w:r>
              <w:rPr>
                <w:rFonts w:hint="default" w:ascii="Times New Roman" w:hAnsi="Times New Roman" w:cs="Times New Roman"/>
                <w:color w:val="auto"/>
                <w:sz w:val="24"/>
                <w:szCs w:val="24"/>
                <w:highlight w:val="none"/>
                <w:lang w:val="en-US" w:eastAsia="zh-CN"/>
              </w:rPr>
              <w:t>使用前需加水调配，</w:t>
            </w:r>
            <w:r>
              <w:rPr>
                <w:rFonts w:hint="default" w:ascii="Times New Roman" w:hAnsi="Times New Roman" w:cs="Times New Roman"/>
                <w:color w:val="auto"/>
                <w:sz w:val="24"/>
                <w:szCs w:val="24"/>
                <w:highlight w:val="none"/>
              </w:rPr>
              <w:t>切削液</w:t>
            </w:r>
            <w:r>
              <w:rPr>
                <w:rFonts w:hint="default" w:ascii="Times New Roman" w:hAnsi="Times New Roman" w:cs="Times New Roman"/>
                <w:color w:val="auto"/>
                <w:sz w:val="24"/>
                <w:szCs w:val="24"/>
                <w:highlight w:val="none"/>
                <w:lang w:val="en-US" w:eastAsia="zh-CN"/>
              </w:rPr>
              <w:t>和水的调配比例为1</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highlight w:val="none"/>
              </w:rPr>
              <w:t>项目</w:t>
            </w:r>
            <w:r>
              <w:rPr>
                <w:rFonts w:hint="default" w:ascii="Times New Roman" w:hAnsi="Times New Roman" w:eastAsia="宋体" w:cs="Times New Roman"/>
                <w:bCs/>
                <w:color w:val="auto"/>
                <w:sz w:val="24"/>
                <w:highlight w:val="none"/>
                <w:lang w:val="en-US" w:eastAsia="zh-CN"/>
              </w:rPr>
              <w:t>切削液</w:t>
            </w:r>
            <w:r>
              <w:rPr>
                <w:rFonts w:hint="default" w:ascii="Times New Roman" w:hAnsi="Times New Roman" w:cs="Times New Roman"/>
                <w:color w:val="auto"/>
                <w:sz w:val="24"/>
                <w:highlight w:val="none"/>
              </w:rPr>
              <w:t>用量为</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t/a，则</w:t>
            </w:r>
            <w:r>
              <w:rPr>
                <w:rFonts w:hint="default" w:ascii="Times New Roman" w:hAnsi="Times New Roman" w:eastAsia="宋体" w:cs="Times New Roman"/>
                <w:bCs/>
                <w:color w:val="auto"/>
                <w:sz w:val="24"/>
                <w:highlight w:val="none"/>
                <w:lang w:val="en-US" w:eastAsia="zh-CN"/>
              </w:rPr>
              <w:t>切削液配比</w:t>
            </w:r>
            <w:r>
              <w:rPr>
                <w:rFonts w:hint="default" w:ascii="Times New Roman" w:hAnsi="Times New Roman" w:cs="Times New Roman"/>
                <w:color w:val="auto"/>
                <w:sz w:val="24"/>
                <w:highlight w:val="none"/>
              </w:rPr>
              <w:t>用水量为</w:t>
            </w:r>
            <w:r>
              <w:rPr>
                <w:rFonts w:hint="default" w:ascii="Times New Roman" w:hAnsi="Times New Roman" w:cs="Times New Roman"/>
                <w:color w:val="auto"/>
                <w:sz w:val="24"/>
                <w:highlight w:val="none"/>
                <w:lang w:val="en-US" w:eastAsia="zh-CN"/>
              </w:rPr>
              <w:t>10</w:t>
            </w:r>
            <w:r>
              <w:rPr>
                <w:rFonts w:hint="eastAsia" w:cs="Times New Roman"/>
                <w:color w:val="auto"/>
                <w:sz w:val="24"/>
                <w:highlight w:val="none"/>
                <w:lang w:val="en-US" w:eastAsia="zh-CN"/>
              </w:rPr>
              <w:t>t</w:t>
            </w:r>
            <w:r>
              <w:rPr>
                <w:rFonts w:hint="default" w:ascii="Times New Roman" w:hAnsi="Times New Roman" w:cs="Times New Roman"/>
                <w:color w:val="auto"/>
                <w:sz w:val="24"/>
                <w:highlight w:val="none"/>
              </w:rPr>
              <w:t>/a。</w:t>
            </w:r>
          </w:p>
          <w:p w14:paraId="55DA80E6">
            <w:pPr>
              <w:keepNext w:val="0"/>
              <w:keepLines w:val="0"/>
              <w:suppressLineNumbers w:val="0"/>
              <w:tabs>
                <w:tab w:val="left" w:pos="3361"/>
              </w:tabs>
              <w:adjustRightInd w:val="0"/>
              <w:snapToGrid w:val="0"/>
              <w:spacing w:before="0" w:beforeAutospacing="0" w:after="0" w:afterAutospacing="0" w:line="360" w:lineRule="auto"/>
              <w:ind w:left="0" w:right="0" w:firstLine="480" w:firstLineChars="200"/>
              <w:rPr>
                <w:rFonts w:hint="eastAsia" w:eastAsiaTheme="minorEastAsia"/>
                <w:bCs/>
                <w:color w:val="auto"/>
                <w:sz w:val="24"/>
                <w:highlight w:val="none"/>
                <w:lang w:eastAsia="zh-CN"/>
              </w:rPr>
            </w:pPr>
            <w:r>
              <w:rPr>
                <w:rFonts w:hint="eastAsia" w:ascii="宋体" w:hAnsi="宋体" w:eastAsia="宋体" w:cs="宋体"/>
                <w:color w:val="auto"/>
                <w:sz w:val="24"/>
              </w:rPr>
              <w:t>⑤</w:t>
            </w:r>
            <w:r>
              <w:rPr>
                <w:rFonts w:hint="eastAsia" w:ascii="宋体" w:hAnsi="宋体" w:eastAsia="宋体" w:cs="宋体"/>
                <w:bCs/>
                <w:color w:val="auto"/>
                <w:sz w:val="24"/>
                <w:highlight w:val="none"/>
                <w:lang w:val="en-US" w:eastAsia="zh-CN"/>
              </w:rPr>
              <w:t>超声波</w:t>
            </w:r>
            <w:r>
              <w:rPr>
                <w:rFonts w:hint="eastAsia" w:eastAsia="宋体"/>
                <w:bCs/>
                <w:color w:val="auto"/>
                <w:sz w:val="24"/>
                <w:highlight w:val="none"/>
                <w:lang w:val="en-US" w:eastAsia="zh-CN"/>
              </w:rPr>
              <w:t>清洗</w:t>
            </w:r>
            <w:r>
              <w:rPr>
                <w:rFonts w:hint="eastAsia"/>
                <w:bCs/>
                <w:color w:val="auto"/>
                <w:sz w:val="24"/>
                <w:highlight w:val="none"/>
                <w:lang w:val="en-US" w:eastAsia="zh-CN"/>
              </w:rPr>
              <w:t>用</w:t>
            </w:r>
            <w:r>
              <w:rPr>
                <w:bCs/>
                <w:color w:val="auto"/>
                <w:sz w:val="24"/>
                <w:highlight w:val="none"/>
              </w:rPr>
              <w:t>水</w:t>
            </w:r>
            <w:r>
              <w:rPr>
                <w:rFonts w:hint="eastAsia"/>
                <w:bCs/>
                <w:color w:val="auto"/>
                <w:sz w:val="24"/>
                <w:highlight w:val="none"/>
                <w:lang w:eastAsia="zh-CN"/>
              </w:rPr>
              <w:tab/>
            </w:r>
          </w:p>
          <w:p w14:paraId="1BA2E4C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rPr>
            </w:pPr>
            <w:r>
              <w:rPr>
                <w:color w:val="auto"/>
                <w:sz w:val="24"/>
                <w:highlight w:val="none"/>
              </w:rPr>
              <w:t>项目</w:t>
            </w:r>
            <w:r>
              <w:rPr>
                <w:rFonts w:hint="eastAsia"/>
                <w:color w:val="auto"/>
                <w:sz w:val="24"/>
                <w:highlight w:val="none"/>
                <w:lang w:val="en-US" w:eastAsia="zh-CN"/>
              </w:rPr>
              <w:t>工件机加工后需用</w:t>
            </w:r>
            <w:r>
              <w:rPr>
                <w:rFonts w:hint="default" w:ascii="Times New Roman" w:hAnsi="Times New Roman" w:cs="Times New Roman"/>
                <w:color w:val="auto"/>
                <w:kern w:val="2"/>
                <w:sz w:val="24"/>
                <w:szCs w:val="24"/>
                <w:highlight w:val="none"/>
                <w:lang w:val="en-US" w:eastAsia="zh-CN"/>
              </w:rPr>
              <w:t>金属超声波清洗</w:t>
            </w:r>
            <w:r>
              <w:rPr>
                <w:rFonts w:hint="eastAsia" w:cs="Times New Roman"/>
                <w:color w:val="auto"/>
                <w:kern w:val="2"/>
                <w:sz w:val="24"/>
                <w:szCs w:val="24"/>
                <w:highlight w:val="none"/>
                <w:lang w:val="en-US" w:eastAsia="zh-CN"/>
              </w:rPr>
              <w:t>设备</w:t>
            </w:r>
            <w:r>
              <w:rPr>
                <w:rFonts w:hint="eastAsia"/>
                <w:color w:val="auto"/>
                <w:sz w:val="24"/>
                <w:highlight w:val="none"/>
                <w:lang w:val="en-US" w:eastAsia="zh-CN"/>
              </w:rPr>
              <w:t>清洗一下，主要去掉表面杂质、油污</w:t>
            </w:r>
            <w:r>
              <w:rPr>
                <w:color w:val="auto"/>
                <w:sz w:val="24"/>
                <w:highlight w:val="none"/>
              </w:rPr>
              <w:t>，</w:t>
            </w:r>
            <w:r>
              <w:rPr>
                <w:rFonts w:hint="eastAsia"/>
                <w:color w:val="auto"/>
                <w:sz w:val="24"/>
                <w:highlight w:val="none"/>
                <w:lang w:val="en-US" w:eastAsia="zh-CN"/>
              </w:rPr>
              <w:t>每台</w:t>
            </w:r>
            <w:r>
              <w:rPr>
                <w:rFonts w:hint="default" w:ascii="Times New Roman" w:hAnsi="Times New Roman" w:cs="Times New Roman"/>
                <w:color w:val="auto"/>
                <w:kern w:val="2"/>
                <w:sz w:val="24"/>
                <w:szCs w:val="24"/>
                <w:highlight w:val="none"/>
                <w:lang w:val="en-US" w:eastAsia="zh-CN"/>
              </w:rPr>
              <w:t>超声波清洗</w:t>
            </w:r>
            <w:r>
              <w:rPr>
                <w:rFonts w:hint="eastAsia" w:cs="Times New Roman"/>
                <w:color w:val="auto"/>
                <w:kern w:val="2"/>
                <w:sz w:val="24"/>
                <w:szCs w:val="24"/>
                <w:highlight w:val="none"/>
                <w:lang w:val="en-US" w:eastAsia="zh-CN"/>
              </w:rPr>
              <w:t>设备自带的水箱容量为1t，一次性添加水量为0.8t，清洗用水每天更换一次，共计年更换300次，则2台</w:t>
            </w:r>
            <w:r>
              <w:rPr>
                <w:rFonts w:hint="default" w:ascii="Times New Roman" w:hAnsi="Times New Roman" w:cs="Times New Roman"/>
                <w:color w:val="auto"/>
                <w:kern w:val="2"/>
                <w:sz w:val="24"/>
                <w:szCs w:val="24"/>
                <w:highlight w:val="none"/>
                <w:lang w:val="en-US" w:eastAsia="zh-CN"/>
              </w:rPr>
              <w:t>超声波</w:t>
            </w:r>
            <w:r>
              <w:rPr>
                <w:rFonts w:hint="eastAsia" w:cs="Times New Roman"/>
                <w:color w:val="auto"/>
                <w:kern w:val="2"/>
                <w:sz w:val="24"/>
                <w:szCs w:val="24"/>
                <w:highlight w:val="none"/>
                <w:lang w:val="en-US" w:eastAsia="zh-CN"/>
              </w:rPr>
              <w:t>清洗设备共计更换水量为480t/a，</w:t>
            </w:r>
            <w:r>
              <w:rPr>
                <w:rFonts w:hint="eastAsia"/>
                <w:bCs/>
                <w:color w:val="auto"/>
                <w:sz w:val="24"/>
                <w:highlight w:val="none"/>
                <w:lang w:val="en-US" w:eastAsia="zh-CN"/>
              </w:rPr>
              <w:t>清洗过程会有一定的蒸发损耗，损耗量约为20%，</w:t>
            </w:r>
            <w:r>
              <w:rPr>
                <w:rFonts w:hint="eastAsia"/>
                <w:color w:val="auto"/>
                <w:sz w:val="24"/>
                <w:highlight w:val="none"/>
                <w:lang w:val="en-US" w:eastAsia="zh-CN"/>
              </w:rPr>
              <w:t>因此</w:t>
            </w:r>
            <w:r>
              <w:rPr>
                <w:color w:val="auto"/>
                <w:sz w:val="24"/>
                <w:highlight w:val="none"/>
              </w:rPr>
              <w:t>本项目</w:t>
            </w:r>
            <w:r>
              <w:rPr>
                <w:rFonts w:hint="eastAsia"/>
                <w:color w:val="auto"/>
                <w:sz w:val="24"/>
                <w:highlight w:val="none"/>
                <w:lang w:val="en-US" w:eastAsia="zh-CN"/>
              </w:rPr>
              <w:t>清洗</w:t>
            </w:r>
            <w:r>
              <w:rPr>
                <w:color w:val="auto"/>
                <w:sz w:val="24"/>
                <w:highlight w:val="none"/>
              </w:rPr>
              <w:t>用</w:t>
            </w:r>
            <w:r>
              <w:rPr>
                <w:rFonts w:hint="eastAsia"/>
                <w:color w:val="auto"/>
                <w:sz w:val="24"/>
                <w:highlight w:val="none"/>
                <w:lang w:val="en-US" w:eastAsia="zh-CN"/>
              </w:rPr>
              <w:t>水</w:t>
            </w:r>
            <w:r>
              <w:rPr>
                <w:color w:val="auto"/>
                <w:sz w:val="24"/>
                <w:highlight w:val="none"/>
              </w:rPr>
              <w:t>量为</w:t>
            </w:r>
            <w:r>
              <w:rPr>
                <w:rFonts w:hint="eastAsia"/>
                <w:color w:val="auto"/>
                <w:sz w:val="24"/>
                <w:highlight w:val="none"/>
                <w:lang w:val="en-US" w:eastAsia="zh-CN"/>
              </w:rPr>
              <w:t>600t</w:t>
            </w:r>
            <w:r>
              <w:rPr>
                <w:color w:val="auto"/>
                <w:sz w:val="24"/>
                <w:highlight w:val="none"/>
              </w:rPr>
              <w:t>/a。</w:t>
            </w:r>
          </w:p>
          <w:p w14:paraId="7338BE44">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rPr>
            </w:pPr>
            <w:r>
              <w:rPr>
                <w:rFonts w:hint="eastAsia" w:ascii="宋体" w:hAnsi="宋体" w:eastAsia="宋体" w:cs="宋体"/>
                <w:color w:val="auto"/>
                <w:sz w:val="24"/>
              </w:rPr>
              <w:t>⑥</w:t>
            </w:r>
            <w:r>
              <w:rPr>
                <w:rFonts w:hint="eastAsia" w:eastAsia="宋体"/>
                <w:bCs/>
                <w:color w:val="auto"/>
                <w:sz w:val="24"/>
                <w:lang w:val="en-US" w:eastAsia="zh-CN"/>
              </w:rPr>
              <w:t>盐雾测试</w:t>
            </w:r>
            <w:r>
              <w:rPr>
                <w:rFonts w:eastAsia="宋体"/>
                <w:bCs/>
                <w:color w:val="auto"/>
                <w:sz w:val="24"/>
              </w:rPr>
              <w:t>用水</w:t>
            </w:r>
          </w:p>
          <w:p w14:paraId="5DC3EBA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sz w:val="24"/>
                <w:szCs w:val="24"/>
                <w:lang w:val="en-US" w:eastAsia="zh-CN"/>
              </w:rPr>
            </w:pPr>
            <w:r>
              <w:rPr>
                <w:color w:val="auto"/>
                <w:sz w:val="24"/>
              </w:rPr>
              <w:t>项目</w:t>
            </w:r>
            <w:r>
              <w:rPr>
                <w:rFonts w:hint="eastAsia"/>
                <w:color w:val="auto"/>
                <w:sz w:val="24"/>
                <w:lang w:val="en-US" w:eastAsia="zh-CN"/>
              </w:rPr>
              <w:t>对产品使用盐雾测试仪检验过程需使用试剂进行测试，</w:t>
            </w:r>
            <w:r>
              <w:rPr>
                <w:rFonts w:hint="eastAsia"/>
                <w:color w:val="auto"/>
                <w:sz w:val="24"/>
                <w:szCs w:val="24"/>
                <w:lang w:eastAsia="zh-CN"/>
              </w:rPr>
              <w:t>项目采用</w:t>
            </w:r>
            <w:r>
              <w:rPr>
                <w:rFonts w:hint="eastAsia"/>
                <w:color w:val="auto"/>
                <w:sz w:val="24"/>
                <w:szCs w:val="24"/>
                <w:lang w:val="en-US" w:eastAsia="zh-CN"/>
              </w:rPr>
              <w:t>5%的氯化钠溶液盐雾试验，项目氯化钠用量为0.01t/a，则盐雾试验用水为0.2t/a。</w:t>
            </w:r>
          </w:p>
          <w:p w14:paraId="7AB8207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szCs w:val="24"/>
                <w:lang w:val="en-US" w:eastAsia="zh-CN"/>
              </w:rPr>
            </w:pPr>
            <w:r>
              <w:rPr>
                <w:rFonts w:hint="eastAsia" w:ascii="宋体" w:hAnsi="宋体" w:eastAsia="宋体" w:cs="宋体"/>
                <w:color w:val="auto"/>
                <w:sz w:val="24"/>
                <w:szCs w:val="24"/>
                <w:lang w:eastAsia="zh-CN"/>
              </w:rPr>
              <w:t>⑦</w:t>
            </w:r>
            <w:r>
              <w:rPr>
                <w:rFonts w:hint="eastAsia"/>
                <w:color w:val="auto"/>
                <w:sz w:val="24"/>
                <w:szCs w:val="24"/>
                <w:lang w:val="en-US" w:eastAsia="zh-CN"/>
              </w:rPr>
              <w:t>食堂用水</w:t>
            </w:r>
          </w:p>
          <w:p w14:paraId="6D9AFF6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szCs w:val="24"/>
                <w:lang w:val="en-US" w:eastAsia="zh-CN"/>
              </w:rPr>
            </w:pPr>
            <w:r>
              <w:rPr>
                <w:rFonts w:hint="eastAsia"/>
                <w:color w:val="auto"/>
                <w:sz w:val="24"/>
                <w:szCs w:val="24"/>
                <w:lang w:eastAsia="zh-CN"/>
              </w:rPr>
              <w:t>项目员工</w:t>
            </w:r>
            <w:r>
              <w:rPr>
                <w:color w:val="auto"/>
                <w:sz w:val="24"/>
                <w:szCs w:val="24"/>
              </w:rPr>
              <w:t>食堂供应</w:t>
            </w:r>
            <w:r>
              <w:rPr>
                <w:rFonts w:hint="eastAsia"/>
                <w:color w:val="auto"/>
                <w:sz w:val="24"/>
                <w:szCs w:val="24"/>
                <w:lang w:val="en-US" w:eastAsia="zh-CN"/>
              </w:rPr>
              <w:t>50</w:t>
            </w:r>
            <w:r>
              <w:rPr>
                <w:color w:val="auto"/>
                <w:sz w:val="24"/>
                <w:szCs w:val="24"/>
              </w:rPr>
              <w:t>人/次•天饭菜，</w:t>
            </w:r>
            <w:r>
              <w:rPr>
                <w:rFonts w:hint="default" w:ascii="Times New Roman" w:hAnsi="Times New Roman" w:eastAsia="宋体" w:cs="Times New Roman"/>
                <w:snapToGrid w:val="0"/>
                <w:color w:val="auto"/>
                <w:kern w:val="0"/>
                <w:sz w:val="24"/>
                <w:lang w:val="en-US" w:eastAsia="zh-CN"/>
              </w:rPr>
              <w:t>根据</w:t>
            </w:r>
            <w:r>
              <w:rPr>
                <w:rFonts w:hint="eastAsia" w:cs="Times New Roman"/>
                <w:color w:val="auto"/>
                <w:sz w:val="24"/>
                <w:lang w:eastAsia="zh-CN"/>
              </w:rPr>
              <w:t>《</w:t>
            </w:r>
            <w:r>
              <w:rPr>
                <w:rFonts w:hint="default" w:ascii="Times New Roman" w:hAnsi="Times New Roman" w:cs="Times New Roman"/>
                <w:color w:val="auto"/>
                <w:sz w:val="24"/>
              </w:rPr>
              <w:t>江苏省工业、服务业和生活用水定</w:t>
            </w:r>
            <w:r>
              <w:rPr>
                <w:rFonts w:hint="eastAsia" w:ascii="Times New Roman" w:hAnsi="Times New Roman" w:cs="Times New Roman"/>
                <w:color w:val="auto"/>
                <w:sz w:val="24"/>
                <w:lang w:eastAsia="zh-CN"/>
              </w:rPr>
              <w:t>额</w:t>
            </w:r>
            <w:r>
              <w:rPr>
                <w:rFonts w:hint="eastAsia" w:cs="Times New Roman"/>
                <w:color w:val="auto"/>
                <w:sz w:val="24"/>
                <w:lang w:eastAsia="zh-CN"/>
              </w:rPr>
              <w:t>》</w:t>
            </w:r>
            <w:r>
              <w:rPr>
                <w:rFonts w:hint="default" w:ascii="Times New Roman" w:hAnsi="Times New Roman" w:cs="Times New Roman"/>
                <w:color w:val="auto"/>
                <w:sz w:val="24"/>
              </w:rPr>
              <w:t>（2014年修订）</w:t>
            </w:r>
            <w:r>
              <w:rPr>
                <w:rFonts w:hint="eastAsia" w:ascii="Times New Roman" w:hAnsi="Times New Roman" w:cs="Times New Roman"/>
                <w:color w:val="auto"/>
                <w:sz w:val="24"/>
                <w:lang w:eastAsia="zh-CN"/>
              </w:rPr>
              <w:t>，</w:t>
            </w:r>
            <w:r>
              <w:rPr>
                <w:rFonts w:hint="eastAsia" w:ascii="Times New Roman" w:hAnsi="Times New Roman" w:eastAsia="宋体" w:cs="Times New Roman"/>
                <w:snapToGrid w:val="0"/>
                <w:color w:val="auto"/>
                <w:kern w:val="0"/>
                <w:sz w:val="24"/>
                <w:lang w:val="en-US" w:eastAsia="zh-CN"/>
              </w:rPr>
              <w:t>食堂</w:t>
            </w:r>
            <w:r>
              <w:rPr>
                <w:rFonts w:hint="default" w:ascii="Times New Roman" w:hAnsi="Times New Roman" w:eastAsia="宋体" w:cs="Times New Roman"/>
                <w:snapToGrid w:val="0"/>
                <w:color w:val="auto"/>
                <w:kern w:val="0"/>
                <w:sz w:val="24"/>
                <w:lang w:val="en-US" w:eastAsia="zh-CN"/>
              </w:rPr>
              <w:t>用水量按</w:t>
            </w:r>
            <w:r>
              <w:rPr>
                <w:rFonts w:hint="eastAsia" w:eastAsia="宋体"/>
                <w:color w:val="auto"/>
                <w:sz w:val="24"/>
                <w:lang w:val="en-US" w:eastAsia="zh-CN"/>
              </w:rPr>
              <w:t>15</w:t>
            </w:r>
            <w:r>
              <w:rPr>
                <w:rFonts w:hint="eastAsia"/>
                <w:color w:val="auto"/>
                <w:sz w:val="24"/>
              </w:rPr>
              <w:t>L/人·</w:t>
            </w:r>
            <w:r>
              <w:rPr>
                <w:rFonts w:hint="eastAsia"/>
                <w:color w:val="auto"/>
                <w:sz w:val="24"/>
                <w:lang w:val="en-US" w:eastAsia="zh-CN"/>
              </w:rPr>
              <w:t>次</w:t>
            </w:r>
            <w:r>
              <w:rPr>
                <w:rFonts w:hint="default" w:ascii="Times New Roman" w:hAnsi="Times New Roman" w:eastAsia="宋体" w:cs="Times New Roman"/>
                <w:snapToGrid w:val="0"/>
                <w:color w:val="auto"/>
                <w:kern w:val="0"/>
                <w:sz w:val="24"/>
                <w:lang w:val="en-US" w:eastAsia="zh-CN"/>
              </w:rPr>
              <w:t>计，</w:t>
            </w:r>
            <w:r>
              <w:rPr>
                <w:rFonts w:hint="eastAsia" w:ascii="Times New Roman" w:hAnsi="Times New Roman" w:eastAsia="宋体" w:cs="Times New Roman"/>
                <w:snapToGrid w:val="0"/>
                <w:color w:val="auto"/>
                <w:kern w:val="0"/>
                <w:sz w:val="24"/>
                <w:lang w:val="en-US" w:eastAsia="zh-CN"/>
              </w:rPr>
              <w:t>以平均每人每天1餐计，</w:t>
            </w:r>
            <w:r>
              <w:rPr>
                <w:rFonts w:hint="default" w:ascii="Times New Roman" w:hAnsi="Times New Roman" w:eastAsia="宋体" w:cs="Times New Roman"/>
                <w:snapToGrid w:val="0"/>
                <w:color w:val="auto"/>
                <w:kern w:val="0"/>
                <w:sz w:val="24"/>
                <w:lang w:val="en-US" w:eastAsia="zh-CN"/>
              </w:rPr>
              <w:t>则建设项目营运期</w:t>
            </w:r>
            <w:r>
              <w:rPr>
                <w:rFonts w:hint="eastAsia" w:ascii="Times New Roman" w:hAnsi="Times New Roman" w:eastAsia="宋体" w:cs="Times New Roman"/>
                <w:snapToGrid w:val="0"/>
                <w:color w:val="auto"/>
                <w:kern w:val="0"/>
                <w:sz w:val="24"/>
                <w:lang w:val="en-US" w:eastAsia="zh-CN"/>
              </w:rPr>
              <w:t>食堂用水</w:t>
            </w:r>
            <w:r>
              <w:rPr>
                <w:rFonts w:hint="default" w:ascii="Times New Roman" w:hAnsi="Times New Roman" w:eastAsia="宋体" w:cs="Times New Roman"/>
                <w:snapToGrid w:val="0"/>
                <w:color w:val="auto"/>
                <w:kern w:val="0"/>
                <w:sz w:val="24"/>
                <w:lang w:val="en-US" w:eastAsia="zh-CN"/>
              </w:rPr>
              <w:t>量约为</w:t>
            </w:r>
            <w:r>
              <w:rPr>
                <w:rFonts w:hint="eastAsia" w:cs="Times New Roman"/>
                <w:snapToGrid w:val="0"/>
                <w:color w:val="auto"/>
                <w:kern w:val="0"/>
                <w:sz w:val="24"/>
                <w:lang w:val="en-US" w:eastAsia="zh-CN"/>
              </w:rPr>
              <w:t>225</w:t>
            </w:r>
            <w:r>
              <w:rPr>
                <w:rFonts w:hint="eastAsia" w:eastAsia="宋体" w:cs="Times New Roman"/>
                <w:snapToGrid w:val="0"/>
                <w:color w:val="auto"/>
                <w:kern w:val="0"/>
                <w:sz w:val="24"/>
                <w:lang w:val="en-US" w:eastAsia="zh-CN"/>
              </w:rPr>
              <w:t>t</w:t>
            </w:r>
            <w:r>
              <w:rPr>
                <w:rFonts w:hint="default" w:ascii="Times New Roman" w:hAnsi="Times New Roman" w:eastAsia="宋体" w:cs="Times New Roman"/>
                <w:snapToGrid w:val="0"/>
                <w:color w:val="auto"/>
                <w:kern w:val="0"/>
                <w:sz w:val="24"/>
                <w:lang w:val="en-US" w:eastAsia="zh-CN"/>
              </w:rPr>
              <w:t>/a</w:t>
            </w:r>
            <w:r>
              <w:rPr>
                <w:rFonts w:hint="eastAsia" w:eastAsia="宋体" w:cs="Times New Roman"/>
                <w:snapToGrid w:val="0"/>
                <w:color w:val="auto"/>
                <w:kern w:val="0"/>
                <w:sz w:val="24"/>
                <w:lang w:val="en-US" w:eastAsia="zh-CN"/>
              </w:rPr>
              <w:t>。</w:t>
            </w:r>
          </w:p>
          <w:p w14:paraId="0BC6981D">
            <w:pPr>
              <w:pStyle w:val="100"/>
              <w:keepNext w:val="0"/>
              <w:keepLines w:val="0"/>
              <w:suppressLineNumbers w:val="0"/>
              <w:spacing w:before="0" w:beforeAutospacing="0" w:after="0" w:afterAutospacing="0"/>
              <w:ind w:left="0" w:right="0" w:firstLine="480"/>
              <w:rPr>
                <w:color w:val="auto"/>
                <w:highlight w:val="none"/>
              </w:rPr>
            </w:pPr>
            <w:r>
              <w:rPr>
                <w:rFonts w:hint="eastAsia"/>
                <w:color w:val="auto"/>
                <w:highlight w:val="none"/>
              </w:rPr>
              <w:t>（2）排水</w:t>
            </w:r>
          </w:p>
          <w:p w14:paraId="3B894F1B">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olor w:val="auto"/>
                <w:sz w:val="24"/>
                <w:highlight w:val="none"/>
                <w:lang w:eastAsia="zh-CN"/>
              </w:rPr>
            </w:pPr>
            <w:r>
              <w:rPr>
                <w:rFonts w:eastAsia="宋体"/>
                <w:color w:val="auto"/>
                <w:kern w:val="0"/>
                <w:sz w:val="24"/>
                <w:szCs w:val="24"/>
                <w:highlight w:val="none"/>
              </w:rPr>
              <w:t>项目</w:t>
            </w:r>
            <w:r>
              <w:rPr>
                <w:rFonts w:hint="eastAsia" w:eastAsia="宋体"/>
                <w:color w:val="auto"/>
                <w:kern w:val="0"/>
                <w:sz w:val="24"/>
                <w:szCs w:val="24"/>
                <w:highlight w:val="none"/>
                <w:lang w:val="en-US" w:eastAsia="zh-CN"/>
              </w:rPr>
              <w:t>水性漆</w:t>
            </w:r>
            <w:r>
              <w:rPr>
                <w:rFonts w:hint="eastAsia" w:ascii="宋体" w:hAnsi="宋体" w:eastAsia="宋体" w:cs="宋体"/>
                <w:bCs/>
                <w:color w:val="auto"/>
                <w:sz w:val="24"/>
                <w:szCs w:val="24"/>
                <w:highlight w:val="none"/>
                <w:lang w:val="en-US" w:eastAsia="zh-CN"/>
              </w:rPr>
              <w:t>调配</w:t>
            </w:r>
            <w:r>
              <w:rPr>
                <w:rFonts w:hint="eastAsia" w:eastAsia="宋体"/>
                <w:color w:val="auto"/>
                <w:kern w:val="0"/>
                <w:sz w:val="24"/>
                <w:szCs w:val="24"/>
                <w:highlight w:val="none"/>
                <w:lang w:val="en-US" w:eastAsia="zh-CN"/>
              </w:rPr>
              <w:t>用水</w:t>
            </w:r>
            <w:r>
              <w:rPr>
                <w:rFonts w:hint="eastAsia"/>
                <w:bCs/>
                <w:color w:val="auto"/>
                <w:sz w:val="24"/>
                <w:szCs w:val="24"/>
                <w:highlight w:val="none"/>
              </w:rPr>
              <w:t>在</w:t>
            </w:r>
            <w:r>
              <w:rPr>
                <w:rFonts w:hint="eastAsia"/>
                <w:bCs/>
                <w:color w:val="auto"/>
                <w:sz w:val="24"/>
                <w:szCs w:val="24"/>
                <w:highlight w:val="none"/>
                <w:lang w:val="en-US" w:eastAsia="zh-CN"/>
              </w:rPr>
              <w:t>烘干</w:t>
            </w:r>
            <w:r>
              <w:rPr>
                <w:rFonts w:hint="eastAsia"/>
                <w:bCs/>
                <w:color w:val="auto"/>
                <w:sz w:val="24"/>
                <w:szCs w:val="24"/>
                <w:highlight w:val="none"/>
              </w:rPr>
              <w:t>过程中蒸发损耗</w:t>
            </w:r>
            <w:r>
              <w:rPr>
                <w:rFonts w:hint="eastAsia" w:eastAsia="宋体"/>
                <w:color w:val="auto"/>
                <w:kern w:val="0"/>
                <w:sz w:val="24"/>
                <w:szCs w:val="24"/>
                <w:highlight w:val="none"/>
                <w:lang w:val="en-US" w:eastAsia="zh-CN"/>
              </w:rPr>
              <w:t>，切削液</w:t>
            </w:r>
            <w:r>
              <w:rPr>
                <w:rFonts w:hint="eastAsia" w:ascii="宋体" w:hAnsi="宋体" w:eastAsia="宋体" w:cs="宋体"/>
                <w:bCs/>
                <w:color w:val="auto"/>
                <w:sz w:val="24"/>
                <w:szCs w:val="24"/>
                <w:highlight w:val="none"/>
                <w:lang w:val="en-US" w:eastAsia="zh-CN"/>
              </w:rPr>
              <w:t>调配</w:t>
            </w:r>
            <w:r>
              <w:rPr>
                <w:rFonts w:hint="eastAsia" w:eastAsia="宋体"/>
                <w:color w:val="auto"/>
                <w:kern w:val="0"/>
                <w:sz w:val="24"/>
                <w:szCs w:val="24"/>
                <w:highlight w:val="none"/>
                <w:lang w:val="en-US" w:eastAsia="zh-CN"/>
              </w:rPr>
              <w:t>用水全部进入切削液中，</w:t>
            </w:r>
            <w:r>
              <w:rPr>
                <w:rFonts w:hint="eastAsia" w:eastAsia="宋体"/>
                <w:bCs/>
                <w:color w:val="auto"/>
                <w:sz w:val="24"/>
                <w:lang w:val="en-US" w:eastAsia="zh-CN"/>
              </w:rPr>
              <w:t>盐雾测试废液</w:t>
            </w:r>
            <w:r>
              <w:rPr>
                <w:rFonts w:hint="eastAsia" w:eastAsia="宋体"/>
                <w:color w:val="auto"/>
                <w:kern w:val="0"/>
                <w:sz w:val="24"/>
                <w:szCs w:val="24"/>
                <w:highlight w:val="none"/>
                <w:lang w:val="en-US" w:eastAsia="zh-CN"/>
              </w:rPr>
              <w:t>和废切削液均作为危废处置，不外排。</w:t>
            </w:r>
            <w:r>
              <w:rPr>
                <w:rFonts w:hint="eastAsia" w:eastAsia="宋体"/>
                <w:color w:val="auto"/>
                <w:kern w:val="0"/>
                <w:sz w:val="24"/>
                <w:highlight w:val="none"/>
                <w:lang w:val="en-US" w:eastAsia="zh-CN"/>
              </w:rPr>
              <w:t>项目</w:t>
            </w:r>
            <w:r>
              <w:rPr>
                <w:rFonts w:eastAsia="宋体"/>
                <w:color w:val="auto"/>
                <w:kern w:val="0"/>
                <w:sz w:val="24"/>
                <w:highlight w:val="none"/>
              </w:rPr>
              <w:t>外排废水主要为</w:t>
            </w:r>
            <w:r>
              <w:rPr>
                <w:rFonts w:hint="eastAsia" w:eastAsia="宋体"/>
                <w:color w:val="auto"/>
                <w:kern w:val="0"/>
                <w:sz w:val="24"/>
                <w:highlight w:val="none"/>
                <w:lang w:val="en-US" w:eastAsia="zh-CN"/>
              </w:rPr>
              <w:t>综合废水</w:t>
            </w:r>
            <w:r>
              <w:rPr>
                <w:rFonts w:hint="eastAsia" w:eastAsia="宋体"/>
                <w:color w:val="auto"/>
                <w:kern w:val="0"/>
                <w:sz w:val="24"/>
                <w:highlight w:val="none"/>
                <w:lang w:eastAsia="zh-CN"/>
              </w:rPr>
              <w:t>（</w:t>
            </w:r>
            <w:r>
              <w:rPr>
                <w:rFonts w:hint="eastAsia" w:eastAsia="宋体"/>
                <w:color w:val="auto"/>
                <w:kern w:val="0"/>
                <w:sz w:val="24"/>
                <w:highlight w:val="none"/>
                <w:lang w:val="en-US" w:eastAsia="zh-CN"/>
              </w:rPr>
              <w:t>生活污水、食堂废水和超声波清洗废水）</w:t>
            </w:r>
            <w:r>
              <w:rPr>
                <w:rFonts w:hint="eastAsia" w:eastAsia="宋体"/>
                <w:color w:val="auto"/>
                <w:kern w:val="0"/>
                <w:sz w:val="24"/>
                <w:highlight w:val="none"/>
                <w:lang w:eastAsia="zh-CN"/>
              </w:rPr>
              <w:t>，</w:t>
            </w:r>
            <w:r>
              <w:rPr>
                <w:rFonts w:eastAsia="宋体"/>
                <w:color w:val="auto"/>
                <w:kern w:val="0"/>
                <w:sz w:val="24"/>
                <w:highlight w:val="none"/>
              </w:rPr>
              <w:t>排污系数</w:t>
            </w:r>
            <w:r>
              <w:rPr>
                <w:rFonts w:hint="eastAsia" w:eastAsia="宋体"/>
                <w:color w:val="auto"/>
                <w:kern w:val="0"/>
                <w:sz w:val="24"/>
                <w:highlight w:val="none"/>
                <w:lang w:val="en-US" w:eastAsia="zh-CN"/>
              </w:rPr>
              <w:t>均</w:t>
            </w:r>
            <w:r>
              <w:rPr>
                <w:rFonts w:eastAsia="宋体"/>
                <w:color w:val="auto"/>
                <w:kern w:val="0"/>
                <w:sz w:val="24"/>
                <w:highlight w:val="none"/>
              </w:rPr>
              <w:t>按0.8计，则</w:t>
            </w:r>
            <w:r>
              <w:rPr>
                <w:rFonts w:hint="eastAsia" w:eastAsia="宋体"/>
                <w:color w:val="auto"/>
                <w:kern w:val="0"/>
                <w:sz w:val="24"/>
                <w:highlight w:val="none"/>
                <w:lang w:val="en-US" w:eastAsia="zh-CN"/>
              </w:rPr>
              <w:t>综合废水</w:t>
            </w:r>
            <w:r>
              <w:rPr>
                <w:rFonts w:eastAsia="宋体"/>
                <w:color w:val="auto"/>
                <w:kern w:val="0"/>
                <w:sz w:val="24"/>
                <w:highlight w:val="none"/>
              </w:rPr>
              <w:t>产生量为</w:t>
            </w:r>
            <w:r>
              <w:rPr>
                <w:rFonts w:hint="eastAsia" w:eastAsia="宋体"/>
                <w:color w:val="auto"/>
                <w:kern w:val="0"/>
                <w:sz w:val="24"/>
                <w:highlight w:val="none"/>
                <w:lang w:val="en-US" w:eastAsia="zh-CN"/>
              </w:rPr>
              <w:t>1620t</w:t>
            </w:r>
            <w:r>
              <w:rPr>
                <w:rFonts w:eastAsia="宋体"/>
                <w:color w:val="auto"/>
                <w:kern w:val="0"/>
                <w:sz w:val="24"/>
                <w:highlight w:val="none"/>
              </w:rPr>
              <w:t>/a，</w:t>
            </w:r>
            <w:r>
              <w:rPr>
                <w:rFonts w:hint="eastAsia" w:eastAsia="宋体"/>
                <w:color w:val="auto"/>
                <w:kern w:val="0"/>
                <w:sz w:val="24"/>
                <w:highlight w:val="none"/>
                <w:lang w:val="en-US" w:eastAsia="zh-CN"/>
              </w:rPr>
              <w:t>综合生活污水经隔油池+</w:t>
            </w:r>
            <w:r>
              <w:rPr>
                <w:rFonts w:eastAsia="宋体"/>
                <w:color w:val="auto"/>
                <w:kern w:val="0"/>
                <w:sz w:val="24"/>
                <w:highlight w:val="none"/>
              </w:rPr>
              <w:t>化粪池处理</w:t>
            </w:r>
            <w:r>
              <w:rPr>
                <w:rFonts w:hint="eastAsia" w:eastAsia="宋体"/>
                <w:color w:val="auto"/>
                <w:kern w:val="0"/>
                <w:sz w:val="24"/>
                <w:highlight w:val="none"/>
                <w:lang w:val="en-US" w:eastAsia="zh-CN"/>
              </w:rPr>
              <w:t>后和经</w:t>
            </w:r>
            <w:r>
              <w:rPr>
                <w:rFonts w:hint="eastAsia" w:cs="Times New Roman"/>
                <w:color w:val="auto"/>
                <w:kern w:val="2"/>
                <w:sz w:val="24"/>
                <w:szCs w:val="24"/>
                <w:highlight w:val="none"/>
                <w:lang w:val="en-US" w:eastAsia="zh-CN"/>
              </w:rPr>
              <w:t>气浮混凝沉淀一体化设备</w:t>
            </w:r>
            <w:r>
              <w:rPr>
                <w:rFonts w:eastAsia="宋体"/>
                <w:color w:val="auto"/>
                <w:kern w:val="0"/>
                <w:sz w:val="24"/>
                <w:szCs w:val="24"/>
                <w:highlight w:val="none"/>
              </w:rPr>
              <w:t>处</w:t>
            </w:r>
            <w:r>
              <w:rPr>
                <w:rFonts w:eastAsia="宋体"/>
                <w:color w:val="auto"/>
                <w:kern w:val="0"/>
                <w:sz w:val="24"/>
                <w:highlight w:val="none"/>
              </w:rPr>
              <w:t>理</w:t>
            </w:r>
            <w:r>
              <w:rPr>
                <w:rFonts w:hint="eastAsia" w:eastAsia="宋体"/>
                <w:color w:val="auto"/>
                <w:kern w:val="0"/>
                <w:sz w:val="24"/>
                <w:highlight w:val="none"/>
                <w:lang w:val="en-US" w:eastAsia="zh-CN"/>
              </w:rPr>
              <w:t>的清洗废水</w:t>
            </w:r>
            <w:r>
              <w:rPr>
                <w:rFonts w:eastAsia="宋体"/>
                <w:color w:val="auto"/>
                <w:kern w:val="0"/>
                <w:sz w:val="24"/>
                <w:highlight w:val="none"/>
              </w:rPr>
              <w:t>最终接管排入</w:t>
            </w:r>
            <w:r>
              <w:rPr>
                <w:rFonts w:hint="eastAsia" w:ascii="宋体" w:hAnsi="宋体"/>
                <w:color w:val="auto"/>
                <w:sz w:val="24"/>
                <w:szCs w:val="24"/>
                <w:highlight w:val="none"/>
              </w:rPr>
              <w:t>涟水经济开发区西区污水处理厂</w:t>
            </w:r>
            <w:r>
              <w:rPr>
                <w:rFonts w:eastAsia="宋体"/>
                <w:color w:val="auto"/>
                <w:kern w:val="0"/>
                <w:sz w:val="24"/>
                <w:highlight w:val="none"/>
              </w:rPr>
              <w:t>进一步集中处理</w:t>
            </w:r>
            <w:r>
              <w:rPr>
                <w:rFonts w:hint="eastAsia" w:eastAsia="宋体"/>
                <w:color w:val="auto"/>
                <w:kern w:val="0"/>
                <w:sz w:val="24"/>
                <w:highlight w:val="none"/>
                <w:lang w:eastAsia="zh-CN"/>
              </w:rPr>
              <w:t>。</w:t>
            </w:r>
          </w:p>
          <w:p w14:paraId="2A6A91D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eastAsia="宋体"/>
                <w:bCs/>
                <w:color w:val="auto"/>
                <w:sz w:val="24"/>
                <w:szCs w:val="24"/>
                <w:highlight w:val="none"/>
                <w:lang w:val="en-US" w:eastAsia="zh-CN"/>
              </w:rPr>
            </w:pPr>
            <w:r>
              <w:rPr>
                <w:rFonts w:hint="eastAsia" w:ascii="宋体" w:hAnsi="宋体"/>
                <w:color w:val="auto"/>
                <w:sz w:val="24"/>
                <w:highlight w:val="none"/>
              </w:rPr>
              <w:t>①</w:t>
            </w:r>
            <w:r>
              <w:rPr>
                <w:rFonts w:hint="eastAsia" w:ascii="宋体" w:hAnsi="宋体" w:eastAsia="宋体" w:cs="宋体"/>
                <w:color w:val="auto"/>
                <w:sz w:val="24"/>
                <w:lang w:val="en-US" w:eastAsia="zh-CN"/>
              </w:rPr>
              <w:t>生活污水</w:t>
            </w:r>
          </w:p>
          <w:p w14:paraId="020AE56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eastAsia="宋体"/>
                <w:color w:val="auto"/>
                <w:kern w:val="0"/>
                <w:sz w:val="24"/>
                <w:highlight w:val="none"/>
              </w:rPr>
            </w:pPr>
            <w:r>
              <w:rPr>
                <w:color w:val="auto"/>
                <w:sz w:val="24"/>
                <w:highlight w:val="none"/>
              </w:rPr>
              <w:t>生活用水总用量为</w:t>
            </w:r>
            <w:r>
              <w:rPr>
                <w:rFonts w:hint="eastAsia"/>
                <w:color w:val="auto"/>
                <w:sz w:val="24"/>
                <w:highlight w:val="none"/>
                <w:lang w:val="en-US" w:eastAsia="zh-CN"/>
              </w:rPr>
              <w:t>1200t</w:t>
            </w:r>
            <w:r>
              <w:rPr>
                <w:color w:val="auto"/>
                <w:sz w:val="24"/>
                <w:highlight w:val="none"/>
              </w:rPr>
              <w:t>/a</w:t>
            </w:r>
            <w:r>
              <w:rPr>
                <w:rFonts w:hint="eastAsia"/>
                <w:color w:val="auto"/>
                <w:sz w:val="24"/>
                <w:highlight w:val="none"/>
                <w:lang w:eastAsia="zh-CN"/>
              </w:rPr>
              <w:t>，</w:t>
            </w:r>
            <w:r>
              <w:rPr>
                <w:rFonts w:eastAsia="宋体"/>
                <w:color w:val="auto"/>
                <w:kern w:val="0"/>
                <w:sz w:val="24"/>
                <w:highlight w:val="none"/>
              </w:rPr>
              <w:t>生活污水排污系数按0.8计，则生活污水产生量为</w:t>
            </w:r>
            <w:r>
              <w:rPr>
                <w:rFonts w:hint="eastAsia" w:eastAsia="宋体"/>
                <w:color w:val="auto"/>
                <w:kern w:val="0"/>
                <w:sz w:val="24"/>
                <w:highlight w:val="none"/>
                <w:lang w:val="en-US" w:eastAsia="zh-CN"/>
              </w:rPr>
              <w:t>960t</w:t>
            </w:r>
            <w:r>
              <w:rPr>
                <w:rFonts w:eastAsia="宋体"/>
                <w:color w:val="auto"/>
                <w:kern w:val="0"/>
                <w:sz w:val="24"/>
                <w:highlight w:val="none"/>
              </w:rPr>
              <w:t>/a，生活污水</w:t>
            </w:r>
            <w:r>
              <w:rPr>
                <w:rFonts w:hint="eastAsia" w:eastAsia="宋体"/>
                <w:color w:val="auto"/>
                <w:kern w:val="0"/>
                <w:sz w:val="24"/>
                <w:highlight w:val="none"/>
                <w:lang w:val="en-US" w:eastAsia="zh-CN"/>
              </w:rPr>
              <w:t>经</w:t>
            </w:r>
            <w:r>
              <w:rPr>
                <w:rFonts w:eastAsia="宋体"/>
                <w:color w:val="auto"/>
                <w:kern w:val="0"/>
                <w:sz w:val="24"/>
                <w:highlight w:val="none"/>
              </w:rPr>
              <w:t>化粪池处理后，最终接管排入</w:t>
            </w:r>
            <w:r>
              <w:rPr>
                <w:rFonts w:hint="eastAsia" w:ascii="宋体" w:hAnsi="宋体"/>
                <w:color w:val="auto"/>
                <w:sz w:val="24"/>
                <w:szCs w:val="24"/>
                <w:highlight w:val="none"/>
              </w:rPr>
              <w:t>涟水经济开发区西区污水处理厂</w:t>
            </w:r>
            <w:r>
              <w:rPr>
                <w:rFonts w:eastAsia="宋体"/>
                <w:color w:val="auto"/>
                <w:kern w:val="0"/>
                <w:sz w:val="24"/>
                <w:highlight w:val="none"/>
              </w:rPr>
              <w:t>进一步集中处理。</w:t>
            </w:r>
          </w:p>
          <w:p w14:paraId="5906DDD3">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eastAsia="宋体"/>
                <w:color w:val="auto"/>
                <w:kern w:val="0"/>
                <w:sz w:val="24"/>
                <w:highlight w:val="none"/>
                <w:lang w:val="en-US" w:eastAsia="zh-CN"/>
              </w:rPr>
            </w:pPr>
            <w:r>
              <w:rPr>
                <w:bCs/>
                <w:color w:val="auto"/>
                <w:sz w:val="24"/>
                <w:highlight w:val="none"/>
              </w:rPr>
              <w:t>②</w:t>
            </w:r>
            <w:r>
              <w:rPr>
                <w:rFonts w:hint="eastAsia" w:eastAsia="宋体"/>
                <w:color w:val="auto"/>
                <w:kern w:val="0"/>
                <w:sz w:val="24"/>
                <w:highlight w:val="none"/>
                <w:lang w:val="en-US" w:eastAsia="zh-CN"/>
              </w:rPr>
              <w:t>食堂废水</w:t>
            </w:r>
          </w:p>
          <w:p w14:paraId="791A30C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eastAsia="宋体"/>
                <w:color w:val="auto"/>
                <w:kern w:val="0"/>
                <w:sz w:val="24"/>
                <w:highlight w:val="none"/>
              </w:rPr>
            </w:pPr>
            <w:r>
              <w:rPr>
                <w:rFonts w:hint="eastAsia"/>
                <w:color w:val="auto"/>
                <w:sz w:val="24"/>
                <w:highlight w:val="none"/>
                <w:lang w:val="en-US" w:eastAsia="zh-CN"/>
              </w:rPr>
              <w:t>食堂</w:t>
            </w:r>
            <w:r>
              <w:rPr>
                <w:color w:val="auto"/>
                <w:sz w:val="24"/>
                <w:highlight w:val="none"/>
              </w:rPr>
              <w:t>用</w:t>
            </w:r>
            <w:r>
              <w:rPr>
                <w:rFonts w:hint="eastAsia"/>
                <w:color w:val="auto"/>
                <w:sz w:val="24"/>
                <w:highlight w:val="none"/>
                <w:lang w:val="en-US" w:eastAsia="zh-CN"/>
              </w:rPr>
              <w:t>水</w:t>
            </w:r>
            <w:r>
              <w:rPr>
                <w:color w:val="auto"/>
                <w:sz w:val="24"/>
                <w:highlight w:val="none"/>
              </w:rPr>
              <w:t>量为</w:t>
            </w:r>
            <w:r>
              <w:rPr>
                <w:rFonts w:hint="eastAsia"/>
                <w:color w:val="auto"/>
                <w:sz w:val="24"/>
                <w:highlight w:val="none"/>
                <w:lang w:val="en-US" w:eastAsia="zh-CN"/>
              </w:rPr>
              <w:t>225t</w:t>
            </w:r>
            <w:r>
              <w:rPr>
                <w:color w:val="auto"/>
                <w:sz w:val="24"/>
                <w:highlight w:val="none"/>
              </w:rPr>
              <w:t>/a</w:t>
            </w:r>
            <w:r>
              <w:rPr>
                <w:rFonts w:hint="eastAsia"/>
                <w:color w:val="auto"/>
                <w:sz w:val="24"/>
                <w:highlight w:val="none"/>
                <w:lang w:eastAsia="zh-CN"/>
              </w:rPr>
              <w:t>，</w:t>
            </w:r>
            <w:r>
              <w:rPr>
                <w:rFonts w:eastAsia="宋体"/>
                <w:color w:val="auto"/>
                <w:kern w:val="0"/>
                <w:sz w:val="24"/>
                <w:highlight w:val="none"/>
              </w:rPr>
              <w:t>排污系数按0.8计，则</w:t>
            </w:r>
            <w:r>
              <w:rPr>
                <w:rFonts w:hint="eastAsia" w:eastAsia="宋体"/>
                <w:color w:val="auto"/>
                <w:kern w:val="0"/>
                <w:sz w:val="24"/>
                <w:highlight w:val="none"/>
                <w:lang w:val="en-US" w:eastAsia="zh-CN"/>
              </w:rPr>
              <w:t>食堂废水</w:t>
            </w:r>
            <w:r>
              <w:rPr>
                <w:rFonts w:eastAsia="宋体"/>
                <w:color w:val="auto"/>
                <w:kern w:val="0"/>
                <w:sz w:val="24"/>
                <w:highlight w:val="none"/>
              </w:rPr>
              <w:t>产生量为</w:t>
            </w:r>
            <w:r>
              <w:rPr>
                <w:rFonts w:hint="eastAsia" w:eastAsia="宋体"/>
                <w:color w:val="auto"/>
                <w:kern w:val="0"/>
                <w:sz w:val="24"/>
                <w:highlight w:val="none"/>
                <w:lang w:val="en-US" w:eastAsia="zh-CN"/>
              </w:rPr>
              <w:t>180t</w:t>
            </w:r>
            <w:r>
              <w:rPr>
                <w:rFonts w:eastAsia="宋体"/>
                <w:color w:val="auto"/>
                <w:kern w:val="0"/>
                <w:sz w:val="24"/>
                <w:highlight w:val="none"/>
              </w:rPr>
              <w:t>/a，</w:t>
            </w:r>
            <w:r>
              <w:rPr>
                <w:rFonts w:hint="eastAsia" w:eastAsia="宋体"/>
                <w:color w:val="auto"/>
                <w:kern w:val="0"/>
                <w:sz w:val="24"/>
                <w:highlight w:val="none"/>
                <w:lang w:val="en-US" w:eastAsia="zh-CN"/>
              </w:rPr>
              <w:t>食堂废水经隔油池+</w:t>
            </w:r>
            <w:r>
              <w:rPr>
                <w:rFonts w:eastAsia="宋体"/>
                <w:color w:val="auto"/>
                <w:kern w:val="0"/>
                <w:sz w:val="24"/>
                <w:highlight w:val="none"/>
              </w:rPr>
              <w:t>化粪池处理后，最终接管排入</w:t>
            </w:r>
            <w:r>
              <w:rPr>
                <w:rFonts w:hint="eastAsia" w:ascii="宋体" w:hAnsi="宋体"/>
                <w:color w:val="auto"/>
                <w:sz w:val="24"/>
                <w:szCs w:val="24"/>
                <w:highlight w:val="none"/>
              </w:rPr>
              <w:t>涟水经济开发区西区污水处理厂</w:t>
            </w:r>
            <w:r>
              <w:rPr>
                <w:rFonts w:eastAsia="宋体"/>
                <w:color w:val="auto"/>
                <w:kern w:val="0"/>
                <w:sz w:val="24"/>
                <w:highlight w:val="none"/>
              </w:rPr>
              <w:t>进一步集中处理。</w:t>
            </w:r>
          </w:p>
          <w:p w14:paraId="48C5818C">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eastAsia="宋体"/>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w:t>
            </w:r>
            <w:r>
              <w:rPr>
                <w:rFonts w:hint="eastAsia" w:eastAsia="宋体"/>
                <w:color w:val="auto"/>
                <w:kern w:val="0"/>
                <w:sz w:val="24"/>
                <w:highlight w:val="none"/>
                <w:lang w:val="en-US" w:eastAsia="zh-CN"/>
              </w:rPr>
              <w:t>超声波清洗废水</w:t>
            </w:r>
          </w:p>
          <w:p w14:paraId="29293538">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color w:val="auto"/>
              </w:rPr>
            </w:pPr>
            <w:r>
              <w:rPr>
                <w:rFonts w:hint="eastAsia" w:eastAsia="宋体"/>
                <w:color w:val="auto"/>
                <w:kern w:val="0"/>
                <w:sz w:val="24"/>
                <w:highlight w:val="none"/>
                <w:lang w:val="en-US" w:eastAsia="zh-CN"/>
              </w:rPr>
              <w:t>超声波清洗废水</w:t>
            </w:r>
            <w:r>
              <w:rPr>
                <w:rFonts w:eastAsia="宋体"/>
                <w:color w:val="auto"/>
                <w:kern w:val="0"/>
                <w:sz w:val="24"/>
                <w:highlight w:val="none"/>
              </w:rPr>
              <w:t>产生量为</w:t>
            </w:r>
            <w:r>
              <w:rPr>
                <w:rFonts w:hint="eastAsia" w:eastAsia="宋体"/>
                <w:color w:val="auto"/>
                <w:kern w:val="0"/>
                <w:sz w:val="24"/>
                <w:highlight w:val="none"/>
                <w:lang w:val="en-US" w:eastAsia="zh-CN"/>
              </w:rPr>
              <w:t>480t</w:t>
            </w:r>
            <w:r>
              <w:rPr>
                <w:rFonts w:eastAsia="宋体"/>
                <w:color w:val="auto"/>
                <w:kern w:val="0"/>
                <w:sz w:val="24"/>
                <w:highlight w:val="none"/>
              </w:rPr>
              <w:t>/a，</w:t>
            </w:r>
            <w:r>
              <w:rPr>
                <w:rFonts w:hint="eastAsia" w:eastAsia="宋体"/>
                <w:color w:val="auto"/>
                <w:kern w:val="0"/>
                <w:sz w:val="24"/>
                <w:szCs w:val="24"/>
                <w:highlight w:val="none"/>
                <w:lang w:val="en-US" w:eastAsia="zh-CN"/>
              </w:rPr>
              <w:t>经</w:t>
            </w:r>
            <w:r>
              <w:rPr>
                <w:rFonts w:hint="eastAsia" w:cs="Times New Roman"/>
                <w:color w:val="auto"/>
                <w:kern w:val="2"/>
                <w:sz w:val="24"/>
                <w:szCs w:val="24"/>
                <w:highlight w:val="none"/>
                <w:lang w:val="en-US" w:eastAsia="zh-CN"/>
              </w:rPr>
              <w:t>气浮+混凝沉淀池</w:t>
            </w:r>
            <w:r>
              <w:rPr>
                <w:rFonts w:eastAsia="宋体"/>
                <w:color w:val="auto"/>
                <w:kern w:val="0"/>
                <w:sz w:val="24"/>
                <w:szCs w:val="24"/>
                <w:highlight w:val="none"/>
              </w:rPr>
              <w:t>处</w:t>
            </w:r>
            <w:r>
              <w:rPr>
                <w:rFonts w:eastAsia="宋体"/>
                <w:color w:val="auto"/>
                <w:kern w:val="0"/>
                <w:sz w:val="24"/>
                <w:highlight w:val="none"/>
              </w:rPr>
              <w:t>理后，最终接管排入</w:t>
            </w:r>
            <w:r>
              <w:rPr>
                <w:rFonts w:hint="eastAsia" w:ascii="宋体" w:hAnsi="宋体"/>
                <w:color w:val="auto"/>
                <w:sz w:val="24"/>
                <w:szCs w:val="24"/>
                <w:highlight w:val="none"/>
              </w:rPr>
              <w:t>涟水经济开发区西区污水处理厂</w:t>
            </w:r>
            <w:r>
              <w:rPr>
                <w:rFonts w:eastAsia="宋体"/>
                <w:color w:val="auto"/>
                <w:kern w:val="0"/>
                <w:sz w:val="24"/>
                <w:highlight w:val="none"/>
              </w:rPr>
              <w:t>进一步集中处理。</w:t>
            </w:r>
          </w:p>
          <w:p w14:paraId="69DD2B1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eastAsia="宋体"/>
                <w:color w:val="auto"/>
                <w:szCs w:val="24"/>
                <w:highlight w:val="none"/>
              </w:rPr>
            </w:pPr>
            <w:r>
              <w:rPr>
                <w:rFonts w:eastAsia="宋体"/>
                <w:bCs/>
                <w:color w:val="auto"/>
                <w:sz w:val="24"/>
                <w:szCs w:val="24"/>
                <w:highlight w:val="none"/>
              </w:rPr>
              <w:t>项目水平衡图见下图。</w:t>
            </w:r>
          </w:p>
          <w:p w14:paraId="4CFEFB03">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eastAsiaTheme="minorEastAsia"/>
                <w:color w:val="auto"/>
                <w:highlight w:val="none"/>
                <w:lang w:eastAsia="zh-CN"/>
              </w:rPr>
              <w:object>
                <v:shape id="_x0000_i1025" o:spt="75" type="#_x0000_t75" style="height:261.75pt;width:402pt;" o:ole="t" filled="f" o:preferrelative="t" stroked="f" coordsize="21600,21600">
                  <v:path/>
                  <v:fill on="f" focussize="0,0"/>
                  <v:stroke on="f"/>
                  <v:imagedata r:id="rId12" o:title=""/>
                  <o:lock v:ext="edit" aspectratio="t"/>
                  <w10:wrap type="none"/>
                  <w10:anchorlock/>
                </v:shape>
                <o:OLEObject Type="Link" ProgID="Visio.Drawing.15" ShapeID="_x0000_i1025" UpdateMode="Always" DrawAspect="Content" ObjectID="_1468075725" r:id="rId13">
                  <o:LinkType>EnhancedMetaFile</o:LinkType>
                  <o:LockedField>false</o:LockedField>
                  <o:FieldCodes>\f 0</o:FieldCodes>
                </o:OLEObject>
              </w:object>
            </w:r>
          </w:p>
          <w:p w14:paraId="7805F3E6">
            <w:pPr>
              <w:pStyle w:val="156"/>
              <w:keepNext w:val="0"/>
              <w:keepLines w:val="0"/>
              <w:suppressLineNumbers w:val="0"/>
              <w:snapToGrid w:val="0"/>
              <w:spacing w:before="0" w:beforeLines="50" w:beforeAutospacing="0" w:after="0" w:afterAutospacing="0"/>
              <w:ind w:left="0" w:right="0"/>
              <w:jc w:val="center"/>
              <w:rPr>
                <w:color w:val="auto"/>
                <w:sz w:val="24"/>
                <w:highlight w:val="none"/>
              </w:rPr>
            </w:pPr>
            <w:r>
              <w:rPr>
                <w:rFonts w:ascii="Times New Roman" w:hAnsi="Times New Roman" w:cs="Times New Roman"/>
                <w:b/>
                <w:color w:val="auto"/>
                <w:sz w:val="24"/>
                <w:szCs w:val="24"/>
                <w:highlight w:val="none"/>
              </w:rPr>
              <w:t>图2-1  建设项目水平衡图</w:t>
            </w:r>
            <w:r>
              <w:rPr>
                <w:rFonts w:hint="eastAsia"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单位：</w:t>
            </w:r>
            <w:r>
              <w:rPr>
                <w:rFonts w:hint="eastAsia" w:ascii="Times New Roman" w:hAnsi="Times New Roman" w:cs="Times New Roman"/>
                <w:b/>
                <w:color w:val="auto"/>
                <w:sz w:val="24"/>
                <w:szCs w:val="24"/>
                <w:highlight w:val="none"/>
                <w:lang w:val="en-US" w:eastAsia="zh-CN"/>
              </w:rPr>
              <w:t>t</w:t>
            </w:r>
            <w:r>
              <w:rPr>
                <w:rFonts w:ascii="Times New Roman" w:hAnsi="Times New Roman" w:cs="Times New Roman"/>
                <w:b/>
                <w:color w:val="auto"/>
                <w:sz w:val="24"/>
                <w:szCs w:val="24"/>
                <w:highlight w:val="none"/>
              </w:rPr>
              <w:t>/a</w:t>
            </w:r>
          </w:p>
          <w:p w14:paraId="7900BD46">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rFonts w:hint="eastAsia"/>
                <w:b/>
                <w:color w:val="auto"/>
                <w:kern w:val="0"/>
                <w:sz w:val="24"/>
                <w:highlight w:val="none"/>
              </w:rPr>
              <w:t>7</w:t>
            </w:r>
            <w:r>
              <w:rPr>
                <w:b/>
                <w:color w:val="auto"/>
                <w:kern w:val="0"/>
                <w:sz w:val="24"/>
                <w:highlight w:val="none"/>
                <w:lang w:val="zh-CN"/>
              </w:rPr>
              <w:t>.</w:t>
            </w:r>
            <w:r>
              <w:rPr>
                <w:rFonts w:hAnsi="宋体"/>
                <w:b/>
                <w:color w:val="auto"/>
                <w:kern w:val="0"/>
                <w:sz w:val="24"/>
                <w:highlight w:val="none"/>
                <w:lang w:val="zh-CN"/>
              </w:rPr>
              <w:t>平面布置</w:t>
            </w:r>
          </w:p>
          <w:p w14:paraId="25B5596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color w:val="auto"/>
                <w:sz w:val="24"/>
                <w:highlight w:val="none"/>
              </w:rPr>
              <w:t>建设</w:t>
            </w:r>
            <w:r>
              <w:rPr>
                <w:color w:val="auto"/>
                <w:sz w:val="24"/>
                <w:highlight w:val="none"/>
                <w:lang w:val="zh-CN"/>
              </w:rPr>
              <w:t>项目位于</w:t>
            </w:r>
            <w:r>
              <w:rPr>
                <w:rFonts w:hint="eastAsia" w:hAnsi="宋体"/>
                <w:color w:val="auto"/>
                <w:sz w:val="24"/>
                <w:highlight w:val="none"/>
                <w:lang w:eastAsia="zh-CN"/>
              </w:rPr>
              <w:t>江苏省淮安市涟水县经济开发区模架产业园北侧、科佳五轴机床东侧</w:t>
            </w:r>
            <w:r>
              <w:rPr>
                <w:color w:val="auto"/>
                <w:sz w:val="24"/>
                <w:highlight w:val="none"/>
                <w:lang w:val="zh-CN"/>
              </w:rPr>
              <w:t>，项目</w:t>
            </w:r>
            <w:r>
              <w:rPr>
                <w:rFonts w:hint="eastAsia"/>
                <w:color w:val="auto"/>
                <w:sz w:val="24"/>
                <w:highlight w:val="none"/>
              </w:rPr>
              <w:t>东侧</w:t>
            </w:r>
            <w:r>
              <w:rPr>
                <w:rFonts w:hint="eastAsia"/>
                <w:color w:val="auto"/>
                <w:sz w:val="24"/>
                <w:highlight w:val="none"/>
                <w:lang w:val="en-US" w:eastAsia="zh-CN"/>
              </w:rPr>
              <w:t>为新港路，再向东为</w:t>
            </w:r>
            <w:r>
              <w:rPr>
                <w:rFonts w:hint="eastAsia"/>
                <w:color w:val="auto"/>
                <w:sz w:val="24"/>
              </w:rPr>
              <w:t>杂姓庄</w:t>
            </w:r>
            <w:r>
              <w:rPr>
                <w:rFonts w:hint="eastAsia"/>
                <w:color w:val="auto"/>
                <w:sz w:val="24"/>
                <w:lang w:eastAsia="zh-CN"/>
              </w:rPr>
              <w:t>（</w:t>
            </w:r>
            <w:r>
              <w:rPr>
                <w:rFonts w:hint="eastAsia"/>
                <w:color w:val="auto"/>
                <w:sz w:val="24"/>
              </w:rPr>
              <w:t>现已拆除</w:t>
            </w:r>
            <w:r>
              <w:rPr>
                <w:rFonts w:hint="eastAsia"/>
                <w:color w:val="auto"/>
                <w:sz w:val="24"/>
                <w:lang w:eastAsia="zh-CN"/>
              </w:rPr>
              <w:t>）</w:t>
            </w:r>
            <w:r>
              <w:rPr>
                <w:rFonts w:hint="eastAsia"/>
                <w:color w:val="auto"/>
                <w:sz w:val="24"/>
                <w:highlight w:val="none"/>
              </w:rPr>
              <w:t>，南</w:t>
            </w:r>
            <w:r>
              <w:rPr>
                <w:rFonts w:hint="eastAsia"/>
                <w:color w:val="auto"/>
                <w:sz w:val="24"/>
                <w:highlight w:val="none"/>
                <w:lang w:val="zh-CN"/>
              </w:rPr>
              <w:t>侧</w:t>
            </w:r>
            <w:r>
              <w:rPr>
                <w:color w:val="auto"/>
                <w:sz w:val="24"/>
              </w:rPr>
              <w:t>为</w:t>
            </w:r>
            <w:r>
              <w:rPr>
                <w:rFonts w:hint="eastAsia"/>
                <w:color w:val="auto"/>
                <w:sz w:val="24"/>
                <w:lang w:val="en-US" w:eastAsia="zh-CN"/>
              </w:rPr>
              <w:t>涟古公路</w:t>
            </w:r>
            <w:r>
              <w:rPr>
                <w:rFonts w:hint="eastAsia"/>
                <w:color w:val="auto"/>
                <w:sz w:val="24"/>
                <w:highlight w:val="none"/>
              </w:rPr>
              <w:t>，西</w:t>
            </w:r>
            <w:r>
              <w:rPr>
                <w:color w:val="auto"/>
                <w:sz w:val="24"/>
                <w:highlight w:val="none"/>
                <w:lang w:val="zh-CN"/>
              </w:rPr>
              <w:t>侧</w:t>
            </w:r>
            <w:r>
              <w:rPr>
                <w:rFonts w:hint="eastAsia"/>
                <w:color w:val="auto"/>
                <w:sz w:val="24"/>
                <w:highlight w:val="none"/>
              </w:rPr>
              <w:t>为</w:t>
            </w:r>
            <w:r>
              <w:rPr>
                <w:rFonts w:hint="eastAsia"/>
                <w:color w:val="auto"/>
                <w:sz w:val="24"/>
                <w:highlight w:val="none"/>
                <w:lang w:val="en-US" w:eastAsia="zh-CN"/>
              </w:rPr>
              <w:t>江苏科佳高端智能装备有限公司</w:t>
            </w:r>
            <w:r>
              <w:rPr>
                <w:rFonts w:hint="eastAsia"/>
                <w:color w:val="auto"/>
                <w:sz w:val="24"/>
              </w:rPr>
              <w:t>，再向西为王庄</w:t>
            </w:r>
            <w:r>
              <w:rPr>
                <w:rFonts w:hint="eastAsia"/>
                <w:color w:val="auto"/>
                <w:sz w:val="24"/>
                <w:lang w:eastAsia="zh-CN"/>
              </w:rPr>
              <w:t>（</w:t>
            </w:r>
            <w:r>
              <w:rPr>
                <w:rFonts w:hint="eastAsia"/>
                <w:color w:val="auto"/>
                <w:sz w:val="24"/>
              </w:rPr>
              <w:t>现已拆除</w:t>
            </w:r>
            <w:r>
              <w:rPr>
                <w:rFonts w:hint="eastAsia"/>
                <w:color w:val="auto"/>
                <w:sz w:val="24"/>
                <w:lang w:eastAsia="zh-CN"/>
              </w:rPr>
              <w:t>），</w:t>
            </w:r>
            <w:r>
              <w:rPr>
                <w:rFonts w:hint="eastAsia"/>
                <w:color w:val="auto"/>
                <w:sz w:val="24"/>
                <w:highlight w:val="none"/>
                <w:lang w:val="zh-CN"/>
              </w:rPr>
              <w:t>北侧为</w:t>
            </w:r>
            <w:r>
              <w:rPr>
                <w:rFonts w:hint="eastAsia"/>
                <w:color w:val="auto"/>
                <w:sz w:val="24"/>
                <w:highlight w:val="none"/>
                <w:lang w:val="en-US" w:eastAsia="zh-CN"/>
              </w:rPr>
              <w:t>空地</w:t>
            </w:r>
            <w:r>
              <w:rPr>
                <w:color w:val="auto"/>
                <w:sz w:val="24"/>
                <w:highlight w:val="none"/>
                <w:lang w:val="zh-CN"/>
              </w:rPr>
              <w:t>。</w:t>
            </w:r>
          </w:p>
          <w:p w14:paraId="36A51B50">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lang w:val="zh-CN"/>
              </w:rPr>
            </w:pPr>
            <w:r>
              <w:rPr>
                <w:rFonts w:hint="eastAsia" w:hAnsi="宋体"/>
                <w:color w:val="auto"/>
                <w:sz w:val="24"/>
                <w:highlight w:val="none"/>
                <w:lang w:val="en-US" w:eastAsia="zh-CN"/>
              </w:rPr>
              <w:t>企业</w:t>
            </w:r>
            <w:r>
              <w:rPr>
                <w:rFonts w:hint="eastAsia" w:hAnsi="宋体"/>
                <w:color w:val="auto"/>
                <w:sz w:val="24"/>
                <w:highlight w:val="none"/>
              </w:rPr>
              <w:t>共</w:t>
            </w:r>
            <w:r>
              <w:rPr>
                <w:rFonts w:hint="eastAsia" w:hAnsi="宋体"/>
                <w:color w:val="auto"/>
                <w:sz w:val="24"/>
                <w:highlight w:val="none"/>
                <w:lang w:val="en-US" w:eastAsia="zh-CN"/>
              </w:rPr>
              <w:t>新建3</w:t>
            </w:r>
            <w:r>
              <w:rPr>
                <w:rFonts w:hint="eastAsia" w:hAnsi="宋体"/>
                <w:color w:val="auto"/>
                <w:sz w:val="24"/>
                <w:highlight w:val="none"/>
              </w:rPr>
              <w:t>栋厂房</w:t>
            </w:r>
            <w:r>
              <w:rPr>
                <w:rFonts w:hint="eastAsia" w:hAnsi="宋体"/>
                <w:color w:val="auto"/>
                <w:sz w:val="24"/>
                <w:highlight w:val="none"/>
                <w:lang w:eastAsia="zh-CN"/>
              </w:rPr>
              <w:t>、</w:t>
            </w:r>
            <w:r>
              <w:rPr>
                <w:rFonts w:hint="eastAsia" w:hAnsi="宋体"/>
                <w:color w:val="auto"/>
                <w:sz w:val="24"/>
                <w:highlight w:val="none"/>
                <w:lang w:val="en-US" w:eastAsia="zh-CN"/>
              </w:rPr>
              <w:t>1座固废库、1座办公楼和1座门卫室</w:t>
            </w:r>
            <w:r>
              <w:rPr>
                <w:rFonts w:hAnsi="宋体"/>
                <w:color w:val="auto"/>
                <w:sz w:val="24"/>
                <w:highlight w:val="none"/>
                <w:lang w:val="zh-CN"/>
              </w:rPr>
              <w:t>，</w:t>
            </w:r>
            <w:r>
              <w:rPr>
                <w:rFonts w:hint="eastAsia" w:hAnsi="宋体"/>
                <w:color w:val="auto"/>
                <w:sz w:val="24"/>
                <w:highlight w:val="none"/>
                <w:lang w:val="en-US" w:eastAsia="zh-CN"/>
              </w:rPr>
              <w:t>1#</w:t>
            </w:r>
            <w:r>
              <w:rPr>
                <w:rFonts w:hint="eastAsia" w:hAnsi="宋体"/>
                <w:color w:val="auto"/>
                <w:sz w:val="24"/>
                <w:highlight w:val="none"/>
              </w:rPr>
              <w:t>厂房</w:t>
            </w:r>
            <w:r>
              <w:rPr>
                <w:rFonts w:hint="eastAsia" w:hAnsi="宋体"/>
                <w:color w:val="auto"/>
                <w:sz w:val="24"/>
                <w:highlight w:val="none"/>
                <w:lang w:val="en-US" w:eastAsia="zh-CN"/>
              </w:rPr>
              <w:t>位于厂区东南侧，</w:t>
            </w:r>
            <w:r>
              <w:rPr>
                <w:rFonts w:hint="eastAsia" w:hAnsi="宋体"/>
                <w:color w:val="auto"/>
                <w:sz w:val="24"/>
                <w:highlight w:val="none"/>
              </w:rPr>
              <w:t>共有</w:t>
            </w:r>
            <w:r>
              <w:rPr>
                <w:rFonts w:hint="eastAsia" w:hAnsi="宋体"/>
                <w:color w:val="auto"/>
                <w:sz w:val="24"/>
                <w:highlight w:val="none"/>
                <w:lang w:val="en-US" w:eastAsia="zh-CN"/>
              </w:rPr>
              <w:t>3</w:t>
            </w:r>
            <w:r>
              <w:rPr>
                <w:rFonts w:hint="eastAsia" w:hAnsi="宋体"/>
                <w:color w:val="auto"/>
                <w:sz w:val="24"/>
                <w:highlight w:val="none"/>
              </w:rPr>
              <w:t>层</w:t>
            </w:r>
            <w:r>
              <w:rPr>
                <w:rFonts w:hint="eastAsia" w:hAnsi="宋体"/>
                <w:color w:val="auto"/>
                <w:sz w:val="24"/>
                <w:highlight w:val="none"/>
                <w:lang w:eastAsia="zh-CN"/>
              </w:rPr>
              <w:t>（</w:t>
            </w:r>
            <w:r>
              <w:rPr>
                <w:rFonts w:hint="eastAsia" w:hAnsi="宋体"/>
                <w:color w:val="auto"/>
                <w:sz w:val="24"/>
                <w:highlight w:val="none"/>
              </w:rPr>
              <w:t>其中一层主要布置仓库和展示厅，二层主要布置仓库和机加工区，三层布置机加工区和检验</w:t>
            </w:r>
            <w:r>
              <w:rPr>
                <w:rFonts w:hint="eastAsia" w:hAnsi="宋体"/>
                <w:color w:val="auto"/>
                <w:sz w:val="24"/>
                <w:szCs w:val="24"/>
                <w:highlight w:val="none"/>
                <w:lang w:val="en-US" w:eastAsia="zh-CN"/>
              </w:rPr>
              <w:t>区）</w:t>
            </w:r>
            <w:r>
              <w:rPr>
                <w:rFonts w:hint="eastAsia" w:hAnsi="宋体"/>
                <w:color w:val="auto"/>
                <w:sz w:val="24"/>
                <w:highlight w:val="none"/>
                <w:lang w:eastAsia="zh-CN"/>
              </w:rPr>
              <w:t>；</w:t>
            </w:r>
            <w:r>
              <w:rPr>
                <w:rFonts w:hint="eastAsia" w:hAnsi="宋体"/>
                <w:color w:val="auto"/>
                <w:sz w:val="24"/>
                <w:highlight w:val="none"/>
                <w:lang w:val="en-US" w:eastAsia="zh-CN"/>
              </w:rPr>
              <w:t>2#</w:t>
            </w:r>
            <w:r>
              <w:rPr>
                <w:rFonts w:hint="eastAsia" w:hAnsi="宋体"/>
                <w:color w:val="auto"/>
                <w:sz w:val="24"/>
                <w:highlight w:val="none"/>
              </w:rPr>
              <w:t>厂房</w:t>
            </w:r>
            <w:r>
              <w:rPr>
                <w:rFonts w:hint="eastAsia" w:hAnsi="宋体"/>
                <w:color w:val="auto"/>
                <w:sz w:val="24"/>
                <w:highlight w:val="none"/>
                <w:lang w:val="en-US" w:eastAsia="zh-CN"/>
              </w:rPr>
              <w:t>位于厂区西南侧，</w:t>
            </w:r>
            <w:r>
              <w:rPr>
                <w:rFonts w:hint="eastAsia" w:hAnsi="宋体"/>
                <w:color w:val="auto"/>
                <w:sz w:val="24"/>
                <w:highlight w:val="none"/>
              </w:rPr>
              <w:t>共有</w:t>
            </w:r>
            <w:r>
              <w:rPr>
                <w:rFonts w:hint="eastAsia" w:hAnsi="宋体"/>
                <w:color w:val="auto"/>
                <w:sz w:val="24"/>
                <w:highlight w:val="none"/>
                <w:lang w:val="en-US" w:eastAsia="zh-CN"/>
              </w:rPr>
              <w:t>2</w:t>
            </w:r>
            <w:r>
              <w:rPr>
                <w:rFonts w:hint="eastAsia" w:hAnsi="宋体"/>
                <w:color w:val="auto"/>
                <w:sz w:val="24"/>
                <w:highlight w:val="none"/>
              </w:rPr>
              <w:t>层</w:t>
            </w:r>
            <w:r>
              <w:rPr>
                <w:rFonts w:hint="eastAsia" w:hAnsi="宋体"/>
                <w:color w:val="auto"/>
                <w:sz w:val="24"/>
                <w:highlight w:val="none"/>
                <w:lang w:eastAsia="zh-CN"/>
              </w:rPr>
              <w:t>（一层和二层均布置为机加工区）；</w:t>
            </w:r>
            <w:r>
              <w:rPr>
                <w:rFonts w:hint="eastAsia" w:hAnsi="宋体"/>
                <w:color w:val="auto"/>
                <w:sz w:val="24"/>
                <w:highlight w:val="none"/>
                <w:lang w:val="en-US" w:eastAsia="zh-CN"/>
              </w:rPr>
              <w:t>3#</w:t>
            </w:r>
            <w:r>
              <w:rPr>
                <w:rFonts w:hint="eastAsia" w:hAnsi="宋体"/>
                <w:color w:val="auto"/>
                <w:sz w:val="24"/>
                <w:highlight w:val="none"/>
              </w:rPr>
              <w:t>厂房</w:t>
            </w:r>
            <w:r>
              <w:rPr>
                <w:rFonts w:hint="eastAsia" w:hAnsi="宋体"/>
                <w:color w:val="auto"/>
                <w:sz w:val="24"/>
                <w:highlight w:val="none"/>
                <w:lang w:val="en-US" w:eastAsia="zh-CN"/>
              </w:rPr>
              <w:t>位于厂区东北侧，</w:t>
            </w:r>
            <w:r>
              <w:rPr>
                <w:rFonts w:hint="eastAsia" w:hAnsi="宋体"/>
                <w:color w:val="auto"/>
                <w:sz w:val="24"/>
                <w:highlight w:val="none"/>
              </w:rPr>
              <w:t>共有</w:t>
            </w:r>
            <w:r>
              <w:rPr>
                <w:rFonts w:hint="eastAsia" w:hAnsi="宋体"/>
                <w:color w:val="auto"/>
                <w:sz w:val="24"/>
                <w:highlight w:val="none"/>
                <w:lang w:val="en-US" w:eastAsia="zh-CN"/>
              </w:rPr>
              <w:t>2</w:t>
            </w:r>
            <w:r>
              <w:rPr>
                <w:rFonts w:hint="eastAsia" w:hAnsi="宋体"/>
                <w:color w:val="auto"/>
                <w:sz w:val="24"/>
                <w:highlight w:val="none"/>
              </w:rPr>
              <w:t>层</w:t>
            </w:r>
            <w:r>
              <w:rPr>
                <w:rFonts w:hint="eastAsia" w:hAnsi="宋体"/>
                <w:color w:val="auto"/>
                <w:sz w:val="24"/>
                <w:highlight w:val="none"/>
                <w:lang w:eastAsia="zh-CN"/>
              </w:rPr>
              <w:t>（一层主要布置仓库、下料区、喷漆区和喷</w:t>
            </w:r>
            <w:r>
              <w:rPr>
                <w:rFonts w:hint="eastAsia" w:hAnsi="宋体"/>
                <w:color w:val="auto"/>
                <w:sz w:val="24"/>
                <w:highlight w:val="none"/>
                <w:lang w:val="en-US" w:eastAsia="zh-CN"/>
              </w:rPr>
              <w:t>塑</w:t>
            </w:r>
            <w:r>
              <w:rPr>
                <w:rFonts w:hint="eastAsia" w:hAnsi="宋体"/>
                <w:color w:val="auto"/>
                <w:sz w:val="24"/>
                <w:highlight w:val="none"/>
                <w:lang w:eastAsia="zh-CN"/>
              </w:rPr>
              <w:t>固化区，二楼布置焊接区、烘干区），</w:t>
            </w:r>
            <w:r>
              <w:rPr>
                <w:rFonts w:hint="eastAsia" w:hAnsi="宋体"/>
                <w:color w:val="auto"/>
                <w:sz w:val="24"/>
                <w:highlight w:val="none"/>
                <w:lang w:val="en-US" w:eastAsia="zh-CN"/>
              </w:rPr>
              <w:t>办公楼共4层，位于厂区西北侧，</w:t>
            </w:r>
            <w:r>
              <w:rPr>
                <w:rFonts w:hAnsi="宋体"/>
                <w:color w:val="auto"/>
                <w:sz w:val="24"/>
                <w:highlight w:val="none"/>
              </w:rPr>
              <w:t>一般固废仓库位于</w:t>
            </w:r>
            <w:r>
              <w:rPr>
                <w:rFonts w:hint="eastAsia" w:hAnsi="宋体"/>
                <w:color w:val="auto"/>
                <w:sz w:val="24"/>
                <w:highlight w:val="none"/>
                <w:lang w:val="en-US" w:eastAsia="zh-CN"/>
              </w:rPr>
              <w:t>厂区西北侧（即办公楼南侧），危废库位于2#</w:t>
            </w:r>
            <w:r>
              <w:rPr>
                <w:rFonts w:hint="eastAsia" w:hAnsi="宋体"/>
                <w:color w:val="auto"/>
                <w:sz w:val="24"/>
                <w:highlight w:val="none"/>
              </w:rPr>
              <w:t>厂房</w:t>
            </w:r>
            <w:r>
              <w:rPr>
                <w:rFonts w:hint="eastAsia" w:hAnsi="宋体"/>
                <w:color w:val="auto"/>
                <w:sz w:val="24"/>
                <w:highlight w:val="none"/>
                <w:lang w:val="en-US" w:eastAsia="zh-CN"/>
              </w:rPr>
              <w:t>一层西北侧</w:t>
            </w:r>
            <w:r>
              <w:rPr>
                <w:rFonts w:hAnsi="宋体"/>
                <w:color w:val="auto"/>
                <w:sz w:val="24"/>
                <w:highlight w:val="none"/>
              </w:rPr>
              <w:t>。</w:t>
            </w:r>
            <w:r>
              <w:rPr>
                <w:rFonts w:hint="eastAsia" w:hAnsi="宋体"/>
                <w:color w:val="auto"/>
                <w:sz w:val="24"/>
                <w:highlight w:val="none"/>
                <w:lang w:val="en-US" w:eastAsia="zh-CN"/>
              </w:rPr>
              <w:t>厂区共设置2个出入口，主入口位于厂区南侧，次入口位于厂区东侧。</w:t>
            </w:r>
          </w:p>
          <w:p w14:paraId="5A2D2E4A">
            <w:pPr>
              <w:keepNext w:val="0"/>
              <w:keepLines w:val="0"/>
              <w:suppressLineNumbers w:val="0"/>
              <w:adjustRightInd w:val="0"/>
              <w:snapToGrid w:val="0"/>
              <w:spacing w:before="0" w:beforeAutospacing="0" w:after="0" w:afterAutospacing="0" w:line="360" w:lineRule="auto"/>
              <w:ind w:left="0" w:right="0" w:firstLine="480" w:firstLineChars="200"/>
              <w:rPr>
                <w:rFonts w:hint="eastAsia"/>
                <w:b/>
                <w:color w:val="auto"/>
                <w:sz w:val="24"/>
                <w:highlight w:val="none"/>
                <w:lang w:val="zh-CN"/>
              </w:rPr>
            </w:pPr>
            <w:r>
              <w:rPr>
                <w:rFonts w:hAnsi="宋体"/>
                <w:color w:val="auto"/>
                <w:sz w:val="24"/>
                <w:highlight w:val="none"/>
                <w:lang w:val="zh-CN"/>
              </w:rPr>
              <w:t>项目地理位置图见</w:t>
            </w:r>
            <w:r>
              <w:rPr>
                <w:rFonts w:hAnsi="宋体"/>
                <w:b/>
                <w:color w:val="auto"/>
                <w:sz w:val="24"/>
                <w:highlight w:val="none"/>
                <w:lang w:val="zh-CN"/>
              </w:rPr>
              <w:t>附图</w:t>
            </w:r>
            <w:r>
              <w:rPr>
                <w:rFonts w:hint="eastAsia"/>
                <w:b/>
                <w:color w:val="auto"/>
                <w:sz w:val="24"/>
                <w:highlight w:val="none"/>
              </w:rPr>
              <w:t>4</w:t>
            </w:r>
            <w:r>
              <w:rPr>
                <w:rFonts w:hAnsi="宋体"/>
                <w:bCs/>
                <w:color w:val="auto"/>
                <w:sz w:val="24"/>
                <w:highlight w:val="none"/>
                <w:lang w:val="zh-CN"/>
              </w:rPr>
              <w:t>、</w:t>
            </w:r>
            <w:r>
              <w:rPr>
                <w:rFonts w:hAnsi="宋体"/>
                <w:color w:val="auto"/>
                <w:sz w:val="24"/>
                <w:highlight w:val="none"/>
                <w:lang w:val="zh-CN"/>
              </w:rPr>
              <w:t>项目周边状况图见</w:t>
            </w:r>
            <w:r>
              <w:rPr>
                <w:rFonts w:hAnsi="宋体"/>
                <w:b/>
                <w:color w:val="auto"/>
                <w:sz w:val="24"/>
                <w:highlight w:val="none"/>
                <w:lang w:val="zh-CN"/>
              </w:rPr>
              <w:t>附图</w:t>
            </w:r>
            <w:r>
              <w:rPr>
                <w:rFonts w:hint="eastAsia"/>
                <w:b/>
                <w:color w:val="auto"/>
                <w:sz w:val="24"/>
                <w:highlight w:val="none"/>
                <w:lang w:val="zh-CN"/>
              </w:rPr>
              <w:t>5</w:t>
            </w:r>
            <w:r>
              <w:rPr>
                <w:rFonts w:hint="eastAsia"/>
                <w:bCs/>
                <w:color w:val="auto"/>
                <w:sz w:val="24"/>
                <w:highlight w:val="none"/>
                <w:lang w:val="zh-CN"/>
              </w:rPr>
              <w:t>、</w:t>
            </w:r>
            <w:r>
              <w:rPr>
                <w:rFonts w:hAnsi="宋体"/>
                <w:color w:val="auto"/>
                <w:sz w:val="24"/>
                <w:highlight w:val="none"/>
                <w:lang w:val="zh-CN"/>
              </w:rPr>
              <w:t>平面布置见</w:t>
            </w:r>
            <w:r>
              <w:rPr>
                <w:rFonts w:hAnsi="宋体"/>
                <w:b/>
                <w:color w:val="auto"/>
                <w:sz w:val="24"/>
                <w:highlight w:val="none"/>
                <w:lang w:val="zh-CN"/>
              </w:rPr>
              <w:t>附图</w:t>
            </w:r>
            <w:r>
              <w:rPr>
                <w:rFonts w:hint="eastAsia"/>
                <w:b/>
                <w:color w:val="auto"/>
                <w:sz w:val="24"/>
                <w:highlight w:val="none"/>
              </w:rPr>
              <w:t>6</w:t>
            </w:r>
            <w:r>
              <w:rPr>
                <w:rFonts w:hint="eastAsia"/>
                <w:b/>
                <w:color w:val="auto"/>
                <w:sz w:val="24"/>
                <w:highlight w:val="none"/>
                <w:lang w:val="zh-CN"/>
              </w:rPr>
              <w:t>。</w:t>
            </w:r>
          </w:p>
          <w:p w14:paraId="6748F58F">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2A6D1E27">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0685F531">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5D83C488">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35C37116">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4D144E5D">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10FF139C">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691AA962">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6E3A432A">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4462850E">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6FF83739">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6768FEF1">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19B0F026">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17A70F23">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05B2E7E8">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p w14:paraId="552A48D7">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sz w:val="24"/>
                <w:highlight w:val="none"/>
                <w:lang w:val="zh-CN"/>
              </w:rPr>
            </w:pPr>
          </w:p>
        </w:tc>
      </w:tr>
      <w:tr w14:paraId="6E063429">
        <w:trPr>
          <w:trHeight w:val="907" w:hRule="atLeast"/>
          <w:jc w:val="center"/>
        </w:trPr>
        <w:tc>
          <w:tcPr>
            <w:tcW w:w="456" w:type="dxa"/>
            <w:vAlign w:val="center"/>
          </w:tcPr>
          <w:p w14:paraId="5B9D88E3">
            <w:pPr>
              <w:pStyle w:val="81"/>
              <w:keepNext w:val="0"/>
              <w:keepLines w:val="0"/>
              <w:suppressLineNumbers w:val="0"/>
              <w:ind w:left="0" w:right="0"/>
              <w:rPr>
                <w:rFonts w:hAnsi="Times New Roman"/>
                <w:color w:val="auto"/>
                <w:highlight w:val="none"/>
              </w:rPr>
            </w:pPr>
            <w:bookmarkStart w:id="32" w:name="_Toc19164"/>
            <w:bookmarkStart w:id="33" w:name="_Toc31536"/>
            <w:bookmarkStart w:id="34" w:name="_Toc25498"/>
            <w:r>
              <w:rPr>
                <w:color w:val="auto"/>
                <w:highlight w:val="none"/>
              </w:rPr>
              <w:t>工艺流程和产排污环节</w:t>
            </w:r>
            <w:bookmarkEnd w:id="32"/>
            <w:bookmarkEnd w:id="33"/>
            <w:bookmarkEnd w:id="34"/>
          </w:p>
        </w:tc>
        <w:tc>
          <w:tcPr>
            <w:tcW w:w="8604" w:type="dxa"/>
          </w:tcPr>
          <w:p w14:paraId="7ECDCBD7">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rFonts w:hint="eastAsia"/>
                <w:b/>
                <w:color w:val="auto"/>
                <w:kern w:val="0"/>
                <w:sz w:val="24"/>
                <w:highlight w:val="none"/>
              </w:rPr>
              <w:t>8</w:t>
            </w:r>
            <w:r>
              <w:rPr>
                <w:b/>
                <w:color w:val="auto"/>
                <w:kern w:val="0"/>
                <w:sz w:val="24"/>
                <w:highlight w:val="none"/>
                <w:lang w:val="zh-CN"/>
              </w:rPr>
              <w:t>.</w:t>
            </w:r>
            <w:r>
              <w:rPr>
                <w:rFonts w:hAnsi="宋体"/>
                <w:b/>
                <w:color w:val="auto"/>
                <w:kern w:val="0"/>
                <w:sz w:val="24"/>
                <w:highlight w:val="none"/>
                <w:lang w:val="zh-CN"/>
              </w:rPr>
              <w:t>工艺流程及产污环节</w:t>
            </w:r>
          </w:p>
          <w:p w14:paraId="742C447A">
            <w:pPr>
              <w:keepNext w:val="0"/>
              <w:keepLines w:val="0"/>
              <w:suppressLineNumbers w:val="0"/>
              <w:spacing w:before="0" w:beforeAutospacing="0" w:after="0" w:afterAutospacing="0"/>
              <w:ind w:left="0" w:right="0"/>
              <w:jc w:val="center"/>
              <w:rPr>
                <w:b/>
                <w:color w:val="auto"/>
                <w:szCs w:val="21"/>
                <w:highlight w:val="none"/>
              </w:rPr>
            </w:pPr>
            <w:r>
              <w:rPr>
                <w:b/>
                <w:color w:val="auto"/>
                <w:szCs w:val="21"/>
                <w:highlight w:val="none"/>
              </w:rPr>
              <w:object>
                <v:shape id="_x0000_i1026" o:spt="75" type="#_x0000_t75" style="height:506pt;width:288.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11A4ED5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center"/>
              <w:rPr>
                <w:b/>
                <w:color w:val="auto"/>
                <w:sz w:val="24"/>
                <w:highlight w:val="none"/>
              </w:rPr>
            </w:pPr>
            <w:r>
              <w:rPr>
                <w:rFonts w:hAnsi="宋体"/>
                <w:b/>
                <w:color w:val="auto"/>
                <w:sz w:val="24"/>
                <w:highlight w:val="none"/>
              </w:rPr>
              <w:t>图</w:t>
            </w:r>
            <w:r>
              <w:rPr>
                <w:b/>
                <w:color w:val="auto"/>
                <w:sz w:val="24"/>
                <w:highlight w:val="none"/>
              </w:rPr>
              <w:t>2-</w:t>
            </w:r>
            <w:r>
              <w:rPr>
                <w:rFonts w:hint="eastAsia"/>
                <w:b/>
                <w:color w:val="auto"/>
                <w:sz w:val="24"/>
                <w:highlight w:val="none"/>
              </w:rPr>
              <w:t>2</w:t>
            </w:r>
            <w:r>
              <w:rPr>
                <w:b/>
                <w:color w:val="auto"/>
                <w:sz w:val="24"/>
                <w:highlight w:val="none"/>
              </w:rPr>
              <w:t xml:space="preserve">  </w:t>
            </w:r>
            <w:r>
              <w:rPr>
                <w:rFonts w:hint="eastAsia" w:hAnsi="宋体"/>
                <w:b/>
                <w:bCs/>
                <w:color w:val="auto"/>
                <w:sz w:val="24"/>
                <w:highlight w:val="none"/>
                <w:lang w:val="en-US" w:eastAsia="zh-CN"/>
              </w:rPr>
              <w:t>智能整机设备</w:t>
            </w:r>
            <w:r>
              <w:rPr>
                <w:rFonts w:hAnsi="宋体"/>
                <w:b/>
                <w:color w:val="auto"/>
                <w:sz w:val="24"/>
                <w:highlight w:val="none"/>
              </w:rPr>
              <w:t>生产工艺流程及产污环节图</w:t>
            </w:r>
          </w:p>
          <w:p w14:paraId="71A6C6A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工艺流程简述：</w:t>
            </w:r>
          </w:p>
          <w:p w14:paraId="3A5A2C0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ascii="宋体" w:hAnsi="宋体"/>
                <w:color w:val="auto"/>
                <w:kern w:val="21"/>
                <w:sz w:val="24"/>
                <w:szCs w:val="24"/>
                <w:highlight w:val="none"/>
              </w:rPr>
            </w:pPr>
            <w:r>
              <w:rPr>
                <w:rFonts w:hint="eastAsia" w:eastAsia="宋体" w:cs="Times New Roman"/>
                <w:color w:val="auto"/>
                <w:kern w:val="0"/>
                <w:sz w:val="24"/>
                <w:highlight w:val="none"/>
                <w:lang w:val="en-US" w:eastAsia="zh-CN"/>
              </w:rPr>
              <w:t>（1）下料</w:t>
            </w:r>
            <w:r>
              <w:rPr>
                <w:rFonts w:hint="default" w:ascii="Times New Roman" w:hAnsi="Times New Roman" w:eastAsia="宋体" w:cs="Times New Roman"/>
                <w:color w:val="auto"/>
                <w:kern w:val="0"/>
                <w:sz w:val="24"/>
                <w:highlight w:val="none"/>
              </w:rPr>
              <w:t>：</w:t>
            </w:r>
            <w:r>
              <w:rPr>
                <w:rFonts w:ascii="宋体" w:hAnsi="宋体"/>
                <w:color w:val="auto"/>
                <w:kern w:val="21"/>
                <w:sz w:val="24"/>
                <w:szCs w:val="24"/>
                <w:highlight w:val="none"/>
              </w:rPr>
              <w:t>外购的金属原材料铸件、钢材、</w:t>
            </w:r>
            <w:r>
              <w:rPr>
                <w:rFonts w:hint="eastAsia" w:ascii="宋体" w:hAnsi="宋体"/>
                <w:color w:val="auto"/>
                <w:kern w:val="21"/>
                <w:sz w:val="24"/>
                <w:szCs w:val="24"/>
                <w:highlight w:val="none"/>
                <w:lang w:val="en-US" w:eastAsia="zh-CN"/>
              </w:rPr>
              <w:t>钣金</w:t>
            </w:r>
            <w:r>
              <w:rPr>
                <w:rFonts w:hint="eastAsia" w:ascii="宋体" w:hAnsi="宋体"/>
                <w:color w:val="auto"/>
                <w:kern w:val="21"/>
                <w:sz w:val="24"/>
                <w:szCs w:val="24"/>
                <w:highlight w:val="none"/>
              </w:rPr>
              <w:t>根据产品尺寸使用激光</w:t>
            </w:r>
            <w:r>
              <w:rPr>
                <w:rFonts w:ascii="宋体" w:hAnsi="宋体"/>
                <w:color w:val="auto"/>
                <w:kern w:val="21"/>
                <w:sz w:val="24"/>
                <w:szCs w:val="24"/>
                <w:highlight w:val="none"/>
              </w:rPr>
              <w:t>切割机等机加工设备进行</w:t>
            </w:r>
            <w:r>
              <w:rPr>
                <w:rFonts w:hint="eastAsia" w:ascii="宋体" w:hAnsi="宋体"/>
                <w:color w:val="auto"/>
                <w:kern w:val="21"/>
                <w:sz w:val="24"/>
                <w:szCs w:val="24"/>
                <w:highlight w:val="none"/>
              </w:rPr>
              <w:t>切割</w:t>
            </w:r>
            <w:r>
              <w:rPr>
                <w:rFonts w:hint="eastAsia" w:ascii="宋体" w:hAnsi="宋体"/>
                <w:color w:val="auto"/>
                <w:kern w:val="21"/>
                <w:sz w:val="24"/>
                <w:szCs w:val="24"/>
                <w:highlight w:val="none"/>
                <w:lang w:eastAsia="zh-CN"/>
              </w:rPr>
              <w:t>，</w:t>
            </w:r>
            <w:r>
              <w:rPr>
                <w:rFonts w:hint="eastAsia" w:ascii="宋体" w:hAnsi="宋体"/>
                <w:color w:val="auto"/>
                <w:kern w:val="21"/>
                <w:sz w:val="24"/>
                <w:szCs w:val="24"/>
                <w:highlight w:val="none"/>
              </w:rPr>
              <w:t>折弯机进行折弯</w:t>
            </w:r>
            <w:r>
              <w:rPr>
                <w:rFonts w:hint="eastAsia" w:ascii="宋体" w:hAnsi="宋体"/>
                <w:color w:val="auto"/>
                <w:kern w:val="21"/>
                <w:sz w:val="24"/>
                <w:szCs w:val="24"/>
                <w:highlight w:val="none"/>
                <w:lang w:val="en-US" w:eastAsia="zh-CN"/>
              </w:rPr>
              <w:t>等</w:t>
            </w:r>
            <w:r>
              <w:rPr>
                <w:rFonts w:hint="eastAsia" w:ascii="宋体" w:hAnsi="宋体"/>
                <w:color w:val="auto"/>
                <w:kern w:val="21"/>
                <w:sz w:val="24"/>
                <w:szCs w:val="24"/>
                <w:highlight w:val="none"/>
              </w:rPr>
              <w:t>下料</w:t>
            </w:r>
            <w:r>
              <w:rPr>
                <w:rFonts w:hint="eastAsia" w:ascii="宋体" w:hAnsi="宋体"/>
                <w:color w:val="auto"/>
                <w:kern w:val="21"/>
                <w:sz w:val="24"/>
                <w:szCs w:val="24"/>
                <w:highlight w:val="none"/>
                <w:lang w:val="en-US" w:eastAsia="zh-CN"/>
              </w:rPr>
              <w:t>操作</w:t>
            </w:r>
            <w:r>
              <w:rPr>
                <w:rFonts w:ascii="宋体" w:hAnsi="宋体"/>
                <w:color w:val="auto"/>
                <w:kern w:val="21"/>
                <w:sz w:val="24"/>
                <w:szCs w:val="24"/>
                <w:highlight w:val="none"/>
              </w:rPr>
              <w:t>。</w:t>
            </w:r>
          </w:p>
          <w:p w14:paraId="5B1B1A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eastAsia="zh-CN"/>
              </w:rPr>
            </w:pPr>
            <w:r>
              <w:rPr>
                <w:rFonts w:ascii="宋体" w:hAnsi="宋体"/>
                <w:color w:val="auto"/>
                <w:kern w:val="21"/>
                <w:sz w:val="24"/>
                <w:szCs w:val="24"/>
                <w:highlight w:val="none"/>
              </w:rPr>
              <w:t>激光切割机是将从</w:t>
            </w:r>
            <w:r>
              <w:rPr>
                <w:color w:val="auto"/>
                <w:sz w:val="24"/>
                <w:szCs w:val="24"/>
                <w:highlight w:val="none"/>
              </w:rPr>
              <w:fldChar w:fldCharType="begin"/>
            </w:r>
            <w:r>
              <w:rPr>
                <w:color w:val="auto"/>
                <w:sz w:val="24"/>
                <w:szCs w:val="24"/>
                <w:highlight w:val="none"/>
              </w:rPr>
              <w:instrText xml:space="preserve"> HYPERLINK "https://baike.baidu.com/item/%E6%BF%80%E5%85%89%E5%99%A8/2374206?fromModule=lemma_inlink" \t "_blank" </w:instrText>
            </w:r>
            <w:r>
              <w:rPr>
                <w:color w:val="auto"/>
                <w:sz w:val="24"/>
                <w:szCs w:val="24"/>
                <w:highlight w:val="none"/>
              </w:rPr>
              <w:fldChar w:fldCharType="separate"/>
            </w:r>
            <w:r>
              <w:rPr>
                <w:rStyle w:val="96"/>
                <w:rFonts w:ascii="宋体" w:hAnsi="宋体"/>
                <w:color w:val="auto"/>
                <w:kern w:val="21"/>
                <w:sz w:val="24"/>
                <w:szCs w:val="24"/>
                <w:highlight w:val="none"/>
                <w:u w:val="none"/>
              </w:rPr>
              <w:t>激光器</w:t>
            </w:r>
            <w:r>
              <w:rPr>
                <w:rStyle w:val="96"/>
                <w:rFonts w:ascii="宋体" w:hAnsi="宋体"/>
                <w:color w:val="auto"/>
                <w:kern w:val="21"/>
                <w:sz w:val="24"/>
                <w:szCs w:val="24"/>
                <w:highlight w:val="none"/>
                <w:u w:val="none"/>
              </w:rPr>
              <w:fldChar w:fldCharType="end"/>
            </w:r>
            <w:r>
              <w:rPr>
                <w:rFonts w:ascii="宋体" w:hAnsi="宋体"/>
                <w:color w:val="auto"/>
                <w:kern w:val="21"/>
                <w:sz w:val="24"/>
                <w:szCs w:val="24"/>
                <w:highlight w:val="none"/>
              </w:rPr>
              <w:t>发射出的激光，经光路系统，聚焦成高</w:t>
            </w:r>
            <w:r>
              <w:rPr>
                <w:color w:val="auto"/>
                <w:sz w:val="24"/>
                <w:szCs w:val="24"/>
                <w:highlight w:val="none"/>
              </w:rPr>
              <w:fldChar w:fldCharType="begin"/>
            </w:r>
            <w:r>
              <w:rPr>
                <w:color w:val="auto"/>
                <w:sz w:val="24"/>
                <w:szCs w:val="24"/>
                <w:highlight w:val="none"/>
              </w:rPr>
              <w:instrText xml:space="preserve"> HYPERLINK "https://baike.baidu.com/item/%E5%8A%9F%E7%8E%87%E5%AF%86%E5%BA%A6/1595397?fromModule=lemma_inlink" \t "_blank" </w:instrText>
            </w:r>
            <w:r>
              <w:rPr>
                <w:color w:val="auto"/>
                <w:sz w:val="24"/>
                <w:szCs w:val="24"/>
                <w:highlight w:val="none"/>
              </w:rPr>
              <w:fldChar w:fldCharType="separate"/>
            </w:r>
            <w:r>
              <w:rPr>
                <w:rStyle w:val="96"/>
                <w:rFonts w:ascii="宋体" w:hAnsi="宋体"/>
                <w:color w:val="auto"/>
                <w:kern w:val="21"/>
                <w:sz w:val="24"/>
                <w:szCs w:val="24"/>
                <w:highlight w:val="none"/>
                <w:u w:val="none"/>
              </w:rPr>
              <w:t>功率密度</w:t>
            </w:r>
            <w:r>
              <w:rPr>
                <w:rStyle w:val="96"/>
                <w:rFonts w:ascii="宋体" w:hAnsi="宋体"/>
                <w:color w:val="auto"/>
                <w:kern w:val="21"/>
                <w:sz w:val="24"/>
                <w:szCs w:val="24"/>
                <w:highlight w:val="none"/>
                <w:u w:val="none"/>
              </w:rPr>
              <w:fldChar w:fldCharType="end"/>
            </w:r>
            <w:r>
              <w:rPr>
                <w:rFonts w:ascii="宋体" w:hAnsi="宋体"/>
                <w:color w:val="auto"/>
                <w:kern w:val="21"/>
                <w:sz w:val="24"/>
                <w:szCs w:val="24"/>
                <w:highlight w:val="none"/>
              </w:rPr>
              <w:t>的激光束。激光束照射到</w:t>
            </w:r>
            <w:r>
              <w:rPr>
                <w:color w:val="auto"/>
                <w:sz w:val="24"/>
                <w:szCs w:val="24"/>
                <w:highlight w:val="none"/>
              </w:rPr>
              <w:fldChar w:fldCharType="begin"/>
            </w:r>
            <w:r>
              <w:rPr>
                <w:color w:val="auto"/>
                <w:sz w:val="24"/>
                <w:szCs w:val="24"/>
                <w:highlight w:val="none"/>
              </w:rPr>
              <w:instrText xml:space="preserve"> HYPERLINK "https://baike.baidu.com/item/%E5%B7%A5%E4%BB%B6?fromModule=lemma_inlink" \t "_blank" </w:instrText>
            </w:r>
            <w:r>
              <w:rPr>
                <w:color w:val="auto"/>
                <w:sz w:val="24"/>
                <w:szCs w:val="24"/>
                <w:highlight w:val="none"/>
              </w:rPr>
              <w:fldChar w:fldCharType="separate"/>
            </w:r>
            <w:r>
              <w:rPr>
                <w:rStyle w:val="96"/>
                <w:rFonts w:ascii="宋体" w:hAnsi="宋体"/>
                <w:color w:val="auto"/>
                <w:kern w:val="21"/>
                <w:sz w:val="24"/>
                <w:szCs w:val="24"/>
                <w:highlight w:val="none"/>
                <w:u w:val="none"/>
              </w:rPr>
              <w:t>工件</w:t>
            </w:r>
            <w:r>
              <w:rPr>
                <w:rStyle w:val="96"/>
                <w:rFonts w:ascii="宋体" w:hAnsi="宋体"/>
                <w:color w:val="auto"/>
                <w:kern w:val="21"/>
                <w:sz w:val="24"/>
                <w:szCs w:val="24"/>
                <w:highlight w:val="none"/>
                <w:u w:val="none"/>
              </w:rPr>
              <w:fldChar w:fldCharType="end"/>
            </w:r>
            <w:r>
              <w:rPr>
                <w:rFonts w:ascii="宋体" w:hAnsi="宋体"/>
                <w:color w:val="auto"/>
                <w:kern w:val="21"/>
                <w:sz w:val="24"/>
                <w:szCs w:val="24"/>
                <w:highlight w:val="none"/>
              </w:rPr>
              <w:t>表面，使工件达到</w:t>
            </w:r>
            <w:r>
              <w:rPr>
                <w:color w:val="auto"/>
                <w:sz w:val="24"/>
                <w:szCs w:val="24"/>
                <w:highlight w:val="none"/>
              </w:rPr>
              <w:fldChar w:fldCharType="begin"/>
            </w:r>
            <w:r>
              <w:rPr>
                <w:color w:val="auto"/>
                <w:sz w:val="24"/>
                <w:szCs w:val="24"/>
                <w:highlight w:val="none"/>
              </w:rPr>
              <w:instrText xml:space="preserve"> HYPERLINK "https://baike.baidu.com/item/%E7%86%94%E7%82%B9/2144633?fromModule=lemma_inlink" \t "_blank" </w:instrText>
            </w:r>
            <w:r>
              <w:rPr>
                <w:color w:val="auto"/>
                <w:sz w:val="24"/>
                <w:szCs w:val="24"/>
                <w:highlight w:val="none"/>
              </w:rPr>
              <w:fldChar w:fldCharType="separate"/>
            </w:r>
            <w:r>
              <w:rPr>
                <w:rStyle w:val="96"/>
                <w:rFonts w:ascii="宋体" w:hAnsi="宋体"/>
                <w:color w:val="auto"/>
                <w:kern w:val="21"/>
                <w:sz w:val="24"/>
                <w:szCs w:val="24"/>
                <w:highlight w:val="none"/>
                <w:u w:val="none"/>
              </w:rPr>
              <w:t>熔点</w:t>
            </w:r>
            <w:r>
              <w:rPr>
                <w:rStyle w:val="96"/>
                <w:rFonts w:ascii="宋体" w:hAnsi="宋体"/>
                <w:color w:val="auto"/>
                <w:kern w:val="21"/>
                <w:sz w:val="24"/>
                <w:szCs w:val="24"/>
                <w:highlight w:val="none"/>
                <w:u w:val="none"/>
              </w:rPr>
              <w:fldChar w:fldCharType="end"/>
            </w:r>
            <w:r>
              <w:rPr>
                <w:rFonts w:ascii="宋体" w:hAnsi="宋体"/>
                <w:color w:val="auto"/>
                <w:kern w:val="21"/>
                <w:sz w:val="24"/>
                <w:szCs w:val="24"/>
                <w:highlight w:val="none"/>
              </w:rPr>
              <w:t>或沸点，同时与光束同轴的高压气体将熔化或</w:t>
            </w:r>
            <w:r>
              <w:rPr>
                <w:color w:val="auto"/>
                <w:sz w:val="24"/>
                <w:szCs w:val="24"/>
                <w:highlight w:val="none"/>
              </w:rPr>
              <w:fldChar w:fldCharType="begin"/>
            </w:r>
            <w:r>
              <w:rPr>
                <w:color w:val="auto"/>
                <w:sz w:val="24"/>
                <w:szCs w:val="24"/>
                <w:highlight w:val="none"/>
              </w:rPr>
              <w:instrText xml:space="preserve"> HYPERLINK "https://baike.baidu.com/item/%E6%B0%94%E5%8C%96/4361815?fromModule=lemma_inlink" \t "_blank" </w:instrText>
            </w:r>
            <w:r>
              <w:rPr>
                <w:color w:val="auto"/>
                <w:sz w:val="24"/>
                <w:szCs w:val="24"/>
                <w:highlight w:val="none"/>
              </w:rPr>
              <w:fldChar w:fldCharType="separate"/>
            </w:r>
            <w:r>
              <w:rPr>
                <w:rStyle w:val="96"/>
                <w:rFonts w:ascii="宋体" w:hAnsi="宋体"/>
                <w:color w:val="auto"/>
                <w:kern w:val="21"/>
                <w:sz w:val="24"/>
                <w:szCs w:val="24"/>
                <w:highlight w:val="none"/>
                <w:u w:val="none"/>
              </w:rPr>
              <w:t>气化</w:t>
            </w:r>
            <w:r>
              <w:rPr>
                <w:rStyle w:val="96"/>
                <w:rFonts w:ascii="宋体" w:hAnsi="宋体"/>
                <w:color w:val="auto"/>
                <w:kern w:val="21"/>
                <w:sz w:val="24"/>
                <w:szCs w:val="24"/>
                <w:highlight w:val="none"/>
                <w:u w:val="none"/>
              </w:rPr>
              <w:fldChar w:fldCharType="end"/>
            </w:r>
            <w:r>
              <w:rPr>
                <w:rFonts w:ascii="宋体" w:hAnsi="宋体"/>
                <w:color w:val="auto"/>
                <w:kern w:val="21"/>
                <w:sz w:val="24"/>
                <w:szCs w:val="24"/>
                <w:highlight w:val="none"/>
              </w:rPr>
              <w:t>金属吹走。随着光束与工件相对位置的移动，最终使材料形成切缝，从而达到切</w:t>
            </w:r>
            <w:r>
              <w:rPr>
                <w:rFonts w:hint="default" w:ascii="Times New Roman" w:hAnsi="Times New Roman" w:cs="Times New Roman"/>
                <w:color w:val="auto"/>
                <w:kern w:val="21"/>
                <w:sz w:val="24"/>
                <w:szCs w:val="24"/>
                <w:highlight w:val="none"/>
              </w:rPr>
              <w:t>割的目的。</w:t>
            </w:r>
            <w:r>
              <w:rPr>
                <w:rFonts w:hint="default" w:ascii="Times New Roman" w:hAnsi="Times New Roman" w:cs="Times New Roman"/>
                <w:color w:val="auto"/>
                <w:sz w:val="24"/>
                <w:szCs w:val="24"/>
                <w:highlight w:val="none"/>
              </w:rPr>
              <w:t>此过程会产生</w:t>
            </w:r>
            <w:r>
              <w:rPr>
                <w:rFonts w:hint="default" w:ascii="Times New Roman" w:hAnsi="Times New Roman" w:cs="Times New Roman"/>
                <w:color w:val="auto"/>
                <w:sz w:val="24"/>
                <w:szCs w:val="24"/>
                <w:highlight w:val="none"/>
                <w:lang w:val="en-US" w:eastAsia="zh-CN"/>
              </w:rPr>
              <w:t>下料粉尘</w:t>
            </w:r>
            <w:r>
              <w:rPr>
                <w:rFonts w:hint="default" w:ascii="Times New Roman" w:hAnsi="Times New Roman" w:cs="Times New Roman"/>
                <w:color w:val="auto"/>
                <w:sz w:val="24"/>
                <w:szCs w:val="24"/>
                <w:highlight w:val="none"/>
              </w:rPr>
              <w:t>G</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rPr>
              <w:t>边角料S</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vertAlign w:val="baseline"/>
                <w:lang w:val="en-US" w:eastAsia="zh-CN"/>
              </w:rPr>
              <w:t>和</w:t>
            </w:r>
            <w:r>
              <w:rPr>
                <w:rFonts w:hint="default" w:ascii="Times New Roman" w:hAnsi="Times New Roman" w:cs="Times New Roman"/>
                <w:color w:val="auto"/>
                <w:sz w:val="24"/>
                <w:szCs w:val="24"/>
                <w:highlight w:val="none"/>
              </w:rPr>
              <w:t>噪声N。</w:t>
            </w:r>
          </w:p>
          <w:p w14:paraId="4E6A14CD">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2）</w:t>
            </w:r>
            <w:r>
              <w:rPr>
                <w:rFonts w:hint="default" w:ascii="Times New Roman" w:hAnsi="Times New Roman" w:eastAsia="宋体" w:cs="Times New Roman"/>
                <w:color w:val="auto"/>
                <w:kern w:val="0"/>
                <w:sz w:val="24"/>
                <w:highlight w:val="none"/>
                <w:lang w:val="en-US" w:eastAsia="zh-CN"/>
              </w:rPr>
              <w:t>打磨</w:t>
            </w:r>
            <w:r>
              <w:rPr>
                <w:rFonts w:hint="default" w:ascii="Times New Roman" w:hAnsi="Times New Roman" w:eastAsia="宋体" w:cs="Times New Roman"/>
                <w:color w:val="auto"/>
                <w:kern w:val="0"/>
                <w:sz w:val="24"/>
                <w:highlight w:val="none"/>
              </w:rPr>
              <w:t>：</w:t>
            </w:r>
            <w:r>
              <w:rPr>
                <w:rFonts w:hint="default" w:ascii="Times New Roman" w:hAnsi="Times New Roman" w:cs="Times New Roman"/>
                <w:color w:val="auto"/>
                <w:sz w:val="24"/>
                <w:szCs w:val="24"/>
                <w:highlight w:val="none"/>
              </w:rPr>
              <w:t>经下料后的工件少量</w:t>
            </w:r>
            <w:r>
              <w:rPr>
                <w:rFonts w:hint="default" w:ascii="Times New Roman" w:hAnsi="Times New Roman" w:cs="Times New Roman"/>
                <w:bCs/>
                <w:color w:val="auto"/>
                <w:sz w:val="24"/>
                <w:szCs w:val="24"/>
                <w:highlight w:val="none"/>
              </w:rPr>
              <w:t>局部不平整，根据需求需要</w:t>
            </w:r>
            <w:r>
              <w:rPr>
                <w:rFonts w:hint="default" w:ascii="Times New Roman" w:hAnsi="Times New Roman" w:cs="Times New Roman"/>
                <w:color w:val="auto"/>
                <w:sz w:val="24"/>
                <w:szCs w:val="24"/>
                <w:highlight w:val="none"/>
              </w:rPr>
              <w:t>使用</w:t>
            </w:r>
            <w:r>
              <w:rPr>
                <w:rFonts w:hint="default" w:ascii="Times New Roman" w:hAnsi="Times New Roman" w:cs="Times New Roman"/>
                <w:color w:val="auto"/>
                <w:kern w:val="21"/>
                <w:sz w:val="24"/>
                <w:szCs w:val="24"/>
                <w:highlight w:val="none"/>
                <w:lang w:val="en-US" w:eastAsia="zh-CN"/>
              </w:rPr>
              <w:t>平面磨床和自动磨刀机</w:t>
            </w:r>
            <w:r>
              <w:rPr>
                <w:rFonts w:hint="default" w:ascii="Times New Roman" w:hAnsi="Times New Roman" w:cs="Times New Roman"/>
                <w:color w:val="auto"/>
                <w:sz w:val="24"/>
                <w:szCs w:val="24"/>
                <w:highlight w:val="none"/>
              </w:rPr>
              <w:t>进行</w:t>
            </w:r>
            <w:r>
              <w:rPr>
                <w:rFonts w:hint="default" w:ascii="Times New Roman" w:hAnsi="Times New Roman" w:cs="Times New Roman"/>
                <w:color w:val="auto"/>
                <w:sz w:val="24"/>
                <w:szCs w:val="24"/>
                <w:highlight w:val="none"/>
                <w:lang w:val="en-US" w:eastAsia="zh-CN"/>
              </w:rPr>
              <w:t>局部</w:t>
            </w:r>
            <w:r>
              <w:rPr>
                <w:rFonts w:hint="default" w:ascii="Times New Roman" w:hAnsi="Times New Roman" w:cs="Times New Roman"/>
                <w:color w:val="auto"/>
                <w:sz w:val="24"/>
                <w:szCs w:val="24"/>
                <w:highlight w:val="none"/>
              </w:rPr>
              <w:t>打磨，去除毛刺、飞边等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该工序会产生打磨</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G</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、边角料S</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及噪声N。</w:t>
            </w:r>
          </w:p>
          <w:p w14:paraId="4A8C9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3）</w:t>
            </w:r>
            <w:r>
              <w:rPr>
                <w:rFonts w:hint="eastAsia" w:eastAsia="宋体" w:cs="Times New Roman"/>
                <w:color w:val="auto"/>
                <w:kern w:val="0"/>
                <w:sz w:val="24"/>
                <w:highlight w:val="none"/>
                <w:lang w:val="en-US" w:eastAsia="zh-CN"/>
              </w:rPr>
              <w:t>焊接</w:t>
            </w:r>
            <w:r>
              <w:rPr>
                <w:rFonts w:hint="eastAsia" w:ascii="宋体" w:hAnsi="宋体" w:eastAsia="宋体" w:cs="宋体"/>
                <w:color w:val="auto"/>
                <w:kern w:val="0"/>
                <w:sz w:val="24"/>
                <w:highlight w:val="none"/>
              </w:rPr>
              <w:t>：</w:t>
            </w:r>
            <w:r>
              <w:rPr>
                <w:rFonts w:ascii="宋体" w:hAnsi="宋体"/>
                <w:color w:val="auto"/>
                <w:sz w:val="24"/>
                <w:szCs w:val="24"/>
                <w:highlight w:val="none"/>
              </w:rPr>
              <w:t>将</w:t>
            </w:r>
            <w:r>
              <w:rPr>
                <w:rFonts w:hint="eastAsia" w:ascii="宋体" w:hAnsi="宋体"/>
                <w:color w:val="auto"/>
                <w:sz w:val="24"/>
                <w:szCs w:val="24"/>
                <w:highlight w:val="none"/>
              </w:rPr>
              <w:t>打磨完成</w:t>
            </w:r>
            <w:r>
              <w:rPr>
                <w:rFonts w:ascii="宋体" w:hAnsi="宋体"/>
                <w:color w:val="auto"/>
                <w:sz w:val="24"/>
                <w:szCs w:val="24"/>
                <w:highlight w:val="none"/>
              </w:rPr>
              <w:t>的工件采用</w:t>
            </w:r>
            <w:r>
              <w:rPr>
                <w:rFonts w:hint="eastAsia" w:ascii="宋体" w:hAnsi="宋体"/>
                <w:color w:val="auto"/>
                <w:sz w:val="24"/>
                <w:szCs w:val="24"/>
                <w:highlight w:val="none"/>
                <w:lang w:eastAsia="zh-CN"/>
              </w:rPr>
              <w:t>埋弧焊机</w:t>
            </w:r>
            <w:r>
              <w:rPr>
                <w:rFonts w:ascii="宋体" w:hAnsi="宋体"/>
                <w:color w:val="auto"/>
                <w:sz w:val="24"/>
                <w:szCs w:val="24"/>
                <w:highlight w:val="none"/>
              </w:rPr>
              <w:t>、</w:t>
            </w:r>
            <w:r>
              <w:rPr>
                <w:rFonts w:hint="eastAsia" w:ascii="宋体" w:hAnsi="宋体"/>
                <w:color w:val="auto"/>
                <w:sz w:val="24"/>
                <w:szCs w:val="24"/>
                <w:highlight w:val="none"/>
                <w:lang w:val="en-US" w:eastAsia="zh-CN"/>
              </w:rPr>
              <w:t>二保焊</w:t>
            </w:r>
            <w:r>
              <w:rPr>
                <w:rFonts w:ascii="宋体" w:hAnsi="宋体"/>
                <w:color w:val="auto"/>
                <w:sz w:val="24"/>
                <w:szCs w:val="24"/>
                <w:highlight w:val="none"/>
              </w:rPr>
              <w:t>机进行焊接，</w:t>
            </w:r>
            <w:r>
              <w:rPr>
                <w:rFonts w:hint="eastAsia" w:ascii="宋体" w:hAnsi="宋体"/>
                <w:color w:val="auto"/>
                <w:sz w:val="24"/>
                <w:szCs w:val="24"/>
                <w:highlight w:val="none"/>
                <w:lang w:val="en-US" w:eastAsia="zh-CN"/>
              </w:rPr>
              <w:t>焊料</w:t>
            </w:r>
            <w:r>
              <w:rPr>
                <w:rFonts w:ascii="宋体" w:hAnsi="宋体"/>
                <w:bCs/>
                <w:color w:val="auto"/>
                <w:sz w:val="24"/>
                <w:szCs w:val="24"/>
                <w:highlight w:val="none"/>
              </w:rPr>
              <w:t>采用无铅实心焊</w:t>
            </w:r>
            <w:r>
              <w:rPr>
                <w:rFonts w:hint="eastAsia" w:ascii="宋体" w:hAnsi="宋体"/>
                <w:bCs/>
                <w:color w:val="auto"/>
                <w:sz w:val="24"/>
                <w:szCs w:val="24"/>
                <w:highlight w:val="none"/>
              </w:rPr>
              <w:t>丝</w:t>
            </w:r>
            <w:r>
              <w:rPr>
                <w:rFonts w:hint="eastAsia" w:ascii="宋体" w:hAnsi="宋体"/>
                <w:bCs/>
                <w:color w:val="auto"/>
                <w:sz w:val="24"/>
                <w:szCs w:val="24"/>
                <w:highlight w:val="none"/>
                <w:lang w:eastAsia="zh-CN"/>
              </w:rPr>
              <w:t>，</w:t>
            </w:r>
            <w:r>
              <w:rPr>
                <w:rFonts w:ascii="宋体" w:hAnsi="宋体"/>
                <w:bCs/>
                <w:color w:val="auto"/>
                <w:sz w:val="24"/>
                <w:szCs w:val="24"/>
                <w:highlight w:val="none"/>
              </w:rPr>
              <w:t>以</w:t>
            </w:r>
            <w:r>
              <w:rPr>
                <w:rFonts w:hint="eastAsia" w:ascii="宋体" w:hAnsi="宋体"/>
                <w:bCs/>
                <w:color w:val="auto"/>
                <w:sz w:val="24"/>
                <w:szCs w:val="24"/>
                <w:highlight w:val="none"/>
                <w:lang w:val="en-US" w:eastAsia="zh-CN"/>
              </w:rPr>
              <w:t>氩</w:t>
            </w:r>
            <w:r>
              <w:rPr>
                <w:rFonts w:ascii="宋体" w:hAnsi="宋体"/>
                <w:bCs/>
                <w:color w:val="auto"/>
                <w:sz w:val="24"/>
                <w:szCs w:val="24"/>
                <w:highlight w:val="none"/>
              </w:rPr>
              <w:t>气</w:t>
            </w:r>
            <w:r>
              <w:rPr>
                <w:rFonts w:hint="eastAsia" w:ascii="宋体" w:hAnsi="宋体"/>
                <w:bCs/>
                <w:color w:val="auto"/>
                <w:sz w:val="24"/>
                <w:szCs w:val="24"/>
                <w:highlight w:val="none"/>
                <w:lang w:eastAsia="zh-CN"/>
              </w:rPr>
              <w:t>、</w:t>
            </w:r>
            <w:r>
              <w:rPr>
                <w:rFonts w:ascii="宋体" w:hAnsi="宋体"/>
                <w:color w:val="auto"/>
                <w:sz w:val="24"/>
                <w:szCs w:val="24"/>
                <w:highlight w:val="none"/>
              </w:rPr>
              <w:t>二氧化碳</w:t>
            </w:r>
            <w:r>
              <w:rPr>
                <w:rFonts w:hint="eastAsia" w:ascii="宋体" w:hAnsi="宋体"/>
                <w:color w:val="auto"/>
                <w:sz w:val="24"/>
                <w:szCs w:val="24"/>
                <w:highlight w:val="none"/>
                <w:lang w:val="en-US" w:eastAsia="zh-CN"/>
              </w:rPr>
              <w:t>气体</w:t>
            </w:r>
            <w:r>
              <w:rPr>
                <w:rFonts w:ascii="宋体" w:hAnsi="宋体"/>
                <w:bCs/>
                <w:color w:val="auto"/>
                <w:sz w:val="24"/>
                <w:szCs w:val="24"/>
                <w:highlight w:val="none"/>
              </w:rPr>
              <w:t>作为保护气体进行焊接，防止焊区氧化</w:t>
            </w:r>
            <w:r>
              <w:rPr>
                <w:rFonts w:hint="eastAsia" w:ascii="宋体" w:hAnsi="宋体"/>
                <w:color w:val="auto"/>
                <w:sz w:val="24"/>
                <w:szCs w:val="24"/>
                <w:highlight w:val="none"/>
              </w:rPr>
              <w:t>。</w:t>
            </w:r>
            <w:r>
              <w:rPr>
                <w:rFonts w:ascii="宋体" w:hAnsi="宋体"/>
                <w:color w:val="auto"/>
                <w:sz w:val="24"/>
                <w:szCs w:val="24"/>
                <w:highlight w:val="none"/>
              </w:rPr>
              <w:t>该工序会产生焊接</w:t>
            </w:r>
            <w:r>
              <w:rPr>
                <w:rFonts w:hint="eastAsia" w:ascii="宋体" w:hAnsi="宋体"/>
                <w:color w:val="auto"/>
                <w:sz w:val="24"/>
                <w:szCs w:val="24"/>
                <w:highlight w:val="none"/>
                <w:lang w:val="en-US" w:eastAsia="zh-CN"/>
              </w:rPr>
              <w:t>烟尘</w:t>
            </w:r>
            <w:r>
              <w:rPr>
                <w:rFonts w:ascii="宋体" w:hAnsi="宋体"/>
                <w:color w:val="auto"/>
                <w:sz w:val="24"/>
                <w:szCs w:val="24"/>
                <w:highlight w:val="none"/>
              </w:rPr>
              <w:t>G</w:t>
            </w:r>
            <w:r>
              <w:rPr>
                <w:rFonts w:hint="eastAsia" w:ascii="宋体" w:hAnsi="宋体"/>
                <w:color w:val="auto"/>
                <w:sz w:val="24"/>
                <w:szCs w:val="24"/>
                <w:highlight w:val="none"/>
                <w:lang w:val="en-US" w:eastAsia="zh-CN"/>
              </w:rPr>
              <w:t>3</w:t>
            </w:r>
            <w:r>
              <w:rPr>
                <w:rFonts w:ascii="宋体" w:hAnsi="宋体"/>
                <w:color w:val="auto"/>
                <w:sz w:val="24"/>
                <w:szCs w:val="24"/>
                <w:highlight w:val="none"/>
              </w:rPr>
              <w:t>、</w:t>
            </w:r>
            <w:r>
              <w:rPr>
                <w:rFonts w:hint="eastAsia" w:ascii="宋体" w:hAnsi="宋体"/>
                <w:color w:val="auto"/>
                <w:sz w:val="24"/>
                <w:szCs w:val="24"/>
                <w:highlight w:val="none"/>
                <w:lang w:val="en-US" w:eastAsia="zh-CN"/>
              </w:rPr>
              <w:t>废焊料</w:t>
            </w:r>
            <w:r>
              <w:rPr>
                <w:rFonts w:ascii="宋体" w:hAnsi="宋体"/>
                <w:color w:val="auto"/>
                <w:sz w:val="24"/>
                <w:szCs w:val="24"/>
                <w:highlight w:val="none"/>
              </w:rPr>
              <w:t>S</w:t>
            </w:r>
            <w:r>
              <w:rPr>
                <w:rFonts w:hint="eastAsia" w:ascii="宋体" w:hAnsi="宋体"/>
                <w:color w:val="auto"/>
                <w:sz w:val="24"/>
                <w:szCs w:val="24"/>
                <w:highlight w:val="none"/>
                <w:lang w:val="en-US" w:eastAsia="zh-CN"/>
              </w:rPr>
              <w:t>2</w:t>
            </w:r>
            <w:r>
              <w:rPr>
                <w:rFonts w:ascii="宋体" w:hAnsi="宋体"/>
                <w:color w:val="auto"/>
                <w:sz w:val="24"/>
                <w:szCs w:val="24"/>
                <w:highlight w:val="none"/>
              </w:rPr>
              <w:t>及噪声</w:t>
            </w:r>
            <w:r>
              <w:rPr>
                <w:rFonts w:hint="eastAsia" w:ascii="宋体" w:hAnsi="宋体"/>
                <w:color w:val="auto"/>
                <w:sz w:val="24"/>
                <w:szCs w:val="24"/>
                <w:highlight w:val="none"/>
              </w:rPr>
              <w:t>N</w:t>
            </w:r>
            <w:r>
              <w:rPr>
                <w:rFonts w:ascii="宋体" w:hAnsi="宋体"/>
                <w:color w:val="auto"/>
                <w:sz w:val="24"/>
                <w:szCs w:val="24"/>
                <w:highlight w:val="none"/>
              </w:rPr>
              <w:t>。</w:t>
            </w:r>
          </w:p>
          <w:p w14:paraId="7C937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eastAsia" w:eastAsia="宋体"/>
                <w:color w:val="auto"/>
                <w:kern w:val="0"/>
                <w:sz w:val="24"/>
                <w:szCs w:val="24"/>
                <w:highlight w:val="none"/>
                <w:lang w:eastAsia="zh-CN"/>
              </w:rPr>
              <w:t>（</w:t>
            </w:r>
            <w:r>
              <w:rPr>
                <w:rFonts w:hint="eastAsia" w:eastAsia="宋体"/>
                <w:color w:val="auto"/>
                <w:kern w:val="0"/>
                <w:sz w:val="24"/>
                <w:szCs w:val="24"/>
                <w:highlight w:val="none"/>
                <w:lang w:val="en-US" w:eastAsia="zh-CN"/>
              </w:rPr>
              <w:t>4）</w:t>
            </w:r>
            <w:r>
              <w:rPr>
                <w:rFonts w:hint="eastAsia" w:eastAsia="宋体" w:cs="Times New Roman"/>
                <w:color w:val="auto"/>
                <w:kern w:val="0"/>
                <w:sz w:val="24"/>
                <w:highlight w:val="none"/>
                <w:lang w:val="en-US" w:eastAsia="zh-CN"/>
              </w:rPr>
              <w:t>粗加工</w:t>
            </w:r>
            <w:r>
              <w:rPr>
                <w:rFonts w:hint="default" w:ascii="Times New Roman" w:hAnsi="Times New Roman" w:eastAsia="宋体" w:cs="Times New Roman"/>
                <w:color w:val="auto"/>
                <w:kern w:val="0"/>
                <w:sz w:val="24"/>
                <w:highlight w:val="none"/>
                <w:lang w:val="en-US" w:eastAsia="zh-CN"/>
              </w:rPr>
              <w:t>：</w:t>
            </w:r>
            <w:r>
              <w:rPr>
                <w:rFonts w:ascii="宋体" w:hAnsi="宋体"/>
                <w:bCs/>
                <w:color w:val="auto"/>
                <w:sz w:val="24"/>
                <w:szCs w:val="24"/>
                <w:highlight w:val="none"/>
              </w:rPr>
              <w:t>经过喷漆</w:t>
            </w:r>
            <w:r>
              <w:rPr>
                <w:rFonts w:hint="eastAsia" w:ascii="宋体" w:hAnsi="宋体"/>
                <w:bCs/>
                <w:color w:val="auto"/>
                <w:sz w:val="24"/>
                <w:szCs w:val="24"/>
                <w:highlight w:val="none"/>
                <w:lang w:val="en-US" w:eastAsia="zh-CN"/>
              </w:rPr>
              <w:t>烘干</w:t>
            </w:r>
            <w:r>
              <w:rPr>
                <w:rFonts w:ascii="宋体" w:hAnsi="宋体"/>
                <w:bCs/>
                <w:color w:val="auto"/>
                <w:sz w:val="24"/>
                <w:szCs w:val="24"/>
                <w:highlight w:val="none"/>
              </w:rPr>
              <w:t>、喷塑固化后的</w:t>
            </w:r>
            <w:r>
              <w:rPr>
                <w:rFonts w:hint="eastAsia" w:ascii="宋体" w:hAnsi="宋体"/>
                <w:bCs/>
                <w:color w:val="auto"/>
                <w:sz w:val="24"/>
                <w:szCs w:val="24"/>
                <w:highlight w:val="none"/>
                <w:lang w:val="en-US" w:eastAsia="zh-CN"/>
              </w:rPr>
              <w:t>工件</w:t>
            </w:r>
            <w:r>
              <w:rPr>
                <w:rFonts w:ascii="宋体" w:hAnsi="宋体"/>
                <w:bCs/>
                <w:color w:val="auto"/>
                <w:sz w:val="24"/>
                <w:szCs w:val="24"/>
                <w:highlight w:val="none"/>
              </w:rPr>
              <w:t>需要进行进一步</w:t>
            </w:r>
            <w:r>
              <w:rPr>
                <w:rFonts w:hint="eastAsia" w:ascii="宋体" w:hAnsi="宋体"/>
                <w:bCs/>
                <w:color w:val="auto"/>
                <w:sz w:val="24"/>
                <w:szCs w:val="24"/>
                <w:highlight w:val="none"/>
                <w:lang w:val="en-US" w:eastAsia="zh-CN"/>
              </w:rPr>
              <w:t>粗</w:t>
            </w:r>
            <w:r>
              <w:rPr>
                <w:rFonts w:ascii="宋体" w:hAnsi="宋体"/>
                <w:bCs/>
                <w:color w:val="auto"/>
                <w:sz w:val="24"/>
                <w:szCs w:val="24"/>
                <w:highlight w:val="none"/>
              </w:rPr>
              <w:t>加工处理，主要通过</w:t>
            </w:r>
            <w:r>
              <w:rPr>
                <w:rFonts w:hint="eastAsia" w:ascii="宋体" w:hAnsi="宋体"/>
                <w:bCs/>
                <w:color w:val="auto"/>
                <w:sz w:val="24"/>
                <w:szCs w:val="24"/>
                <w:highlight w:val="none"/>
                <w:lang w:val="en-US" w:eastAsia="zh-CN"/>
              </w:rPr>
              <w:t>车</w:t>
            </w:r>
            <w:r>
              <w:rPr>
                <w:rFonts w:hint="eastAsia" w:ascii="宋体" w:hAnsi="宋体"/>
                <w:bCs/>
                <w:color w:val="auto"/>
                <w:sz w:val="24"/>
                <w:szCs w:val="24"/>
                <w:highlight w:val="none"/>
              </w:rPr>
              <w:t>床</w:t>
            </w:r>
            <w:r>
              <w:rPr>
                <w:rFonts w:ascii="宋体" w:hAnsi="宋体"/>
                <w:color w:val="auto"/>
                <w:sz w:val="24"/>
                <w:szCs w:val="24"/>
                <w:highlight w:val="none"/>
              </w:rPr>
              <w:t>、</w:t>
            </w:r>
            <w:r>
              <w:rPr>
                <w:rFonts w:hint="eastAsia" w:ascii="宋体" w:hAnsi="宋体"/>
                <w:color w:val="auto"/>
                <w:sz w:val="24"/>
                <w:szCs w:val="24"/>
                <w:highlight w:val="none"/>
                <w:lang w:val="en-US" w:eastAsia="zh-CN"/>
              </w:rPr>
              <w:t>铣床</w:t>
            </w:r>
            <w:r>
              <w:rPr>
                <w:rFonts w:ascii="宋体" w:hAnsi="宋体"/>
                <w:color w:val="auto"/>
                <w:sz w:val="24"/>
                <w:szCs w:val="24"/>
                <w:highlight w:val="none"/>
              </w:rPr>
              <w:t>等设备</w:t>
            </w:r>
            <w:r>
              <w:rPr>
                <w:rFonts w:ascii="宋体" w:hAnsi="宋体"/>
                <w:bCs/>
                <w:color w:val="auto"/>
                <w:sz w:val="24"/>
                <w:szCs w:val="24"/>
                <w:highlight w:val="none"/>
              </w:rPr>
              <w:t>进行整形加工。</w:t>
            </w:r>
            <w:r>
              <w:rPr>
                <w:rFonts w:ascii="宋体" w:hAnsi="宋体"/>
                <w:color w:val="auto"/>
                <w:sz w:val="24"/>
                <w:szCs w:val="24"/>
                <w:highlight w:val="none"/>
              </w:rPr>
              <w:t>其中</w:t>
            </w:r>
            <w:r>
              <w:rPr>
                <w:rFonts w:hint="eastAsia" w:ascii="宋体" w:hAnsi="宋体"/>
                <w:bCs/>
                <w:color w:val="auto"/>
                <w:sz w:val="24"/>
                <w:szCs w:val="24"/>
                <w:highlight w:val="none"/>
                <w:lang w:val="en-US" w:eastAsia="zh-CN"/>
              </w:rPr>
              <w:t>车</w:t>
            </w:r>
            <w:r>
              <w:rPr>
                <w:rFonts w:hint="eastAsia" w:ascii="宋体" w:hAnsi="宋体"/>
                <w:bCs/>
                <w:color w:val="auto"/>
                <w:sz w:val="24"/>
                <w:szCs w:val="24"/>
                <w:highlight w:val="none"/>
              </w:rPr>
              <w:t>床</w:t>
            </w:r>
            <w:r>
              <w:rPr>
                <w:rFonts w:ascii="宋体" w:hAnsi="宋体"/>
                <w:color w:val="auto"/>
                <w:sz w:val="24"/>
                <w:szCs w:val="24"/>
                <w:highlight w:val="none"/>
              </w:rPr>
              <w:t>、</w:t>
            </w:r>
            <w:r>
              <w:rPr>
                <w:rFonts w:hint="eastAsia" w:ascii="宋体" w:hAnsi="宋体"/>
                <w:color w:val="auto"/>
                <w:sz w:val="24"/>
                <w:szCs w:val="24"/>
                <w:highlight w:val="none"/>
                <w:lang w:val="en-US" w:eastAsia="zh-CN"/>
              </w:rPr>
              <w:t>铣</w:t>
            </w:r>
            <w:r>
              <w:rPr>
                <w:rFonts w:ascii="宋体" w:hAnsi="宋体"/>
                <w:color w:val="auto"/>
                <w:sz w:val="24"/>
                <w:szCs w:val="24"/>
                <w:highlight w:val="none"/>
              </w:rPr>
              <w:t>床采用切削液作为冷却介质，切削液按比例</w:t>
            </w:r>
            <w:r>
              <w:rPr>
                <w:rFonts w:hint="eastAsia" w:ascii="宋体" w:hAnsi="宋体"/>
                <w:color w:val="auto"/>
                <w:sz w:val="24"/>
                <w:szCs w:val="24"/>
                <w:highlight w:val="none"/>
              </w:rPr>
              <w:t>（</w:t>
            </w:r>
            <w:r>
              <w:rPr>
                <w:rFonts w:ascii="宋体" w:hAnsi="宋体"/>
                <w:color w:val="auto"/>
                <w:sz w:val="24"/>
                <w:szCs w:val="24"/>
                <w:highlight w:val="none"/>
              </w:rPr>
              <w:t>切削液</w:t>
            </w:r>
            <w:r>
              <w:rPr>
                <w:rFonts w:hint="default" w:ascii="Times New Roman" w:hAnsi="Times New Roman" w:cs="Times New Roman"/>
                <w:color w:val="auto"/>
                <w:sz w:val="24"/>
                <w:szCs w:val="24"/>
                <w:highlight w:val="none"/>
              </w:rPr>
              <w:t>：水=1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10）调配使用，此过程产生S</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边角料、</w:t>
            </w:r>
            <w:r>
              <w:rPr>
                <w:rFonts w:hint="default" w:ascii="Times New Roman" w:hAnsi="Times New Roman" w:cs="Times New Roman"/>
                <w:color w:val="auto"/>
                <w:kern w:val="0"/>
                <w:sz w:val="24"/>
                <w:szCs w:val="24"/>
                <w:highlight w:val="none"/>
                <w:lang w:val="zh-CN"/>
              </w:rPr>
              <w:t>S</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val="zh-CN"/>
              </w:rPr>
              <w:t>废切削液</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噪声N。</w:t>
            </w:r>
          </w:p>
          <w:p w14:paraId="6FD23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eastAsia"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）清洗：</w:t>
            </w:r>
            <w:r>
              <w:rPr>
                <w:rFonts w:hint="default" w:ascii="Times New Roman" w:hAnsi="Times New Roman" w:cs="Times New Roman"/>
                <w:color w:val="auto"/>
                <w:sz w:val="24"/>
                <w:szCs w:val="24"/>
                <w:highlight w:val="none"/>
              </w:rPr>
              <w:t>工件</w:t>
            </w:r>
            <w:r>
              <w:rPr>
                <w:rFonts w:hint="default" w:ascii="Times New Roman" w:hAnsi="Times New Roman" w:cs="Times New Roman"/>
                <w:color w:val="auto"/>
                <w:sz w:val="24"/>
                <w:szCs w:val="24"/>
                <w:highlight w:val="none"/>
                <w:lang w:val="en-US" w:eastAsia="zh-CN"/>
              </w:rPr>
              <w:t>粗</w:t>
            </w:r>
            <w:r>
              <w:rPr>
                <w:rFonts w:hint="default" w:ascii="Times New Roman" w:hAnsi="Times New Roman" w:cs="Times New Roman"/>
                <w:color w:val="auto"/>
                <w:sz w:val="24"/>
                <w:szCs w:val="24"/>
                <w:highlight w:val="none"/>
              </w:rPr>
              <w:t>加工结束后</w:t>
            </w:r>
            <w:r>
              <w:rPr>
                <w:rFonts w:hint="default" w:ascii="Times New Roman" w:hAnsi="Times New Roman" w:cs="Times New Roman"/>
                <w:color w:val="auto"/>
                <w:sz w:val="24"/>
                <w:szCs w:val="24"/>
                <w:highlight w:val="none"/>
                <w:lang w:val="en-US" w:eastAsia="zh-CN"/>
              </w:rPr>
              <w:t>需用超声波清洗设备简单冲洗一下，主要为自来水，不涉及清洗剂，然后</w:t>
            </w:r>
            <w:r>
              <w:rPr>
                <w:rFonts w:hint="default" w:ascii="Times New Roman" w:hAnsi="Times New Roman" w:cs="Times New Roman"/>
                <w:color w:val="auto"/>
                <w:sz w:val="24"/>
                <w:szCs w:val="24"/>
                <w:highlight w:val="none"/>
              </w:rPr>
              <w:t>进入下一步</w:t>
            </w:r>
            <w:r>
              <w:rPr>
                <w:rFonts w:hint="default" w:ascii="Times New Roman" w:hAnsi="Times New Roman" w:cs="Times New Roman"/>
                <w:color w:val="auto"/>
                <w:sz w:val="24"/>
                <w:szCs w:val="24"/>
                <w:highlight w:val="none"/>
                <w:lang w:val="en-US" w:eastAsia="zh-CN"/>
              </w:rPr>
              <w:t>继续加工</w:t>
            </w:r>
            <w:r>
              <w:rPr>
                <w:rFonts w:hint="default" w:ascii="Times New Roman" w:hAnsi="Times New Roman" w:cs="Times New Roman"/>
                <w:color w:val="auto"/>
                <w:sz w:val="24"/>
                <w:szCs w:val="24"/>
                <w:highlight w:val="none"/>
              </w:rPr>
              <w:t>。此过程产生</w:t>
            </w:r>
            <w:r>
              <w:rPr>
                <w:rFonts w:hint="default" w:ascii="Times New Roman" w:hAnsi="Times New Roman" w:cs="Times New Roman"/>
                <w:color w:val="auto"/>
                <w:sz w:val="24"/>
                <w:szCs w:val="24"/>
                <w:highlight w:val="none"/>
                <w:lang w:val="en-US" w:eastAsia="zh-CN"/>
              </w:rPr>
              <w:t>清洗废</w:t>
            </w:r>
            <w:r>
              <w:rPr>
                <w:rFonts w:hint="eastAsia" w:cs="Times New Roman"/>
                <w:color w:val="auto"/>
                <w:sz w:val="24"/>
                <w:szCs w:val="24"/>
                <w:highlight w:val="none"/>
                <w:lang w:val="en-US" w:eastAsia="zh-CN"/>
              </w:rPr>
              <w:t>水</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噪声N。</w:t>
            </w:r>
          </w:p>
          <w:p w14:paraId="5473D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eastAsia" w:eastAsia="宋体"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lang w:val="en-US" w:eastAsia="zh-CN"/>
              </w:rPr>
              <w:t>）精加工：</w:t>
            </w:r>
            <w:r>
              <w:rPr>
                <w:rFonts w:hint="default" w:ascii="Times New Roman" w:hAnsi="Times New Roman" w:eastAsia="宋体" w:cs="Times New Roman"/>
                <w:bCs/>
                <w:color w:val="auto"/>
                <w:sz w:val="24"/>
                <w:szCs w:val="24"/>
                <w:highlight w:val="none"/>
                <w:lang w:val="en-US" w:eastAsia="zh-CN"/>
              </w:rPr>
              <w:t>工件</w:t>
            </w:r>
            <w:r>
              <w:rPr>
                <w:rFonts w:hint="default" w:ascii="Times New Roman" w:hAnsi="Times New Roman" w:cs="Times New Roman"/>
                <w:bCs/>
                <w:color w:val="auto"/>
                <w:sz w:val="24"/>
                <w:szCs w:val="24"/>
                <w:highlight w:val="none"/>
              </w:rPr>
              <w:t>需要进一步精加工处理，主要通过钻床</w:t>
            </w:r>
            <w:r>
              <w:rPr>
                <w:rFonts w:hint="default" w:ascii="Times New Roman" w:hAnsi="Times New Roman" w:cs="Times New Roman"/>
                <w:color w:val="auto"/>
                <w:sz w:val="24"/>
                <w:szCs w:val="24"/>
                <w:highlight w:val="none"/>
              </w:rPr>
              <w:t>、加工中心等设备</w:t>
            </w:r>
            <w:r>
              <w:rPr>
                <w:rFonts w:hint="default" w:ascii="Times New Roman" w:hAnsi="Times New Roman" w:cs="Times New Roman"/>
                <w:bCs/>
                <w:color w:val="auto"/>
                <w:sz w:val="24"/>
                <w:szCs w:val="24"/>
                <w:highlight w:val="none"/>
              </w:rPr>
              <w:t>进行整形加工。</w:t>
            </w:r>
            <w:r>
              <w:rPr>
                <w:rFonts w:hint="default" w:ascii="Times New Roman" w:hAnsi="Times New Roman" w:cs="Times New Roman"/>
                <w:color w:val="auto"/>
                <w:sz w:val="24"/>
                <w:szCs w:val="24"/>
                <w:highlight w:val="none"/>
              </w:rPr>
              <w:t>其中钻床、加工中心床采用切削液作为冷却介质，切削液按比例（切削液：水=1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10）调配使用</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此过程产生S</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边角料、</w:t>
            </w:r>
            <w:r>
              <w:rPr>
                <w:rFonts w:hint="default" w:ascii="Times New Roman" w:hAnsi="Times New Roman" w:cs="Times New Roman"/>
                <w:color w:val="auto"/>
                <w:kern w:val="0"/>
                <w:sz w:val="24"/>
                <w:szCs w:val="24"/>
                <w:highlight w:val="none"/>
                <w:lang w:val="zh-CN"/>
              </w:rPr>
              <w:t>S</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val="zh-CN"/>
              </w:rPr>
              <w:t>废切削液</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噪声N。</w:t>
            </w:r>
          </w:p>
          <w:p w14:paraId="3D607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highlight w:val="none"/>
                <w:lang w:eastAsia="zh-CN"/>
              </w:rPr>
              <w:t>（</w:t>
            </w:r>
            <w:r>
              <w:rPr>
                <w:rFonts w:hint="eastAsia" w:eastAsia="宋体"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eastAsia="zh-CN"/>
              </w:rPr>
              <w:t>）</w:t>
            </w:r>
            <w:r>
              <w:rPr>
                <w:rFonts w:hint="eastAsia" w:eastAsia="宋体" w:cs="Times New Roman"/>
                <w:color w:val="auto"/>
                <w:kern w:val="0"/>
                <w:sz w:val="24"/>
                <w:highlight w:val="none"/>
                <w:lang w:val="en-US" w:eastAsia="zh-CN"/>
              </w:rPr>
              <w:t>喷漆</w:t>
            </w:r>
            <w:r>
              <w:rPr>
                <w:rFonts w:hint="default" w:ascii="Times New Roman" w:hAnsi="Times New Roman" w:eastAsia="宋体" w:cs="Times New Roman"/>
                <w:color w:val="auto"/>
                <w:kern w:val="0"/>
                <w:sz w:val="24"/>
                <w:highlight w:val="none"/>
                <w:lang w:val="en-US" w:eastAsia="zh-CN"/>
              </w:rPr>
              <w:t>：</w:t>
            </w:r>
            <w:r>
              <w:rPr>
                <w:rFonts w:hint="eastAsia" w:ascii="宋体" w:hAnsi="宋体" w:eastAsia="宋体"/>
                <w:bCs/>
                <w:color w:val="auto"/>
                <w:sz w:val="24"/>
                <w:szCs w:val="24"/>
                <w:highlight w:val="none"/>
                <w:lang w:val="en-US" w:eastAsia="zh-CN"/>
              </w:rPr>
              <w:t>加工</w:t>
            </w:r>
            <w:r>
              <w:rPr>
                <w:rFonts w:ascii="宋体" w:hAnsi="宋体"/>
                <w:bCs/>
                <w:color w:val="auto"/>
                <w:sz w:val="24"/>
                <w:szCs w:val="24"/>
                <w:highlight w:val="none"/>
              </w:rPr>
              <w:t>处理完成的外壳</w:t>
            </w:r>
            <w:r>
              <w:rPr>
                <w:rFonts w:hint="eastAsia" w:ascii="宋体" w:hAnsi="宋体"/>
                <w:bCs/>
                <w:color w:val="auto"/>
                <w:sz w:val="24"/>
                <w:szCs w:val="24"/>
                <w:highlight w:val="none"/>
              </w:rPr>
              <w:t>工件</w:t>
            </w:r>
            <w:r>
              <w:rPr>
                <w:rFonts w:hint="eastAsia" w:ascii="宋体" w:hAnsi="宋体"/>
                <w:bCs/>
                <w:color w:val="auto"/>
                <w:sz w:val="24"/>
                <w:szCs w:val="24"/>
                <w:highlight w:val="none"/>
                <w:lang w:eastAsia="zh-CN"/>
              </w:rPr>
              <w:t>一般</w:t>
            </w:r>
            <w:r>
              <w:rPr>
                <w:rFonts w:hint="eastAsia" w:ascii="宋体" w:hAnsi="宋体"/>
                <w:bCs/>
                <w:color w:val="auto"/>
                <w:sz w:val="24"/>
                <w:szCs w:val="24"/>
                <w:highlight w:val="none"/>
              </w:rPr>
              <w:t>需要</w:t>
            </w:r>
            <w:r>
              <w:rPr>
                <w:rFonts w:ascii="宋体" w:hAnsi="宋体"/>
                <w:bCs/>
                <w:color w:val="auto"/>
                <w:sz w:val="24"/>
                <w:szCs w:val="24"/>
                <w:highlight w:val="none"/>
              </w:rPr>
              <w:t>进行喷漆处理，以保护外壳不被氧化、腐蚀。项目</w:t>
            </w:r>
            <w:r>
              <w:rPr>
                <w:rFonts w:hint="eastAsia" w:ascii="宋体" w:hAnsi="宋体"/>
                <w:bCs/>
                <w:color w:val="auto"/>
                <w:sz w:val="24"/>
                <w:szCs w:val="24"/>
                <w:highlight w:val="none"/>
              </w:rPr>
              <w:t>喷漆使用</w:t>
            </w:r>
            <w:r>
              <w:rPr>
                <w:rFonts w:hint="eastAsia" w:ascii="宋体" w:hAnsi="宋体"/>
                <w:bCs/>
                <w:color w:val="auto"/>
                <w:sz w:val="24"/>
                <w:szCs w:val="24"/>
                <w:highlight w:val="none"/>
                <w:lang w:val="en-US" w:eastAsia="zh-CN"/>
              </w:rPr>
              <w:t>的</w:t>
            </w:r>
            <w:r>
              <w:rPr>
                <w:rFonts w:hint="eastAsia" w:ascii="宋体" w:hAnsi="宋体"/>
                <w:bCs/>
                <w:color w:val="auto"/>
                <w:sz w:val="24"/>
                <w:szCs w:val="24"/>
                <w:highlight w:val="none"/>
              </w:rPr>
              <w:t>水性漆，企业</w:t>
            </w:r>
            <w:r>
              <w:rPr>
                <w:rFonts w:ascii="宋体" w:hAnsi="宋体"/>
                <w:bCs/>
                <w:color w:val="auto"/>
                <w:sz w:val="24"/>
                <w:szCs w:val="24"/>
                <w:highlight w:val="none"/>
              </w:rPr>
              <w:t>设有专门的喷漆房，</w:t>
            </w:r>
            <w:r>
              <w:rPr>
                <w:rFonts w:hint="eastAsia" w:ascii="宋体" w:hAnsi="宋体"/>
                <w:bCs/>
                <w:color w:val="auto"/>
                <w:sz w:val="24"/>
                <w:szCs w:val="24"/>
                <w:highlight w:val="none"/>
                <w:lang w:val="en-US" w:eastAsia="zh-CN"/>
              </w:rPr>
              <w:t>人工将工件放入传送带上，启动</w:t>
            </w:r>
            <w:r>
              <w:rPr>
                <w:rFonts w:ascii="宋体" w:hAnsi="宋体"/>
                <w:bCs/>
                <w:color w:val="auto"/>
                <w:sz w:val="24"/>
                <w:szCs w:val="24"/>
                <w:highlight w:val="none"/>
              </w:rPr>
              <w:t>喷漆</w:t>
            </w:r>
            <w:r>
              <w:rPr>
                <w:rFonts w:hint="eastAsia" w:ascii="宋体" w:hAnsi="宋体"/>
                <w:bCs/>
                <w:color w:val="auto"/>
                <w:sz w:val="24"/>
                <w:szCs w:val="24"/>
                <w:highlight w:val="none"/>
                <w:lang w:val="en-US" w:eastAsia="zh-CN"/>
              </w:rPr>
              <w:t>程序，</w:t>
            </w:r>
            <w:r>
              <w:rPr>
                <w:rFonts w:hint="eastAsia" w:ascii="Times New Roman" w:hAnsi="Times New Roman" w:cs="Times New Roman"/>
                <w:bCs/>
                <w:color w:val="auto"/>
                <w:sz w:val="24"/>
                <w:szCs w:val="24"/>
                <w:highlight w:val="none"/>
                <w:lang w:val="en-US" w:eastAsia="zh-CN"/>
              </w:rPr>
              <w:t>则喷枪会自动对工件进行均匀</w:t>
            </w:r>
            <w:r>
              <w:rPr>
                <w:rFonts w:hint="default" w:ascii="Times New Roman" w:hAnsi="Times New Roman" w:cs="Times New Roman"/>
                <w:bCs/>
                <w:color w:val="auto"/>
                <w:sz w:val="24"/>
                <w:szCs w:val="24"/>
                <w:highlight w:val="none"/>
              </w:rPr>
              <w:t>喷漆，</w:t>
            </w:r>
            <w:r>
              <w:rPr>
                <w:rFonts w:ascii="宋体" w:hAnsi="宋体"/>
                <w:bCs/>
                <w:color w:val="auto"/>
                <w:sz w:val="24"/>
                <w:szCs w:val="24"/>
                <w:highlight w:val="none"/>
              </w:rPr>
              <w:t>水性漆在喷漆房</w:t>
            </w:r>
            <w:r>
              <w:rPr>
                <w:rFonts w:hint="default" w:ascii="Times New Roman" w:hAnsi="Times New Roman" w:cs="Times New Roman"/>
                <w:bCs/>
                <w:color w:val="auto"/>
                <w:sz w:val="24"/>
                <w:szCs w:val="24"/>
                <w:highlight w:val="none"/>
              </w:rPr>
              <w:t>配</w:t>
            </w:r>
            <w:r>
              <w:rPr>
                <w:rFonts w:hint="default" w:ascii="Times New Roman" w:hAnsi="Times New Roman" w:cs="Times New Roman"/>
                <w:bCs/>
                <w:color w:val="auto"/>
                <w:sz w:val="24"/>
                <w:szCs w:val="24"/>
                <w:highlight w:val="none"/>
                <w:lang w:val="en-US" w:eastAsia="zh-CN"/>
              </w:rPr>
              <w:t>比</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因此</w:t>
            </w:r>
            <w:r>
              <w:rPr>
                <w:rFonts w:hint="default" w:ascii="Times New Roman" w:hAnsi="Times New Roman" w:cs="Times New Roman"/>
                <w:bCs/>
                <w:color w:val="auto"/>
                <w:sz w:val="24"/>
                <w:szCs w:val="24"/>
                <w:highlight w:val="none"/>
              </w:rPr>
              <w:t>调漆废气纳入喷漆废气一并核算，</w:t>
            </w:r>
            <w:r>
              <w:rPr>
                <w:rFonts w:hint="default" w:ascii="Times New Roman" w:hAnsi="Times New Roman" w:cs="Times New Roman"/>
                <w:color w:val="auto"/>
                <w:sz w:val="24"/>
                <w:szCs w:val="24"/>
                <w:highlight w:val="none"/>
              </w:rPr>
              <w:t>水性漆主要成分均溶于水或具有良好的水分散性能，因此每天喷漆完成后，需采用少量自来水对喷枪及吸漆管进行清洗，</w:t>
            </w:r>
            <w:r>
              <w:rPr>
                <w:rFonts w:hint="eastAsia" w:cs="Times New Roman"/>
                <w:color w:val="auto"/>
                <w:sz w:val="24"/>
                <w:szCs w:val="24"/>
                <w:highlight w:val="none"/>
                <w:lang w:eastAsia="zh-CN"/>
              </w:rPr>
              <w:t>喷枪</w:t>
            </w:r>
            <w:r>
              <w:rPr>
                <w:rFonts w:hint="default" w:ascii="Times New Roman" w:hAnsi="Times New Roman" w:cs="Times New Roman"/>
                <w:color w:val="auto"/>
                <w:sz w:val="24"/>
                <w:szCs w:val="24"/>
                <w:highlight w:val="none"/>
              </w:rPr>
              <w:t>废水收集用于次日的水性漆调漆，不外排。</w:t>
            </w:r>
            <w:r>
              <w:rPr>
                <w:rFonts w:hint="default" w:ascii="Times New Roman" w:hAnsi="Times New Roman" w:cs="Times New Roman"/>
                <w:bCs/>
                <w:color w:val="auto"/>
                <w:sz w:val="24"/>
                <w:szCs w:val="24"/>
                <w:highlight w:val="none"/>
              </w:rPr>
              <w:t>此过程中产生G</w:t>
            </w:r>
            <w:r>
              <w:rPr>
                <w:rFonts w:hint="default" w:ascii="Times New Roman" w:hAnsi="Times New Roman"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rPr>
              <w:t>喷漆废气、</w:t>
            </w:r>
            <w:r>
              <w:rPr>
                <w:rFonts w:ascii="宋体" w:hAnsi="宋体"/>
                <w:bCs/>
                <w:color w:val="auto"/>
                <w:sz w:val="24"/>
                <w:szCs w:val="24"/>
                <w:highlight w:val="none"/>
              </w:rPr>
              <w:t>漆渣</w:t>
            </w:r>
            <w:r>
              <w:rPr>
                <w:rFonts w:hint="eastAsia" w:ascii="宋体" w:hAnsi="宋体"/>
                <w:bCs/>
                <w:color w:val="auto"/>
                <w:sz w:val="24"/>
                <w:szCs w:val="24"/>
                <w:highlight w:val="none"/>
              </w:rPr>
              <w:t>S</w:t>
            </w:r>
            <w:r>
              <w:rPr>
                <w:rFonts w:hint="eastAsia" w:ascii="宋体" w:hAnsi="宋体"/>
                <w:bCs/>
                <w:color w:val="auto"/>
                <w:sz w:val="24"/>
                <w:szCs w:val="24"/>
                <w:highlight w:val="none"/>
                <w:lang w:val="en-US" w:eastAsia="zh-CN"/>
              </w:rPr>
              <w:t>4</w:t>
            </w:r>
            <w:r>
              <w:rPr>
                <w:rFonts w:ascii="宋体" w:hAnsi="宋体"/>
                <w:bCs/>
                <w:color w:val="auto"/>
                <w:sz w:val="24"/>
                <w:szCs w:val="24"/>
                <w:highlight w:val="none"/>
              </w:rPr>
              <w:t>。</w:t>
            </w:r>
          </w:p>
          <w:p w14:paraId="5DA41A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8）烘干：</w:t>
            </w:r>
            <w:r>
              <w:rPr>
                <w:rFonts w:hint="default" w:ascii="Times New Roman" w:hAnsi="Times New Roman" w:cs="Times New Roman"/>
                <w:bCs/>
                <w:color w:val="auto"/>
                <w:sz w:val="24"/>
                <w:szCs w:val="24"/>
                <w:highlight w:val="none"/>
              </w:rPr>
              <w:t>外壳工件喷漆结束后，工件转入</w:t>
            </w:r>
            <w:r>
              <w:rPr>
                <w:rFonts w:hint="eastAsia" w:cs="Times New Roman"/>
                <w:bCs/>
                <w:color w:val="auto"/>
                <w:sz w:val="24"/>
                <w:szCs w:val="24"/>
                <w:highlight w:val="none"/>
                <w:lang w:val="en-US" w:eastAsia="zh-CN"/>
              </w:rPr>
              <w:t>烤</w:t>
            </w:r>
            <w:r>
              <w:rPr>
                <w:rFonts w:hint="default" w:ascii="Times New Roman" w:hAnsi="Times New Roman" w:cs="Times New Roman"/>
                <w:bCs/>
                <w:color w:val="auto"/>
                <w:sz w:val="24"/>
                <w:szCs w:val="24"/>
                <w:highlight w:val="none"/>
                <w:lang w:val="en-US" w:eastAsia="zh-CN"/>
              </w:rPr>
              <w:t>箱</w:t>
            </w:r>
            <w:r>
              <w:rPr>
                <w:rFonts w:hint="default" w:ascii="Times New Roman" w:hAnsi="Times New Roman" w:cs="Times New Roman"/>
                <w:bCs/>
                <w:color w:val="auto"/>
                <w:sz w:val="24"/>
                <w:szCs w:val="24"/>
                <w:highlight w:val="none"/>
              </w:rPr>
              <w:t>进行</w:t>
            </w:r>
            <w:r>
              <w:rPr>
                <w:rFonts w:hint="default" w:ascii="Times New Roman" w:hAnsi="Times New Roman" w:cs="Times New Roman"/>
                <w:bCs/>
                <w:color w:val="auto"/>
                <w:sz w:val="24"/>
                <w:szCs w:val="24"/>
                <w:highlight w:val="none"/>
                <w:lang w:val="en-US" w:eastAsia="zh-CN"/>
              </w:rPr>
              <w:t>电烘干。</w:t>
            </w:r>
            <w:r>
              <w:rPr>
                <w:rFonts w:hint="default" w:ascii="Times New Roman" w:hAnsi="Times New Roman" w:cs="Times New Roman"/>
                <w:bCs/>
                <w:color w:val="auto"/>
                <w:sz w:val="24"/>
                <w:szCs w:val="24"/>
                <w:highlight w:val="none"/>
              </w:rPr>
              <w:t>此过程中产生G</w:t>
            </w:r>
            <w:r>
              <w:rPr>
                <w:rFonts w:hint="default" w:ascii="Times New Roman" w:hAnsi="Times New Roman" w:cs="Times New Roman"/>
                <w:bCs/>
                <w:color w:val="auto"/>
                <w:sz w:val="24"/>
                <w:szCs w:val="24"/>
                <w:highlight w:val="none"/>
                <w:lang w:val="en-US" w:eastAsia="zh-CN"/>
              </w:rPr>
              <w:t>5烘干</w:t>
            </w:r>
            <w:r>
              <w:rPr>
                <w:rFonts w:hint="default" w:ascii="Times New Roman" w:hAnsi="Times New Roman" w:cs="Times New Roman"/>
                <w:bCs/>
                <w:color w:val="auto"/>
                <w:sz w:val="24"/>
                <w:szCs w:val="24"/>
                <w:highlight w:val="none"/>
              </w:rPr>
              <w:t>废</w:t>
            </w:r>
            <w:r>
              <w:rPr>
                <w:rFonts w:ascii="宋体" w:hAnsi="宋体"/>
                <w:bCs/>
                <w:color w:val="auto"/>
                <w:sz w:val="24"/>
                <w:szCs w:val="24"/>
                <w:highlight w:val="none"/>
              </w:rPr>
              <w:t>气。</w:t>
            </w:r>
          </w:p>
          <w:p w14:paraId="5CFE64BC">
            <w:pPr>
              <w:keepNext w:val="0"/>
              <w:keepLines w:val="0"/>
              <w:widowControl/>
              <w:suppressLineNumbers w:val="0"/>
              <w:spacing w:before="0" w:beforeAutospacing="0" w:after="0" w:afterAutospacing="0" w:line="360" w:lineRule="auto"/>
              <w:ind w:left="0" w:right="0" w:firstLine="480" w:firstLineChars="200"/>
              <w:jc w:val="left"/>
              <w:rPr>
                <w:rFonts w:ascii="宋体" w:hAnsi="宋体"/>
                <w:bCs/>
                <w:color w:val="auto"/>
                <w:sz w:val="24"/>
                <w:szCs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9）喷塑：</w:t>
            </w:r>
            <w:r>
              <w:rPr>
                <w:rFonts w:hint="eastAsia" w:ascii="宋体" w:hAnsi="宋体" w:eastAsia="宋体"/>
                <w:bCs/>
                <w:color w:val="auto"/>
                <w:sz w:val="24"/>
                <w:szCs w:val="24"/>
                <w:highlight w:val="none"/>
                <w:lang w:val="en-US" w:eastAsia="zh-CN"/>
              </w:rPr>
              <w:t>焊接</w:t>
            </w:r>
            <w:r>
              <w:rPr>
                <w:rFonts w:hint="eastAsia" w:ascii="宋体" w:hAnsi="宋体"/>
                <w:bCs/>
                <w:color w:val="auto"/>
                <w:sz w:val="24"/>
                <w:szCs w:val="24"/>
                <w:highlight w:val="none"/>
              </w:rPr>
              <w:t>处理后</w:t>
            </w:r>
            <w:r>
              <w:rPr>
                <w:rFonts w:ascii="宋体" w:hAnsi="宋体"/>
                <w:bCs/>
                <w:color w:val="auto"/>
                <w:sz w:val="24"/>
                <w:szCs w:val="24"/>
                <w:highlight w:val="none"/>
              </w:rPr>
              <w:t>工件</w:t>
            </w:r>
            <w:r>
              <w:rPr>
                <w:rFonts w:hint="eastAsia" w:ascii="宋体" w:hAnsi="宋体"/>
                <w:bCs/>
                <w:color w:val="auto"/>
                <w:sz w:val="24"/>
                <w:szCs w:val="24"/>
                <w:highlight w:val="none"/>
                <w:lang w:val="en-US" w:eastAsia="zh-CN"/>
              </w:rPr>
              <w:t>部分一半</w:t>
            </w:r>
            <w:r>
              <w:rPr>
                <w:rFonts w:ascii="宋体" w:hAnsi="宋体"/>
                <w:bCs/>
                <w:color w:val="auto"/>
                <w:sz w:val="24"/>
                <w:szCs w:val="24"/>
                <w:highlight w:val="none"/>
              </w:rPr>
              <w:t>进入密闭的喷</w:t>
            </w:r>
            <w:r>
              <w:rPr>
                <w:rFonts w:hint="eastAsia" w:ascii="宋体" w:hAnsi="宋体"/>
                <w:bCs/>
                <w:color w:val="auto"/>
                <w:sz w:val="24"/>
                <w:szCs w:val="24"/>
                <w:highlight w:val="none"/>
                <w:lang w:val="en-US" w:eastAsia="zh-CN"/>
              </w:rPr>
              <w:t>塑</w:t>
            </w:r>
            <w:r>
              <w:rPr>
                <w:rFonts w:ascii="宋体" w:hAnsi="宋体"/>
                <w:bCs/>
                <w:color w:val="auto"/>
                <w:sz w:val="24"/>
                <w:szCs w:val="24"/>
                <w:highlight w:val="none"/>
              </w:rPr>
              <w:t>室，采用静电喷</w:t>
            </w:r>
            <w:r>
              <w:rPr>
                <w:rFonts w:hint="eastAsia" w:ascii="宋体" w:hAnsi="宋体"/>
                <w:bCs/>
                <w:color w:val="auto"/>
                <w:sz w:val="24"/>
                <w:szCs w:val="24"/>
                <w:highlight w:val="none"/>
              </w:rPr>
              <w:t>涂</w:t>
            </w:r>
            <w:r>
              <w:rPr>
                <w:rFonts w:ascii="宋体" w:hAnsi="宋体"/>
                <w:bCs/>
                <w:color w:val="auto"/>
                <w:sz w:val="24"/>
                <w:szCs w:val="24"/>
                <w:highlight w:val="none"/>
              </w:rPr>
              <w:t>工艺进行涂装。静电喷</w:t>
            </w:r>
            <w:r>
              <w:rPr>
                <w:rFonts w:hint="eastAsia" w:ascii="宋体" w:hAnsi="宋体"/>
                <w:bCs/>
                <w:color w:val="auto"/>
                <w:sz w:val="24"/>
                <w:szCs w:val="24"/>
                <w:highlight w:val="none"/>
              </w:rPr>
              <w:t>涂</w:t>
            </w:r>
            <w:r>
              <w:rPr>
                <w:rFonts w:ascii="宋体" w:hAnsi="宋体"/>
                <w:bCs/>
                <w:color w:val="auto"/>
                <w:sz w:val="24"/>
                <w:szCs w:val="24"/>
                <w:highlight w:val="none"/>
              </w:rPr>
              <w:t>是利用高压静电电晕电场原理，喷</w:t>
            </w:r>
            <w:r>
              <w:rPr>
                <w:rFonts w:hint="eastAsia" w:ascii="宋体" w:hAnsi="宋体"/>
                <w:bCs/>
                <w:color w:val="auto"/>
                <w:sz w:val="24"/>
                <w:szCs w:val="24"/>
                <w:highlight w:val="none"/>
                <w:lang w:val="en-US" w:eastAsia="zh-CN"/>
              </w:rPr>
              <w:t>口</w:t>
            </w:r>
            <w:r>
              <w:rPr>
                <w:rFonts w:ascii="宋体" w:hAnsi="宋体"/>
                <w:bCs/>
                <w:color w:val="auto"/>
                <w:sz w:val="24"/>
                <w:szCs w:val="24"/>
                <w:highlight w:val="none"/>
              </w:rPr>
              <w:t>上的金属导流杯接上高压负极，被涂工件接地形成正极，在喷</w:t>
            </w:r>
            <w:r>
              <w:rPr>
                <w:rFonts w:hint="eastAsia" w:ascii="宋体" w:hAnsi="宋体"/>
                <w:bCs/>
                <w:color w:val="auto"/>
                <w:sz w:val="24"/>
                <w:szCs w:val="24"/>
                <w:highlight w:val="none"/>
                <w:lang w:val="en-US" w:eastAsia="zh-CN"/>
              </w:rPr>
              <w:t>口</w:t>
            </w:r>
            <w:r>
              <w:rPr>
                <w:rFonts w:ascii="宋体" w:hAnsi="宋体"/>
                <w:bCs/>
                <w:color w:val="auto"/>
                <w:sz w:val="24"/>
                <w:szCs w:val="24"/>
                <w:highlight w:val="none"/>
              </w:rPr>
              <w:t>和工件之间形成较强的静电场。当运载气体</w:t>
            </w:r>
            <w:r>
              <w:rPr>
                <w:rFonts w:hint="eastAsia" w:ascii="宋体" w:hAnsi="宋体"/>
                <w:bCs/>
                <w:color w:val="auto"/>
                <w:sz w:val="24"/>
                <w:szCs w:val="24"/>
                <w:highlight w:val="none"/>
                <w:lang w:eastAsia="zh-CN"/>
              </w:rPr>
              <w:t>（</w:t>
            </w:r>
            <w:r>
              <w:rPr>
                <w:rFonts w:ascii="宋体" w:hAnsi="宋体"/>
                <w:bCs/>
                <w:color w:val="auto"/>
                <w:sz w:val="24"/>
                <w:szCs w:val="24"/>
                <w:highlight w:val="none"/>
              </w:rPr>
              <w:t>压缩空气</w:t>
            </w:r>
            <w:r>
              <w:rPr>
                <w:rFonts w:hint="eastAsia" w:ascii="宋体" w:hAnsi="宋体"/>
                <w:bCs/>
                <w:color w:val="auto"/>
                <w:sz w:val="24"/>
                <w:szCs w:val="24"/>
                <w:highlight w:val="none"/>
                <w:lang w:eastAsia="zh-CN"/>
              </w:rPr>
              <w:t>）</w:t>
            </w:r>
            <w:r>
              <w:rPr>
                <w:rFonts w:ascii="宋体" w:hAnsi="宋体"/>
                <w:bCs/>
                <w:color w:val="auto"/>
                <w:sz w:val="24"/>
                <w:szCs w:val="24"/>
                <w:highlight w:val="none"/>
              </w:rPr>
              <w:t>将粉末涂料从供粉桶经输粉管送到喷</w:t>
            </w:r>
            <w:r>
              <w:rPr>
                <w:rFonts w:hint="eastAsia" w:ascii="宋体" w:hAnsi="宋体"/>
                <w:bCs/>
                <w:color w:val="auto"/>
                <w:sz w:val="24"/>
                <w:szCs w:val="24"/>
                <w:highlight w:val="none"/>
                <w:lang w:val="en-US" w:eastAsia="zh-CN"/>
              </w:rPr>
              <w:t>口</w:t>
            </w:r>
            <w:r>
              <w:rPr>
                <w:rFonts w:ascii="宋体" w:hAnsi="宋体"/>
                <w:bCs/>
                <w:color w:val="auto"/>
                <w:sz w:val="24"/>
                <w:szCs w:val="24"/>
                <w:highlight w:val="none"/>
              </w:rPr>
              <w:t>的导流环时，由于导流环接上高压负极产生电晕放电，其周围产生密集的电荷，粉末带上负电荷，在静电力和压缩空气的作用下，粉末均匀地吸附在工件上，形成均匀、平整、光滑的涂膜。</w:t>
            </w:r>
            <w:r>
              <w:rPr>
                <w:rFonts w:hint="eastAsia" w:ascii="宋体" w:hAnsi="宋体"/>
                <w:bCs/>
                <w:color w:val="auto"/>
                <w:sz w:val="24"/>
                <w:szCs w:val="24"/>
                <w:highlight w:val="none"/>
              </w:rPr>
              <w:t>该工艺产生喷</w:t>
            </w:r>
            <w:r>
              <w:rPr>
                <w:rFonts w:hint="eastAsia" w:ascii="宋体" w:hAnsi="宋体"/>
                <w:bCs/>
                <w:color w:val="auto"/>
                <w:sz w:val="24"/>
                <w:szCs w:val="24"/>
                <w:highlight w:val="none"/>
                <w:lang w:val="en-US" w:eastAsia="zh-CN"/>
              </w:rPr>
              <w:t>塑</w:t>
            </w:r>
            <w:r>
              <w:rPr>
                <w:rFonts w:hint="eastAsia" w:ascii="宋体" w:hAnsi="宋体"/>
                <w:bCs/>
                <w:color w:val="auto"/>
                <w:sz w:val="24"/>
                <w:szCs w:val="24"/>
                <w:highlight w:val="none"/>
              </w:rPr>
              <w:t>废气G</w:t>
            </w:r>
            <w:r>
              <w:rPr>
                <w:rFonts w:hint="eastAsia" w:ascii="宋体" w:hAnsi="宋体"/>
                <w:bCs/>
                <w:color w:val="auto"/>
                <w:sz w:val="24"/>
                <w:szCs w:val="24"/>
                <w:highlight w:val="none"/>
                <w:lang w:val="en-US" w:eastAsia="zh-CN"/>
              </w:rPr>
              <w:t>6</w:t>
            </w:r>
            <w:r>
              <w:rPr>
                <w:rFonts w:hint="eastAsia" w:ascii="宋体" w:hAnsi="宋体"/>
                <w:bCs/>
                <w:color w:val="auto"/>
                <w:sz w:val="24"/>
                <w:szCs w:val="24"/>
                <w:highlight w:val="none"/>
              </w:rPr>
              <w:t>。</w:t>
            </w:r>
          </w:p>
          <w:p w14:paraId="0ACFE791">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szCs w:val="24"/>
                <w:highlight w:val="none"/>
                <w:lang w:eastAsia="zh-CN"/>
              </w:rPr>
            </w:pPr>
            <w:r>
              <w:rPr>
                <w:rFonts w:hint="default" w:ascii="Times New Roman" w:hAnsi="Times New Roman" w:cs="Times New Roman"/>
                <w:bCs/>
                <w:color w:val="auto"/>
                <w:sz w:val="24"/>
                <w:szCs w:val="24"/>
                <w:highlight w:val="none"/>
                <w:lang w:eastAsia="zh-CN"/>
              </w:rPr>
              <w:t>（</w:t>
            </w:r>
            <w:r>
              <w:rPr>
                <w:rFonts w:hint="eastAsia" w:cs="Times New Roman"/>
                <w:bCs/>
                <w:color w:val="auto"/>
                <w:sz w:val="24"/>
                <w:szCs w:val="24"/>
                <w:highlight w:val="none"/>
                <w:lang w:val="en-US" w:eastAsia="zh-CN"/>
              </w:rPr>
              <w:t>10</w:t>
            </w:r>
            <w:r>
              <w:rPr>
                <w:rFonts w:hint="default" w:ascii="Times New Roman" w:hAnsi="Times New Roman" w:cs="Times New Roman"/>
                <w:bCs/>
                <w:color w:val="auto"/>
                <w:sz w:val="24"/>
                <w:szCs w:val="24"/>
                <w:highlight w:val="none"/>
                <w:lang w:val="en-US" w:eastAsia="zh-CN"/>
              </w:rPr>
              <w:t>）固化：</w:t>
            </w:r>
            <w:r>
              <w:rPr>
                <w:rFonts w:hint="default" w:ascii="Times New Roman" w:hAnsi="Times New Roman" w:cs="Times New Roman"/>
                <w:bCs/>
                <w:color w:val="auto"/>
                <w:sz w:val="24"/>
                <w:szCs w:val="24"/>
                <w:highlight w:val="none"/>
              </w:rPr>
              <w:t>喷</w:t>
            </w:r>
            <w:r>
              <w:rPr>
                <w:rFonts w:hint="eastAsia" w:ascii="宋体" w:hAnsi="宋体"/>
                <w:bCs/>
                <w:color w:val="auto"/>
                <w:sz w:val="24"/>
                <w:szCs w:val="24"/>
                <w:highlight w:val="none"/>
              </w:rPr>
              <w:t>塑好的工件，进入密闭的固化室进行烘烤固化（温度为200</w:t>
            </w:r>
            <w:r>
              <w:rPr>
                <w:rFonts w:ascii="宋体" w:hAnsi="宋体"/>
                <w:bCs/>
                <w:color w:val="auto"/>
                <w:sz w:val="24"/>
                <w:szCs w:val="24"/>
                <w:highlight w:val="none"/>
              </w:rPr>
              <w:t>℃</w:t>
            </w:r>
            <w:r>
              <w:rPr>
                <w:rFonts w:hint="eastAsia" w:ascii="宋体" w:hAnsi="宋体"/>
                <w:bCs/>
                <w:color w:val="auto"/>
                <w:sz w:val="24"/>
                <w:szCs w:val="24"/>
                <w:highlight w:val="none"/>
              </w:rPr>
              <w:t>），固化使工件表面粉层固化</w:t>
            </w:r>
            <w:r>
              <w:rPr>
                <w:rFonts w:hint="eastAsia" w:ascii="宋体" w:hAnsi="宋体"/>
                <w:bCs/>
                <w:color w:val="auto"/>
                <w:sz w:val="24"/>
                <w:szCs w:val="24"/>
                <w:highlight w:val="none"/>
                <w:lang w:eastAsia="zh-CN"/>
              </w:rPr>
              <w:t>成</w:t>
            </w:r>
            <w:r>
              <w:rPr>
                <w:rFonts w:hint="eastAsia" w:ascii="宋体" w:hAnsi="宋体"/>
                <w:bCs/>
                <w:color w:val="auto"/>
                <w:sz w:val="24"/>
                <w:szCs w:val="24"/>
                <w:highlight w:val="none"/>
              </w:rPr>
              <w:t>均匀的膜层，固化采用</w:t>
            </w:r>
            <w:r>
              <w:rPr>
                <w:rFonts w:hint="eastAsia" w:ascii="宋体" w:hAnsi="宋体"/>
                <w:bCs/>
                <w:color w:val="auto"/>
                <w:sz w:val="24"/>
                <w:szCs w:val="24"/>
                <w:highlight w:val="none"/>
                <w:lang w:val="en-US" w:eastAsia="zh-CN"/>
              </w:rPr>
              <w:t>电</w:t>
            </w:r>
            <w:r>
              <w:rPr>
                <w:rFonts w:hint="eastAsia" w:ascii="宋体" w:hAnsi="宋体"/>
                <w:bCs/>
                <w:color w:val="auto"/>
                <w:sz w:val="24"/>
                <w:szCs w:val="24"/>
                <w:highlight w:val="none"/>
              </w:rPr>
              <w:t>间接加热。该工艺产生固化废气G</w:t>
            </w:r>
            <w:r>
              <w:rPr>
                <w:rFonts w:hint="eastAsia" w:ascii="宋体" w:hAnsi="宋体"/>
                <w:bCs/>
                <w:color w:val="auto"/>
                <w:sz w:val="24"/>
                <w:szCs w:val="24"/>
                <w:highlight w:val="none"/>
                <w:lang w:val="en-US" w:eastAsia="zh-CN"/>
              </w:rPr>
              <w:t>7</w:t>
            </w:r>
            <w:r>
              <w:rPr>
                <w:rFonts w:hint="eastAsia" w:ascii="宋体" w:hAnsi="宋体"/>
                <w:bCs/>
                <w:color w:val="auto"/>
                <w:sz w:val="24"/>
                <w:szCs w:val="24"/>
                <w:highlight w:val="none"/>
              </w:rPr>
              <w:t>。</w:t>
            </w:r>
          </w:p>
          <w:p w14:paraId="6B0C06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1</w:t>
            </w:r>
            <w:r>
              <w:rPr>
                <w:rFonts w:hint="eastAsia"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highlight w:val="none"/>
                <w:lang w:val="en-US" w:eastAsia="zh-CN"/>
              </w:rPr>
              <w:t>组装：</w:t>
            </w:r>
            <w:r>
              <w:rPr>
                <w:rFonts w:hint="default" w:ascii="Times New Roman" w:hAnsi="Times New Roman" w:cs="Times New Roman"/>
                <w:color w:val="auto"/>
                <w:sz w:val="24"/>
                <w:szCs w:val="24"/>
                <w:highlight w:val="none"/>
              </w:rPr>
              <w:t>将加工好的金属工件与</w:t>
            </w:r>
            <w:r>
              <w:rPr>
                <w:rFonts w:hint="default" w:ascii="Times New Roman" w:hAnsi="Times New Roman" w:cs="Times New Roman"/>
                <w:color w:val="auto"/>
                <w:sz w:val="24"/>
                <w:szCs w:val="24"/>
                <w:highlight w:val="none"/>
                <w:lang w:val="en-US" w:eastAsia="zh-CN"/>
              </w:rPr>
              <w:t>电机、导轨、主轴</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sz w:val="24"/>
                <w:szCs w:val="24"/>
                <w:highlight w:val="none"/>
                <w:lang w:val="en-US" w:eastAsia="zh-CN"/>
              </w:rPr>
              <w:t>辅</w:t>
            </w:r>
            <w:r>
              <w:rPr>
                <w:rFonts w:hint="default" w:ascii="Times New Roman" w:hAnsi="Times New Roman" w:cs="Times New Roman"/>
                <w:color w:val="auto"/>
                <w:sz w:val="24"/>
                <w:szCs w:val="24"/>
                <w:highlight w:val="none"/>
              </w:rPr>
              <w:t>件</w:t>
            </w:r>
            <w:r>
              <w:rPr>
                <w:rFonts w:hint="default" w:ascii="Times New Roman" w:hAnsi="Times New Roman" w:cs="Times New Roman"/>
                <w:color w:val="auto"/>
                <w:sz w:val="24"/>
                <w:szCs w:val="24"/>
                <w:highlight w:val="none"/>
                <w:lang w:val="en-US" w:eastAsia="zh-CN"/>
              </w:rPr>
              <w:t>通过人工</w:t>
            </w:r>
            <w:r>
              <w:rPr>
                <w:rFonts w:hint="default" w:ascii="Times New Roman" w:hAnsi="Times New Roman" w:cs="Times New Roman"/>
                <w:color w:val="auto"/>
                <w:sz w:val="24"/>
                <w:szCs w:val="24"/>
                <w:highlight w:val="none"/>
              </w:rPr>
              <w:t>进行组装，部分需要使用压铆机进行辅助装配，装配完成后即为</w:t>
            </w:r>
            <w:r>
              <w:rPr>
                <w:rFonts w:hint="default" w:ascii="Times New Roman" w:hAnsi="Times New Roman" w:cs="Times New Roman"/>
                <w:color w:val="auto"/>
                <w:sz w:val="24"/>
                <w:szCs w:val="24"/>
                <w:highlight w:val="none"/>
                <w:lang w:val="en-US" w:eastAsia="zh-CN"/>
              </w:rPr>
              <w:t>整机设备</w:t>
            </w:r>
            <w:r>
              <w:rPr>
                <w:rFonts w:hint="default" w:ascii="Times New Roman" w:hAnsi="Times New Roman" w:cs="Times New Roman"/>
                <w:color w:val="auto"/>
                <w:sz w:val="24"/>
                <w:szCs w:val="24"/>
                <w:highlight w:val="none"/>
              </w:rPr>
              <w:t>。</w:t>
            </w:r>
          </w:p>
          <w:p w14:paraId="5877F1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eastAsia="宋体"/>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1</w:t>
            </w:r>
            <w:r>
              <w:rPr>
                <w:rFonts w:hint="eastAsia"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）检验：</w:t>
            </w:r>
            <w:r>
              <w:rPr>
                <w:rFonts w:hint="eastAsia"/>
                <w:color w:val="auto"/>
                <w:sz w:val="24"/>
                <w:szCs w:val="24"/>
                <w:lang w:val="en-US" w:eastAsia="zh-CN"/>
              </w:rPr>
              <w:t>组装好后需要对产品进行耐腐蚀性、拉伸、弯曲、压缩、剪切、环刚度等检验，其中耐腐蚀性检验在盐雾测试仪中进行，采用5%的氯化钠溶液作为盐雾试验药剂，拉伸、弯曲、压缩、剪切、环刚度等物理性能试验不涉及药剂的使用，在激光干涉仪、球杆仪、三坐标检测仪中进行。</w:t>
            </w:r>
            <w:r>
              <w:rPr>
                <w:rFonts w:hint="eastAsia" w:ascii="宋体" w:hAnsi="宋体"/>
                <w:bCs/>
                <w:color w:val="auto"/>
                <w:sz w:val="24"/>
                <w:szCs w:val="24"/>
                <w:highlight w:val="none"/>
                <w:lang w:val="en-US" w:eastAsia="zh-CN"/>
              </w:rPr>
              <w:t>检验过程若</w:t>
            </w:r>
            <w:r>
              <w:rPr>
                <w:rFonts w:hint="default" w:ascii="Times New Roman" w:hAnsi="Times New Roman" w:cs="Times New Roman"/>
                <w:bCs/>
                <w:color w:val="auto"/>
                <w:sz w:val="24"/>
                <w:szCs w:val="24"/>
                <w:highlight w:val="none"/>
              </w:rPr>
              <w:t>检</w:t>
            </w:r>
            <w:r>
              <w:rPr>
                <w:rFonts w:hint="eastAsia" w:ascii="宋体" w:hAnsi="宋体"/>
                <w:bCs/>
                <w:color w:val="auto"/>
                <w:sz w:val="24"/>
                <w:szCs w:val="24"/>
                <w:highlight w:val="none"/>
              </w:rPr>
              <w:t>测误差超过设定要求的则将相应部件</w:t>
            </w:r>
            <w:r>
              <w:rPr>
                <w:rFonts w:hint="eastAsia"/>
                <w:color w:val="auto"/>
                <w:kern w:val="0"/>
                <w:sz w:val="24"/>
                <w:szCs w:val="24"/>
                <w:highlight w:val="none"/>
              </w:rPr>
              <w:t>拆卸再返回</w:t>
            </w:r>
            <w:r>
              <w:rPr>
                <w:rFonts w:hint="eastAsia" w:eastAsia="宋体" w:cs="Times New Roman"/>
                <w:color w:val="auto"/>
                <w:kern w:val="0"/>
                <w:sz w:val="24"/>
                <w:highlight w:val="none"/>
                <w:lang w:val="en-US" w:eastAsia="zh-CN"/>
              </w:rPr>
              <w:t>粗加工</w:t>
            </w:r>
            <w:r>
              <w:rPr>
                <w:rFonts w:hint="eastAsia"/>
                <w:color w:val="auto"/>
                <w:kern w:val="0"/>
                <w:sz w:val="24"/>
                <w:szCs w:val="24"/>
                <w:highlight w:val="none"/>
              </w:rPr>
              <w:t>工序返工，外购的配件问题则退回原厂</w:t>
            </w:r>
            <w:r>
              <w:rPr>
                <w:rFonts w:hint="eastAsia"/>
                <w:color w:val="auto"/>
                <w:kern w:val="0"/>
                <w:sz w:val="24"/>
                <w:szCs w:val="24"/>
                <w:highlight w:val="none"/>
                <w:lang w:eastAsia="zh-CN"/>
              </w:rPr>
              <w:t>，</w:t>
            </w:r>
            <w:r>
              <w:rPr>
                <w:rFonts w:hint="eastAsia"/>
                <w:color w:val="auto"/>
                <w:kern w:val="0"/>
                <w:sz w:val="24"/>
                <w:szCs w:val="24"/>
                <w:highlight w:val="none"/>
              </w:rPr>
              <w:t>返工不涉及剥漆工艺。</w:t>
            </w:r>
            <w:r>
              <w:rPr>
                <w:rFonts w:hint="eastAsia"/>
                <w:color w:val="auto"/>
                <w:sz w:val="24"/>
                <w:szCs w:val="24"/>
                <w:lang w:val="en-US" w:eastAsia="zh-CN"/>
              </w:rPr>
              <w:t>检验过程中产生盐雾试验废液S</w:t>
            </w:r>
            <w:r>
              <w:rPr>
                <w:rFonts w:hint="eastAsia"/>
                <w:color w:val="auto"/>
                <w:sz w:val="24"/>
                <w:szCs w:val="24"/>
                <w:vertAlign w:val="baseline"/>
                <w:lang w:val="en-US" w:eastAsia="zh-CN"/>
              </w:rPr>
              <w:t>5</w:t>
            </w:r>
            <w:r>
              <w:rPr>
                <w:rFonts w:hint="eastAsia"/>
                <w:color w:val="auto"/>
                <w:sz w:val="24"/>
                <w:szCs w:val="24"/>
                <w:lang w:val="en-US" w:eastAsia="zh-CN"/>
              </w:rPr>
              <w:t>。</w:t>
            </w:r>
          </w:p>
          <w:p w14:paraId="169355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highlight w:val="none"/>
                <w:lang w:val="en-US" w:eastAsia="zh-CN"/>
              </w:rPr>
            </w:pPr>
            <w:r>
              <w:rPr>
                <w:rFonts w:hint="eastAsia" w:eastAsia="宋体"/>
                <w:color w:val="auto"/>
                <w:kern w:val="0"/>
                <w:sz w:val="24"/>
                <w:highlight w:val="none"/>
                <w:lang w:eastAsia="zh-CN"/>
              </w:rPr>
              <w:t>（</w:t>
            </w:r>
            <w:r>
              <w:rPr>
                <w:rFonts w:hint="eastAsia" w:eastAsia="宋体"/>
                <w:color w:val="auto"/>
                <w:kern w:val="0"/>
                <w:sz w:val="24"/>
                <w:highlight w:val="none"/>
                <w:lang w:val="en-US" w:eastAsia="zh-CN"/>
              </w:rPr>
              <w:t>13）调试：检验</w:t>
            </w:r>
            <w:r>
              <w:rPr>
                <w:rFonts w:hint="eastAsia" w:ascii="宋体" w:hAnsi="宋体"/>
                <w:bCs/>
                <w:color w:val="auto"/>
                <w:sz w:val="24"/>
                <w:szCs w:val="24"/>
                <w:highlight w:val="none"/>
              </w:rPr>
              <w:t>合格</w:t>
            </w:r>
            <w:r>
              <w:rPr>
                <w:rFonts w:hint="eastAsia" w:ascii="宋体" w:hAnsi="宋体"/>
                <w:bCs/>
                <w:color w:val="auto"/>
                <w:sz w:val="24"/>
                <w:szCs w:val="24"/>
                <w:highlight w:val="none"/>
                <w:lang w:val="en-US" w:eastAsia="zh-CN"/>
              </w:rPr>
              <w:t>的</w:t>
            </w:r>
            <w:r>
              <w:rPr>
                <w:rFonts w:hint="eastAsia" w:ascii="宋体" w:hAnsi="宋体"/>
                <w:bCs/>
                <w:color w:val="auto"/>
                <w:sz w:val="24"/>
                <w:szCs w:val="24"/>
                <w:highlight w:val="none"/>
              </w:rPr>
              <w:t>产品</w:t>
            </w:r>
            <w:r>
              <w:rPr>
                <w:rFonts w:hint="eastAsia" w:ascii="宋体" w:hAnsi="宋体"/>
                <w:color w:val="auto"/>
                <w:sz w:val="24"/>
                <w:szCs w:val="24"/>
                <w:highlight w:val="none"/>
                <w:lang w:val="en-US" w:eastAsia="zh-CN"/>
              </w:rPr>
              <w:t>进行电脑内部调试，目的是查看是否正常使用，</w:t>
            </w:r>
            <w:r>
              <w:rPr>
                <w:rFonts w:hint="eastAsia" w:ascii="宋体" w:hAnsi="宋体"/>
                <w:bCs/>
                <w:color w:val="auto"/>
                <w:sz w:val="24"/>
                <w:szCs w:val="24"/>
                <w:highlight w:val="none"/>
                <w:lang w:val="en-US" w:eastAsia="zh-CN"/>
              </w:rPr>
              <w:t>调试过程中不能正常使用</w:t>
            </w:r>
            <w:r>
              <w:rPr>
                <w:rFonts w:hint="eastAsia" w:ascii="宋体" w:hAnsi="宋体"/>
                <w:bCs/>
                <w:color w:val="auto"/>
                <w:sz w:val="24"/>
                <w:szCs w:val="24"/>
                <w:highlight w:val="none"/>
              </w:rPr>
              <w:t>的则将相应部件</w:t>
            </w:r>
            <w:r>
              <w:rPr>
                <w:rFonts w:hint="eastAsia"/>
                <w:color w:val="auto"/>
                <w:kern w:val="0"/>
                <w:sz w:val="24"/>
                <w:szCs w:val="24"/>
                <w:highlight w:val="none"/>
              </w:rPr>
              <w:t>拆卸再返回</w:t>
            </w:r>
            <w:r>
              <w:rPr>
                <w:rFonts w:hint="eastAsia" w:eastAsia="宋体" w:cs="Times New Roman"/>
                <w:color w:val="auto"/>
                <w:kern w:val="0"/>
                <w:sz w:val="24"/>
                <w:highlight w:val="none"/>
                <w:lang w:val="en-US" w:eastAsia="zh-CN"/>
              </w:rPr>
              <w:t>粗加工</w:t>
            </w:r>
            <w:r>
              <w:rPr>
                <w:rFonts w:hint="eastAsia"/>
                <w:color w:val="auto"/>
                <w:kern w:val="0"/>
                <w:sz w:val="24"/>
                <w:szCs w:val="24"/>
                <w:highlight w:val="none"/>
              </w:rPr>
              <w:t>工序返工，外购的配件问题则退回原厂。返工不涉及剥漆工艺。</w:t>
            </w:r>
          </w:p>
          <w:p w14:paraId="7674D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ascii="宋体" w:hAnsi="宋体" w:eastAsia="宋体"/>
                <w:color w:val="auto"/>
                <w:sz w:val="24"/>
                <w:highlight w:val="none"/>
              </w:rPr>
            </w:pPr>
            <w:r>
              <w:rPr>
                <w:rFonts w:hint="eastAsia" w:eastAsia="宋体"/>
                <w:color w:val="auto"/>
                <w:kern w:val="0"/>
                <w:sz w:val="24"/>
                <w:highlight w:val="none"/>
                <w:lang w:val="en-US" w:eastAsia="zh-CN"/>
              </w:rPr>
              <w:t>（14）装配：</w:t>
            </w:r>
            <w:r>
              <w:rPr>
                <w:rFonts w:hint="eastAsia" w:ascii="宋体" w:hAnsi="宋体" w:eastAsia="宋体"/>
                <w:color w:val="auto"/>
                <w:sz w:val="24"/>
                <w:szCs w:val="24"/>
                <w:highlight w:val="none"/>
                <w:lang w:val="en-US" w:eastAsia="zh-CN"/>
              </w:rPr>
              <w:t>调试好的</w:t>
            </w:r>
            <w:r>
              <w:rPr>
                <w:rFonts w:hint="eastAsia" w:ascii="宋体" w:hAnsi="宋体"/>
                <w:color w:val="auto"/>
                <w:sz w:val="24"/>
                <w:szCs w:val="24"/>
                <w:highlight w:val="none"/>
                <w:lang w:val="en-US" w:eastAsia="zh-CN"/>
              </w:rPr>
              <w:t>小配件</w:t>
            </w:r>
            <w:r>
              <w:rPr>
                <w:rFonts w:ascii="宋体" w:hAnsi="宋体"/>
                <w:color w:val="auto"/>
                <w:sz w:val="24"/>
                <w:szCs w:val="24"/>
                <w:highlight w:val="none"/>
              </w:rPr>
              <w:t>、</w:t>
            </w:r>
            <w:r>
              <w:rPr>
                <w:rFonts w:hint="eastAsia" w:ascii="宋体" w:hAnsi="宋体"/>
                <w:color w:val="auto"/>
                <w:sz w:val="24"/>
                <w:szCs w:val="24"/>
                <w:highlight w:val="none"/>
                <w:lang w:eastAsia="zh-CN"/>
              </w:rPr>
              <w:t>螺丝螺母</w:t>
            </w:r>
            <w:r>
              <w:rPr>
                <w:rFonts w:hint="eastAsia" w:ascii="宋体" w:hAnsi="宋体"/>
                <w:color w:val="auto"/>
                <w:sz w:val="24"/>
                <w:szCs w:val="24"/>
                <w:highlight w:val="none"/>
              </w:rPr>
              <w:t>等紧固件</w:t>
            </w:r>
            <w:r>
              <w:rPr>
                <w:rFonts w:ascii="宋体" w:hAnsi="宋体"/>
                <w:color w:val="auto"/>
                <w:sz w:val="24"/>
                <w:szCs w:val="24"/>
                <w:highlight w:val="none"/>
              </w:rPr>
              <w:t>等在</w:t>
            </w:r>
            <w:r>
              <w:rPr>
                <w:rFonts w:hint="eastAsia" w:ascii="宋体" w:hAnsi="宋体"/>
                <w:color w:val="auto"/>
                <w:sz w:val="24"/>
                <w:szCs w:val="24"/>
                <w:highlight w:val="none"/>
              </w:rPr>
              <w:t>成套设备装配线</w:t>
            </w:r>
            <w:r>
              <w:rPr>
                <w:rFonts w:ascii="宋体" w:hAnsi="宋体"/>
                <w:color w:val="auto"/>
                <w:sz w:val="24"/>
                <w:szCs w:val="24"/>
                <w:highlight w:val="none"/>
              </w:rPr>
              <w:t>进行</w:t>
            </w:r>
            <w:r>
              <w:rPr>
                <w:rFonts w:hint="eastAsia" w:ascii="宋体" w:hAnsi="宋体" w:eastAsia="宋体" w:cs="宋体"/>
                <w:color w:val="auto"/>
                <w:kern w:val="0"/>
                <w:sz w:val="24"/>
                <w:highlight w:val="none"/>
                <w:lang w:val="en-US" w:eastAsia="zh-CN"/>
              </w:rPr>
              <w:t>装配</w:t>
            </w:r>
            <w:r>
              <w:rPr>
                <w:rFonts w:ascii="宋体" w:hAnsi="宋体"/>
                <w:color w:val="auto"/>
                <w:sz w:val="24"/>
                <w:szCs w:val="24"/>
                <w:highlight w:val="none"/>
              </w:rPr>
              <w:t>，</w:t>
            </w:r>
            <w:r>
              <w:rPr>
                <w:rFonts w:hint="eastAsia" w:ascii="宋体" w:hAnsi="宋体" w:eastAsia="宋体" w:cs="宋体"/>
                <w:color w:val="auto"/>
                <w:kern w:val="0"/>
                <w:sz w:val="24"/>
                <w:highlight w:val="none"/>
                <w:lang w:val="en-US" w:eastAsia="zh-CN"/>
              </w:rPr>
              <w:t>装配</w:t>
            </w:r>
            <w:r>
              <w:rPr>
                <w:rFonts w:hint="eastAsia" w:ascii="宋体" w:hAnsi="宋体" w:eastAsia="宋体" w:cs="宋体"/>
                <w:color w:val="auto"/>
                <w:kern w:val="0"/>
                <w:sz w:val="24"/>
                <w:highlight w:val="none"/>
              </w:rPr>
              <w:t>后的产品包装入库</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即可得到最终成品</w:t>
            </w:r>
            <w:r>
              <w:rPr>
                <w:rFonts w:hint="eastAsia" w:ascii="宋体" w:hAnsi="宋体" w:eastAsia="宋体" w:cs="宋体"/>
                <w:color w:val="auto"/>
                <w:kern w:val="0"/>
                <w:sz w:val="24"/>
                <w:highlight w:val="none"/>
              </w:rPr>
              <w:t>。</w:t>
            </w:r>
          </w:p>
          <w:p w14:paraId="00D9D889">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rPr>
            </w:pPr>
            <w:r>
              <w:rPr>
                <w:rFonts w:hAnsi="宋体" w:eastAsia="宋体"/>
                <w:color w:val="auto"/>
                <w:sz w:val="24"/>
                <w:highlight w:val="none"/>
              </w:rPr>
              <w:t>营运期污染物产生环节见表</w:t>
            </w:r>
            <w:r>
              <w:rPr>
                <w:rFonts w:eastAsia="宋体"/>
                <w:color w:val="auto"/>
                <w:sz w:val="24"/>
                <w:highlight w:val="none"/>
              </w:rPr>
              <w:t>2-</w:t>
            </w:r>
            <w:r>
              <w:rPr>
                <w:rFonts w:hint="eastAsia" w:eastAsia="宋体"/>
                <w:color w:val="auto"/>
                <w:sz w:val="24"/>
                <w:highlight w:val="none"/>
                <w:lang w:val="en-US" w:eastAsia="zh-CN"/>
              </w:rPr>
              <w:t>9</w:t>
            </w:r>
            <w:r>
              <w:rPr>
                <w:rFonts w:hint="eastAsia" w:eastAsia="宋体"/>
                <w:color w:val="auto"/>
                <w:sz w:val="24"/>
                <w:highlight w:val="none"/>
              </w:rPr>
              <w:t>。</w:t>
            </w:r>
          </w:p>
          <w:p w14:paraId="3343C974">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rPr>
            </w:pPr>
          </w:p>
          <w:p w14:paraId="0CEC1127">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rPr>
            </w:pPr>
          </w:p>
          <w:p w14:paraId="3B5C1C6A">
            <w:pPr>
              <w:keepNext w:val="0"/>
              <w:keepLines w:val="0"/>
              <w:suppressLineNumbers w:val="0"/>
              <w:spacing w:before="0" w:beforeAutospacing="0" w:after="0" w:afterAutospacing="0"/>
              <w:ind w:left="0" w:right="0"/>
              <w:jc w:val="center"/>
              <w:rPr>
                <w:rFonts w:hAnsi="宋体"/>
                <w:b/>
                <w:color w:val="auto"/>
                <w:sz w:val="24"/>
                <w:highlight w:val="none"/>
              </w:rPr>
            </w:pPr>
          </w:p>
          <w:p w14:paraId="4294757C">
            <w:pPr>
              <w:keepNext w:val="0"/>
              <w:keepLines w:val="0"/>
              <w:suppressLineNumbers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2-</w:t>
            </w:r>
            <w:r>
              <w:rPr>
                <w:rFonts w:hint="eastAsia"/>
                <w:b/>
                <w:color w:val="auto"/>
                <w:sz w:val="24"/>
                <w:highlight w:val="none"/>
                <w:lang w:val="en-US" w:eastAsia="zh-CN"/>
              </w:rPr>
              <w:t>9</w:t>
            </w:r>
            <w:r>
              <w:rPr>
                <w:rFonts w:hint="eastAsia"/>
                <w:b/>
                <w:color w:val="auto"/>
                <w:sz w:val="24"/>
                <w:highlight w:val="none"/>
              </w:rPr>
              <w:t xml:space="preserve"> </w:t>
            </w:r>
            <w:r>
              <w:rPr>
                <w:rFonts w:hAnsi="宋体"/>
                <w:b/>
                <w:color w:val="auto"/>
                <w:sz w:val="24"/>
                <w:highlight w:val="none"/>
              </w:rPr>
              <w:t>营运期产污环节汇总表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661"/>
              <w:gridCol w:w="1225"/>
              <w:gridCol w:w="1158"/>
              <w:gridCol w:w="1275"/>
              <w:gridCol w:w="1383"/>
              <w:gridCol w:w="2124"/>
            </w:tblGrid>
            <w:tr w14:paraId="61509B72">
              <w:trPr>
                <w:trHeight w:val="340" w:hRule="atLeast"/>
                <w:jc w:val="center"/>
              </w:trPr>
              <w:tc>
                <w:tcPr>
                  <w:tcW w:w="335" w:type="pct"/>
                  <w:tcMar>
                    <w:left w:w="28" w:type="dxa"/>
                    <w:right w:w="28" w:type="dxa"/>
                  </w:tcMar>
                  <w:vAlign w:val="center"/>
                </w:tcPr>
                <w:p w14:paraId="020AAFBC">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污染因素</w:t>
                  </w:r>
                </w:p>
              </w:tc>
              <w:tc>
                <w:tcPr>
                  <w:tcW w:w="394" w:type="pct"/>
                  <w:tcMar>
                    <w:left w:w="28" w:type="dxa"/>
                    <w:right w:w="28" w:type="dxa"/>
                  </w:tcMar>
                  <w:vAlign w:val="center"/>
                </w:tcPr>
                <w:p w14:paraId="7051709C">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编号</w:t>
                  </w:r>
                </w:p>
              </w:tc>
              <w:tc>
                <w:tcPr>
                  <w:tcW w:w="730" w:type="pct"/>
                  <w:tcMar>
                    <w:left w:w="28" w:type="dxa"/>
                    <w:right w:w="28" w:type="dxa"/>
                  </w:tcMar>
                  <w:vAlign w:val="center"/>
                </w:tcPr>
                <w:p w14:paraId="73F98A49">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名称</w:t>
                  </w:r>
                </w:p>
              </w:tc>
              <w:tc>
                <w:tcPr>
                  <w:tcW w:w="690" w:type="pct"/>
                  <w:tcMar>
                    <w:left w:w="28" w:type="dxa"/>
                    <w:right w:w="28" w:type="dxa"/>
                  </w:tcMar>
                  <w:vAlign w:val="center"/>
                </w:tcPr>
                <w:p w14:paraId="48CE3AD4">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产污环节</w:t>
                  </w:r>
                </w:p>
              </w:tc>
              <w:tc>
                <w:tcPr>
                  <w:tcW w:w="760" w:type="pct"/>
                  <w:tcMar>
                    <w:left w:w="28" w:type="dxa"/>
                    <w:right w:w="28" w:type="dxa"/>
                  </w:tcMar>
                  <w:vAlign w:val="center"/>
                </w:tcPr>
                <w:p w14:paraId="3E4F84C8">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排放特性</w:t>
                  </w:r>
                  <w:r>
                    <w:rPr>
                      <w:color w:val="auto"/>
                      <w:szCs w:val="21"/>
                      <w:highlight w:val="none"/>
                    </w:rPr>
                    <w:t>/</w:t>
                  </w:r>
                  <w:r>
                    <w:rPr>
                      <w:rFonts w:hAnsi="宋体"/>
                      <w:color w:val="auto"/>
                      <w:szCs w:val="21"/>
                      <w:highlight w:val="none"/>
                    </w:rPr>
                    <w:t>性质</w:t>
                  </w:r>
                </w:p>
              </w:tc>
              <w:tc>
                <w:tcPr>
                  <w:tcW w:w="824" w:type="pct"/>
                  <w:tcMar>
                    <w:left w:w="28" w:type="dxa"/>
                    <w:right w:w="28" w:type="dxa"/>
                  </w:tcMar>
                  <w:vAlign w:val="center"/>
                </w:tcPr>
                <w:p w14:paraId="4A59D653">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污染因子</w:t>
                  </w:r>
                </w:p>
              </w:tc>
              <w:tc>
                <w:tcPr>
                  <w:tcW w:w="1266" w:type="pct"/>
                  <w:vAlign w:val="center"/>
                </w:tcPr>
                <w:p w14:paraId="1A67E029">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治理措施</w:t>
                  </w:r>
                </w:p>
              </w:tc>
            </w:tr>
            <w:tr w14:paraId="184F9C68">
              <w:trPr>
                <w:trHeight w:val="397" w:hRule="atLeast"/>
                <w:jc w:val="center"/>
              </w:trPr>
              <w:tc>
                <w:tcPr>
                  <w:tcW w:w="335" w:type="pct"/>
                  <w:vMerge w:val="restart"/>
                  <w:tcMar>
                    <w:left w:w="28" w:type="dxa"/>
                    <w:right w:w="28" w:type="dxa"/>
                  </w:tcMar>
                  <w:vAlign w:val="center"/>
                </w:tcPr>
                <w:p w14:paraId="1B636F55">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废气</w:t>
                  </w:r>
                </w:p>
              </w:tc>
              <w:tc>
                <w:tcPr>
                  <w:tcW w:w="394" w:type="pct"/>
                  <w:tcMar>
                    <w:left w:w="28" w:type="dxa"/>
                    <w:right w:w="28" w:type="dxa"/>
                  </w:tcMar>
                  <w:vAlign w:val="center"/>
                </w:tcPr>
                <w:p w14:paraId="454D4672">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G1</w:t>
                  </w:r>
                </w:p>
              </w:tc>
              <w:tc>
                <w:tcPr>
                  <w:tcW w:w="730" w:type="pct"/>
                  <w:shd w:val="clear" w:color="auto" w:fill="auto"/>
                  <w:tcMar>
                    <w:left w:w="28" w:type="dxa"/>
                    <w:right w:w="28" w:type="dxa"/>
                  </w:tcMar>
                  <w:vAlign w:val="center"/>
                </w:tcPr>
                <w:p w14:paraId="60FFA119">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下料粉尘</w:t>
                  </w:r>
                </w:p>
              </w:tc>
              <w:tc>
                <w:tcPr>
                  <w:tcW w:w="690" w:type="pct"/>
                  <w:shd w:val="clear" w:color="auto" w:fill="auto"/>
                  <w:tcMar>
                    <w:left w:w="28" w:type="dxa"/>
                    <w:right w:w="28" w:type="dxa"/>
                  </w:tcMar>
                  <w:vAlign w:val="center"/>
                </w:tcPr>
                <w:p w14:paraId="7791ABE3">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下料</w:t>
                  </w:r>
                </w:p>
              </w:tc>
              <w:tc>
                <w:tcPr>
                  <w:tcW w:w="760" w:type="pct"/>
                  <w:shd w:val="clear" w:color="auto" w:fill="auto"/>
                  <w:tcMar>
                    <w:left w:w="28" w:type="dxa"/>
                    <w:right w:w="28" w:type="dxa"/>
                  </w:tcMar>
                  <w:vAlign w:val="center"/>
                </w:tcPr>
                <w:p w14:paraId="4B4F343B">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无</w:t>
                  </w:r>
                  <w:r>
                    <w:rPr>
                      <w:rFonts w:hAnsi="宋体"/>
                      <w:color w:val="auto"/>
                      <w:szCs w:val="21"/>
                      <w:highlight w:val="none"/>
                    </w:rPr>
                    <w:t>组织</w:t>
                  </w:r>
                </w:p>
              </w:tc>
              <w:tc>
                <w:tcPr>
                  <w:tcW w:w="824" w:type="pct"/>
                  <w:tcBorders>
                    <w:bottom w:val="single" w:color="auto" w:sz="4" w:space="0"/>
                  </w:tcBorders>
                  <w:shd w:val="clear" w:color="auto" w:fill="auto"/>
                  <w:tcMar>
                    <w:left w:w="28" w:type="dxa"/>
                    <w:right w:w="28" w:type="dxa"/>
                  </w:tcMar>
                  <w:vAlign w:val="center"/>
                </w:tcPr>
                <w:p w14:paraId="7A876D12">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1266" w:type="pct"/>
                  <w:vAlign w:val="center"/>
                </w:tcPr>
                <w:p w14:paraId="3F026FEE">
                  <w:pPr>
                    <w:keepNext w:val="0"/>
                    <w:keepLines w:val="0"/>
                    <w:suppressLineNumbers w:val="0"/>
                    <w:spacing w:before="100" w:beforeAutospacing="1" w:after="100" w:afterAutospacing="1"/>
                    <w:ind w:left="0" w:right="0"/>
                    <w:jc w:val="center"/>
                    <w:rPr>
                      <w:color w:val="auto"/>
                      <w:szCs w:val="21"/>
                      <w:highlight w:val="none"/>
                    </w:rPr>
                  </w:pPr>
                  <w:r>
                    <w:rPr>
                      <w:rFonts w:hint="default" w:ascii="Times New Roman" w:hAnsi="Times New Roman" w:cs="Times New Roman" w:eastAsiaTheme="minorEastAsia"/>
                      <w:color w:val="auto"/>
                      <w:kern w:val="0"/>
                      <w:sz w:val="21"/>
                      <w:szCs w:val="21"/>
                      <w:highlight w:val="none"/>
                    </w:rPr>
                    <w:t>经</w:t>
                  </w:r>
                  <w:r>
                    <w:rPr>
                      <w:rFonts w:hint="default" w:ascii="Times New Roman" w:hAnsi="Times New Roman" w:cs="Times New Roman" w:eastAsiaTheme="minorEastAsia"/>
                      <w:color w:val="auto"/>
                      <w:kern w:val="0"/>
                      <w:sz w:val="21"/>
                      <w:szCs w:val="21"/>
                      <w:highlight w:val="none"/>
                      <w:lang w:val="zh-CN"/>
                    </w:rPr>
                    <w:t>移动式</w:t>
                  </w:r>
                  <w:r>
                    <w:rPr>
                      <w:rFonts w:hint="eastAsia" w:cs="Times New Roman"/>
                      <w:color w:val="auto"/>
                      <w:kern w:val="0"/>
                      <w:sz w:val="21"/>
                      <w:szCs w:val="21"/>
                      <w:highlight w:val="none"/>
                      <w:lang w:val="en-US" w:eastAsia="zh-CN"/>
                    </w:rPr>
                    <w:t>布袋除尘</w:t>
                  </w:r>
                  <w:r>
                    <w:rPr>
                      <w:rFonts w:hint="default" w:ascii="Times New Roman" w:hAnsi="Times New Roman" w:cs="Times New Roman" w:eastAsiaTheme="minorEastAsia"/>
                      <w:color w:val="auto"/>
                      <w:kern w:val="0"/>
                      <w:sz w:val="21"/>
                      <w:szCs w:val="21"/>
                      <w:highlight w:val="none"/>
                      <w:lang w:val="zh-CN"/>
                    </w:rPr>
                    <w:t>器处理后</w:t>
                  </w:r>
                  <w:r>
                    <w:rPr>
                      <w:rFonts w:hint="eastAsia"/>
                      <w:color w:val="auto"/>
                      <w:szCs w:val="21"/>
                      <w:highlight w:val="none"/>
                      <w:lang w:val="en-US" w:eastAsia="zh-CN"/>
                    </w:rPr>
                    <w:t>以无组织形式排放</w:t>
                  </w:r>
                </w:p>
              </w:tc>
            </w:tr>
            <w:tr w14:paraId="492D4334">
              <w:trPr>
                <w:trHeight w:val="376" w:hRule="atLeast"/>
                <w:jc w:val="center"/>
              </w:trPr>
              <w:tc>
                <w:tcPr>
                  <w:tcW w:w="335" w:type="pct"/>
                  <w:vMerge w:val="continue"/>
                  <w:tcMar>
                    <w:left w:w="28" w:type="dxa"/>
                    <w:right w:w="28" w:type="dxa"/>
                  </w:tcMar>
                  <w:vAlign w:val="center"/>
                </w:tcPr>
                <w:p w14:paraId="6DE3ECCB">
                  <w:pPr>
                    <w:keepNext w:val="0"/>
                    <w:keepLines w:val="0"/>
                    <w:suppressLineNumbers w:val="0"/>
                    <w:spacing w:before="100" w:beforeAutospacing="1" w:after="100" w:afterAutospacing="1"/>
                    <w:ind w:left="0" w:right="0"/>
                    <w:jc w:val="center"/>
                    <w:rPr>
                      <w:color w:val="auto"/>
                      <w:szCs w:val="21"/>
                      <w:highlight w:val="none"/>
                    </w:rPr>
                  </w:pPr>
                </w:p>
              </w:tc>
              <w:tc>
                <w:tcPr>
                  <w:tcW w:w="394" w:type="pct"/>
                  <w:tcMar>
                    <w:left w:w="28" w:type="dxa"/>
                    <w:right w:w="28" w:type="dxa"/>
                  </w:tcMar>
                  <w:vAlign w:val="center"/>
                </w:tcPr>
                <w:p w14:paraId="73594FF4">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G</w:t>
                  </w:r>
                  <w:r>
                    <w:rPr>
                      <w:rFonts w:hint="eastAsia"/>
                      <w:color w:val="auto"/>
                      <w:szCs w:val="21"/>
                      <w:highlight w:val="none"/>
                    </w:rPr>
                    <w:t>2</w:t>
                  </w:r>
                </w:p>
              </w:tc>
              <w:tc>
                <w:tcPr>
                  <w:tcW w:w="730" w:type="pct"/>
                  <w:shd w:val="clear" w:color="auto" w:fill="auto"/>
                  <w:tcMar>
                    <w:left w:w="28" w:type="dxa"/>
                    <w:right w:w="28" w:type="dxa"/>
                  </w:tcMar>
                  <w:vAlign w:val="center"/>
                </w:tcPr>
                <w:p w14:paraId="31DD275F">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打磨粉尘</w:t>
                  </w:r>
                </w:p>
              </w:tc>
              <w:tc>
                <w:tcPr>
                  <w:tcW w:w="690" w:type="pct"/>
                  <w:shd w:val="clear" w:color="auto" w:fill="auto"/>
                  <w:tcMar>
                    <w:left w:w="28" w:type="dxa"/>
                    <w:right w:w="28" w:type="dxa"/>
                  </w:tcMar>
                  <w:vAlign w:val="center"/>
                </w:tcPr>
                <w:p w14:paraId="7C9532E8">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打磨</w:t>
                  </w:r>
                </w:p>
              </w:tc>
              <w:tc>
                <w:tcPr>
                  <w:tcW w:w="760" w:type="pct"/>
                  <w:shd w:val="clear" w:color="auto" w:fill="auto"/>
                  <w:tcMar>
                    <w:left w:w="28" w:type="dxa"/>
                    <w:right w:w="28" w:type="dxa"/>
                  </w:tcMar>
                  <w:vAlign w:val="center"/>
                </w:tcPr>
                <w:p w14:paraId="512B0CDE">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无</w:t>
                  </w:r>
                  <w:r>
                    <w:rPr>
                      <w:rFonts w:hAnsi="宋体"/>
                      <w:color w:val="auto"/>
                      <w:szCs w:val="21"/>
                      <w:highlight w:val="none"/>
                    </w:rPr>
                    <w:t>组织</w:t>
                  </w:r>
                </w:p>
              </w:tc>
              <w:tc>
                <w:tcPr>
                  <w:tcW w:w="824" w:type="pct"/>
                  <w:tcBorders>
                    <w:bottom w:val="single" w:color="auto" w:sz="4" w:space="0"/>
                  </w:tcBorders>
                  <w:shd w:val="clear" w:color="auto" w:fill="auto"/>
                  <w:tcMar>
                    <w:left w:w="28" w:type="dxa"/>
                    <w:right w:w="28" w:type="dxa"/>
                  </w:tcMar>
                  <w:vAlign w:val="center"/>
                </w:tcPr>
                <w:p w14:paraId="1F4C6AD3">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1266" w:type="pct"/>
                  <w:vAlign w:val="center"/>
                </w:tcPr>
                <w:p w14:paraId="5091A9EE">
                  <w:pPr>
                    <w:keepNext w:val="0"/>
                    <w:keepLines w:val="0"/>
                    <w:suppressLineNumbers w:val="0"/>
                    <w:spacing w:before="100" w:beforeAutospacing="1" w:after="100" w:afterAutospacing="1"/>
                    <w:ind w:left="0" w:right="0"/>
                    <w:jc w:val="center"/>
                    <w:rPr>
                      <w:color w:val="auto"/>
                      <w:szCs w:val="21"/>
                      <w:highlight w:val="none"/>
                    </w:rPr>
                  </w:pPr>
                  <w:r>
                    <w:rPr>
                      <w:rFonts w:hint="default" w:ascii="Times New Roman" w:hAnsi="Times New Roman" w:cs="Times New Roman" w:eastAsiaTheme="minorEastAsia"/>
                      <w:color w:val="auto"/>
                      <w:kern w:val="0"/>
                      <w:sz w:val="21"/>
                      <w:szCs w:val="21"/>
                      <w:highlight w:val="none"/>
                    </w:rPr>
                    <w:t>经</w:t>
                  </w:r>
                  <w:r>
                    <w:rPr>
                      <w:rFonts w:hint="default" w:ascii="Times New Roman" w:hAnsi="Times New Roman" w:cs="Times New Roman" w:eastAsiaTheme="minorEastAsia"/>
                      <w:color w:val="auto"/>
                      <w:kern w:val="0"/>
                      <w:sz w:val="21"/>
                      <w:szCs w:val="21"/>
                      <w:highlight w:val="none"/>
                      <w:lang w:val="zh-CN"/>
                    </w:rPr>
                    <w:t>移动式</w:t>
                  </w:r>
                  <w:r>
                    <w:rPr>
                      <w:rFonts w:hint="eastAsia" w:cs="Times New Roman"/>
                      <w:color w:val="auto"/>
                      <w:kern w:val="0"/>
                      <w:sz w:val="21"/>
                      <w:szCs w:val="21"/>
                      <w:highlight w:val="none"/>
                      <w:lang w:val="en-US" w:eastAsia="zh-CN"/>
                    </w:rPr>
                    <w:t>布袋除尘</w:t>
                  </w:r>
                  <w:r>
                    <w:rPr>
                      <w:rFonts w:hint="default" w:ascii="Times New Roman" w:hAnsi="Times New Roman" w:cs="Times New Roman" w:eastAsiaTheme="minorEastAsia"/>
                      <w:color w:val="auto"/>
                      <w:kern w:val="0"/>
                      <w:sz w:val="21"/>
                      <w:szCs w:val="21"/>
                      <w:highlight w:val="none"/>
                      <w:lang w:val="zh-CN"/>
                    </w:rPr>
                    <w:t>器处理后</w:t>
                  </w:r>
                  <w:r>
                    <w:rPr>
                      <w:rFonts w:hint="eastAsia"/>
                      <w:color w:val="auto"/>
                      <w:szCs w:val="21"/>
                      <w:highlight w:val="none"/>
                      <w:lang w:val="en-US" w:eastAsia="zh-CN"/>
                    </w:rPr>
                    <w:t>以无组织形式排放</w:t>
                  </w:r>
                </w:p>
              </w:tc>
            </w:tr>
            <w:tr w14:paraId="7F7219DD">
              <w:trPr>
                <w:trHeight w:val="397" w:hRule="atLeast"/>
                <w:jc w:val="center"/>
              </w:trPr>
              <w:tc>
                <w:tcPr>
                  <w:tcW w:w="335" w:type="pct"/>
                  <w:vMerge w:val="continue"/>
                  <w:tcMar>
                    <w:left w:w="28" w:type="dxa"/>
                    <w:right w:w="28" w:type="dxa"/>
                  </w:tcMar>
                  <w:vAlign w:val="center"/>
                </w:tcPr>
                <w:p w14:paraId="1E0AE667">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0E46D042">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G3</w:t>
                  </w:r>
                </w:p>
              </w:tc>
              <w:tc>
                <w:tcPr>
                  <w:tcW w:w="730" w:type="pct"/>
                  <w:shd w:val="clear" w:color="auto" w:fill="auto"/>
                  <w:tcMar>
                    <w:left w:w="28" w:type="dxa"/>
                    <w:right w:w="28" w:type="dxa"/>
                  </w:tcMar>
                  <w:vAlign w:val="center"/>
                </w:tcPr>
                <w:p w14:paraId="5D65FCE0">
                  <w:pPr>
                    <w:keepNext w:val="0"/>
                    <w:keepLines w:val="0"/>
                    <w:suppressLineNumbers w:val="0"/>
                    <w:spacing w:before="100" w:beforeAutospacing="1" w:after="100" w:afterAutospacing="1"/>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焊接烟尘</w:t>
                  </w:r>
                </w:p>
              </w:tc>
              <w:tc>
                <w:tcPr>
                  <w:tcW w:w="690" w:type="pct"/>
                  <w:shd w:val="clear" w:color="auto" w:fill="auto"/>
                  <w:tcMar>
                    <w:left w:w="28" w:type="dxa"/>
                    <w:right w:w="28" w:type="dxa"/>
                  </w:tcMar>
                  <w:vAlign w:val="center"/>
                </w:tcPr>
                <w:p w14:paraId="701A51E2">
                  <w:pPr>
                    <w:keepNext w:val="0"/>
                    <w:keepLines w:val="0"/>
                    <w:suppressLineNumbers w:val="0"/>
                    <w:spacing w:before="100" w:beforeAutospacing="1" w:after="100" w:afterAutospacing="1"/>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焊接</w:t>
                  </w:r>
                </w:p>
              </w:tc>
              <w:tc>
                <w:tcPr>
                  <w:tcW w:w="760" w:type="pct"/>
                  <w:shd w:val="clear" w:color="auto" w:fill="auto"/>
                  <w:tcMar>
                    <w:left w:w="28" w:type="dxa"/>
                    <w:right w:w="28" w:type="dxa"/>
                  </w:tcMar>
                  <w:vAlign w:val="center"/>
                </w:tcPr>
                <w:p w14:paraId="2291A4ED">
                  <w:pPr>
                    <w:keepNext w:val="0"/>
                    <w:keepLines w:val="0"/>
                    <w:suppressLineNumbers w:val="0"/>
                    <w:spacing w:before="100" w:beforeAutospacing="1" w:after="100" w:afterAutospacing="1"/>
                    <w:ind w:left="0" w:leftChars="0" w:right="0" w:rightChars="0"/>
                    <w:jc w:val="center"/>
                    <w:rPr>
                      <w:rFonts w:hint="eastAsia" w:hAnsi="宋体"/>
                      <w:color w:val="auto"/>
                      <w:szCs w:val="21"/>
                      <w:highlight w:val="none"/>
                      <w:lang w:val="en-US" w:eastAsia="zh-CN"/>
                    </w:rPr>
                  </w:pPr>
                  <w:r>
                    <w:rPr>
                      <w:rFonts w:hint="eastAsia" w:hAnsi="宋体"/>
                      <w:color w:val="auto"/>
                      <w:szCs w:val="21"/>
                      <w:highlight w:val="none"/>
                      <w:lang w:val="en-US" w:eastAsia="zh-CN"/>
                    </w:rPr>
                    <w:t>无</w:t>
                  </w:r>
                  <w:r>
                    <w:rPr>
                      <w:rFonts w:hAnsi="宋体"/>
                      <w:color w:val="auto"/>
                      <w:szCs w:val="21"/>
                      <w:highlight w:val="none"/>
                    </w:rPr>
                    <w:t>组织</w:t>
                  </w:r>
                </w:p>
              </w:tc>
              <w:tc>
                <w:tcPr>
                  <w:tcW w:w="824" w:type="pct"/>
                  <w:tcBorders>
                    <w:bottom w:val="single" w:color="auto" w:sz="4" w:space="0"/>
                  </w:tcBorders>
                  <w:shd w:val="clear" w:color="auto" w:fill="auto"/>
                  <w:tcMar>
                    <w:left w:w="28" w:type="dxa"/>
                    <w:right w:w="28" w:type="dxa"/>
                  </w:tcMar>
                  <w:vAlign w:val="center"/>
                </w:tcPr>
                <w:p w14:paraId="6A1FC1F3">
                  <w:pPr>
                    <w:keepNext w:val="0"/>
                    <w:keepLines w:val="0"/>
                    <w:suppressLineNumbers w:val="0"/>
                    <w:spacing w:before="100" w:beforeAutospacing="1" w:after="100" w:afterAutospacing="1"/>
                    <w:ind w:left="0" w:leftChars="0" w:right="0" w:rightChars="0"/>
                    <w:jc w:val="center"/>
                    <w:rPr>
                      <w:color w:val="auto"/>
                      <w:szCs w:val="21"/>
                      <w:highlight w:val="none"/>
                    </w:rPr>
                  </w:pPr>
                  <w:r>
                    <w:rPr>
                      <w:rFonts w:hint="eastAsia"/>
                      <w:color w:val="auto"/>
                      <w:szCs w:val="21"/>
                      <w:highlight w:val="none"/>
                    </w:rPr>
                    <w:t>颗粒物</w:t>
                  </w:r>
                </w:p>
              </w:tc>
              <w:tc>
                <w:tcPr>
                  <w:tcW w:w="1266" w:type="pct"/>
                  <w:vAlign w:val="center"/>
                </w:tcPr>
                <w:p w14:paraId="07654422">
                  <w:pPr>
                    <w:keepNext w:val="0"/>
                    <w:keepLines w:val="0"/>
                    <w:suppressLineNumbers w:val="0"/>
                    <w:spacing w:before="100" w:beforeAutospacing="1" w:after="100" w:afterAutospacing="1"/>
                    <w:ind w:left="0" w:right="0"/>
                    <w:jc w:val="center"/>
                    <w:rPr>
                      <w:rFonts w:hint="default" w:eastAsiaTheme="minorEastAsia"/>
                      <w:color w:val="auto"/>
                      <w:szCs w:val="21"/>
                      <w:highlight w:val="none"/>
                      <w:lang w:val="en-US" w:eastAsia="zh-CN"/>
                    </w:rPr>
                  </w:pPr>
                  <w:r>
                    <w:rPr>
                      <w:rFonts w:hint="default" w:ascii="Times New Roman" w:hAnsi="Times New Roman" w:cs="Times New Roman" w:eastAsiaTheme="minorEastAsia"/>
                      <w:color w:val="auto"/>
                      <w:kern w:val="0"/>
                      <w:sz w:val="21"/>
                      <w:szCs w:val="21"/>
                      <w:highlight w:val="none"/>
                    </w:rPr>
                    <w:t>经</w:t>
                  </w:r>
                  <w:r>
                    <w:rPr>
                      <w:rFonts w:hint="default" w:ascii="Times New Roman" w:hAnsi="Times New Roman" w:cs="Times New Roman" w:eastAsiaTheme="minorEastAsia"/>
                      <w:color w:val="auto"/>
                      <w:kern w:val="0"/>
                      <w:sz w:val="21"/>
                      <w:szCs w:val="21"/>
                      <w:highlight w:val="none"/>
                      <w:lang w:val="zh-CN"/>
                    </w:rPr>
                    <w:t>移动式焊</w:t>
                  </w:r>
                  <w:r>
                    <w:rPr>
                      <w:rFonts w:hint="default" w:ascii="Times New Roman" w:hAnsi="Times New Roman" w:cs="Times New Roman"/>
                      <w:color w:val="auto"/>
                      <w:kern w:val="0"/>
                      <w:sz w:val="21"/>
                      <w:szCs w:val="21"/>
                      <w:highlight w:val="none"/>
                      <w:lang w:val="en-US" w:eastAsia="zh-CN"/>
                    </w:rPr>
                    <w:t>烟</w:t>
                  </w:r>
                  <w:r>
                    <w:rPr>
                      <w:rFonts w:hint="default" w:ascii="Times New Roman" w:hAnsi="Times New Roman" w:cs="Times New Roman" w:eastAsiaTheme="minorEastAsia"/>
                      <w:color w:val="auto"/>
                      <w:kern w:val="0"/>
                      <w:sz w:val="21"/>
                      <w:szCs w:val="21"/>
                      <w:highlight w:val="none"/>
                      <w:lang w:val="zh-CN"/>
                    </w:rPr>
                    <w:t>净化器处理后</w:t>
                  </w:r>
                  <w:r>
                    <w:rPr>
                      <w:rFonts w:hint="eastAsia" w:ascii="Times New Roman" w:hAnsi="Times New Roman" w:cs="Times New Roman"/>
                      <w:color w:val="auto"/>
                      <w:kern w:val="0"/>
                      <w:sz w:val="21"/>
                      <w:szCs w:val="21"/>
                      <w:highlight w:val="none"/>
                      <w:lang w:val="en-US" w:eastAsia="zh-CN"/>
                    </w:rPr>
                    <w:t>以</w:t>
                  </w:r>
                  <w:r>
                    <w:rPr>
                      <w:rFonts w:hint="default" w:ascii="Times New Roman" w:hAnsi="Times New Roman" w:cs="Times New Roman" w:eastAsiaTheme="minorEastAsia"/>
                      <w:color w:val="auto"/>
                      <w:kern w:val="0"/>
                      <w:sz w:val="21"/>
                      <w:szCs w:val="21"/>
                      <w:highlight w:val="none"/>
                      <w:lang w:val="zh-CN"/>
                    </w:rPr>
                    <w:t>无组织排放</w:t>
                  </w:r>
                </w:p>
              </w:tc>
            </w:tr>
            <w:tr w14:paraId="3FEE962D">
              <w:trPr>
                <w:trHeight w:val="397" w:hRule="atLeast"/>
                <w:jc w:val="center"/>
              </w:trPr>
              <w:tc>
                <w:tcPr>
                  <w:tcW w:w="335" w:type="pct"/>
                  <w:vMerge w:val="continue"/>
                  <w:tcMar>
                    <w:left w:w="28" w:type="dxa"/>
                    <w:right w:w="28" w:type="dxa"/>
                  </w:tcMar>
                  <w:vAlign w:val="center"/>
                </w:tcPr>
                <w:p w14:paraId="2EA88B9B">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72DF3287">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G</w:t>
                  </w:r>
                  <w:r>
                    <w:rPr>
                      <w:rFonts w:hint="eastAsia"/>
                      <w:color w:val="auto"/>
                      <w:szCs w:val="21"/>
                      <w:highlight w:val="none"/>
                      <w:lang w:val="en-US" w:eastAsia="zh-CN"/>
                    </w:rPr>
                    <w:t>4</w:t>
                  </w:r>
                </w:p>
              </w:tc>
              <w:tc>
                <w:tcPr>
                  <w:tcW w:w="730" w:type="pct"/>
                  <w:tcMar>
                    <w:left w:w="28" w:type="dxa"/>
                    <w:right w:w="28" w:type="dxa"/>
                  </w:tcMar>
                  <w:vAlign w:val="center"/>
                </w:tcPr>
                <w:p w14:paraId="3F5B8816">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喷漆</w:t>
                  </w:r>
                  <w:r>
                    <w:rPr>
                      <w:rFonts w:hint="eastAsia"/>
                      <w:color w:val="auto"/>
                      <w:szCs w:val="21"/>
                      <w:highlight w:val="none"/>
                    </w:rPr>
                    <w:t>废气</w:t>
                  </w:r>
                </w:p>
              </w:tc>
              <w:tc>
                <w:tcPr>
                  <w:tcW w:w="690" w:type="pct"/>
                  <w:tcMar>
                    <w:left w:w="28" w:type="dxa"/>
                    <w:right w:w="28" w:type="dxa"/>
                  </w:tcMar>
                  <w:vAlign w:val="center"/>
                </w:tcPr>
                <w:p w14:paraId="656281C4">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喷漆</w:t>
                  </w:r>
                </w:p>
              </w:tc>
              <w:tc>
                <w:tcPr>
                  <w:tcW w:w="760" w:type="pct"/>
                  <w:shd w:val="clear" w:color="auto" w:fill="auto"/>
                  <w:tcMar>
                    <w:left w:w="28" w:type="dxa"/>
                    <w:right w:w="28" w:type="dxa"/>
                  </w:tcMar>
                  <w:vAlign w:val="center"/>
                </w:tcPr>
                <w:p w14:paraId="480FE436">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有</w:t>
                  </w:r>
                  <w:r>
                    <w:rPr>
                      <w:rFonts w:hAnsi="宋体"/>
                      <w:color w:val="auto"/>
                      <w:szCs w:val="21"/>
                      <w:highlight w:val="none"/>
                    </w:rPr>
                    <w:t>组织</w:t>
                  </w:r>
                </w:p>
              </w:tc>
              <w:tc>
                <w:tcPr>
                  <w:tcW w:w="824" w:type="pct"/>
                  <w:tcBorders>
                    <w:bottom w:val="single" w:color="auto" w:sz="4" w:space="0"/>
                  </w:tcBorders>
                  <w:tcMar>
                    <w:left w:w="28" w:type="dxa"/>
                    <w:right w:w="28" w:type="dxa"/>
                  </w:tcMar>
                  <w:vAlign w:val="center"/>
                </w:tcPr>
                <w:p w14:paraId="50E7B4B9">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NMHC</w:t>
                  </w:r>
                  <w:r>
                    <w:rPr>
                      <w:rFonts w:hint="eastAsia"/>
                      <w:color w:val="auto"/>
                      <w:szCs w:val="21"/>
                      <w:highlight w:val="none"/>
                    </w:rPr>
                    <w:t>、颗粒物</w:t>
                  </w:r>
                </w:p>
              </w:tc>
              <w:tc>
                <w:tcPr>
                  <w:tcW w:w="1266" w:type="pct"/>
                  <w:vMerge w:val="restart"/>
                  <w:vAlign w:val="center"/>
                </w:tcPr>
                <w:p w14:paraId="002814C9">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eastAsia="zh-CN"/>
                    </w:rPr>
                  </w:pPr>
                  <w:r>
                    <w:rPr>
                      <w:rFonts w:hint="eastAsia"/>
                      <w:color w:val="auto"/>
                      <w:szCs w:val="21"/>
                      <w:highlight w:val="none"/>
                    </w:rPr>
                    <w:t>密闭车间负压收集+干式过滤+二级活性炭吸附装置+15m排气筒DA00</w:t>
                  </w:r>
                  <w:r>
                    <w:rPr>
                      <w:rFonts w:hint="eastAsia"/>
                      <w:color w:val="auto"/>
                      <w:szCs w:val="21"/>
                      <w:highlight w:val="none"/>
                      <w:lang w:val="en-US" w:eastAsia="zh-CN"/>
                    </w:rPr>
                    <w:t>1</w:t>
                  </w:r>
                </w:p>
              </w:tc>
            </w:tr>
            <w:tr w14:paraId="3E522892">
              <w:trPr>
                <w:trHeight w:val="397" w:hRule="atLeast"/>
                <w:jc w:val="center"/>
              </w:trPr>
              <w:tc>
                <w:tcPr>
                  <w:tcW w:w="335" w:type="pct"/>
                  <w:vMerge w:val="continue"/>
                  <w:tcMar>
                    <w:left w:w="28" w:type="dxa"/>
                    <w:right w:w="28" w:type="dxa"/>
                  </w:tcMar>
                  <w:vAlign w:val="center"/>
                </w:tcPr>
                <w:p w14:paraId="07B294C2">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1251711A">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G</w:t>
                  </w:r>
                  <w:r>
                    <w:rPr>
                      <w:rFonts w:hint="eastAsia"/>
                      <w:color w:val="auto"/>
                      <w:szCs w:val="21"/>
                      <w:highlight w:val="none"/>
                      <w:lang w:val="en-US" w:eastAsia="zh-CN"/>
                    </w:rPr>
                    <w:t>5</w:t>
                  </w:r>
                </w:p>
              </w:tc>
              <w:tc>
                <w:tcPr>
                  <w:tcW w:w="730" w:type="pct"/>
                  <w:tcMar>
                    <w:left w:w="28" w:type="dxa"/>
                    <w:right w:w="28" w:type="dxa"/>
                  </w:tcMar>
                  <w:vAlign w:val="center"/>
                </w:tcPr>
                <w:p w14:paraId="2CF61848">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烘干</w:t>
                  </w:r>
                  <w:r>
                    <w:rPr>
                      <w:rFonts w:hint="eastAsia"/>
                      <w:color w:val="auto"/>
                      <w:szCs w:val="21"/>
                      <w:highlight w:val="none"/>
                    </w:rPr>
                    <w:t>废气</w:t>
                  </w:r>
                </w:p>
              </w:tc>
              <w:tc>
                <w:tcPr>
                  <w:tcW w:w="690" w:type="pct"/>
                  <w:tcMar>
                    <w:left w:w="28" w:type="dxa"/>
                    <w:right w:w="28" w:type="dxa"/>
                  </w:tcMar>
                  <w:vAlign w:val="center"/>
                </w:tcPr>
                <w:p w14:paraId="20CED970">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烘干</w:t>
                  </w:r>
                </w:p>
              </w:tc>
              <w:tc>
                <w:tcPr>
                  <w:tcW w:w="760" w:type="pct"/>
                  <w:shd w:val="clear" w:color="auto" w:fill="auto"/>
                  <w:tcMar>
                    <w:left w:w="28" w:type="dxa"/>
                    <w:right w:w="28" w:type="dxa"/>
                  </w:tcMar>
                  <w:vAlign w:val="center"/>
                </w:tcPr>
                <w:p w14:paraId="5A2B319C">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有</w:t>
                  </w:r>
                  <w:r>
                    <w:rPr>
                      <w:rFonts w:hAnsi="宋体"/>
                      <w:color w:val="auto"/>
                      <w:szCs w:val="21"/>
                      <w:highlight w:val="none"/>
                    </w:rPr>
                    <w:t>组织</w:t>
                  </w:r>
                </w:p>
              </w:tc>
              <w:tc>
                <w:tcPr>
                  <w:tcW w:w="824" w:type="pct"/>
                  <w:tcBorders>
                    <w:bottom w:val="single" w:color="auto" w:sz="4" w:space="0"/>
                  </w:tcBorders>
                  <w:tcMar>
                    <w:left w:w="28" w:type="dxa"/>
                    <w:right w:w="28" w:type="dxa"/>
                  </w:tcMar>
                  <w:vAlign w:val="center"/>
                </w:tcPr>
                <w:p w14:paraId="3650E941">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NMHC</w:t>
                  </w:r>
                </w:p>
              </w:tc>
              <w:tc>
                <w:tcPr>
                  <w:tcW w:w="1266" w:type="pct"/>
                  <w:vMerge w:val="continue"/>
                  <w:vAlign w:val="center"/>
                </w:tcPr>
                <w:p w14:paraId="5A9D4D0B">
                  <w:pPr>
                    <w:keepNext w:val="0"/>
                    <w:keepLines w:val="0"/>
                    <w:suppressLineNumbers w:val="0"/>
                    <w:spacing w:before="100" w:beforeAutospacing="1" w:after="100" w:afterAutospacing="1"/>
                    <w:ind w:left="0" w:right="0"/>
                    <w:jc w:val="center"/>
                    <w:rPr>
                      <w:color w:val="auto"/>
                      <w:szCs w:val="21"/>
                      <w:highlight w:val="none"/>
                    </w:rPr>
                  </w:pPr>
                </w:p>
              </w:tc>
            </w:tr>
            <w:tr w14:paraId="5502A8D0">
              <w:trPr>
                <w:trHeight w:val="397" w:hRule="atLeast"/>
                <w:jc w:val="center"/>
              </w:trPr>
              <w:tc>
                <w:tcPr>
                  <w:tcW w:w="335" w:type="pct"/>
                  <w:vMerge w:val="continue"/>
                  <w:tcMar>
                    <w:left w:w="28" w:type="dxa"/>
                    <w:right w:w="28" w:type="dxa"/>
                  </w:tcMar>
                  <w:vAlign w:val="center"/>
                </w:tcPr>
                <w:p w14:paraId="7AC4E9A4">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4FC26D28">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G</w:t>
                  </w:r>
                  <w:r>
                    <w:rPr>
                      <w:rFonts w:hint="eastAsia"/>
                      <w:color w:val="auto"/>
                      <w:szCs w:val="21"/>
                      <w:highlight w:val="none"/>
                      <w:lang w:val="en-US" w:eastAsia="zh-CN"/>
                    </w:rPr>
                    <w:t>6</w:t>
                  </w:r>
                </w:p>
              </w:tc>
              <w:tc>
                <w:tcPr>
                  <w:tcW w:w="730" w:type="pct"/>
                  <w:tcMar>
                    <w:left w:w="28" w:type="dxa"/>
                    <w:right w:w="28" w:type="dxa"/>
                  </w:tcMar>
                  <w:vAlign w:val="center"/>
                </w:tcPr>
                <w:p w14:paraId="6CAD9D6D">
                  <w:pPr>
                    <w:keepNext w:val="0"/>
                    <w:keepLines w:val="0"/>
                    <w:suppressLineNumbers w:val="0"/>
                    <w:spacing w:before="100" w:beforeAutospacing="1" w:after="100" w:afterAutospacing="1"/>
                    <w:ind w:left="0" w:right="0"/>
                    <w:jc w:val="center"/>
                    <w:rPr>
                      <w:rFonts w:hint="eastAsia"/>
                      <w:color w:val="auto"/>
                      <w:szCs w:val="21"/>
                      <w:highlight w:val="none"/>
                      <w:lang w:val="en-US" w:eastAsia="zh-CN"/>
                    </w:rPr>
                  </w:pPr>
                  <w:r>
                    <w:rPr>
                      <w:rFonts w:hint="eastAsia"/>
                      <w:color w:val="auto"/>
                      <w:szCs w:val="21"/>
                      <w:highlight w:val="none"/>
                      <w:lang w:val="en-US" w:eastAsia="zh-CN"/>
                    </w:rPr>
                    <w:t>喷塑</w:t>
                  </w:r>
                  <w:r>
                    <w:rPr>
                      <w:rFonts w:hint="eastAsia"/>
                      <w:color w:val="auto"/>
                      <w:szCs w:val="21"/>
                      <w:highlight w:val="none"/>
                    </w:rPr>
                    <w:t>废气</w:t>
                  </w:r>
                </w:p>
              </w:tc>
              <w:tc>
                <w:tcPr>
                  <w:tcW w:w="690" w:type="pct"/>
                  <w:tcMar>
                    <w:left w:w="28" w:type="dxa"/>
                    <w:right w:w="28" w:type="dxa"/>
                  </w:tcMar>
                  <w:vAlign w:val="center"/>
                </w:tcPr>
                <w:p w14:paraId="20CCED72">
                  <w:pPr>
                    <w:keepNext w:val="0"/>
                    <w:keepLines w:val="0"/>
                    <w:suppressLineNumbers w:val="0"/>
                    <w:spacing w:before="100" w:beforeAutospacing="1" w:after="100" w:afterAutospacing="1"/>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喷塑</w:t>
                  </w:r>
                </w:p>
              </w:tc>
              <w:tc>
                <w:tcPr>
                  <w:tcW w:w="760" w:type="pct"/>
                  <w:shd w:val="clear" w:color="auto" w:fill="auto"/>
                  <w:tcMar>
                    <w:left w:w="28" w:type="dxa"/>
                    <w:right w:w="28" w:type="dxa"/>
                  </w:tcMar>
                  <w:vAlign w:val="center"/>
                </w:tcPr>
                <w:p w14:paraId="0BDE3845">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有</w:t>
                  </w:r>
                  <w:r>
                    <w:rPr>
                      <w:rFonts w:hAnsi="宋体"/>
                      <w:color w:val="auto"/>
                      <w:szCs w:val="21"/>
                      <w:highlight w:val="none"/>
                    </w:rPr>
                    <w:t>组织</w:t>
                  </w:r>
                </w:p>
              </w:tc>
              <w:tc>
                <w:tcPr>
                  <w:tcW w:w="824" w:type="pct"/>
                  <w:tcBorders>
                    <w:bottom w:val="single" w:color="auto" w:sz="4" w:space="0"/>
                  </w:tcBorders>
                  <w:tcMar>
                    <w:left w:w="28" w:type="dxa"/>
                    <w:right w:w="28" w:type="dxa"/>
                  </w:tcMar>
                  <w:vAlign w:val="center"/>
                </w:tcPr>
                <w:p w14:paraId="6DBF56C8">
                  <w:pPr>
                    <w:keepNext w:val="0"/>
                    <w:keepLines w:val="0"/>
                    <w:suppressLineNumbers w:val="0"/>
                    <w:spacing w:before="100" w:beforeAutospacing="1" w:after="100" w:afterAutospacing="1"/>
                    <w:ind w:left="0" w:right="0"/>
                    <w:jc w:val="center"/>
                    <w:rPr>
                      <w:color w:val="auto"/>
                      <w:szCs w:val="21"/>
                      <w:highlight w:val="none"/>
                    </w:rPr>
                  </w:pPr>
                  <w:r>
                    <w:rPr>
                      <w:rFonts w:hint="eastAsia"/>
                      <w:color w:val="auto"/>
                      <w:szCs w:val="21"/>
                      <w:highlight w:val="none"/>
                    </w:rPr>
                    <w:t>颗粒物</w:t>
                  </w:r>
                </w:p>
              </w:tc>
              <w:tc>
                <w:tcPr>
                  <w:tcW w:w="1266" w:type="pct"/>
                  <w:vAlign w:val="center"/>
                </w:tcPr>
                <w:p w14:paraId="1D5DE197">
                  <w:pPr>
                    <w:keepNext w:val="0"/>
                    <w:keepLines w:val="0"/>
                    <w:suppressLineNumbers w:val="0"/>
                    <w:spacing w:before="100" w:beforeAutospacing="1" w:after="100" w:afterAutospacing="1"/>
                    <w:ind w:left="0" w:right="0"/>
                    <w:jc w:val="center"/>
                    <w:rPr>
                      <w:color w:val="auto"/>
                      <w:szCs w:val="21"/>
                      <w:highlight w:val="none"/>
                    </w:rPr>
                  </w:pPr>
                  <w:r>
                    <w:rPr>
                      <w:rFonts w:hint="eastAsia" w:cs="Times New Roman"/>
                      <w:color w:val="auto"/>
                      <w:sz w:val="21"/>
                      <w:szCs w:val="21"/>
                      <w:highlight w:val="none"/>
                      <w:lang w:val="en-US" w:eastAsia="zh-CN"/>
                    </w:rPr>
                    <w:t>半</w:t>
                  </w:r>
                  <w:r>
                    <w:rPr>
                      <w:rFonts w:hint="default" w:ascii="Times New Roman" w:hAnsi="Times New Roman" w:cs="Times New Roman"/>
                      <w:color w:val="auto"/>
                      <w:sz w:val="21"/>
                      <w:szCs w:val="21"/>
                      <w:highlight w:val="none"/>
                      <w:lang w:val="en-US" w:eastAsia="zh-CN"/>
                    </w:rPr>
                    <w:t>密闭</w:t>
                  </w:r>
                  <w:r>
                    <w:rPr>
                      <w:rFonts w:hint="default" w:ascii="Times New Roman" w:hAnsi="Times New Roman" w:cs="Times New Roman"/>
                      <w:color w:val="auto"/>
                      <w:sz w:val="21"/>
                      <w:szCs w:val="21"/>
                      <w:highlight w:val="none"/>
                    </w:rPr>
                    <w:t>收集+</w:t>
                  </w:r>
                  <w:r>
                    <w:rPr>
                      <w:rFonts w:hint="default" w:ascii="Times New Roman" w:hAnsi="Times New Roman" w:cs="Times New Roman"/>
                      <w:color w:val="auto"/>
                      <w:sz w:val="21"/>
                      <w:szCs w:val="21"/>
                      <w:highlight w:val="none"/>
                      <w:lang w:val="en-US" w:eastAsia="zh-CN"/>
                    </w:rPr>
                    <w:t>布袋除尘器</w:t>
                  </w:r>
                  <w:r>
                    <w:rPr>
                      <w:rFonts w:hint="eastAsia" w:cs="Times New Roman"/>
                      <w:color w:val="auto"/>
                      <w:sz w:val="21"/>
                      <w:szCs w:val="21"/>
                      <w:highlight w:val="none"/>
                      <w:lang w:val="en-US" w:eastAsia="zh-CN"/>
                    </w:rPr>
                    <w:t>TA003</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15m排气筒DA00</w:t>
                  </w:r>
                  <w:r>
                    <w:rPr>
                      <w:rFonts w:hint="default" w:ascii="Times New Roman" w:hAnsi="Times New Roman" w:cs="Times New Roman"/>
                      <w:color w:val="auto"/>
                      <w:sz w:val="21"/>
                      <w:szCs w:val="21"/>
                      <w:highlight w:val="none"/>
                      <w:lang w:val="en-US" w:eastAsia="zh-CN"/>
                    </w:rPr>
                    <w:t>2</w:t>
                  </w:r>
                </w:p>
              </w:tc>
            </w:tr>
            <w:tr w14:paraId="6B5B0151">
              <w:trPr>
                <w:trHeight w:val="397" w:hRule="atLeast"/>
                <w:jc w:val="center"/>
              </w:trPr>
              <w:tc>
                <w:tcPr>
                  <w:tcW w:w="335" w:type="pct"/>
                  <w:vMerge w:val="continue"/>
                  <w:tcMar>
                    <w:left w:w="28" w:type="dxa"/>
                    <w:right w:w="28" w:type="dxa"/>
                  </w:tcMar>
                  <w:vAlign w:val="center"/>
                </w:tcPr>
                <w:p w14:paraId="5185A80F">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18C70A43">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G7</w:t>
                  </w:r>
                </w:p>
              </w:tc>
              <w:tc>
                <w:tcPr>
                  <w:tcW w:w="730" w:type="pct"/>
                  <w:shd w:val="clear" w:color="auto" w:fill="auto"/>
                  <w:tcMar>
                    <w:left w:w="28" w:type="dxa"/>
                    <w:right w:w="28" w:type="dxa"/>
                  </w:tcMar>
                  <w:vAlign w:val="center"/>
                </w:tcPr>
                <w:p w14:paraId="20566047">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固化</w:t>
                  </w:r>
                  <w:r>
                    <w:rPr>
                      <w:rFonts w:hint="eastAsia"/>
                      <w:color w:val="auto"/>
                      <w:szCs w:val="21"/>
                      <w:highlight w:val="none"/>
                    </w:rPr>
                    <w:t>废气</w:t>
                  </w:r>
                </w:p>
              </w:tc>
              <w:tc>
                <w:tcPr>
                  <w:tcW w:w="690" w:type="pct"/>
                  <w:shd w:val="clear" w:color="auto" w:fill="auto"/>
                  <w:tcMar>
                    <w:left w:w="28" w:type="dxa"/>
                    <w:right w:w="28" w:type="dxa"/>
                  </w:tcMar>
                  <w:vAlign w:val="center"/>
                </w:tcPr>
                <w:p w14:paraId="744060BD">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固化</w:t>
                  </w:r>
                </w:p>
              </w:tc>
              <w:tc>
                <w:tcPr>
                  <w:tcW w:w="760" w:type="pct"/>
                  <w:shd w:val="clear" w:color="auto" w:fill="auto"/>
                  <w:tcMar>
                    <w:left w:w="28" w:type="dxa"/>
                    <w:right w:w="28" w:type="dxa"/>
                  </w:tcMar>
                  <w:vAlign w:val="center"/>
                </w:tcPr>
                <w:p w14:paraId="3CB1E5FD">
                  <w:pPr>
                    <w:keepNext w:val="0"/>
                    <w:keepLines w:val="0"/>
                    <w:suppressLineNumbers w:val="0"/>
                    <w:spacing w:before="100" w:beforeAutospacing="1" w:after="100" w:afterAutospacing="1"/>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有</w:t>
                  </w:r>
                  <w:r>
                    <w:rPr>
                      <w:rFonts w:hAnsi="宋体"/>
                      <w:color w:val="auto"/>
                      <w:szCs w:val="21"/>
                      <w:highlight w:val="none"/>
                    </w:rPr>
                    <w:t>组织</w:t>
                  </w:r>
                </w:p>
              </w:tc>
              <w:tc>
                <w:tcPr>
                  <w:tcW w:w="824" w:type="pct"/>
                  <w:tcBorders>
                    <w:bottom w:val="single" w:color="auto" w:sz="4" w:space="0"/>
                  </w:tcBorders>
                  <w:shd w:val="clear" w:color="auto" w:fill="auto"/>
                  <w:tcMar>
                    <w:left w:w="28" w:type="dxa"/>
                    <w:right w:w="28" w:type="dxa"/>
                  </w:tcMar>
                  <w:vAlign w:val="center"/>
                </w:tcPr>
                <w:p w14:paraId="4AE73B6A">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1266" w:type="pct"/>
                  <w:vAlign w:val="center"/>
                </w:tcPr>
                <w:p w14:paraId="210E43EF">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eastAsia="zh-CN"/>
                    </w:rPr>
                  </w:pPr>
                  <w:r>
                    <w:rPr>
                      <w:rFonts w:hint="eastAsia"/>
                      <w:color w:val="auto"/>
                      <w:szCs w:val="21"/>
                      <w:highlight w:val="none"/>
                    </w:rPr>
                    <w:t>密闭车间负压收集+干式过滤+二级活性炭吸附装置+15m排气筒DA00</w:t>
                  </w:r>
                  <w:r>
                    <w:rPr>
                      <w:rFonts w:hint="eastAsia"/>
                      <w:color w:val="auto"/>
                      <w:szCs w:val="21"/>
                      <w:highlight w:val="none"/>
                      <w:lang w:val="en-US" w:eastAsia="zh-CN"/>
                    </w:rPr>
                    <w:t>1</w:t>
                  </w:r>
                </w:p>
              </w:tc>
            </w:tr>
            <w:tr w14:paraId="0401597D">
              <w:trPr>
                <w:trHeight w:val="397" w:hRule="atLeast"/>
                <w:jc w:val="center"/>
              </w:trPr>
              <w:tc>
                <w:tcPr>
                  <w:tcW w:w="335" w:type="pct"/>
                  <w:vMerge w:val="restart"/>
                  <w:tcMar>
                    <w:left w:w="28" w:type="dxa"/>
                    <w:right w:w="28" w:type="dxa"/>
                  </w:tcMar>
                  <w:vAlign w:val="center"/>
                </w:tcPr>
                <w:p w14:paraId="482B23E9">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废水</w:t>
                  </w:r>
                </w:p>
              </w:tc>
              <w:tc>
                <w:tcPr>
                  <w:tcW w:w="394" w:type="pct"/>
                  <w:tcMar>
                    <w:left w:w="28" w:type="dxa"/>
                    <w:right w:w="28" w:type="dxa"/>
                  </w:tcMar>
                  <w:vAlign w:val="center"/>
                </w:tcPr>
                <w:p w14:paraId="6C01CF65">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W1</w:t>
                  </w:r>
                </w:p>
              </w:tc>
              <w:tc>
                <w:tcPr>
                  <w:tcW w:w="730" w:type="pct"/>
                  <w:vAlign w:val="center"/>
                </w:tcPr>
                <w:p w14:paraId="0B3D9FA5">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生活污水</w:t>
                  </w:r>
                </w:p>
              </w:tc>
              <w:tc>
                <w:tcPr>
                  <w:tcW w:w="690" w:type="pct"/>
                  <w:vAlign w:val="center"/>
                </w:tcPr>
                <w:p w14:paraId="031F8FD2">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职工生活</w:t>
                  </w:r>
                </w:p>
              </w:tc>
              <w:tc>
                <w:tcPr>
                  <w:tcW w:w="760" w:type="pct"/>
                  <w:vAlign w:val="center"/>
                </w:tcPr>
                <w:p w14:paraId="750AD6BA">
                  <w:pPr>
                    <w:keepNext w:val="0"/>
                    <w:keepLines w:val="0"/>
                    <w:suppressLineNumbers w:val="0"/>
                    <w:spacing w:before="100" w:beforeAutospacing="1" w:after="100" w:afterAutospacing="1"/>
                    <w:ind w:left="0" w:right="0"/>
                    <w:jc w:val="center"/>
                    <w:rPr>
                      <w:color w:val="auto"/>
                      <w:szCs w:val="21"/>
                      <w:highlight w:val="none"/>
                    </w:rPr>
                  </w:pPr>
                  <w:r>
                    <w:rPr>
                      <w:rFonts w:hint="eastAsia" w:eastAsia="宋体" w:cs="Times New Roman"/>
                      <w:color w:val="auto"/>
                      <w:szCs w:val="21"/>
                      <w:lang w:val="en-US" w:eastAsia="zh-CN"/>
                    </w:rPr>
                    <w:t>间歇排放</w:t>
                  </w:r>
                </w:p>
              </w:tc>
              <w:tc>
                <w:tcPr>
                  <w:tcW w:w="824" w:type="pct"/>
                  <w:vAlign w:val="center"/>
                </w:tcPr>
                <w:p w14:paraId="590C130D">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COD</w:t>
                  </w:r>
                  <w:r>
                    <w:rPr>
                      <w:rFonts w:hAnsi="宋体"/>
                      <w:color w:val="auto"/>
                      <w:szCs w:val="21"/>
                      <w:highlight w:val="none"/>
                    </w:rPr>
                    <w:t>、</w:t>
                  </w:r>
                  <w:r>
                    <w:rPr>
                      <w:color w:val="auto"/>
                      <w:szCs w:val="21"/>
                      <w:highlight w:val="none"/>
                    </w:rPr>
                    <w:t>SS</w:t>
                  </w:r>
                  <w:r>
                    <w:rPr>
                      <w:rFonts w:hAnsi="宋体"/>
                      <w:color w:val="auto"/>
                      <w:szCs w:val="21"/>
                      <w:highlight w:val="none"/>
                    </w:rPr>
                    <w:t>、</w:t>
                  </w:r>
                  <w:r>
                    <w:rPr>
                      <w:color w:val="auto"/>
                      <w:szCs w:val="21"/>
                      <w:highlight w:val="none"/>
                    </w:rPr>
                    <w:t>NH</w:t>
                  </w:r>
                  <w:r>
                    <w:rPr>
                      <w:color w:val="auto"/>
                      <w:szCs w:val="21"/>
                      <w:highlight w:val="none"/>
                      <w:vertAlign w:val="subscript"/>
                    </w:rPr>
                    <w:t>3</w:t>
                  </w:r>
                  <w:r>
                    <w:rPr>
                      <w:color w:val="auto"/>
                      <w:szCs w:val="21"/>
                      <w:highlight w:val="none"/>
                    </w:rPr>
                    <w:t>-N</w:t>
                  </w:r>
                  <w:r>
                    <w:rPr>
                      <w:rFonts w:hAnsi="宋体"/>
                      <w:color w:val="auto"/>
                      <w:szCs w:val="21"/>
                      <w:highlight w:val="none"/>
                    </w:rPr>
                    <w:t>、</w:t>
                  </w:r>
                  <w:r>
                    <w:rPr>
                      <w:color w:val="auto"/>
                      <w:szCs w:val="21"/>
                      <w:highlight w:val="none"/>
                    </w:rPr>
                    <w:t>TN</w:t>
                  </w:r>
                  <w:r>
                    <w:rPr>
                      <w:rFonts w:hAnsi="宋体"/>
                      <w:color w:val="auto"/>
                      <w:szCs w:val="21"/>
                      <w:highlight w:val="none"/>
                    </w:rPr>
                    <w:t>、</w:t>
                  </w:r>
                  <w:r>
                    <w:rPr>
                      <w:color w:val="auto"/>
                      <w:szCs w:val="21"/>
                      <w:highlight w:val="none"/>
                    </w:rPr>
                    <w:t>TP</w:t>
                  </w:r>
                </w:p>
              </w:tc>
              <w:tc>
                <w:tcPr>
                  <w:tcW w:w="1266" w:type="pct"/>
                  <w:vMerge w:val="restart"/>
                  <w:vAlign w:val="center"/>
                </w:tcPr>
                <w:p w14:paraId="402E2CCE">
                  <w:pPr>
                    <w:keepNext w:val="0"/>
                    <w:keepLines w:val="0"/>
                    <w:suppressLineNumbers w:val="0"/>
                    <w:spacing w:before="100" w:beforeAutospacing="1" w:after="100" w:afterAutospacing="1"/>
                    <w:ind w:left="0" w:right="0"/>
                    <w:jc w:val="center"/>
                    <w:rPr>
                      <w:rFonts w:hAnsi="宋体"/>
                      <w:color w:val="auto"/>
                      <w:szCs w:val="21"/>
                      <w:highlight w:val="none"/>
                    </w:rPr>
                  </w:pPr>
                  <w:r>
                    <w:rPr>
                      <w:rFonts w:hint="eastAsia"/>
                      <w:color w:val="auto"/>
                      <w:highlight w:val="none"/>
                      <w:lang w:val="en-US" w:eastAsia="zh-CN"/>
                    </w:rPr>
                    <w:t>综合生活污水</w:t>
                  </w:r>
                  <w:r>
                    <w:rPr>
                      <w:rFonts w:hint="eastAsia" w:ascii="Times New Roman" w:hAnsi="Times New Roman"/>
                      <w:color w:val="auto"/>
                      <w:highlight w:val="none"/>
                      <w:lang w:val="en-US" w:eastAsia="zh-CN"/>
                    </w:rPr>
                    <w:t>经隔油池</w:t>
                  </w:r>
                  <w:r>
                    <w:rPr>
                      <w:rFonts w:hint="eastAsia"/>
                      <w:color w:val="auto"/>
                      <w:highlight w:val="none"/>
                      <w:lang w:val="en-US" w:eastAsia="zh-CN"/>
                    </w:rPr>
                    <w:t>+</w:t>
                  </w:r>
                  <w:r>
                    <w:rPr>
                      <w:rFonts w:ascii="Times New Roman" w:hAnsi="Times New Roman"/>
                      <w:color w:val="auto"/>
                      <w:highlight w:val="none"/>
                    </w:rPr>
                    <w:t>化粪池处理</w:t>
                  </w:r>
                  <w:r>
                    <w:rPr>
                      <w:rFonts w:hint="eastAsia"/>
                      <w:color w:val="auto"/>
                      <w:highlight w:val="none"/>
                      <w:lang w:eastAsia="zh-CN"/>
                    </w:rPr>
                    <w:t>达到</w:t>
                  </w:r>
                  <w:r>
                    <w:rPr>
                      <w:rFonts w:ascii="Times New Roman" w:hAnsi="Times New Roman"/>
                      <w:color w:val="auto"/>
                      <w:highlight w:val="none"/>
                    </w:rPr>
                    <w:t>接管标准后接管至</w:t>
                  </w:r>
                  <w:r>
                    <w:rPr>
                      <w:rFonts w:hint="eastAsia" w:ascii="宋体" w:hAnsi="宋体"/>
                      <w:color w:val="auto"/>
                      <w:sz w:val="21"/>
                      <w:szCs w:val="21"/>
                      <w:highlight w:val="none"/>
                    </w:rPr>
                    <w:t>涟水经济开发区西区污水处理厂</w:t>
                  </w:r>
                </w:p>
              </w:tc>
            </w:tr>
            <w:tr w14:paraId="206AB7BD">
              <w:trPr>
                <w:trHeight w:val="397" w:hRule="atLeast"/>
                <w:jc w:val="center"/>
              </w:trPr>
              <w:tc>
                <w:tcPr>
                  <w:tcW w:w="335" w:type="pct"/>
                  <w:vMerge w:val="continue"/>
                  <w:tcMar>
                    <w:left w:w="28" w:type="dxa"/>
                    <w:right w:w="28" w:type="dxa"/>
                  </w:tcMar>
                  <w:vAlign w:val="center"/>
                </w:tcPr>
                <w:p w14:paraId="73C31363">
                  <w:pPr>
                    <w:keepNext w:val="0"/>
                    <w:keepLines w:val="0"/>
                    <w:suppressLineNumbers w:val="0"/>
                    <w:spacing w:before="100" w:beforeAutospacing="1" w:after="100" w:afterAutospacing="1"/>
                    <w:ind w:left="0" w:right="0"/>
                    <w:jc w:val="center"/>
                    <w:rPr>
                      <w:rFonts w:hAnsi="宋体"/>
                      <w:color w:val="auto"/>
                      <w:szCs w:val="21"/>
                      <w:highlight w:val="none"/>
                    </w:rPr>
                  </w:pPr>
                </w:p>
              </w:tc>
              <w:tc>
                <w:tcPr>
                  <w:tcW w:w="394" w:type="pct"/>
                  <w:shd w:val="clear" w:color="auto" w:fill="auto"/>
                  <w:tcMar>
                    <w:left w:w="28" w:type="dxa"/>
                    <w:right w:w="28" w:type="dxa"/>
                  </w:tcMar>
                  <w:vAlign w:val="center"/>
                </w:tcPr>
                <w:p w14:paraId="7DC947D6">
                  <w:pPr>
                    <w:keepNext w:val="0"/>
                    <w:keepLines w:val="0"/>
                    <w:suppressLineNumbers w:val="0"/>
                    <w:spacing w:before="100" w:beforeAutospacing="1" w:after="100" w:afterAutospacing="1"/>
                    <w:ind w:left="0" w:right="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W2</w:t>
                  </w:r>
                </w:p>
              </w:tc>
              <w:tc>
                <w:tcPr>
                  <w:tcW w:w="730" w:type="pct"/>
                  <w:shd w:val="clear" w:color="auto" w:fill="auto"/>
                  <w:vAlign w:val="center"/>
                </w:tcPr>
                <w:p w14:paraId="39BF889B">
                  <w:pPr>
                    <w:keepNext w:val="0"/>
                    <w:keepLines w:val="0"/>
                    <w:suppressLineNumbers w:val="0"/>
                    <w:spacing w:before="100" w:beforeAutospacing="1" w:after="100" w:afterAutospacing="1"/>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食堂废水</w:t>
                  </w:r>
                </w:p>
              </w:tc>
              <w:tc>
                <w:tcPr>
                  <w:tcW w:w="690" w:type="pct"/>
                  <w:shd w:val="clear" w:color="auto" w:fill="auto"/>
                  <w:vAlign w:val="center"/>
                </w:tcPr>
                <w:p w14:paraId="346E1DEC">
                  <w:pPr>
                    <w:keepNext w:val="0"/>
                    <w:keepLines w:val="0"/>
                    <w:suppressLineNumbers w:val="0"/>
                    <w:spacing w:before="100" w:beforeAutospacing="1" w:after="100" w:afterAutospacing="1"/>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职</w:t>
                  </w:r>
                  <w:r>
                    <w:rPr>
                      <w:rFonts w:hint="default" w:ascii="Times New Roman" w:hAnsi="Times New Roman" w:cs="Times New Roman"/>
                      <w:color w:val="auto"/>
                      <w:szCs w:val="21"/>
                      <w:lang w:val="en-US" w:eastAsia="zh-CN"/>
                    </w:rPr>
                    <w:t>工生活</w:t>
                  </w:r>
                </w:p>
              </w:tc>
              <w:tc>
                <w:tcPr>
                  <w:tcW w:w="760" w:type="pct"/>
                  <w:shd w:val="clear" w:color="auto" w:fill="auto"/>
                  <w:vAlign w:val="center"/>
                </w:tcPr>
                <w:p w14:paraId="28D6100B">
                  <w:pPr>
                    <w:keepNext w:val="0"/>
                    <w:keepLines w:val="0"/>
                    <w:suppressLineNumbers w:val="0"/>
                    <w:spacing w:before="100" w:beforeAutospacing="1" w:after="100" w:afterAutospacing="1"/>
                    <w:ind w:left="0" w:right="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Cs w:val="21"/>
                      <w:lang w:val="en-US" w:eastAsia="zh-CN"/>
                    </w:rPr>
                    <w:t>间歇排放</w:t>
                  </w:r>
                </w:p>
              </w:tc>
              <w:tc>
                <w:tcPr>
                  <w:tcW w:w="824" w:type="pct"/>
                  <w:shd w:val="clear" w:color="auto" w:fill="auto"/>
                  <w:vAlign w:val="center"/>
                </w:tcPr>
                <w:p w14:paraId="0DBB4BEE">
                  <w:pPr>
                    <w:keepNext w:val="0"/>
                    <w:keepLines w:val="0"/>
                    <w:suppressLineNumbers w:val="0"/>
                    <w:spacing w:before="100" w:beforeAutospacing="1" w:after="100" w:afterAutospacing="1"/>
                    <w:ind w:left="0" w:right="0"/>
                    <w:jc w:val="center"/>
                    <w:rPr>
                      <w:rFonts w:hint="eastAsia" w:ascii="Times New Roman" w:hAnsi="Times New Roman" w:eastAsia="宋体" w:cs="Times New Roman"/>
                      <w:b w:val="0"/>
                      <w:bCs w:val="0"/>
                      <w:color w:val="auto"/>
                      <w:kern w:val="2"/>
                      <w:sz w:val="21"/>
                      <w:szCs w:val="21"/>
                      <w:lang w:val="en-US" w:eastAsia="zh-CN" w:bidi="ar-SA"/>
                    </w:rPr>
                  </w:pPr>
                  <w:r>
                    <w:rPr>
                      <w:color w:val="auto"/>
                      <w:szCs w:val="21"/>
                    </w:rPr>
                    <w:t>COD</w:t>
                  </w:r>
                  <w:r>
                    <w:rPr>
                      <w:rFonts w:hAnsi="宋体"/>
                      <w:color w:val="auto"/>
                      <w:szCs w:val="21"/>
                    </w:rPr>
                    <w:t>、</w:t>
                  </w:r>
                  <w:r>
                    <w:rPr>
                      <w:color w:val="auto"/>
                      <w:szCs w:val="21"/>
                    </w:rPr>
                    <w:t>SS</w:t>
                  </w:r>
                  <w:r>
                    <w:rPr>
                      <w:rFonts w:hAnsi="宋体"/>
                      <w:color w:val="auto"/>
                      <w:szCs w:val="21"/>
                    </w:rPr>
                    <w:t>、</w:t>
                  </w:r>
                  <w:r>
                    <w:rPr>
                      <w:color w:val="auto"/>
                      <w:szCs w:val="21"/>
                    </w:rPr>
                    <w:t>NH</w:t>
                  </w:r>
                  <w:r>
                    <w:rPr>
                      <w:color w:val="auto"/>
                      <w:szCs w:val="21"/>
                      <w:vertAlign w:val="subscript"/>
                    </w:rPr>
                    <w:t>3</w:t>
                  </w:r>
                  <w:r>
                    <w:rPr>
                      <w:color w:val="auto"/>
                      <w:szCs w:val="21"/>
                    </w:rPr>
                    <w:t>-N</w:t>
                  </w:r>
                  <w:r>
                    <w:rPr>
                      <w:rFonts w:hAnsi="宋体"/>
                      <w:color w:val="auto"/>
                      <w:szCs w:val="21"/>
                    </w:rPr>
                    <w:t>、</w:t>
                  </w:r>
                  <w:r>
                    <w:rPr>
                      <w:color w:val="auto"/>
                      <w:szCs w:val="21"/>
                    </w:rPr>
                    <w:t>TN</w:t>
                  </w:r>
                  <w:r>
                    <w:rPr>
                      <w:rFonts w:hAnsi="宋体"/>
                      <w:color w:val="auto"/>
                      <w:szCs w:val="21"/>
                    </w:rPr>
                    <w:t>、</w:t>
                  </w:r>
                  <w:r>
                    <w:rPr>
                      <w:color w:val="auto"/>
                      <w:szCs w:val="21"/>
                    </w:rPr>
                    <w:t>TP</w:t>
                  </w:r>
                  <w:r>
                    <w:rPr>
                      <w:rFonts w:hint="eastAsia"/>
                      <w:color w:val="auto"/>
                      <w:szCs w:val="21"/>
                      <w:lang w:eastAsia="zh-CN"/>
                    </w:rPr>
                    <w:t>、动植物油</w:t>
                  </w:r>
                </w:p>
              </w:tc>
              <w:tc>
                <w:tcPr>
                  <w:tcW w:w="1266" w:type="pct"/>
                  <w:vMerge w:val="continue"/>
                  <w:vAlign w:val="center"/>
                </w:tcPr>
                <w:p w14:paraId="5B6DD42B">
                  <w:pPr>
                    <w:keepNext w:val="0"/>
                    <w:keepLines w:val="0"/>
                    <w:suppressLineNumbers w:val="0"/>
                    <w:spacing w:before="100" w:beforeAutospacing="1" w:after="100" w:afterAutospacing="1"/>
                    <w:ind w:left="0" w:right="0"/>
                    <w:jc w:val="center"/>
                    <w:rPr>
                      <w:rFonts w:hAnsi="宋体"/>
                      <w:color w:val="auto"/>
                      <w:szCs w:val="21"/>
                      <w:highlight w:val="none"/>
                    </w:rPr>
                  </w:pPr>
                </w:p>
              </w:tc>
            </w:tr>
            <w:tr w14:paraId="09B5B718">
              <w:trPr>
                <w:trHeight w:val="397" w:hRule="atLeast"/>
                <w:jc w:val="center"/>
              </w:trPr>
              <w:tc>
                <w:tcPr>
                  <w:tcW w:w="335" w:type="pct"/>
                  <w:vMerge w:val="continue"/>
                  <w:tcMar>
                    <w:left w:w="28" w:type="dxa"/>
                    <w:right w:w="28" w:type="dxa"/>
                  </w:tcMar>
                  <w:vAlign w:val="center"/>
                </w:tcPr>
                <w:p w14:paraId="7801AE91">
                  <w:pPr>
                    <w:keepNext w:val="0"/>
                    <w:keepLines w:val="0"/>
                    <w:suppressLineNumbers w:val="0"/>
                    <w:spacing w:before="100" w:beforeAutospacing="1" w:after="100" w:afterAutospacing="1"/>
                    <w:ind w:left="0" w:right="0"/>
                    <w:jc w:val="center"/>
                    <w:rPr>
                      <w:rFonts w:hAnsi="宋体"/>
                      <w:color w:val="auto"/>
                      <w:szCs w:val="21"/>
                      <w:highlight w:val="none"/>
                    </w:rPr>
                  </w:pPr>
                </w:p>
              </w:tc>
              <w:tc>
                <w:tcPr>
                  <w:tcW w:w="394" w:type="pct"/>
                  <w:shd w:val="clear" w:color="auto" w:fill="auto"/>
                  <w:tcMar>
                    <w:left w:w="28" w:type="dxa"/>
                    <w:right w:w="28" w:type="dxa"/>
                  </w:tcMar>
                  <w:vAlign w:val="center"/>
                </w:tcPr>
                <w:p w14:paraId="30572BFA">
                  <w:pPr>
                    <w:keepNext w:val="0"/>
                    <w:keepLines w:val="0"/>
                    <w:suppressLineNumbers w:val="0"/>
                    <w:spacing w:before="100" w:beforeAutospacing="1" w:after="100" w:afterAutospacing="1"/>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W3</w:t>
                  </w:r>
                </w:p>
              </w:tc>
              <w:tc>
                <w:tcPr>
                  <w:tcW w:w="730" w:type="pct"/>
                  <w:shd w:val="clear" w:color="auto" w:fill="auto"/>
                  <w:vAlign w:val="center"/>
                </w:tcPr>
                <w:p w14:paraId="6DD46ACF">
                  <w:pPr>
                    <w:keepNext w:val="0"/>
                    <w:keepLines w:val="0"/>
                    <w:suppressLineNumbers w:val="0"/>
                    <w:spacing w:before="100" w:beforeAutospacing="1" w:after="100" w:afterAutospacing="1"/>
                    <w:ind w:left="0" w:right="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超声波清洗废水</w:t>
                  </w:r>
                </w:p>
              </w:tc>
              <w:tc>
                <w:tcPr>
                  <w:tcW w:w="690" w:type="pct"/>
                  <w:shd w:val="clear" w:color="auto" w:fill="auto"/>
                  <w:vAlign w:val="center"/>
                </w:tcPr>
                <w:p w14:paraId="1D1291B9">
                  <w:pPr>
                    <w:keepNext w:val="0"/>
                    <w:keepLines w:val="0"/>
                    <w:suppressLineNumbers w:val="0"/>
                    <w:spacing w:before="100" w:beforeAutospacing="1" w:after="100" w:afterAutospacing="1"/>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超声波清洗</w:t>
                  </w:r>
                </w:p>
              </w:tc>
              <w:tc>
                <w:tcPr>
                  <w:tcW w:w="760" w:type="pct"/>
                  <w:shd w:val="clear" w:color="auto" w:fill="auto"/>
                  <w:vAlign w:val="center"/>
                </w:tcPr>
                <w:p w14:paraId="703F0875">
                  <w:pPr>
                    <w:keepNext w:val="0"/>
                    <w:keepLines w:val="0"/>
                    <w:suppressLineNumbers w:val="0"/>
                    <w:spacing w:before="100" w:beforeAutospacing="1" w:after="100" w:afterAutospacing="1"/>
                    <w:ind w:left="0" w:right="0"/>
                    <w:jc w:val="center"/>
                    <w:rPr>
                      <w:rFonts w:hint="eastAsia" w:ascii="Times New Roman" w:hAnsi="Times New Roman" w:eastAsia="宋体" w:cs="Times New Roman"/>
                      <w:color w:val="auto"/>
                      <w:szCs w:val="21"/>
                      <w:lang w:val="en-US" w:eastAsia="zh-CN"/>
                    </w:rPr>
                  </w:pPr>
                  <w:r>
                    <w:rPr>
                      <w:rFonts w:hint="eastAsia" w:eastAsia="宋体" w:cs="Times New Roman"/>
                      <w:color w:val="auto"/>
                      <w:szCs w:val="21"/>
                      <w:lang w:val="en-US" w:eastAsia="zh-CN"/>
                    </w:rPr>
                    <w:t>间歇排放</w:t>
                  </w:r>
                </w:p>
              </w:tc>
              <w:tc>
                <w:tcPr>
                  <w:tcW w:w="824" w:type="pct"/>
                  <w:shd w:val="clear" w:color="auto" w:fill="auto"/>
                  <w:vAlign w:val="center"/>
                </w:tcPr>
                <w:p w14:paraId="46071F7C">
                  <w:pPr>
                    <w:keepNext w:val="0"/>
                    <w:keepLines w:val="0"/>
                    <w:suppressLineNumbers w:val="0"/>
                    <w:spacing w:before="100" w:beforeAutospacing="1" w:after="100" w:afterAutospacing="1"/>
                    <w:ind w:left="0" w:right="0"/>
                    <w:jc w:val="center"/>
                    <w:rPr>
                      <w:rFonts w:hint="eastAsia" w:eastAsiaTheme="minorEastAsia"/>
                      <w:color w:val="auto"/>
                      <w:szCs w:val="21"/>
                      <w:lang w:val="en-US" w:eastAsia="zh-CN"/>
                    </w:rPr>
                  </w:pPr>
                  <w:r>
                    <w:rPr>
                      <w:color w:val="auto"/>
                      <w:szCs w:val="21"/>
                    </w:rPr>
                    <w:t>COD</w:t>
                  </w:r>
                  <w:r>
                    <w:rPr>
                      <w:rFonts w:hAnsi="宋体"/>
                      <w:color w:val="auto"/>
                      <w:szCs w:val="21"/>
                    </w:rPr>
                    <w:t>、</w:t>
                  </w:r>
                  <w:r>
                    <w:rPr>
                      <w:color w:val="auto"/>
                      <w:szCs w:val="21"/>
                    </w:rPr>
                    <w:t>SS</w:t>
                  </w:r>
                  <w:r>
                    <w:rPr>
                      <w:rFonts w:hAnsi="宋体"/>
                      <w:color w:val="auto"/>
                      <w:szCs w:val="21"/>
                    </w:rPr>
                    <w:t>、</w:t>
                  </w:r>
                  <w:r>
                    <w:rPr>
                      <w:rFonts w:hint="eastAsia" w:hAnsi="宋体"/>
                      <w:color w:val="auto"/>
                      <w:szCs w:val="21"/>
                      <w:lang w:val="en-US" w:eastAsia="zh-CN"/>
                    </w:rPr>
                    <w:t>石油类</w:t>
                  </w:r>
                </w:p>
              </w:tc>
              <w:tc>
                <w:tcPr>
                  <w:tcW w:w="1266" w:type="pct"/>
                  <w:vAlign w:val="center"/>
                </w:tcPr>
                <w:p w14:paraId="0E3E80E7">
                  <w:pPr>
                    <w:keepNext w:val="0"/>
                    <w:keepLines w:val="0"/>
                    <w:suppressLineNumbers w:val="0"/>
                    <w:spacing w:before="100" w:beforeAutospacing="1" w:after="100" w:afterAutospacing="1"/>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经气浮+混凝沉淀池处理达到</w:t>
                  </w:r>
                  <w:r>
                    <w:rPr>
                      <w:rFonts w:ascii="Times New Roman" w:hAnsi="Times New Roman"/>
                      <w:color w:val="auto"/>
                      <w:highlight w:val="none"/>
                    </w:rPr>
                    <w:t>接管标准后接管至</w:t>
                  </w:r>
                  <w:r>
                    <w:rPr>
                      <w:rFonts w:hint="eastAsia" w:ascii="宋体" w:hAnsi="宋体"/>
                      <w:color w:val="auto"/>
                      <w:sz w:val="21"/>
                      <w:szCs w:val="21"/>
                      <w:highlight w:val="none"/>
                    </w:rPr>
                    <w:t>涟水经济开发区西区污水处理厂</w:t>
                  </w:r>
                </w:p>
              </w:tc>
            </w:tr>
            <w:tr w14:paraId="762718B4">
              <w:trPr>
                <w:trHeight w:val="397" w:hRule="atLeast"/>
                <w:jc w:val="center"/>
              </w:trPr>
              <w:tc>
                <w:tcPr>
                  <w:tcW w:w="335" w:type="pct"/>
                  <w:vMerge w:val="restart"/>
                  <w:tcMar>
                    <w:left w:w="28" w:type="dxa"/>
                    <w:right w:w="28" w:type="dxa"/>
                  </w:tcMar>
                  <w:vAlign w:val="center"/>
                </w:tcPr>
                <w:p w14:paraId="02CC3786">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固废</w:t>
                  </w:r>
                </w:p>
              </w:tc>
              <w:tc>
                <w:tcPr>
                  <w:tcW w:w="394" w:type="pct"/>
                  <w:tcMar>
                    <w:left w:w="28" w:type="dxa"/>
                    <w:right w:w="28" w:type="dxa"/>
                  </w:tcMar>
                  <w:vAlign w:val="center"/>
                </w:tcPr>
                <w:p w14:paraId="079D594E">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S1</w:t>
                  </w:r>
                </w:p>
              </w:tc>
              <w:tc>
                <w:tcPr>
                  <w:tcW w:w="730" w:type="pct"/>
                  <w:shd w:val="clear" w:color="auto" w:fill="auto"/>
                  <w:tcMar>
                    <w:left w:w="28" w:type="dxa"/>
                    <w:right w:w="28" w:type="dxa"/>
                  </w:tcMar>
                  <w:vAlign w:val="center"/>
                </w:tcPr>
                <w:p w14:paraId="7CB74C9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宋体" w:cs="Times New Roman" w:eastAsiaTheme="minorEastAsia"/>
                      <w:color w:val="auto"/>
                      <w:kern w:val="0"/>
                      <w:sz w:val="21"/>
                      <w:szCs w:val="21"/>
                      <w:highlight w:val="none"/>
                      <w:lang w:val="en-US" w:eastAsia="zh-CN" w:bidi="ar-SA"/>
                    </w:rPr>
                  </w:pPr>
                  <w:r>
                    <w:rPr>
                      <w:rFonts w:hint="eastAsia" w:hAnsi="宋体" w:cs="Times New Roman"/>
                      <w:color w:val="auto"/>
                      <w:kern w:val="0"/>
                      <w:sz w:val="21"/>
                      <w:szCs w:val="21"/>
                      <w:highlight w:val="none"/>
                      <w:lang w:val="en-US" w:eastAsia="zh-CN" w:bidi="ar-SA"/>
                    </w:rPr>
                    <w:t>边角料</w:t>
                  </w:r>
                </w:p>
              </w:tc>
              <w:tc>
                <w:tcPr>
                  <w:tcW w:w="690" w:type="pct"/>
                  <w:shd w:val="clear" w:color="auto" w:fill="auto"/>
                  <w:tcMar>
                    <w:left w:w="28" w:type="dxa"/>
                    <w:right w:w="28" w:type="dxa"/>
                  </w:tcMar>
                  <w:vAlign w:val="center"/>
                </w:tcPr>
                <w:p w14:paraId="3EA33504">
                  <w:pPr>
                    <w:keepNext w:val="0"/>
                    <w:keepLines w:val="0"/>
                    <w:suppressLineNumbers w:val="0"/>
                    <w:spacing w:before="100" w:beforeAutospacing="1" w:after="100" w:afterAutospacing="1"/>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生产过程</w:t>
                  </w:r>
                </w:p>
              </w:tc>
              <w:tc>
                <w:tcPr>
                  <w:tcW w:w="760" w:type="pct"/>
                  <w:shd w:val="clear" w:color="auto" w:fill="auto"/>
                  <w:tcMar>
                    <w:left w:w="28" w:type="dxa"/>
                    <w:right w:w="28" w:type="dxa"/>
                  </w:tcMar>
                  <w:vAlign w:val="center"/>
                </w:tcPr>
                <w:p w14:paraId="00126CBB">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一般固废</w:t>
                  </w:r>
                </w:p>
              </w:tc>
              <w:tc>
                <w:tcPr>
                  <w:tcW w:w="824" w:type="pct"/>
                  <w:shd w:val="clear" w:color="auto" w:fill="auto"/>
                  <w:tcMar>
                    <w:left w:w="28" w:type="dxa"/>
                    <w:right w:w="28" w:type="dxa"/>
                  </w:tcMar>
                  <w:vAlign w:val="center"/>
                </w:tcPr>
                <w:p w14:paraId="4B2060AF">
                  <w:pPr>
                    <w:keepNext w:val="0"/>
                    <w:keepLines w:val="0"/>
                    <w:suppressLineNumbers w:val="0"/>
                    <w:spacing w:before="100" w:beforeAutospacing="1" w:after="100" w:afterAutospacing="1"/>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金属</w:t>
                  </w:r>
                </w:p>
              </w:tc>
              <w:tc>
                <w:tcPr>
                  <w:tcW w:w="1266" w:type="pct"/>
                  <w:vMerge w:val="restart"/>
                  <w:shd w:val="clear" w:color="auto" w:fill="auto"/>
                  <w:vAlign w:val="center"/>
                </w:tcPr>
                <w:p w14:paraId="62B4FEC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外售综合利用</w:t>
                  </w:r>
                </w:p>
              </w:tc>
            </w:tr>
            <w:tr w14:paraId="472CFDDD">
              <w:trPr>
                <w:trHeight w:val="397" w:hRule="atLeast"/>
                <w:jc w:val="center"/>
              </w:trPr>
              <w:tc>
                <w:tcPr>
                  <w:tcW w:w="335" w:type="pct"/>
                  <w:vMerge w:val="continue"/>
                  <w:tcMar>
                    <w:left w:w="28" w:type="dxa"/>
                    <w:right w:w="28" w:type="dxa"/>
                  </w:tcMar>
                  <w:vAlign w:val="center"/>
                </w:tcPr>
                <w:p w14:paraId="2529C4A3">
                  <w:pPr>
                    <w:keepNext w:val="0"/>
                    <w:keepLines w:val="0"/>
                    <w:suppressLineNumbers w:val="0"/>
                    <w:spacing w:before="100" w:beforeAutospacing="1" w:after="100" w:afterAutospacing="1"/>
                    <w:ind w:left="0" w:right="0"/>
                    <w:jc w:val="center"/>
                    <w:rPr>
                      <w:color w:val="auto"/>
                      <w:szCs w:val="21"/>
                      <w:highlight w:val="none"/>
                    </w:rPr>
                  </w:pPr>
                </w:p>
              </w:tc>
              <w:tc>
                <w:tcPr>
                  <w:tcW w:w="394" w:type="pct"/>
                  <w:tcMar>
                    <w:left w:w="28" w:type="dxa"/>
                    <w:right w:w="28" w:type="dxa"/>
                  </w:tcMar>
                  <w:vAlign w:val="center"/>
                </w:tcPr>
                <w:p w14:paraId="40951F27">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S2</w:t>
                  </w:r>
                </w:p>
              </w:tc>
              <w:tc>
                <w:tcPr>
                  <w:tcW w:w="730" w:type="pct"/>
                  <w:shd w:val="clear" w:color="auto" w:fill="auto"/>
                  <w:tcMar>
                    <w:left w:w="28" w:type="dxa"/>
                    <w:right w:w="28" w:type="dxa"/>
                  </w:tcMar>
                  <w:vAlign w:val="center"/>
                </w:tcPr>
                <w:p w14:paraId="5E037393">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废焊料</w:t>
                  </w:r>
                </w:p>
              </w:tc>
              <w:tc>
                <w:tcPr>
                  <w:tcW w:w="690" w:type="pct"/>
                  <w:shd w:val="clear" w:color="auto" w:fill="auto"/>
                  <w:tcMar>
                    <w:left w:w="28" w:type="dxa"/>
                    <w:right w:w="28" w:type="dxa"/>
                  </w:tcMar>
                  <w:vAlign w:val="center"/>
                </w:tcPr>
                <w:p w14:paraId="09FCBB1F">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焊接</w:t>
                  </w:r>
                </w:p>
              </w:tc>
              <w:tc>
                <w:tcPr>
                  <w:tcW w:w="760" w:type="pct"/>
                  <w:shd w:val="clear" w:color="auto" w:fill="auto"/>
                  <w:tcMar>
                    <w:left w:w="28" w:type="dxa"/>
                    <w:right w:w="28" w:type="dxa"/>
                  </w:tcMar>
                  <w:vAlign w:val="center"/>
                </w:tcPr>
                <w:p w14:paraId="1263C955">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一般固废</w:t>
                  </w:r>
                </w:p>
              </w:tc>
              <w:tc>
                <w:tcPr>
                  <w:tcW w:w="824" w:type="pct"/>
                  <w:shd w:val="clear" w:color="auto" w:fill="auto"/>
                  <w:tcMar>
                    <w:left w:w="28" w:type="dxa"/>
                    <w:right w:w="28" w:type="dxa"/>
                  </w:tcMar>
                  <w:vAlign w:val="center"/>
                </w:tcPr>
                <w:p w14:paraId="6272B779">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焊料</w:t>
                  </w:r>
                </w:p>
              </w:tc>
              <w:tc>
                <w:tcPr>
                  <w:tcW w:w="1266" w:type="pct"/>
                  <w:vMerge w:val="continue"/>
                  <w:shd w:val="clear" w:color="auto" w:fill="auto"/>
                  <w:vAlign w:val="center"/>
                </w:tcPr>
                <w:p w14:paraId="2C84FF20">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6CFD8AB1">
              <w:trPr>
                <w:trHeight w:val="397" w:hRule="atLeast"/>
                <w:jc w:val="center"/>
              </w:trPr>
              <w:tc>
                <w:tcPr>
                  <w:tcW w:w="335" w:type="pct"/>
                  <w:vMerge w:val="continue"/>
                  <w:tcMar>
                    <w:left w:w="28" w:type="dxa"/>
                    <w:right w:w="28" w:type="dxa"/>
                  </w:tcMar>
                  <w:vAlign w:val="center"/>
                </w:tcPr>
                <w:p w14:paraId="40800756">
                  <w:pPr>
                    <w:keepNext w:val="0"/>
                    <w:keepLines w:val="0"/>
                    <w:suppressLineNumbers w:val="0"/>
                    <w:spacing w:before="100" w:beforeAutospacing="1" w:after="100" w:afterAutospacing="1"/>
                    <w:ind w:left="0" w:right="0"/>
                    <w:jc w:val="center"/>
                    <w:rPr>
                      <w:color w:val="auto"/>
                      <w:szCs w:val="21"/>
                      <w:highlight w:val="none"/>
                    </w:rPr>
                  </w:pPr>
                </w:p>
              </w:tc>
              <w:tc>
                <w:tcPr>
                  <w:tcW w:w="394" w:type="pct"/>
                  <w:tcMar>
                    <w:left w:w="28" w:type="dxa"/>
                    <w:right w:w="28" w:type="dxa"/>
                  </w:tcMar>
                  <w:vAlign w:val="center"/>
                </w:tcPr>
                <w:p w14:paraId="57B35EC5">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S3</w:t>
                  </w:r>
                </w:p>
              </w:tc>
              <w:tc>
                <w:tcPr>
                  <w:tcW w:w="730" w:type="pct"/>
                  <w:shd w:val="clear" w:color="auto" w:fill="auto"/>
                  <w:tcMar>
                    <w:left w:w="28" w:type="dxa"/>
                    <w:right w:w="28" w:type="dxa"/>
                  </w:tcMar>
                  <w:vAlign w:val="center"/>
                </w:tcPr>
                <w:p w14:paraId="1BEF0894">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废切削液</w:t>
                  </w:r>
                </w:p>
              </w:tc>
              <w:tc>
                <w:tcPr>
                  <w:tcW w:w="690" w:type="pct"/>
                  <w:shd w:val="clear" w:color="auto" w:fill="auto"/>
                  <w:tcMar>
                    <w:left w:w="28" w:type="dxa"/>
                    <w:right w:w="28" w:type="dxa"/>
                  </w:tcMar>
                  <w:vAlign w:val="center"/>
                </w:tcPr>
                <w:p w14:paraId="09FB0C2A">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c>
                <w:tcPr>
                  <w:tcW w:w="760" w:type="pct"/>
                  <w:shd w:val="clear" w:color="auto" w:fill="auto"/>
                  <w:tcMar>
                    <w:left w:w="28" w:type="dxa"/>
                    <w:right w:w="28" w:type="dxa"/>
                  </w:tcMar>
                  <w:vAlign w:val="center"/>
                </w:tcPr>
                <w:p w14:paraId="0F0E2282">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24" w:type="pct"/>
                  <w:shd w:val="clear" w:color="auto" w:fill="auto"/>
                  <w:tcMar>
                    <w:left w:w="28" w:type="dxa"/>
                    <w:right w:w="28" w:type="dxa"/>
                  </w:tcMar>
                  <w:vAlign w:val="center"/>
                </w:tcPr>
                <w:p w14:paraId="6FB1E935">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切削液</w:t>
                  </w:r>
                </w:p>
              </w:tc>
              <w:tc>
                <w:tcPr>
                  <w:tcW w:w="1266" w:type="pct"/>
                  <w:vMerge w:val="restart"/>
                  <w:shd w:val="clear" w:color="auto" w:fill="auto"/>
                  <w:vAlign w:val="center"/>
                </w:tcPr>
                <w:p w14:paraId="25D58D1D">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委托有资质单位安全处置</w:t>
                  </w:r>
                </w:p>
              </w:tc>
            </w:tr>
            <w:tr w14:paraId="42AE73D0">
              <w:trPr>
                <w:trHeight w:val="397" w:hRule="atLeast"/>
                <w:jc w:val="center"/>
              </w:trPr>
              <w:tc>
                <w:tcPr>
                  <w:tcW w:w="335" w:type="pct"/>
                  <w:vMerge w:val="continue"/>
                  <w:tcMar>
                    <w:left w:w="28" w:type="dxa"/>
                    <w:right w:w="28" w:type="dxa"/>
                  </w:tcMar>
                  <w:vAlign w:val="center"/>
                </w:tcPr>
                <w:p w14:paraId="0802768D">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41221895">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S</w:t>
                  </w:r>
                  <w:r>
                    <w:rPr>
                      <w:rFonts w:hint="eastAsia"/>
                      <w:color w:val="auto"/>
                      <w:szCs w:val="21"/>
                      <w:highlight w:val="none"/>
                      <w:lang w:val="en-US" w:eastAsia="zh-CN"/>
                    </w:rPr>
                    <w:t>4</w:t>
                  </w:r>
                </w:p>
              </w:tc>
              <w:tc>
                <w:tcPr>
                  <w:tcW w:w="730" w:type="pct"/>
                  <w:shd w:val="clear" w:color="auto" w:fill="auto"/>
                  <w:tcMar>
                    <w:left w:w="28" w:type="dxa"/>
                    <w:right w:w="28" w:type="dxa"/>
                  </w:tcMar>
                  <w:vAlign w:val="center"/>
                </w:tcPr>
                <w:p w14:paraId="2E4B4918">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漆渣</w:t>
                  </w:r>
                </w:p>
              </w:tc>
              <w:tc>
                <w:tcPr>
                  <w:tcW w:w="690" w:type="pct"/>
                  <w:shd w:val="clear" w:color="auto" w:fill="auto"/>
                  <w:tcMar>
                    <w:left w:w="28" w:type="dxa"/>
                    <w:right w:w="28" w:type="dxa"/>
                  </w:tcMar>
                  <w:vAlign w:val="center"/>
                </w:tcPr>
                <w:p w14:paraId="24D6279A">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喷漆</w:t>
                  </w:r>
                </w:p>
              </w:tc>
              <w:tc>
                <w:tcPr>
                  <w:tcW w:w="760" w:type="pct"/>
                  <w:shd w:val="clear" w:color="auto" w:fill="auto"/>
                  <w:tcMar>
                    <w:left w:w="28" w:type="dxa"/>
                    <w:right w:w="28" w:type="dxa"/>
                  </w:tcMar>
                  <w:vAlign w:val="center"/>
                </w:tcPr>
                <w:p w14:paraId="12E81078">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24" w:type="pct"/>
                  <w:shd w:val="clear" w:color="auto" w:fill="auto"/>
                  <w:tcMar>
                    <w:left w:w="28" w:type="dxa"/>
                    <w:right w:w="28" w:type="dxa"/>
                  </w:tcMar>
                  <w:vAlign w:val="center"/>
                </w:tcPr>
                <w:p w14:paraId="5A9C9C97">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漆渣</w:t>
                  </w:r>
                </w:p>
              </w:tc>
              <w:tc>
                <w:tcPr>
                  <w:tcW w:w="1266" w:type="pct"/>
                  <w:vMerge w:val="continue"/>
                  <w:shd w:val="clear" w:color="auto" w:fill="auto"/>
                  <w:vAlign w:val="center"/>
                </w:tcPr>
                <w:p w14:paraId="781CC6E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08F28002">
              <w:trPr>
                <w:trHeight w:val="397" w:hRule="atLeast"/>
                <w:jc w:val="center"/>
              </w:trPr>
              <w:tc>
                <w:tcPr>
                  <w:tcW w:w="335" w:type="pct"/>
                  <w:vMerge w:val="continue"/>
                  <w:tcMar>
                    <w:left w:w="28" w:type="dxa"/>
                    <w:right w:w="28" w:type="dxa"/>
                  </w:tcMar>
                  <w:vAlign w:val="center"/>
                </w:tcPr>
                <w:p w14:paraId="1214FB6D">
                  <w:pPr>
                    <w:keepNext w:val="0"/>
                    <w:keepLines w:val="0"/>
                    <w:suppressLineNumbers w:val="0"/>
                    <w:spacing w:before="100" w:beforeAutospacing="1" w:after="100" w:afterAutospacing="1"/>
                    <w:ind w:left="0" w:right="0"/>
                    <w:jc w:val="center"/>
                    <w:rPr>
                      <w:color w:val="auto"/>
                      <w:szCs w:val="21"/>
                      <w:highlight w:val="none"/>
                    </w:rPr>
                  </w:pPr>
                </w:p>
              </w:tc>
              <w:tc>
                <w:tcPr>
                  <w:tcW w:w="394" w:type="pct"/>
                  <w:tcMar>
                    <w:left w:w="28" w:type="dxa"/>
                    <w:right w:w="28" w:type="dxa"/>
                  </w:tcMar>
                  <w:vAlign w:val="center"/>
                </w:tcPr>
                <w:p w14:paraId="766DF6FA">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eastAsia="zh-CN"/>
                    </w:rPr>
                  </w:pPr>
                  <w:r>
                    <w:rPr>
                      <w:color w:val="auto"/>
                      <w:szCs w:val="21"/>
                      <w:highlight w:val="none"/>
                    </w:rPr>
                    <w:t>S</w:t>
                  </w:r>
                  <w:r>
                    <w:rPr>
                      <w:rFonts w:hint="eastAsia"/>
                      <w:color w:val="auto"/>
                      <w:szCs w:val="21"/>
                      <w:highlight w:val="none"/>
                      <w:lang w:val="en-US" w:eastAsia="zh-CN"/>
                    </w:rPr>
                    <w:t>5</w:t>
                  </w:r>
                </w:p>
              </w:tc>
              <w:tc>
                <w:tcPr>
                  <w:tcW w:w="730" w:type="pct"/>
                  <w:shd w:val="clear" w:color="auto" w:fill="auto"/>
                  <w:tcMar>
                    <w:left w:w="28" w:type="dxa"/>
                    <w:right w:w="28" w:type="dxa"/>
                  </w:tcMar>
                  <w:vAlign w:val="center"/>
                </w:tcPr>
                <w:p w14:paraId="4C0103B1">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盐雾</w:t>
                  </w:r>
                  <w:r>
                    <w:rPr>
                      <w:rFonts w:hint="eastAsia"/>
                      <w:color w:val="auto"/>
                      <w:sz w:val="21"/>
                      <w:szCs w:val="21"/>
                      <w:lang w:val="en-US" w:eastAsia="zh-CN"/>
                    </w:rPr>
                    <w:t>试验</w:t>
                  </w:r>
                  <w:r>
                    <w:rPr>
                      <w:rFonts w:hint="eastAsia" w:cs="Times New Roman"/>
                      <w:color w:val="auto"/>
                      <w:kern w:val="0"/>
                      <w:sz w:val="21"/>
                      <w:szCs w:val="21"/>
                      <w:highlight w:val="none"/>
                      <w:lang w:val="en-US" w:eastAsia="zh-CN" w:bidi="ar-SA"/>
                    </w:rPr>
                    <w:t>废液</w:t>
                  </w:r>
                </w:p>
              </w:tc>
              <w:tc>
                <w:tcPr>
                  <w:tcW w:w="690" w:type="pct"/>
                  <w:shd w:val="clear" w:color="auto" w:fill="auto"/>
                  <w:tcMar>
                    <w:left w:w="28" w:type="dxa"/>
                    <w:right w:w="28" w:type="dxa"/>
                  </w:tcMar>
                  <w:vAlign w:val="center"/>
                </w:tcPr>
                <w:p w14:paraId="6C7B7C57">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检验</w:t>
                  </w:r>
                </w:p>
              </w:tc>
              <w:tc>
                <w:tcPr>
                  <w:tcW w:w="760" w:type="pct"/>
                  <w:shd w:val="clear" w:color="auto" w:fill="auto"/>
                  <w:tcMar>
                    <w:left w:w="28" w:type="dxa"/>
                    <w:right w:w="28" w:type="dxa"/>
                  </w:tcMar>
                  <w:vAlign w:val="center"/>
                </w:tcPr>
                <w:p w14:paraId="66292A7F">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 w:val="21"/>
                      <w:szCs w:val="21"/>
                      <w:highlight w:val="none"/>
                    </w:rPr>
                    <w:t>危险废物</w:t>
                  </w:r>
                </w:p>
              </w:tc>
              <w:tc>
                <w:tcPr>
                  <w:tcW w:w="824" w:type="pct"/>
                  <w:shd w:val="clear" w:color="auto" w:fill="auto"/>
                  <w:tcMar>
                    <w:left w:w="28" w:type="dxa"/>
                    <w:right w:w="28" w:type="dxa"/>
                  </w:tcMar>
                  <w:vAlign w:val="center"/>
                </w:tcPr>
                <w:p w14:paraId="7651E9F4">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sz w:val="21"/>
                      <w:szCs w:val="21"/>
                      <w:lang w:val="en-US" w:eastAsia="zh-CN"/>
                    </w:rPr>
                    <w:t>试验</w:t>
                  </w:r>
                  <w:r>
                    <w:rPr>
                      <w:rFonts w:hint="eastAsia" w:cs="Times New Roman"/>
                      <w:color w:val="auto"/>
                      <w:kern w:val="0"/>
                      <w:sz w:val="21"/>
                      <w:szCs w:val="21"/>
                      <w:highlight w:val="none"/>
                      <w:lang w:val="en-US" w:eastAsia="zh-CN" w:bidi="ar-SA"/>
                    </w:rPr>
                    <w:t>废液</w:t>
                  </w:r>
                </w:p>
              </w:tc>
              <w:tc>
                <w:tcPr>
                  <w:tcW w:w="1266" w:type="pct"/>
                  <w:vMerge w:val="continue"/>
                  <w:shd w:val="clear" w:color="auto" w:fill="auto"/>
                  <w:vAlign w:val="center"/>
                </w:tcPr>
                <w:p w14:paraId="2A21C172">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宋体" w:cs="Times New Roman" w:eastAsiaTheme="minorEastAsia"/>
                      <w:color w:val="auto"/>
                      <w:kern w:val="0"/>
                      <w:sz w:val="21"/>
                      <w:szCs w:val="21"/>
                      <w:highlight w:val="none"/>
                      <w:lang w:val="en-US" w:eastAsia="zh-CN" w:bidi="ar-SA"/>
                    </w:rPr>
                  </w:pPr>
                </w:p>
              </w:tc>
            </w:tr>
            <w:tr w14:paraId="4FB802ED">
              <w:trPr>
                <w:trHeight w:val="397" w:hRule="atLeast"/>
                <w:jc w:val="center"/>
              </w:trPr>
              <w:tc>
                <w:tcPr>
                  <w:tcW w:w="335" w:type="pct"/>
                  <w:vMerge w:val="continue"/>
                  <w:tcMar>
                    <w:left w:w="28" w:type="dxa"/>
                    <w:right w:w="28" w:type="dxa"/>
                  </w:tcMar>
                  <w:vAlign w:val="center"/>
                </w:tcPr>
                <w:p w14:paraId="540FCB14">
                  <w:pPr>
                    <w:keepNext w:val="0"/>
                    <w:keepLines w:val="0"/>
                    <w:suppressLineNumbers w:val="0"/>
                    <w:spacing w:before="100" w:beforeAutospacing="1" w:after="100" w:afterAutospacing="1"/>
                    <w:ind w:left="0" w:right="0"/>
                    <w:jc w:val="center"/>
                    <w:rPr>
                      <w:color w:val="auto"/>
                      <w:szCs w:val="21"/>
                      <w:highlight w:val="none"/>
                    </w:rPr>
                  </w:pPr>
                </w:p>
              </w:tc>
              <w:tc>
                <w:tcPr>
                  <w:tcW w:w="394" w:type="pct"/>
                  <w:tcMar>
                    <w:left w:w="28" w:type="dxa"/>
                    <w:right w:w="28" w:type="dxa"/>
                  </w:tcMar>
                  <w:vAlign w:val="center"/>
                </w:tcPr>
                <w:p w14:paraId="11289888">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S6</w:t>
                  </w:r>
                </w:p>
              </w:tc>
              <w:tc>
                <w:tcPr>
                  <w:tcW w:w="730" w:type="pct"/>
                  <w:shd w:val="clear" w:color="auto" w:fill="auto"/>
                  <w:tcMar>
                    <w:left w:w="28" w:type="dxa"/>
                    <w:right w:w="28" w:type="dxa"/>
                  </w:tcMar>
                  <w:vAlign w:val="center"/>
                </w:tcPr>
                <w:p w14:paraId="2F335E02">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废润滑油</w:t>
                  </w:r>
                </w:p>
              </w:tc>
              <w:tc>
                <w:tcPr>
                  <w:tcW w:w="690" w:type="pct"/>
                  <w:shd w:val="clear" w:color="auto" w:fill="auto"/>
                  <w:tcMar>
                    <w:left w:w="28" w:type="dxa"/>
                    <w:right w:w="28" w:type="dxa"/>
                  </w:tcMar>
                  <w:vAlign w:val="center"/>
                </w:tcPr>
                <w:p w14:paraId="47C61CAA">
                  <w:pPr>
                    <w:keepNext w:val="0"/>
                    <w:keepLines w:val="0"/>
                    <w:suppressLineNumbers w:val="0"/>
                    <w:spacing w:before="100" w:beforeAutospacing="1" w:after="100" w:afterAutospacing="1"/>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olor w:val="auto"/>
                      <w:lang w:eastAsia="zh-CN"/>
                    </w:rPr>
                    <w:t>设备维护保养</w:t>
                  </w:r>
                </w:p>
              </w:tc>
              <w:tc>
                <w:tcPr>
                  <w:tcW w:w="760" w:type="pct"/>
                  <w:shd w:val="clear" w:color="auto" w:fill="auto"/>
                  <w:tcMar>
                    <w:left w:w="28" w:type="dxa"/>
                    <w:right w:w="28" w:type="dxa"/>
                  </w:tcMar>
                  <w:vAlign w:val="center"/>
                </w:tcPr>
                <w:p w14:paraId="2BC34307">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24" w:type="pct"/>
                  <w:shd w:val="clear" w:color="auto" w:fill="auto"/>
                  <w:tcMar>
                    <w:left w:w="28" w:type="dxa"/>
                    <w:right w:w="28" w:type="dxa"/>
                  </w:tcMar>
                  <w:vAlign w:val="center"/>
                </w:tcPr>
                <w:p w14:paraId="11DEE5A9">
                  <w:pPr>
                    <w:keepNext w:val="0"/>
                    <w:keepLines w:val="0"/>
                    <w:suppressLineNumbers w:val="0"/>
                    <w:spacing w:before="100" w:beforeAutospacing="1" w:after="100" w:afterAutospacing="1"/>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矿物油</w:t>
                  </w:r>
                </w:p>
              </w:tc>
              <w:tc>
                <w:tcPr>
                  <w:tcW w:w="1266" w:type="pct"/>
                  <w:vMerge w:val="continue"/>
                  <w:shd w:val="clear" w:color="auto" w:fill="auto"/>
                  <w:vAlign w:val="center"/>
                </w:tcPr>
                <w:p w14:paraId="5D0CE718">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4D2EEEDE">
              <w:trPr>
                <w:trHeight w:val="397" w:hRule="atLeast"/>
                <w:jc w:val="center"/>
              </w:trPr>
              <w:tc>
                <w:tcPr>
                  <w:tcW w:w="335" w:type="pct"/>
                  <w:vMerge w:val="continue"/>
                  <w:tcMar>
                    <w:left w:w="28" w:type="dxa"/>
                    <w:right w:w="28" w:type="dxa"/>
                  </w:tcMar>
                  <w:vAlign w:val="center"/>
                </w:tcPr>
                <w:p w14:paraId="7D46845E">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04F84B0D">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S7</w:t>
                  </w:r>
                </w:p>
              </w:tc>
              <w:tc>
                <w:tcPr>
                  <w:tcW w:w="730" w:type="pct"/>
                  <w:shd w:val="clear" w:color="auto" w:fill="auto"/>
                  <w:tcMar>
                    <w:left w:w="28" w:type="dxa"/>
                    <w:right w:w="28" w:type="dxa"/>
                  </w:tcMar>
                  <w:vAlign w:val="center"/>
                </w:tcPr>
                <w:p w14:paraId="609DAA0D">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废包装</w:t>
                  </w:r>
                  <w:r>
                    <w:rPr>
                      <w:rFonts w:hint="eastAsia"/>
                      <w:color w:val="auto"/>
                      <w:kern w:val="0"/>
                      <w:szCs w:val="21"/>
                      <w:highlight w:val="none"/>
                      <w:lang w:val="en-US" w:eastAsia="zh-CN"/>
                    </w:rPr>
                    <w:t>材料</w:t>
                  </w:r>
                </w:p>
              </w:tc>
              <w:tc>
                <w:tcPr>
                  <w:tcW w:w="690" w:type="pct"/>
                  <w:shd w:val="clear" w:color="auto" w:fill="auto"/>
                  <w:tcMar>
                    <w:left w:w="28" w:type="dxa"/>
                    <w:right w:w="28" w:type="dxa"/>
                  </w:tcMar>
                  <w:vAlign w:val="center"/>
                </w:tcPr>
                <w:p w14:paraId="6D1E202D">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原料使用</w:t>
                  </w:r>
                </w:p>
              </w:tc>
              <w:tc>
                <w:tcPr>
                  <w:tcW w:w="760" w:type="pct"/>
                  <w:shd w:val="clear" w:color="auto" w:fill="auto"/>
                  <w:tcMar>
                    <w:left w:w="28" w:type="dxa"/>
                    <w:right w:w="28" w:type="dxa"/>
                  </w:tcMar>
                  <w:vAlign w:val="center"/>
                </w:tcPr>
                <w:p w14:paraId="7833D75E">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一般固废</w:t>
                  </w:r>
                </w:p>
              </w:tc>
              <w:tc>
                <w:tcPr>
                  <w:tcW w:w="824" w:type="pct"/>
                  <w:shd w:val="clear" w:color="auto" w:fill="auto"/>
                  <w:tcMar>
                    <w:left w:w="28" w:type="dxa"/>
                    <w:right w:w="28" w:type="dxa"/>
                  </w:tcMar>
                  <w:vAlign w:val="center"/>
                </w:tcPr>
                <w:p w14:paraId="22D88A9A">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塑料</w:t>
                  </w:r>
                  <w:r>
                    <w:rPr>
                      <w:rFonts w:hint="eastAsia"/>
                      <w:color w:val="auto"/>
                      <w:kern w:val="0"/>
                      <w:szCs w:val="21"/>
                      <w:highlight w:val="none"/>
                      <w:lang w:eastAsia="zh-CN"/>
                    </w:rPr>
                    <w:t>、</w:t>
                  </w:r>
                  <w:r>
                    <w:rPr>
                      <w:rFonts w:hint="eastAsia"/>
                      <w:color w:val="auto"/>
                      <w:kern w:val="0"/>
                      <w:szCs w:val="21"/>
                      <w:highlight w:val="none"/>
                      <w:lang w:val="en-US" w:eastAsia="zh-CN"/>
                    </w:rPr>
                    <w:t>编织袋</w:t>
                  </w:r>
                </w:p>
              </w:tc>
              <w:tc>
                <w:tcPr>
                  <w:tcW w:w="1266" w:type="pct"/>
                  <w:vMerge w:val="restart"/>
                  <w:shd w:val="clear" w:color="auto" w:fill="auto"/>
                  <w:vAlign w:val="center"/>
                </w:tcPr>
                <w:p w14:paraId="4F69D99E">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宋体" w:cs="Times New Roman" w:eastAsiaTheme="minorEastAsia"/>
                      <w:color w:val="auto"/>
                      <w:kern w:val="0"/>
                      <w:sz w:val="21"/>
                      <w:szCs w:val="21"/>
                      <w:highlight w:val="none"/>
                      <w:lang w:val="en-US" w:eastAsia="zh-CN" w:bidi="ar-SA"/>
                    </w:rPr>
                  </w:pPr>
                  <w:r>
                    <w:rPr>
                      <w:rFonts w:hAnsi="宋体"/>
                      <w:color w:val="auto"/>
                      <w:kern w:val="0"/>
                      <w:szCs w:val="21"/>
                      <w:highlight w:val="none"/>
                    </w:rPr>
                    <w:t>外售综合利用</w:t>
                  </w:r>
                </w:p>
              </w:tc>
            </w:tr>
            <w:tr w14:paraId="065507FD">
              <w:trPr>
                <w:trHeight w:val="397" w:hRule="atLeast"/>
                <w:jc w:val="center"/>
              </w:trPr>
              <w:tc>
                <w:tcPr>
                  <w:tcW w:w="335" w:type="pct"/>
                  <w:vMerge w:val="continue"/>
                  <w:tcMar>
                    <w:left w:w="28" w:type="dxa"/>
                    <w:right w:w="28" w:type="dxa"/>
                  </w:tcMar>
                  <w:vAlign w:val="center"/>
                </w:tcPr>
                <w:p w14:paraId="0D684567">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6DD7E2E3">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S8</w:t>
                  </w:r>
                </w:p>
              </w:tc>
              <w:tc>
                <w:tcPr>
                  <w:tcW w:w="730" w:type="pct"/>
                  <w:shd w:val="clear" w:color="auto" w:fill="auto"/>
                  <w:tcMar>
                    <w:left w:w="28" w:type="dxa"/>
                    <w:right w:w="28" w:type="dxa"/>
                  </w:tcMar>
                  <w:vAlign w:val="center"/>
                </w:tcPr>
                <w:p w14:paraId="6BF0945D">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eastAsiaTheme="minorEastAsia"/>
                      <w:bCs/>
                      <w:color w:val="auto"/>
                      <w:szCs w:val="21"/>
                      <w:highlight w:val="none"/>
                    </w:rPr>
                    <w:t>废布袋</w:t>
                  </w:r>
                </w:p>
              </w:tc>
              <w:tc>
                <w:tcPr>
                  <w:tcW w:w="690" w:type="pct"/>
                  <w:shd w:val="clear" w:color="auto" w:fill="auto"/>
                  <w:tcMar>
                    <w:left w:w="28" w:type="dxa"/>
                    <w:right w:w="28" w:type="dxa"/>
                  </w:tcMar>
                  <w:vAlign w:val="center"/>
                </w:tcPr>
                <w:p w14:paraId="4208EB0C">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废气处理</w:t>
                  </w:r>
                </w:p>
              </w:tc>
              <w:tc>
                <w:tcPr>
                  <w:tcW w:w="760" w:type="pct"/>
                  <w:shd w:val="clear" w:color="auto" w:fill="auto"/>
                  <w:tcMar>
                    <w:left w:w="28" w:type="dxa"/>
                    <w:right w:w="28" w:type="dxa"/>
                  </w:tcMar>
                  <w:vAlign w:val="center"/>
                </w:tcPr>
                <w:p w14:paraId="19E72722">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一般固废</w:t>
                  </w:r>
                </w:p>
              </w:tc>
              <w:tc>
                <w:tcPr>
                  <w:tcW w:w="824" w:type="pct"/>
                  <w:shd w:val="clear" w:color="auto" w:fill="auto"/>
                  <w:tcMar>
                    <w:left w:w="28" w:type="dxa"/>
                    <w:right w:w="28" w:type="dxa"/>
                  </w:tcMar>
                  <w:vAlign w:val="center"/>
                </w:tcPr>
                <w:p w14:paraId="5D313A51">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布袋</w:t>
                  </w:r>
                </w:p>
              </w:tc>
              <w:tc>
                <w:tcPr>
                  <w:tcW w:w="1266" w:type="pct"/>
                  <w:vMerge w:val="continue"/>
                  <w:shd w:val="clear" w:color="auto" w:fill="auto"/>
                  <w:vAlign w:val="center"/>
                </w:tcPr>
                <w:p w14:paraId="5FC23EEC">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宋体" w:cs="Times New Roman" w:eastAsiaTheme="minorEastAsia"/>
                      <w:color w:val="auto"/>
                      <w:kern w:val="0"/>
                      <w:sz w:val="21"/>
                      <w:szCs w:val="21"/>
                      <w:highlight w:val="none"/>
                      <w:lang w:val="en-US" w:eastAsia="zh-CN" w:bidi="ar-SA"/>
                    </w:rPr>
                  </w:pPr>
                </w:p>
              </w:tc>
            </w:tr>
            <w:tr w14:paraId="6533184B">
              <w:trPr>
                <w:trHeight w:val="397" w:hRule="atLeast"/>
                <w:jc w:val="center"/>
              </w:trPr>
              <w:tc>
                <w:tcPr>
                  <w:tcW w:w="335" w:type="pct"/>
                  <w:vMerge w:val="continue"/>
                  <w:tcMar>
                    <w:left w:w="28" w:type="dxa"/>
                    <w:right w:w="28" w:type="dxa"/>
                  </w:tcMar>
                  <w:vAlign w:val="center"/>
                </w:tcPr>
                <w:p w14:paraId="386BF465">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71E03756">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S9</w:t>
                  </w:r>
                </w:p>
              </w:tc>
              <w:tc>
                <w:tcPr>
                  <w:tcW w:w="730" w:type="pct"/>
                  <w:shd w:val="clear" w:color="auto" w:fill="auto"/>
                  <w:tcMar>
                    <w:left w:w="28" w:type="dxa"/>
                    <w:right w:w="28" w:type="dxa"/>
                  </w:tcMar>
                  <w:vAlign w:val="center"/>
                </w:tcPr>
                <w:p w14:paraId="7567A5A0">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ascii="Times New Roman" w:hAnsi="Times New Roman" w:cs="Times New Roman" w:eastAsiaTheme="minorEastAsia"/>
                      <w:bCs/>
                      <w:color w:val="auto"/>
                      <w:kern w:val="2"/>
                      <w:sz w:val="21"/>
                      <w:szCs w:val="21"/>
                      <w:highlight w:val="none"/>
                      <w:lang w:val="en-US" w:eastAsia="zh-CN" w:bidi="ar-SA"/>
                    </w:rPr>
                  </w:pPr>
                  <w:r>
                    <w:rPr>
                      <w:rFonts w:hint="eastAsia" w:eastAsiaTheme="minorEastAsia"/>
                      <w:bCs/>
                      <w:color w:val="auto"/>
                      <w:szCs w:val="21"/>
                      <w:highlight w:val="none"/>
                    </w:rPr>
                    <w:t>除尘器收集尘</w:t>
                  </w:r>
                </w:p>
              </w:tc>
              <w:tc>
                <w:tcPr>
                  <w:tcW w:w="690" w:type="pct"/>
                  <w:shd w:val="clear" w:color="auto" w:fill="auto"/>
                  <w:tcMar>
                    <w:left w:w="28" w:type="dxa"/>
                    <w:right w:w="28" w:type="dxa"/>
                  </w:tcMar>
                  <w:vAlign w:val="center"/>
                </w:tcPr>
                <w:p w14:paraId="0E2F9C58">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废气处理</w:t>
                  </w:r>
                </w:p>
              </w:tc>
              <w:tc>
                <w:tcPr>
                  <w:tcW w:w="760" w:type="pct"/>
                  <w:shd w:val="clear" w:color="auto" w:fill="auto"/>
                  <w:tcMar>
                    <w:left w:w="28" w:type="dxa"/>
                    <w:right w:w="28" w:type="dxa"/>
                  </w:tcMar>
                  <w:vAlign w:val="center"/>
                </w:tcPr>
                <w:p w14:paraId="35AF257D">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一般固废</w:t>
                  </w:r>
                </w:p>
              </w:tc>
              <w:tc>
                <w:tcPr>
                  <w:tcW w:w="824" w:type="pct"/>
                  <w:shd w:val="clear" w:color="auto" w:fill="auto"/>
                  <w:tcMar>
                    <w:left w:w="28" w:type="dxa"/>
                    <w:right w:w="28" w:type="dxa"/>
                  </w:tcMar>
                  <w:vAlign w:val="center"/>
                </w:tcPr>
                <w:p w14:paraId="01FB2476">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粉尘</w:t>
                  </w:r>
                </w:p>
              </w:tc>
              <w:tc>
                <w:tcPr>
                  <w:tcW w:w="1266" w:type="pct"/>
                  <w:vMerge w:val="continue"/>
                  <w:shd w:val="clear" w:color="auto" w:fill="auto"/>
                  <w:vAlign w:val="center"/>
                </w:tcPr>
                <w:p w14:paraId="30A56420">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宋体" w:cs="Times New Roman" w:eastAsiaTheme="minorEastAsia"/>
                      <w:color w:val="auto"/>
                      <w:kern w:val="0"/>
                      <w:sz w:val="21"/>
                      <w:szCs w:val="21"/>
                      <w:highlight w:val="none"/>
                      <w:lang w:val="en-US" w:eastAsia="zh-CN" w:bidi="ar-SA"/>
                    </w:rPr>
                  </w:pPr>
                </w:p>
              </w:tc>
            </w:tr>
            <w:tr w14:paraId="0A9BC26E">
              <w:trPr>
                <w:trHeight w:val="397" w:hRule="atLeast"/>
                <w:jc w:val="center"/>
              </w:trPr>
              <w:tc>
                <w:tcPr>
                  <w:tcW w:w="335" w:type="pct"/>
                  <w:vMerge w:val="continue"/>
                  <w:tcMar>
                    <w:left w:w="28" w:type="dxa"/>
                    <w:right w:w="28" w:type="dxa"/>
                  </w:tcMar>
                  <w:vAlign w:val="center"/>
                </w:tcPr>
                <w:p w14:paraId="35A09B39">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5F506D88">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S10</w:t>
                  </w:r>
                </w:p>
              </w:tc>
              <w:tc>
                <w:tcPr>
                  <w:tcW w:w="730" w:type="pct"/>
                  <w:shd w:val="clear" w:color="auto" w:fill="auto"/>
                  <w:tcMar>
                    <w:left w:w="28" w:type="dxa"/>
                    <w:right w:w="28" w:type="dxa"/>
                  </w:tcMar>
                  <w:vAlign w:val="center"/>
                </w:tcPr>
                <w:p w14:paraId="0E62102C">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废活性炭</w:t>
                  </w:r>
                </w:p>
              </w:tc>
              <w:tc>
                <w:tcPr>
                  <w:tcW w:w="690" w:type="pct"/>
                  <w:shd w:val="clear" w:color="auto" w:fill="auto"/>
                  <w:tcMar>
                    <w:left w:w="28" w:type="dxa"/>
                    <w:right w:w="28" w:type="dxa"/>
                  </w:tcMar>
                  <w:vAlign w:val="center"/>
                </w:tcPr>
                <w:p w14:paraId="3752C98F">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废气处理</w:t>
                  </w:r>
                </w:p>
              </w:tc>
              <w:tc>
                <w:tcPr>
                  <w:tcW w:w="760" w:type="pct"/>
                  <w:shd w:val="clear" w:color="auto" w:fill="auto"/>
                  <w:tcMar>
                    <w:left w:w="28" w:type="dxa"/>
                    <w:right w:w="28" w:type="dxa"/>
                  </w:tcMar>
                  <w:vAlign w:val="center"/>
                </w:tcPr>
                <w:p w14:paraId="48CFD089">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24" w:type="pct"/>
                  <w:shd w:val="clear" w:color="auto" w:fill="auto"/>
                  <w:tcMar>
                    <w:left w:w="28" w:type="dxa"/>
                    <w:right w:w="28" w:type="dxa"/>
                  </w:tcMar>
                  <w:vAlign w:val="center"/>
                </w:tcPr>
                <w:p w14:paraId="2D9C6B67">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有机废气</w:t>
                  </w:r>
                </w:p>
              </w:tc>
              <w:tc>
                <w:tcPr>
                  <w:tcW w:w="1266" w:type="pct"/>
                  <w:vMerge w:val="restart"/>
                  <w:shd w:val="clear" w:color="auto" w:fill="auto"/>
                  <w:vAlign w:val="center"/>
                </w:tcPr>
                <w:p w14:paraId="252D76FC">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Ansi="宋体"/>
                      <w:color w:val="auto"/>
                      <w:kern w:val="0"/>
                      <w:szCs w:val="21"/>
                      <w:highlight w:val="none"/>
                    </w:rPr>
                  </w:pPr>
                  <w:r>
                    <w:rPr>
                      <w:rFonts w:hAnsi="宋体"/>
                      <w:color w:val="auto"/>
                      <w:kern w:val="0"/>
                      <w:szCs w:val="21"/>
                      <w:highlight w:val="none"/>
                    </w:rPr>
                    <w:t>委托有资质单位安全处置</w:t>
                  </w:r>
                </w:p>
              </w:tc>
            </w:tr>
            <w:tr w14:paraId="657CE77F">
              <w:trPr>
                <w:trHeight w:val="397" w:hRule="atLeast"/>
                <w:jc w:val="center"/>
              </w:trPr>
              <w:tc>
                <w:tcPr>
                  <w:tcW w:w="335" w:type="pct"/>
                  <w:vMerge w:val="continue"/>
                  <w:tcMar>
                    <w:left w:w="28" w:type="dxa"/>
                    <w:right w:w="28" w:type="dxa"/>
                  </w:tcMar>
                  <w:vAlign w:val="center"/>
                </w:tcPr>
                <w:p w14:paraId="34DB4EA5">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080A9CD0">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S11</w:t>
                  </w:r>
                </w:p>
              </w:tc>
              <w:tc>
                <w:tcPr>
                  <w:tcW w:w="730" w:type="pct"/>
                  <w:shd w:val="clear" w:color="auto" w:fill="auto"/>
                  <w:tcMar>
                    <w:left w:w="28" w:type="dxa"/>
                    <w:right w:w="28" w:type="dxa"/>
                  </w:tcMar>
                  <w:vAlign w:val="center"/>
                </w:tcPr>
                <w:p w14:paraId="41B6DCA7">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宋体" w:cs="Times New Roman" w:eastAsiaTheme="minorEastAsia"/>
                      <w:color w:val="auto"/>
                      <w:kern w:val="0"/>
                      <w:sz w:val="21"/>
                      <w:szCs w:val="21"/>
                      <w:highlight w:val="none"/>
                      <w:lang w:val="en-US" w:eastAsia="zh-CN" w:bidi="ar-SA"/>
                    </w:rPr>
                  </w:pPr>
                  <w:r>
                    <w:rPr>
                      <w:rFonts w:hint="eastAsia" w:hAnsi="宋体"/>
                      <w:color w:val="auto"/>
                      <w:kern w:val="0"/>
                      <w:szCs w:val="21"/>
                      <w:highlight w:val="none"/>
                    </w:rPr>
                    <w:t>废过滤棉</w:t>
                  </w:r>
                </w:p>
              </w:tc>
              <w:tc>
                <w:tcPr>
                  <w:tcW w:w="690" w:type="pct"/>
                  <w:shd w:val="clear" w:color="auto" w:fill="auto"/>
                  <w:tcMar>
                    <w:left w:w="28" w:type="dxa"/>
                    <w:right w:w="28" w:type="dxa"/>
                  </w:tcMar>
                  <w:vAlign w:val="center"/>
                </w:tcPr>
                <w:p w14:paraId="7DCA6D5D">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废气处理</w:t>
                  </w:r>
                </w:p>
              </w:tc>
              <w:tc>
                <w:tcPr>
                  <w:tcW w:w="760" w:type="pct"/>
                  <w:shd w:val="clear" w:color="auto" w:fill="auto"/>
                  <w:tcMar>
                    <w:left w:w="28" w:type="dxa"/>
                    <w:right w:w="28" w:type="dxa"/>
                  </w:tcMar>
                  <w:vAlign w:val="center"/>
                </w:tcPr>
                <w:p w14:paraId="53096545">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24" w:type="pct"/>
                  <w:shd w:val="clear" w:color="auto" w:fill="auto"/>
                  <w:tcMar>
                    <w:left w:w="28" w:type="dxa"/>
                    <w:right w:w="28" w:type="dxa"/>
                  </w:tcMar>
                  <w:vAlign w:val="center"/>
                </w:tcPr>
                <w:p w14:paraId="69198B38">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有机废气</w:t>
                  </w:r>
                </w:p>
              </w:tc>
              <w:tc>
                <w:tcPr>
                  <w:tcW w:w="1266" w:type="pct"/>
                  <w:vMerge w:val="continue"/>
                  <w:shd w:val="clear" w:color="auto" w:fill="auto"/>
                  <w:vAlign w:val="center"/>
                </w:tcPr>
                <w:p w14:paraId="08CAB323">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038759ED">
              <w:trPr>
                <w:trHeight w:val="397" w:hRule="atLeast"/>
                <w:jc w:val="center"/>
              </w:trPr>
              <w:tc>
                <w:tcPr>
                  <w:tcW w:w="335" w:type="pct"/>
                  <w:vMerge w:val="continue"/>
                  <w:tcMar>
                    <w:left w:w="28" w:type="dxa"/>
                    <w:right w:w="28" w:type="dxa"/>
                  </w:tcMar>
                  <w:vAlign w:val="center"/>
                </w:tcPr>
                <w:p w14:paraId="4CD75E70">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6BF53B71">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S1</w:t>
                  </w:r>
                  <w:r>
                    <w:rPr>
                      <w:rFonts w:hint="eastAsia"/>
                      <w:color w:val="auto"/>
                      <w:szCs w:val="21"/>
                      <w:highlight w:val="none"/>
                      <w:lang w:val="en-US" w:eastAsia="zh-CN"/>
                    </w:rPr>
                    <w:t>2</w:t>
                  </w:r>
                </w:p>
              </w:tc>
              <w:tc>
                <w:tcPr>
                  <w:tcW w:w="730" w:type="pct"/>
                  <w:shd w:val="clear" w:color="auto" w:fill="auto"/>
                  <w:tcMar>
                    <w:left w:w="28" w:type="dxa"/>
                    <w:right w:w="28" w:type="dxa"/>
                  </w:tcMar>
                  <w:vAlign w:val="center"/>
                </w:tcPr>
                <w:p w14:paraId="192E15C9">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废包装桶</w:t>
                  </w:r>
                </w:p>
              </w:tc>
              <w:tc>
                <w:tcPr>
                  <w:tcW w:w="690" w:type="pct"/>
                  <w:shd w:val="clear" w:color="auto" w:fill="auto"/>
                  <w:tcMar>
                    <w:left w:w="28" w:type="dxa"/>
                    <w:right w:w="28" w:type="dxa"/>
                  </w:tcMar>
                  <w:vAlign w:val="center"/>
                </w:tcPr>
                <w:p w14:paraId="712FC83E">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原料使用</w:t>
                  </w:r>
                </w:p>
              </w:tc>
              <w:tc>
                <w:tcPr>
                  <w:tcW w:w="760" w:type="pct"/>
                  <w:shd w:val="clear" w:color="auto" w:fill="auto"/>
                  <w:tcMar>
                    <w:left w:w="28" w:type="dxa"/>
                    <w:right w:w="28" w:type="dxa"/>
                  </w:tcMar>
                  <w:vAlign w:val="center"/>
                </w:tcPr>
                <w:p w14:paraId="2205A6BF">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24" w:type="pct"/>
                  <w:shd w:val="clear" w:color="auto" w:fill="auto"/>
                  <w:tcMar>
                    <w:left w:w="28" w:type="dxa"/>
                    <w:right w:w="28" w:type="dxa"/>
                  </w:tcMar>
                  <w:vAlign w:val="center"/>
                </w:tcPr>
                <w:p w14:paraId="13BE9761">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废桶</w:t>
                  </w:r>
                </w:p>
              </w:tc>
              <w:tc>
                <w:tcPr>
                  <w:tcW w:w="1266" w:type="pct"/>
                  <w:vMerge w:val="continue"/>
                  <w:shd w:val="clear" w:color="auto" w:fill="auto"/>
                  <w:vAlign w:val="center"/>
                </w:tcPr>
                <w:p w14:paraId="03BE0C03">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4181B9FA">
              <w:trPr>
                <w:trHeight w:val="397" w:hRule="atLeast"/>
                <w:jc w:val="center"/>
              </w:trPr>
              <w:tc>
                <w:tcPr>
                  <w:tcW w:w="335" w:type="pct"/>
                  <w:vMerge w:val="continue"/>
                  <w:tcMar>
                    <w:left w:w="28" w:type="dxa"/>
                    <w:right w:w="28" w:type="dxa"/>
                  </w:tcMar>
                  <w:vAlign w:val="center"/>
                </w:tcPr>
                <w:p w14:paraId="74A281A4">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17ABE530">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S13</w:t>
                  </w:r>
                </w:p>
              </w:tc>
              <w:tc>
                <w:tcPr>
                  <w:tcW w:w="730" w:type="pct"/>
                  <w:shd w:val="clear" w:color="auto" w:fill="auto"/>
                  <w:tcMar>
                    <w:left w:w="28" w:type="dxa"/>
                    <w:right w:w="28" w:type="dxa"/>
                  </w:tcMar>
                  <w:vAlign w:val="center"/>
                </w:tcPr>
                <w:p w14:paraId="5B381EDB">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color w:val="auto"/>
                      <w:kern w:val="0"/>
                      <w:szCs w:val="21"/>
                      <w:highlight w:val="none"/>
                      <w:lang w:val="en-US" w:eastAsia="zh-CN"/>
                    </w:rPr>
                  </w:pPr>
                  <w:r>
                    <w:rPr>
                      <w:rFonts w:hint="eastAsia"/>
                      <w:color w:val="auto"/>
                      <w:kern w:val="0"/>
                      <w:szCs w:val="21"/>
                      <w:highlight w:val="none"/>
                      <w:lang w:val="en-US" w:eastAsia="zh-CN"/>
                    </w:rPr>
                    <w:t>废水处理浮渣、污泥</w:t>
                  </w:r>
                </w:p>
              </w:tc>
              <w:tc>
                <w:tcPr>
                  <w:tcW w:w="690" w:type="pct"/>
                  <w:shd w:val="clear" w:color="auto" w:fill="auto"/>
                  <w:tcMar>
                    <w:left w:w="28" w:type="dxa"/>
                    <w:right w:w="28" w:type="dxa"/>
                  </w:tcMar>
                  <w:vAlign w:val="center"/>
                </w:tcPr>
                <w:p w14:paraId="7D7E789D">
                  <w:pPr>
                    <w:keepNext w:val="0"/>
                    <w:keepLines w:val="0"/>
                    <w:suppressLineNumbers w:val="0"/>
                    <w:spacing w:before="100" w:beforeAutospacing="1" w:after="100" w:afterAutospacing="1"/>
                    <w:ind w:left="0" w:leftChars="0" w:right="0" w:rightChars="0"/>
                    <w:jc w:val="center"/>
                    <w:rPr>
                      <w:rFonts w:hint="eastAsia" w:eastAsiaTheme="minorEastAsia"/>
                      <w:color w:val="auto"/>
                      <w:szCs w:val="21"/>
                      <w:highlight w:val="none"/>
                      <w:lang w:eastAsia="zh-CN"/>
                    </w:rPr>
                  </w:pPr>
                  <w:r>
                    <w:rPr>
                      <w:rFonts w:hint="eastAsia"/>
                      <w:color w:val="auto"/>
                      <w:szCs w:val="21"/>
                      <w:highlight w:val="none"/>
                      <w:lang w:eastAsia="zh-CN"/>
                    </w:rPr>
                    <w:t>清洗废水处理</w:t>
                  </w:r>
                </w:p>
              </w:tc>
              <w:tc>
                <w:tcPr>
                  <w:tcW w:w="760" w:type="pct"/>
                  <w:shd w:val="clear" w:color="auto" w:fill="auto"/>
                  <w:tcMar>
                    <w:left w:w="28" w:type="dxa"/>
                    <w:right w:w="28" w:type="dxa"/>
                  </w:tcMar>
                  <w:vAlign w:val="center"/>
                </w:tcPr>
                <w:p w14:paraId="14D339A4">
                  <w:pPr>
                    <w:keepNext w:val="0"/>
                    <w:keepLines w:val="0"/>
                    <w:suppressLineNumbers w:val="0"/>
                    <w:spacing w:before="100" w:beforeAutospacing="1" w:after="100" w:afterAutospacing="1"/>
                    <w:ind w:left="0" w:leftChars="0" w:right="0" w:rightChars="0"/>
                    <w:jc w:val="center"/>
                    <w:rPr>
                      <w:rFonts w:hint="eastAsia" w:hAnsi="宋体" w:eastAsiaTheme="minorEastAsia"/>
                      <w:color w:val="auto"/>
                      <w:szCs w:val="21"/>
                      <w:highlight w:val="none"/>
                      <w:lang w:eastAsia="zh-CN"/>
                    </w:rPr>
                  </w:pPr>
                  <w:r>
                    <w:rPr>
                      <w:rFonts w:hint="eastAsia" w:hAnsi="宋体"/>
                      <w:color w:val="auto"/>
                      <w:szCs w:val="21"/>
                      <w:highlight w:val="none"/>
                      <w:lang w:eastAsia="zh-CN"/>
                    </w:rPr>
                    <w:t>危险废物</w:t>
                  </w:r>
                </w:p>
              </w:tc>
              <w:tc>
                <w:tcPr>
                  <w:tcW w:w="824" w:type="pct"/>
                  <w:shd w:val="clear" w:color="auto" w:fill="auto"/>
                  <w:tcMar>
                    <w:left w:w="28" w:type="dxa"/>
                    <w:right w:w="28" w:type="dxa"/>
                  </w:tcMar>
                  <w:vAlign w:val="center"/>
                </w:tcPr>
                <w:p w14:paraId="00AC9BA6">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石油类</w:t>
                  </w:r>
                </w:p>
              </w:tc>
              <w:tc>
                <w:tcPr>
                  <w:tcW w:w="1266" w:type="pct"/>
                  <w:vMerge w:val="continue"/>
                  <w:shd w:val="clear" w:color="auto" w:fill="auto"/>
                  <w:vAlign w:val="center"/>
                </w:tcPr>
                <w:p w14:paraId="41786FC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Ansi="宋体"/>
                      <w:color w:val="auto"/>
                      <w:kern w:val="0"/>
                      <w:szCs w:val="21"/>
                      <w:highlight w:val="none"/>
                    </w:rPr>
                  </w:pPr>
                </w:p>
              </w:tc>
            </w:tr>
            <w:tr w14:paraId="22E41392">
              <w:trPr>
                <w:trHeight w:val="397" w:hRule="atLeast"/>
                <w:jc w:val="center"/>
              </w:trPr>
              <w:tc>
                <w:tcPr>
                  <w:tcW w:w="335" w:type="pct"/>
                  <w:vMerge w:val="continue"/>
                  <w:tcMar>
                    <w:left w:w="28" w:type="dxa"/>
                    <w:right w:w="28" w:type="dxa"/>
                  </w:tcMar>
                  <w:vAlign w:val="center"/>
                </w:tcPr>
                <w:p w14:paraId="14FB394B">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71A02B5C">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S14</w:t>
                  </w:r>
                </w:p>
              </w:tc>
              <w:tc>
                <w:tcPr>
                  <w:tcW w:w="730" w:type="pct"/>
                  <w:shd w:val="clear" w:color="auto" w:fill="auto"/>
                  <w:tcMar>
                    <w:left w:w="28" w:type="dxa"/>
                    <w:right w:w="28" w:type="dxa"/>
                  </w:tcMar>
                  <w:vAlign w:val="center"/>
                </w:tcPr>
                <w:p w14:paraId="7984236F">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生活垃圾</w:t>
                  </w:r>
                </w:p>
              </w:tc>
              <w:tc>
                <w:tcPr>
                  <w:tcW w:w="690" w:type="pct"/>
                  <w:shd w:val="clear" w:color="auto" w:fill="auto"/>
                  <w:tcMar>
                    <w:left w:w="28" w:type="dxa"/>
                    <w:right w:w="28" w:type="dxa"/>
                  </w:tcMar>
                  <w:vAlign w:val="center"/>
                </w:tcPr>
                <w:p w14:paraId="22B7B516">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760" w:type="pct"/>
                  <w:vMerge w:val="restart"/>
                  <w:shd w:val="clear" w:color="auto" w:fill="auto"/>
                  <w:tcMar>
                    <w:left w:w="28" w:type="dxa"/>
                    <w:right w:w="28" w:type="dxa"/>
                  </w:tcMar>
                  <w:vAlign w:val="center"/>
                </w:tcPr>
                <w:p w14:paraId="1974A66B">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生活垃圾</w:t>
                  </w:r>
                </w:p>
              </w:tc>
              <w:tc>
                <w:tcPr>
                  <w:tcW w:w="824" w:type="pct"/>
                  <w:shd w:val="clear" w:color="auto" w:fill="auto"/>
                  <w:tcMar>
                    <w:left w:w="28" w:type="dxa"/>
                    <w:right w:w="28" w:type="dxa"/>
                  </w:tcMar>
                  <w:vAlign w:val="center"/>
                </w:tcPr>
                <w:p w14:paraId="34181737">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瓜皮果屑等</w:t>
                  </w:r>
                </w:p>
              </w:tc>
              <w:tc>
                <w:tcPr>
                  <w:tcW w:w="1266" w:type="pct"/>
                  <w:vMerge w:val="restart"/>
                  <w:shd w:val="clear" w:color="auto" w:fill="auto"/>
                  <w:vAlign w:val="center"/>
                </w:tcPr>
                <w:p w14:paraId="42D1ACBF">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环卫清运</w:t>
                  </w:r>
                </w:p>
              </w:tc>
            </w:tr>
            <w:tr w14:paraId="188608B0">
              <w:trPr>
                <w:trHeight w:val="397" w:hRule="atLeast"/>
                <w:jc w:val="center"/>
              </w:trPr>
              <w:tc>
                <w:tcPr>
                  <w:tcW w:w="335" w:type="pct"/>
                  <w:vMerge w:val="continue"/>
                  <w:tcMar>
                    <w:left w:w="28" w:type="dxa"/>
                    <w:right w:w="28" w:type="dxa"/>
                  </w:tcMar>
                  <w:vAlign w:val="center"/>
                </w:tcPr>
                <w:p w14:paraId="0743D466">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6BF15A60">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S15</w:t>
                  </w:r>
                </w:p>
              </w:tc>
              <w:tc>
                <w:tcPr>
                  <w:tcW w:w="730" w:type="pct"/>
                  <w:shd w:val="clear" w:color="auto" w:fill="auto"/>
                  <w:tcMar>
                    <w:left w:w="28" w:type="dxa"/>
                    <w:right w:w="28" w:type="dxa"/>
                  </w:tcMar>
                  <w:vAlign w:val="center"/>
                </w:tcPr>
                <w:p w14:paraId="788C5D57">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化粪池污泥</w:t>
                  </w:r>
                </w:p>
              </w:tc>
              <w:tc>
                <w:tcPr>
                  <w:tcW w:w="690" w:type="pct"/>
                  <w:shd w:val="clear" w:color="auto" w:fill="auto"/>
                  <w:tcMar>
                    <w:left w:w="28" w:type="dxa"/>
                    <w:right w:w="28" w:type="dxa"/>
                  </w:tcMar>
                  <w:vAlign w:val="center"/>
                </w:tcPr>
                <w:p w14:paraId="4B229D72">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760" w:type="pct"/>
                  <w:vMerge w:val="continue"/>
                  <w:shd w:val="clear" w:color="auto" w:fill="auto"/>
                  <w:tcMar>
                    <w:left w:w="28" w:type="dxa"/>
                    <w:right w:w="28" w:type="dxa"/>
                  </w:tcMar>
                  <w:vAlign w:val="center"/>
                </w:tcPr>
                <w:p w14:paraId="20723DDE">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c>
                <w:tcPr>
                  <w:tcW w:w="824" w:type="pct"/>
                  <w:shd w:val="clear" w:color="auto" w:fill="auto"/>
                  <w:tcMar>
                    <w:left w:w="28" w:type="dxa"/>
                    <w:right w:w="28" w:type="dxa"/>
                  </w:tcMar>
                  <w:vAlign w:val="center"/>
                </w:tcPr>
                <w:p w14:paraId="089F965F">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污泥</w:t>
                  </w:r>
                </w:p>
              </w:tc>
              <w:tc>
                <w:tcPr>
                  <w:tcW w:w="1266" w:type="pct"/>
                  <w:vMerge w:val="continue"/>
                  <w:shd w:val="clear" w:color="auto" w:fill="auto"/>
                  <w:vAlign w:val="center"/>
                </w:tcPr>
                <w:p w14:paraId="4A600A1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64D70C57">
              <w:trPr>
                <w:trHeight w:val="397" w:hRule="atLeast"/>
                <w:jc w:val="center"/>
              </w:trPr>
              <w:tc>
                <w:tcPr>
                  <w:tcW w:w="335" w:type="pct"/>
                  <w:vMerge w:val="continue"/>
                  <w:tcMar>
                    <w:left w:w="28" w:type="dxa"/>
                    <w:right w:w="28" w:type="dxa"/>
                  </w:tcMar>
                  <w:vAlign w:val="center"/>
                </w:tcPr>
                <w:p w14:paraId="08258417">
                  <w:pPr>
                    <w:keepNext w:val="0"/>
                    <w:keepLines w:val="0"/>
                    <w:suppressLineNumbers w:val="0"/>
                    <w:spacing w:before="100" w:beforeAutospacing="1" w:after="100" w:afterAutospacing="1"/>
                    <w:ind w:left="0" w:right="0"/>
                    <w:jc w:val="center"/>
                    <w:rPr>
                      <w:color w:val="auto"/>
                      <w:szCs w:val="21"/>
                      <w:highlight w:val="none"/>
                    </w:rPr>
                  </w:pPr>
                </w:p>
              </w:tc>
              <w:tc>
                <w:tcPr>
                  <w:tcW w:w="394" w:type="pct"/>
                  <w:shd w:val="clear" w:color="auto" w:fill="auto"/>
                  <w:tcMar>
                    <w:left w:w="28" w:type="dxa"/>
                    <w:right w:w="28" w:type="dxa"/>
                  </w:tcMar>
                  <w:vAlign w:val="center"/>
                </w:tcPr>
                <w:p w14:paraId="1B11BA5C">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S16</w:t>
                  </w:r>
                </w:p>
              </w:tc>
              <w:tc>
                <w:tcPr>
                  <w:tcW w:w="730" w:type="pct"/>
                  <w:shd w:val="clear" w:color="auto" w:fill="auto"/>
                  <w:tcMar>
                    <w:left w:w="28" w:type="dxa"/>
                    <w:right w:w="28" w:type="dxa"/>
                  </w:tcMar>
                  <w:vAlign w:val="center"/>
                </w:tcPr>
                <w:p w14:paraId="6ED343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隔油池废油</w:t>
                  </w:r>
                </w:p>
              </w:tc>
              <w:tc>
                <w:tcPr>
                  <w:tcW w:w="690" w:type="pct"/>
                  <w:shd w:val="clear" w:color="auto" w:fill="auto"/>
                  <w:tcMar>
                    <w:left w:w="28" w:type="dxa"/>
                    <w:right w:w="28" w:type="dxa"/>
                  </w:tcMar>
                  <w:vAlign w:val="center"/>
                </w:tcPr>
                <w:p w14:paraId="0DB4BA6F">
                  <w:pPr>
                    <w:keepNext w:val="0"/>
                    <w:keepLines w:val="0"/>
                    <w:suppressLineNumbers w:val="0"/>
                    <w:spacing w:before="100" w:beforeAutospacing="1" w:after="100" w:afterAutospacing="1"/>
                    <w:ind w:left="0" w:right="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职工生活</w:t>
                  </w:r>
                </w:p>
              </w:tc>
              <w:tc>
                <w:tcPr>
                  <w:tcW w:w="760" w:type="pct"/>
                  <w:vMerge w:val="continue"/>
                  <w:shd w:val="clear" w:color="auto" w:fill="auto"/>
                  <w:tcMar>
                    <w:left w:w="28" w:type="dxa"/>
                    <w:right w:w="28" w:type="dxa"/>
                  </w:tcMar>
                  <w:vAlign w:val="center"/>
                </w:tcPr>
                <w:p w14:paraId="2DB03B8E">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c>
                <w:tcPr>
                  <w:tcW w:w="824" w:type="pct"/>
                  <w:shd w:val="clear" w:color="auto" w:fill="auto"/>
                  <w:tcMar>
                    <w:left w:w="28" w:type="dxa"/>
                    <w:right w:w="28" w:type="dxa"/>
                  </w:tcMar>
                  <w:vAlign w:val="center"/>
                </w:tcPr>
                <w:p w14:paraId="2AE62C08">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动植物油</w:t>
                  </w:r>
                </w:p>
              </w:tc>
              <w:tc>
                <w:tcPr>
                  <w:tcW w:w="1266" w:type="pct"/>
                  <w:vMerge w:val="continue"/>
                  <w:shd w:val="clear" w:color="auto" w:fill="auto"/>
                  <w:vAlign w:val="center"/>
                </w:tcPr>
                <w:p w14:paraId="6D1F8F1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751DEEBD">
              <w:trPr>
                <w:trHeight w:val="397" w:hRule="atLeast"/>
                <w:jc w:val="center"/>
              </w:trPr>
              <w:tc>
                <w:tcPr>
                  <w:tcW w:w="729" w:type="pct"/>
                  <w:gridSpan w:val="2"/>
                  <w:tcMar>
                    <w:left w:w="28" w:type="dxa"/>
                    <w:right w:w="28" w:type="dxa"/>
                  </w:tcMar>
                  <w:vAlign w:val="center"/>
                </w:tcPr>
                <w:p w14:paraId="47AFECEF">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噪声</w:t>
                  </w:r>
                </w:p>
              </w:tc>
              <w:tc>
                <w:tcPr>
                  <w:tcW w:w="4270" w:type="pct"/>
                  <w:gridSpan w:val="5"/>
                  <w:tcMar>
                    <w:left w:w="28" w:type="dxa"/>
                    <w:right w:w="28" w:type="dxa"/>
                  </w:tcMar>
                  <w:vAlign w:val="center"/>
                </w:tcPr>
                <w:p w14:paraId="6B3DADEA">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主要噪声源为</w:t>
                  </w:r>
                  <w:r>
                    <w:rPr>
                      <w:rFonts w:hint="eastAsia"/>
                      <w:color w:val="auto"/>
                      <w:szCs w:val="21"/>
                      <w:highlight w:val="none"/>
                      <w:lang w:val="en-US" w:eastAsia="zh-CN"/>
                    </w:rPr>
                    <w:t>激光切割机、磨床、喷涂线</w:t>
                  </w:r>
                  <w:r>
                    <w:rPr>
                      <w:rFonts w:hAnsi="宋体"/>
                      <w:color w:val="auto"/>
                      <w:szCs w:val="21"/>
                      <w:highlight w:val="none"/>
                    </w:rPr>
                    <w:t>等</w:t>
                  </w:r>
                </w:p>
              </w:tc>
            </w:tr>
          </w:tbl>
          <w:p w14:paraId="7B91893B">
            <w:pPr>
              <w:keepNext w:val="0"/>
              <w:keepLines w:val="0"/>
              <w:suppressLineNumbers w:val="0"/>
              <w:adjustRightInd w:val="0"/>
              <w:snapToGrid w:val="0"/>
              <w:spacing w:before="0" w:beforeAutospacing="0" w:after="0" w:afterAutospacing="0" w:line="360" w:lineRule="auto"/>
              <w:ind w:left="0" w:right="0" w:firstLine="420" w:firstLineChars="200"/>
              <w:rPr>
                <w:color w:val="auto"/>
                <w:highlight w:val="none"/>
              </w:rPr>
            </w:pPr>
          </w:p>
        </w:tc>
      </w:tr>
      <w:tr w14:paraId="5D8D26B9">
        <w:trPr>
          <w:trHeight w:val="1692" w:hRule="atLeast"/>
          <w:jc w:val="center"/>
        </w:trPr>
        <w:tc>
          <w:tcPr>
            <w:tcW w:w="456" w:type="dxa"/>
            <w:vAlign w:val="center"/>
          </w:tcPr>
          <w:p w14:paraId="1BF22274">
            <w:pPr>
              <w:pStyle w:val="81"/>
              <w:keepNext w:val="0"/>
              <w:keepLines w:val="0"/>
              <w:suppressLineNumbers w:val="0"/>
              <w:ind w:left="0" w:right="0"/>
              <w:rPr>
                <w:rFonts w:ascii="Times New Roman" w:cs="Times New Roman"/>
                <w:color w:val="auto"/>
                <w:szCs w:val="24"/>
                <w:highlight w:val="none"/>
              </w:rPr>
            </w:pPr>
            <w:bookmarkStart w:id="35" w:name="_Toc8343"/>
            <w:bookmarkStart w:id="36" w:name="_Toc29777"/>
            <w:bookmarkStart w:id="37" w:name="_Toc30993"/>
            <w:r>
              <w:rPr>
                <w:rFonts w:hint="eastAsia"/>
                <w:color w:val="auto"/>
                <w:highlight w:val="none"/>
              </w:rPr>
              <w:t>与项目有关的原有环境污染问题</w:t>
            </w:r>
            <w:bookmarkEnd w:id="35"/>
            <w:bookmarkEnd w:id="36"/>
            <w:bookmarkEnd w:id="37"/>
          </w:p>
        </w:tc>
        <w:tc>
          <w:tcPr>
            <w:tcW w:w="8604" w:type="dxa"/>
          </w:tcPr>
          <w:p w14:paraId="46703CE1">
            <w:pPr>
              <w:keepNext w:val="0"/>
              <w:keepLines w:val="0"/>
              <w:suppressLineNumbers w:val="0"/>
              <w:autoSpaceDE w:val="0"/>
              <w:autoSpaceDN w:val="0"/>
              <w:adjustRightInd w:val="0"/>
              <w:snapToGrid w:val="0"/>
              <w:spacing w:before="0" w:beforeLines="50" w:beforeAutospacing="0" w:after="0" w:afterAutospacing="0" w:line="360" w:lineRule="auto"/>
              <w:ind w:left="0" w:right="0" w:firstLine="480" w:firstLineChars="200"/>
              <w:rPr>
                <w:color w:val="auto"/>
                <w:sz w:val="24"/>
                <w:highlight w:val="none"/>
              </w:rPr>
            </w:pPr>
            <w:r>
              <w:rPr>
                <w:color w:val="auto"/>
                <w:sz w:val="24"/>
                <w:highlight w:val="none"/>
              </w:rPr>
              <w:t>建设项目为新建项目，</w:t>
            </w:r>
            <w:r>
              <w:rPr>
                <w:color w:val="auto"/>
                <w:sz w:val="24"/>
              </w:rPr>
              <w:t>经现场勘查，</w:t>
            </w:r>
            <w:r>
              <w:rPr>
                <w:rFonts w:hint="eastAsia"/>
                <w:color w:val="auto"/>
                <w:sz w:val="24"/>
                <w:highlight w:val="none"/>
              </w:rPr>
              <w:t>厂房</w:t>
            </w:r>
            <w:r>
              <w:rPr>
                <w:rFonts w:hint="eastAsia"/>
                <w:color w:val="auto"/>
                <w:sz w:val="24"/>
                <w:highlight w:val="none"/>
                <w:lang w:val="en-US" w:eastAsia="zh-CN"/>
              </w:rPr>
              <w:t>为新建厂房</w:t>
            </w:r>
            <w:r>
              <w:rPr>
                <w:rFonts w:hint="eastAsia"/>
                <w:color w:val="auto"/>
                <w:sz w:val="24"/>
                <w:highlight w:val="none"/>
              </w:rPr>
              <w:t>，本项目生产设备目前尚未进场</w:t>
            </w:r>
            <w:r>
              <w:rPr>
                <w:color w:val="auto"/>
                <w:sz w:val="24"/>
                <w:highlight w:val="none"/>
              </w:rPr>
              <w:t>，无与本项目有关的原有污染情况及主要环境问题。</w:t>
            </w:r>
          </w:p>
          <w:p w14:paraId="1904F0BA">
            <w:pPr>
              <w:pStyle w:val="100"/>
              <w:keepNext w:val="0"/>
              <w:keepLines w:val="0"/>
              <w:suppressLineNumbers w:val="0"/>
              <w:spacing w:before="0" w:beforeAutospacing="0" w:after="0" w:afterAutospacing="0"/>
              <w:ind w:left="0" w:right="0" w:firstLine="480"/>
              <w:rPr>
                <w:color w:val="auto"/>
                <w:highlight w:val="none"/>
              </w:rPr>
            </w:pPr>
          </w:p>
          <w:p w14:paraId="621BD3A6">
            <w:pPr>
              <w:keepNext w:val="0"/>
              <w:keepLines w:val="0"/>
              <w:suppressLineNumbers w:val="0"/>
              <w:spacing w:before="0" w:beforeAutospacing="0" w:after="0" w:afterAutospacing="0"/>
              <w:ind w:left="0" w:right="0"/>
              <w:rPr>
                <w:color w:val="auto"/>
                <w:highlight w:val="none"/>
              </w:rPr>
            </w:pPr>
          </w:p>
          <w:p w14:paraId="70927AF5">
            <w:pPr>
              <w:pStyle w:val="100"/>
              <w:keepNext w:val="0"/>
              <w:keepLines w:val="0"/>
              <w:suppressLineNumbers w:val="0"/>
              <w:spacing w:before="0" w:beforeAutospacing="0" w:after="0" w:afterAutospacing="0"/>
              <w:ind w:left="0" w:right="0" w:firstLine="480"/>
              <w:rPr>
                <w:color w:val="auto"/>
                <w:highlight w:val="none"/>
              </w:rPr>
            </w:pPr>
          </w:p>
          <w:p w14:paraId="559B74F4">
            <w:pPr>
              <w:keepNext w:val="0"/>
              <w:keepLines w:val="0"/>
              <w:suppressLineNumbers w:val="0"/>
              <w:spacing w:before="0" w:beforeAutospacing="0" w:after="0" w:afterAutospacing="0"/>
              <w:ind w:left="0" w:right="0"/>
              <w:rPr>
                <w:color w:val="auto"/>
                <w:highlight w:val="none"/>
              </w:rPr>
            </w:pPr>
          </w:p>
          <w:p w14:paraId="6F51DA3E">
            <w:pPr>
              <w:pStyle w:val="100"/>
              <w:keepNext w:val="0"/>
              <w:keepLines w:val="0"/>
              <w:suppressLineNumbers w:val="0"/>
              <w:spacing w:before="0" w:beforeAutospacing="0" w:after="0" w:afterAutospacing="0"/>
              <w:ind w:left="0" w:right="0" w:firstLine="480"/>
              <w:rPr>
                <w:color w:val="auto"/>
                <w:highlight w:val="none"/>
              </w:rPr>
            </w:pPr>
          </w:p>
          <w:p w14:paraId="4CD8379C">
            <w:pPr>
              <w:keepNext w:val="0"/>
              <w:keepLines w:val="0"/>
              <w:suppressLineNumbers w:val="0"/>
              <w:spacing w:before="0" w:beforeAutospacing="0" w:after="0" w:afterAutospacing="0"/>
              <w:ind w:left="0" w:right="0"/>
              <w:rPr>
                <w:color w:val="auto"/>
                <w:highlight w:val="none"/>
              </w:rPr>
            </w:pPr>
          </w:p>
          <w:p w14:paraId="4AA95C86">
            <w:pPr>
              <w:pStyle w:val="87"/>
              <w:keepNext w:val="0"/>
              <w:keepLines w:val="0"/>
              <w:suppressLineNumbers w:val="0"/>
              <w:spacing w:before="0" w:beforeAutospacing="0" w:afterAutospacing="0"/>
              <w:ind w:right="0"/>
              <w:rPr>
                <w:color w:val="auto"/>
                <w:highlight w:val="none"/>
              </w:rPr>
            </w:pPr>
          </w:p>
          <w:p w14:paraId="4C90AFDA">
            <w:pPr>
              <w:pStyle w:val="100"/>
              <w:keepNext w:val="0"/>
              <w:keepLines w:val="0"/>
              <w:suppressLineNumbers w:val="0"/>
              <w:spacing w:before="0" w:beforeAutospacing="0" w:after="0" w:afterAutospacing="0"/>
              <w:ind w:left="0" w:leftChars="0" w:right="0" w:firstLine="0" w:firstLineChars="0"/>
              <w:rPr>
                <w:color w:val="auto"/>
                <w:highlight w:val="none"/>
              </w:rPr>
            </w:pPr>
          </w:p>
          <w:p w14:paraId="56BC5881">
            <w:pPr>
              <w:keepNext w:val="0"/>
              <w:keepLines w:val="0"/>
              <w:suppressLineNumbers w:val="0"/>
              <w:spacing w:before="0" w:beforeAutospacing="0" w:after="0" w:afterAutospacing="0"/>
              <w:ind w:left="0" w:right="0"/>
              <w:rPr>
                <w:color w:val="auto"/>
                <w:highlight w:val="none"/>
              </w:rPr>
            </w:pPr>
          </w:p>
          <w:p w14:paraId="436F6934">
            <w:pPr>
              <w:keepNext w:val="0"/>
              <w:keepLines w:val="0"/>
              <w:suppressLineNumbers w:val="0"/>
              <w:spacing w:before="0" w:beforeAutospacing="0" w:after="0" w:afterAutospacing="0"/>
              <w:ind w:left="0" w:right="0"/>
              <w:rPr>
                <w:color w:val="auto"/>
                <w:highlight w:val="none"/>
              </w:rPr>
            </w:pPr>
          </w:p>
          <w:p w14:paraId="33D8E641">
            <w:pPr>
              <w:keepNext w:val="0"/>
              <w:keepLines w:val="0"/>
              <w:suppressLineNumbers w:val="0"/>
              <w:spacing w:before="0" w:beforeAutospacing="0" w:after="0" w:afterAutospacing="0"/>
              <w:ind w:left="0" w:right="0"/>
              <w:rPr>
                <w:color w:val="auto"/>
                <w:highlight w:val="none"/>
              </w:rPr>
            </w:pPr>
          </w:p>
          <w:p w14:paraId="449E66D2">
            <w:pPr>
              <w:keepNext w:val="0"/>
              <w:keepLines w:val="0"/>
              <w:suppressLineNumbers w:val="0"/>
              <w:spacing w:before="0" w:beforeAutospacing="0" w:after="0" w:afterAutospacing="0"/>
              <w:ind w:left="0" w:right="0"/>
              <w:rPr>
                <w:color w:val="auto"/>
                <w:highlight w:val="none"/>
              </w:rPr>
            </w:pPr>
          </w:p>
          <w:p w14:paraId="3526C5EE">
            <w:pPr>
              <w:keepNext w:val="0"/>
              <w:keepLines w:val="0"/>
              <w:suppressLineNumbers w:val="0"/>
              <w:spacing w:before="0" w:beforeAutospacing="0" w:after="0" w:afterAutospacing="0"/>
              <w:ind w:left="0" w:right="0"/>
              <w:rPr>
                <w:color w:val="auto"/>
                <w:highlight w:val="none"/>
              </w:rPr>
            </w:pPr>
          </w:p>
          <w:p w14:paraId="1B3D4AA5">
            <w:pPr>
              <w:keepNext w:val="0"/>
              <w:keepLines w:val="0"/>
              <w:suppressLineNumbers w:val="0"/>
              <w:spacing w:before="0" w:beforeAutospacing="0" w:after="0" w:afterAutospacing="0"/>
              <w:ind w:left="0" w:right="0"/>
              <w:rPr>
                <w:color w:val="auto"/>
                <w:highlight w:val="none"/>
              </w:rPr>
            </w:pPr>
          </w:p>
          <w:p w14:paraId="6F929589">
            <w:pPr>
              <w:keepNext w:val="0"/>
              <w:keepLines w:val="0"/>
              <w:suppressLineNumbers w:val="0"/>
              <w:spacing w:before="0" w:beforeAutospacing="0" w:after="0" w:afterAutospacing="0"/>
              <w:ind w:left="0" w:right="0"/>
              <w:rPr>
                <w:color w:val="auto"/>
                <w:highlight w:val="none"/>
              </w:rPr>
            </w:pPr>
          </w:p>
          <w:p w14:paraId="6654CD39">
            <w:pPr>
              <w:keepNext w:val="0"/>
              <w:keepLines w:val="0"/>
              <w:suppressLineNumbers w:val="0"/>
              <w:spacing w:before="0" w:beforeAutospacing="0" w:after="0" w:afterAutospacing="0"/>
              <w:ind w:left="0" w:right="0"/>
              <w:rPr>
                <w:color w:val="auto"/>
                <w:highlight w:val="none"/>
              </w:rPr>
            </w:pPr>
          </w:p>
          <w:p w14:paraId="074D9B85">
            <w:pPr>
              <w:keepNext w:val="0"/>
              <w:keepLines w:val="0"/>
              <w:suppressLineNumbers w:val="0"/>
              <w:spacing w:before="0" w:beforeAutospacing="0" w:after="0" w:afterAutospacing="0"/>
              <w:ind w:left="0" w:right="0"/>
              <w:rPr>
                <w:color w:val="auto"/>
                <w:highlight w:val="none"/>
              </w:rPr>
            </w:pPr>
          </w:p>
          <w:p w14:paraId="5EDCF9C1">
            <w:pPr>
              <w:keepNext w:val="0"/>
              <w:keepLines w:val="0"/>
              <w:suppressLineNumbers w:val="0"/>
              <w:spacing w:before="0" w:beforeAutospacing="0" w:after="0" w:afterAutospacing="0"/>
              <w:ind w:left="0" w:right="0"/>
              <w:rPr>
                <w:color w:val="auto"/>
                <w:highlight w:val="none"/>
              </w:rPr>
            </w:pPr>
          </w:p>
          <w:p w14:paraId="72E2625B">
            <w:pPr>
              <w:keepNext w:val="0"/>
              <w:keepLines w:val="0"/>
              <w:suppressLineNumbers w:val="0"/>
              <w:spacing w:before="0" w:beforeAutospacing="0" w:after="0" w:afterAutospacing="0"/>
              <w:ind w:left="0" w:right="0"/>
              <w:rPr>
                <w:color w:val="auto"/>
                <w:highlight w:val="none"/>
              </w:rPr>
            </w:pPr>
          </w:p>
          <w:p w14:paraId="60EC5D1A">
            <w:pPr>
              <w:keepNext w:val="0"/>
              <w:keepLines w:val="0"/>
              <w:suppressLineNumbers w:val="0"/>
              <w:spacing w:before="0" w:beforeAutospacing="0" w:after="0" w:afterAutospacing="0"/>
              <w:ind w:left="0" w:right="0"/>
              <w:rPr>
                <w:color w:val="auto"/>
                <w:highlight w:val="none"/>
              </w:rPr>
            </w:pPr>
          </w:p>
          <w:p w14:paraId="317982AA">
            <w:pPr>
              <w:keepNext w:val="0"/>
              <w:keepLines w:val="0"/>
              <w:suppressLineNumbers w:val="0"/>
              <w:spacing w:before="0" w:beforeAutospacing="0" w:after="0" w:afterAutospacing="0"/>
              <w:ind w:left="0" w:right="0"/>
              <w:rPr>
                <w:color w:val="auto"/>
                <w:highlight w:val="none"/>
              </w:rPr>
            </w:pPr>
          </w:p>
          <w:p w14:paraId="55A78BCB">
            <w:pPr>
              <w:keepNext w:val="0"/>
              <w:keepLines w:val="0"/>
              <w:suppressLineNumbers w:val="0"/>
              <w:spacing w:before="0" w:beforeAutospacing="0" w:after="0" w:afterAutospacing="0"/>
              <w:ind w:left="0" w:right="0"/>
              <w:rPr>
                <w:color w:val="auto"/>
                <w:highlight w:val="none"/>
              </w:rPr>
            </w:pPr>
          </w:p>
          <w:p w14:paraId="08B92D4D">
            <w:pPr>
              <w:keepNext w:val="0"/>
              <w:keepLines w:val="0"/>
              <w:suppressLineNumbers w:val="0"/>
              <w:spacing w:before="0" w:beforeAutospacing="0" w:after="0" w:afterAutospacing="0"/>
              <w:ind w:left="0" w:right="0"/>
              <w:rPr>
                <w:color w:val="auto"/>
                <w:highlight w:val="none"/>
              </w:rPr>
            </w:pPr>
          </w:p>
          <w:p w14:paraId="2BA2E256">
            <w:pPr>
              <w:keepNext w:val="0"/>
              <w:keepLines w:val="0"/>
              <w:suppressLineNumbers w:val="0"/>
              <w:spacing w:before="0" w:beforeAutospacing="0" w:after="0" w:afterAutospacing="0"/>
              <w:ind w:left="0" w:right="0"/>
              <w:rPr>
                <w:color w:val="auto"/>
                <w:highlight w:val="none"/>
              </w:rPr>
            </w:pPr>
          </w:p>
          <w:p w14:paraId="62DCD226">
            <w:pPr>
              <w:keepNext w:val="0"/>
              <w:keepLines w:val="0"/>
              <w:suppressLineNumbers w:val="0"/>
              <w:spacing w:before="0" w:beforeAutospacing="0" w:after="0" w:afterAutospacing="0"/>
              <w:ind w:left="0" w:right="0"/>
              <w:rPr>
                <w:color w:val="auto"/>
                <w:highlight w:val="none"/>
              </w:rPr>
            </w:pPr>
          </w:p>
        </w:tc>
      </w:tr>
    </w:tbl>
    <w:p w14:paraId="7C4BE4B2">
      <w:pPr>
        <w:widowControl/>
        <w:jc w:val="left"/>
        <w:rPr>
          <w:rFonts w:ascii="宋体" w:hAnsi="宋体" w:cstheme="minorBidi"/>
          <w:snapToGrid w:val="0"/>
          <w:color w:val="auto"/>
          <w:sz w:val="24"/>
          <w:szCs w:val="22"/>
          <w:highlight w:val="none"/>
        </w:rPr>
      </w:pPr>
      <w:r>
        <w:rPr>
          <w:snapToGrid w:val="0"/>
          <w:color w:val="auto"/>
          <w:highlight w:val="none"/>
        </w:rPr>
        <w:br w:type="page"/>
      </w:r>
    </w:p>
    <w:p w14:paraId="51690EFC">
      <w:pPr>
        <w:pStyle w:val="81"/>
        <w:rPr>
          <w:rFonts w:hAnsi="Times New Roman"/>
          <w:snapToGrid w:val="0"/>
          <w:color w:val="auto"/>
          <w:highlight w:val="none"/>
        </w:rPr>
      </w:pPr>
      <w:bookmarkStart w:id="38" w:name="_Toc3969"/>
      <w:r>
        <w:rPr>
          <w:snapToGrid w:val="0"/>
          <w:color w:val="auto"/>
          <w:highlight w:val="none"/>
        </w:rPr>
        <w:t>三、区域环境质量现状、环境保护目标及评价标准</w:t>
      </w:r>
      <w:bookmarkEnd w:id="38"/>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7"/>
        <w:gridCol w:w="8633"/>
      </w:tblGrid>
      <w:tr w14:paraId="790C87F5">
        <w:trPr>
          <w:trHeight w:val="1398" w:hRule="atLeast"/>
          <w:jc w:val="center"/>
        </w:trPr>
        <w:tc>
          <w:tcPr>
            <w:tcW w:w="357" w:type="dxa"/>
            <w:vAlign w:val="center"/>
          </w:tcPr>
          <w:p w14:paraId="32CA779C">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区域</w:t>
            </w:r>
          </w:p>
          <w:p w14:paraId="77B7252A">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环境</w:t>
            </w:r>
          </w:p>
          <w:p w14:paraId="01EAC445">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质量</w:t>
            </w:r>
          </w:p>
          <w:p w14:paraId="3CBFD45D">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现状</w:t>
            </w:r>
          </w:p>
        </w:tc>
        <w:tc>
          <w:tcPr>
            <w:tcW w:w="8633" w:type="dxa"/>
            <w:vAlign w:val="center"/>
          </w:tcPr>
          <w:p w14:paraId="0DB76C3E">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3.1</w:t>
            </w:r>
            <w:r>
              <w:rPr>
                <w:rFonts w:hAnsi="宋体"/>
                <w:b/>
                <w:color w:val="auto"/>
                <w:kern w:val="0"/>
                <w:sz w:val="24"/>
                <w:highlight w:val="none"/>
                <w:lang w:val="zh-CN"/>
              </w:rPr>
              <w:t>大气环境</w:t>
            </w:r>
          </w:p>
          <w:p w14:paraId="5C41BDA1">
            <w:pPr>
              <w:keepNext w:val="0"/>
              <w:keepLines w:val="0"/>
              <w:suppressLineNumbers w:val="0"/>
              <w:wordWrap w:val="0"/>
              <w:snapToGrid w:val="0"/>
              <w:spacing w:before="0" w:beforeAutospacing="0" w:after="0" w:afterAutospacing="0" w:line="360" w:lineRule="auto"/>
              <w:ind w:left="0" w:right="0" w:firstLine="482" w:firstLineChars="200"/>
              <w:rPr>
                <w:b/>
                <w:bCs/>
                <w:color w:val="auto"/>
                <w:sz w:val="24"/>
                <w:highlight w:val="none"/>
              </w:rPr>
            </w:pPr>
            <w:r>
              <w:rPr>
                <w:b/>
                <w:bCs/>
                <w:color w:val="auto"/>
                <w:sz w:val="24"/>
                <w:highlight w:val="none"/>
              </w:rPr>
              <w:t>1.</w:t>
            </w:r>
            <w:r>
              <w:rPr>
                <w:rFonts w:hAnsi="宋体"/>
                <w:b/>
                <w:bCs/>
                <w:color w:val="auto"/>
                <w:sz w:val="24"/>
                <w:highlight w:val="none"/>
              </w:rPr>
              <w:t>环境空气</w:t>
            </w:r>
          </w:p>
          <w:p w14:paraId="09AEB789">
            <w:pPr>
              <w:keepNext w:val="0"/>
              <w:keepLines w:val="0"/>
              <w:suppressLineNumbers w:val="0"/>
              <w:spacing w:before="0" w:beforeAutospacing="0" w:after="0" w:afterAutospacing="0" w:line="348" w:lineRule="auto"/>
              <w:ind w:left="0" w:right="0" w:firstLine="480" w:firstLineChars="200"/>
              <w:rPr>
                <w:rFonts w:hAnsi="宋体"/>
                <w:color w:val="auto"/>
                <w:sz w:val="24"/>
                <w:highlight w:val="none"/>
              </w:rPr>
            </w:pPr>
            <w:r>
              <w:rPr>
                <w:rFonts w:hAnsi="宋体"/>
                <w:color w:val="auto"/>
                <w:sz w:val="24"/>
                <w:highlight w:val="none"/>
              </w:rPr>
              <w:t>本项目位于</w:t>
            </w:r>
            <w:r>
              <w:rPr>
                <w:rFonts w:hint="eastAsia" w:hAnsi="宋体"/>
                <w:color w:val="auto"/>
                <w:sz w:val="24"/>
                <w:highlight w:val="none"/>
                <w:lang w:eastAsia="zh-CN"/>
              </w:rPr>
              <w:t>江苏省淮安市涟水县经济开发区模架产业园北侧、科佳五轴机床东侧</w:t>
            </w:r>
            <w:r>
              <w:rPr>
                <w:rFonts w:hAnsi="宋体"/>
                <w:color w:val="auto"/>
                <w:sz w:val="24"/>
                <w:highlight w:val="none"/>
              </w:rPr>
              <w:t>，项目所在区域为环境空气二类功能区，执行《环境空气质量标准》（</w:t>
            </w:r>
            <w:r>
              <w:rPr>
                <w:color w:val="auto"/>
                <w:sz w:val="24"/>
                <w:highlight w:val="none"/>
              </w:rPr>
              <w:t>GB3095-2012</w:t>
            </w:r>
            <w:r>
              <w:rPr>
                <w:rFonts w:hAnsi="宋体"/>
                <w:color w:val="auto"/>
                <w:sz w:val="24"/>
                <w:highlight w:val="none"/>
              </w:rPr>
              <w:t>）及其修改单中二级标准。</w:t>
            </w:r>
          </w:p>
          <w:p w14:paraId="10B92720">
            <w:pPr>
              <w:keepNext w:val="0"/>
              <w:keepLines w:val="0"/>
              <w:suppressLineNumbers w:val="0"/>
              <w:spacing w:before="0" w:beforeAutospacing="0" w:after="0" w:afterAutospacing="0" w:line="360" w:lineRule="auto"/>
              <w:ind w:left="0" w:right="0" w:firstLine="480" w:firstLineChars="200"/>
              <w:rPr>
                <w:color w:val="auto"/>
                <w:sz w:val="24"/>
              </w:rPr>
            </w:pPr>
            <w:r>
              <w:rPr>
                <w:color w:val="auto"/>
                <w:sz w:val="24"/>
                <w:szCs w:val="20"/>
              </w:rPr>
              <w:t>根据</w:t>
            </w:r>
            <w:r>
              <w:rPr>
                <w:bCs/>
                <w:color w:val="auto"/>
                <w:sz w:val="24"/>
              </w:rPr>
              <w:t>淮安市涟水生态环境局</w:t>
            </w:r>
            <w:r>
              <w:rPr>
                <w:color w:val="auto"/>
                <w:sz w:val="24"/>
                <w:szCs w:val="20"/>
              </w:rPr>
              <w:t>公布的《2024年涟水县环境质量状况</w:t>
            </w:r>
            <w:r>
              <w:rPr>
                <w:rFonts w:hint="eastAsia" w:eastAsia="宋体"/>
                <w:color w:val="auto"/>
                <w:sz w:val="24"/>
                <w:szCs w:val="32"/>
                <w:highlight w:val="none"/>
              </w:rPr>
              <w:t>公报</w:t>
            </w:r>
            <w:r>
              <w:rPr>
                <w:color w:val="auto"/>
                <w:sz w:val="24"/>
                <w:szCs w:val="20"/>
              </w:rPr>
              <w:t>》，2024年涟水县2024年优良天数307天，污染天数59天，PM</w:t>
            </w:r>
            <w:r>
              <w:rPr>
                <w:color w:val="auto"/>
                <w:sz w:val="24"/>
                <w:szCs w:val="20"/>
                <w:vertAlign w:val="subscript"/>
              </w:rPr>
              <w:t>2.5</w:t>
            </w:r>
            <w:r>
              <w:rPr>
                <w:color w:val="auto"/>
                <w:sz w:val="24"/>
                <w:szCs w:val="20"/>
              </w:rPr>
              <w:t>均值为34.8μg/m</w:t>
            </w:r>
            <w:r>
              <w:rPr>
                <w:color w:val="auto"/>
                <w:sz w:val="24"/>
                <w:szCs w:val="20"/>
                <w:vertAlign w:val="superscript"/>
              </w:rPr>
              <w:t>3</w:t>
            </w:r>
            <w:r>
              <w:rPr>
                <w:color w:val="auto"/>
                <w:sz w:val="24"/>
                <w:szCs w:val="20"/>
              </w:rPr>
              <w:t xml:space="preserve"> </w:t>
            </w:r>
            <w:r>
              <w:rPr>
                <w:rFonts w:hint="eastAsia"/>
                <w:color w:val="auto"/>
                <w:sz w:val="24"/>
                <w:szCs w:val="20"/>
                <w:lang w:eastAsia="zh-CN"/>
              </w:rPr>
              <w:t>（</w:t>
            </w:r>
            <w:r>
              <w:rPr>
                <w:color w:val="auto"/>
                <w:sz w:val="24"/>
                <w:szCs w:val="20"/>
              </w:rPr>
              <w:t>年度目标值31μg/m</w:t>
            </w:r>
            <w:r>
              <w:rPr>
                <w:color w:val="auto"/>
                <w:sz w:val="24"/>
                <w:szCs w:val="20"/>
                <w:vertAlign w:val="superscript"/>
              </w:rPr>
              <w:t>3</w:t>
            </w:r>
            <w:r>
              <w:rPr>
                <w:rFonts w:hint="eastAsia"/>
                <w:color w:val="auto"/>
                <w:sz w:val="24"/>
                <w:szCs w:val="20"/>
                <w:vertAlign w:val="superscript"/>
                <w:lang w:eastAsia="zh-CN"/>
              </w:rPr>
              <w:t>）</w:t>
            </w:r>
            <w:r>
              <w:rPr>
                <w:color w:val="auto"/>
                <w:sz w:val="24"/>
                <w:szCs w:val="20"/>
              </w:rPr>
              <w:t>，同比下降6.6%；优良天数比率为83.9%</w:t>
            </w:r>
            <w:r>
              <w:rPr>
                <w:rFonts w:hint="eastAsia"/>
                <w:color w:val="auto"/>
                <w:sz w:val="24"/>
                <w:szCs w:val="20"/>
                <w:lang w:eastAsia="zh-CN"/>
              </w:rPr>
              <w:t>（</w:t>
            </w:r>
            <w:r>
              <w:rPr>
                <w:color w:val="auto"/>
                <w:sz w:val="24"/>
                <w:szCs w:val="20"/>
              </w:rPr>
              <w:t>年度目标值81.5%</w:t>
            </w:r>
            <w:r>
              <w:rPr>
                <w:rFonts w:hint="eastAsia"/>
                <w:color w:val="auto"/>
                <w:sz w:val="24"/>
                <w:szCs w:val="20"/>
                <w:lang w:eastAsia="zh-CN"/>
              </w:rPr>
              <w:t>）</w:t>
            </w:r>
            <w:r>
              <w:rPr>
                <w:color w:val="auto"/>
                <w:sz w:val="24"/>
                <w:szCs w:val="20"/>
              </w:rPr>
              <w:t>，同比上升6.6%。</w:t>
            </w:r>
            <w:r>
              <w:rPr>
                <w:color w:val="auto"/>
                <w:sz w:val="24"/>
              </w:rPr>
              <w:t>全市细颗粒物（PM</w:t>
            </w:r>
            <w:r>
              <w:rPr>
                <w:color w:val="auto"/>
                <w:sz w:val="24"/>
                <w:vertAlign w:val="subscript"/>
              </w:rPr>
              <w:t>2.</w:t>
            </w:r>
            <w:r>
              <w:rPr>
                <w:rFonts w:hint="eastAsia"/>
                <w:color w:val="auto"/>
                <w:sz w:val="24"/>
                <w:vertAlign w:val="subscript"/>
                <w:lang w:eastAsia="zh-CN"/>
              </w:rPr>
              <w:t>5）</w:t>
            </w:r>
            <w:r>
              <w:rPr>
                <w:color w:val="auto"/>
                <w:sz w:val="24"/>
              </w:rPr>
              <w:t>可吸入颗粒物（PM</w:t>
            </w:r>
            <w:r>
              <w:rPr>
                <w:color w:val="auto"/>
                <w:sz w:val="24"/>
                <w:vertAlign w:val="subscript"/>
              </w:rPr>
              <w:t>10</w:t>
            </w:r>
            <w:r>
              <w:rPr>
                <w:color w:val="auto"/>
                <w:sz w:val="24"/>
              </w:rPr>
              <w:t>）、二氧化硫（SO</w:t>
            </w:r>
            <w:r>
              <w:rPr>
                <w:color w:val="auto"/>
                <w:sz w:val="24"/>
                <w:vertAlign w:val="subscript"/>
              </w:rPr>
              <w:t>2</w:t>
            </w:r>
            <w:r>
              <w:rPr>
                <w:color w:val="auto"/>
                <w:sz w:val="24"/>
              </w:rPr>
              <w:t>）、二氧化氮（NO</w:t>
            </w:r>
            <w:r>
              <w:rPr>
                <w:color w:val="auto"/>
                <w:sz w:val="24"/>
                <w:vertAlign w:val="subscript"/>
              </w:rPr>
              <w:t>2</w:t>
            </w:r>
            <w:r>
              <w:rPr>
                <w:color w:val="auto"/>
                <w:sz w:val="24"/>
              </w:rPr>
              <w:t>）、一氧化碳（CO）和臭氧（O</w:t>
            </w:r>
            <w:r>
              <w:rPr>
                <w:color w:val="auto"/>
                <w:sz w:val="24"/>
                <w:vertAlign w:val="subscript"/>
              </w:rPr>
              <w:t>3</w:t>
            </w:r>
            <w:r>
              <w:rPr>
                <w:color w:val="auto"/>
                <w:sz w:val="24"/>
              </w:rPr>
              <w:t>）浓度年均浓度分别为 35 微克/立方米、58 微克/立方米、7 微克/立方米、18微克/立方米、0.7毫克/立方米、105微克/立方米。除臭氧有所下降外，其他指标基本没有变化，优良天数上升。</w:t>
            </w:r>
          </w:p>
          <w:p w14:paraId="3CDF51D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rPr>
              <w:t>可吸入颗粒物</w:t>
            </w:r>
            <w:r>
              <w:rPr>
                <w:rFonts w:hint="eastAsia"/>
                <w:color w:val="auto"/>
                <w:sz w:val="24"/>
                <w:lang w:eastAsia="zh-CN"/>
              </w:rPr>
              <w:t>（</w:t>
            </w:r>
            <w:r>
              <w:rPr>
                <w:color w:val="auto"/>
                <w:sz w:val="24"/>
              </w:rPr>
              <w:t>PM</w:t>
            </w:r>
            <w:r>
              <w:rPr>
                <w:color w:val="auto"/>
                <w:sz w:val="24"/>
                <w:vertAlign w:val="subscript"/>
              </w:rPr>
              <w:t>10</w:t>
            </w:r>
            <w:r>
              <w:rPr>
                <w:rFonts w:hint="eastAsia"/>
                <w:color w:val="auto"/>
                <w:sz w:val="24"/>
                <w:vertAlign w:val="subscript"/>
                <w:lang w:eastAsia="zh-CN"/>
              </w:rPr>
              <w:t>）</w:t>
            </w:r>
            <w:r>
              <w:rPr>
                <w:color w:val="auto"/>
                <w:sz w:val="24"/>
              </w:rPr>
              <w:t>、颗粒物</w:t>
            </w:r>
            <w:r>
              <w:rPr>
                <w:rFonts w:hint="eastAsia"/>
                <w:color w:val="auto"/>
                <w:sz w:val="24"/>
                <w:lang w:eastAsia="zh-CN"/>
              </w:rPr>
              <w:t>（</w:t>
            </w:r>
            <w:r>
              <w:rPr>
                <w:color w:val="auto"/>
                <w:sz w:val="24"/>
              </w:rPr>
              <w:t>PM</w:t>
            </w:r>
            <w:r>
              <w:rPr>
                <w:color w:val="auto"/>
                <w:sz w:val="24"/>
                <w:vertAlign w:val="subscript"/>
              </w:rPr>
              <w:t>2.</w:t>
            </w:r>
            <w:r>
              <w:rPr>
                <w:rFonts w:hint="eastAsia"/>
                <w:color w:val="auto"/>
                <w:sz w:val="24"/>
                <w:vertAlign w:val="subscript"/>
                <w:lang w:eastAsia="zh-CN"/>
              </w:rPr>
              <w:t>5)</w:t>
            </w:r>
            <w:r>
              <w:rPr>
                <w:color w:val="auto"/>
                <w:sz w:val="24"/>
              </w:rPr>
              <w:t>二氧化硫</w:t>
            </w:r>
            <w:r>
              <w:rPr>
                <w:rFonts w:hint="eastAsia"/>
                <w:color w:val="auto"/>
                <w:sz w:val="24"/>
                <w:lang w:eastAsia="zh-CN"/>
              </w:rPr>
              <w:t>（</w:t>
            </w:r>
            <w:r>
              <w:rPr>
                <w:color w:val="auto"/>
                <w:sz w:val="24"/>
              </w:rPr>
              <w:t>SO</w:t>
            </w:r>
            <w:r>
              <w:rPr>
                <w:color w:val="auto"/>
                <w:sz w:val="24"/>
                <w:vertAlign w:val="subscript"/>
              </w:rPr>
              <w:t>2</w:t>
            </w:r>
            <w:r>
              <w:rPr>
                <w:rFonts w:hint="eastAsia"/>
                <w:color w:val="auto"/>
                <w:sz w:val="24"/>
                <w:vertAlign w:val="subscript"/>
                <w:lang w:eastAsia="zh-CN"/>
              </w:rPr>
              <w:t>）</w:t>
            </w:r>
            <w:r>
              <w:rPr>
                <w:color w:val="auto"/>
                <w:sz w:val="24"/>
              </w:rPr>
              <w:t>、二氧化氮</w:t>
            </w:r>
            <w:r>
              <w:rPr>
                <w:rFonts w:hint="eastAsia"/>
                <w:color w:val="auto"/>
                <w:sz w:val="24"/>
                <w:lang w:eastAsia="zh-CN"/>
              </w:rPr>
              <w:t>（</w:t>
            </w:r>
            <w:r>
              <w:rPr>
                <w:color w:val="auto"/>
                <w:sz w:val="24"/>
              </w:rPr>
              <w:t>NO</w:t>
            </w:r>
            <w:r>
              <w:rPr>
                <w:color w:val="auto"/>
                <w:sz w:val="24"/>
                <w:vertAlign w:val="subscript"/>
              </w:rPr>
              <w:t>2</w:t>
            </w:r>
            <w:r>
              <w:rPr>
                <w:rFonts w:hint="eastAsia"/>
                <w:color w:val="auto"/>
                <w:sz w:val="24"/>
                <w:vertAlign w:val="subscript"/>
                <w:lang w:eastAsia="zh-CN"/>
              </w:rPr>
              <w:t>）</w:t>
            </w:r>
            <w:r>
              <w:rPr>
                <w:color w:val="auto"/>
                <w:sz w:val="24"/>
              </w:rPr>
              <w:t>、一氧化碳</w:t>
            </w:r>
            <w:r>
              <w:rPr>
                <w:rFonts w:hint="eastAsia"/>
                <w:color w:val="auto"/>
                <w:sz w:val="24"/>
                <w:lang w:eastAsia="zh-CN"/>
              </w:rPr>
              <w:t>（</w:t>
            </w:r>
            <w:r>
              <w:rPr>
                <w:color w:val="auto"/>
                <w:sz w:val="24"/>
              </w:rPr>
              <w:t>CO</w:t>
            </w:r>
            <w:r>
              <w:rPr>
                <w:rFonts w:hint="eastAsia"/>
                <w:color w:val="auto"/>
                <w:sz w:val="24"/>
                <w:lang w:eastAsia="zh-CN"/>
              </w:rPr>
              <w:t>）</w:t>
            </w:r>
            <w:r>
              <w:rPr>
                <w:color w:val="auto"/>
                <w:sz w:val="24"/>
              </w:rPr>
              <w:t>和臭氧</w:t>
            </w:r>
            <w:r>
              <w:rPr>
                <w:rFonts w:hint="eastAsia"/>
                <w:color w:val="auto"/>
                <w:sz w:val="24"/>
                <w:lang w:eastAsia="zh-CN"/>
              </w:rPr>
              <w:t>（</w:t>
            </w:r>
            <w:r>
              <w:rPr>
                <w:color w:val="auto"/>
                <w:sz w:val="24"/>
              </w:rPr>
              <w:t>O</w:t>
            </w:r>
            <w:r>
              <w:rPr>
                <w:color w:val="auto"/>
                <w:sz w:val="24"/>
                <w:vertAlign w:val="subscript"/>
              </w:rPr>
              <w:t>3</w:t>
            </w:r>
            <w:r>
              <w:rPr>
                <w:rFonts w:hint="eastAsia"/>
                <w:color w:val="auto"/>
                <w:sz w:val="24"/>
                <w:vertAlign w:val="subscript"/>
                <w:lang w:eastAsia="zh-CN"/>
              </w:rPr>
              <w:t>）</w:t>
            </w:r>
            <w:r>
              <w:rPr>
                <w:color w:val="auto"/>
                <w:sz w:val="24"/>
              </w:rPr>
              <w:t>污染物浓度达到国家二级标准</w:t>
            </w:r>
            <w:r>
              <w:rPr>
                <w:rFonts w:hint="eastAsia"/>
                <w:color w:val="auto"/>
                <w:sz w:val="24"/>
              </w:rPr>
              <w:t>，</w:t>
            </w:r>
            <w:r>
              <w:rPr>
                <w:color w:val="auto"/>
                <w:sz w:val="24"/>
              </w:rPr>
              <w:t>故建设项目所在地为达标区。</w:t>
            </w:r>
          </w:p>
          <w:p w14:paraId="6A7B36CE">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3.2</w:t>
            </w:r>
            <w:r>
              <w:rPr>
                <w:rFonts w:hAnsi="宋体"/>
                <w:b/>
                <w:color w:val="auto"/>
                <w:kern w:val="0"/>
                <w:sz w:val="24"/>
                <w:highlight w:val="none"/>
                <w:lang w:val="zh-CN"/>
              </w:rPr>
              <w:t>地表水环境</w:t>
            </w:r>
          </w:p>
          <w:p w14:paraId="7780A23D">
            <w:pPr>
              <w:keepNext w:val="0"/>
              <w:keepLines w:val="0"/>
              <w:widowControl/>
              <w:suppressLineNumbers w:val="0"/>
              <w:spacing w:before="0" w:beforeAutospacing="0" w:after="0" w:afterAutospacing="0" w:line="360" w:lineRule="auto"/>
              <w:ind w:left="0" w:right="0" w:firstLine="480" w:firstLineChars="200"/>
              <w:rPr>
                <w:color w:val="auto"/>
                <w:sz w:val="24"/>
              </w:rPr>
            </w:pPr>
            <w:r>
              <w:rPr>
                <w:rFonts w:hint="eastAsia"/>
                <w:color w:val="auto"/>
                <w:sz w:val="24"/>
              </w:rPr>
              <w:t>根据《2024年涟水县环境质量状况公报》，涟水县全县饮用水主要由县涟缘水务有限公司供给，我县水源地设在涟水县古淮河保滩水源地，涟水县饮用水源水质达到《地表水环境质量标准》（GB3838-2002）中Ⅲ类水标准；黄河故道（杨庄以下段）水质达到《地表水环境质量标准》（GB3838-2002）中Ⅲ类水标准；一帆河</w:t>
            </w:r>
            <w:r>
              <w:rPr>
                <w:rFonts w:hint="eastAsia"/>
                <w:color w:val="auto"/>
                <w:sz w:val="24"/>
                <w:lang w:eastAsia="zh-CN"/>
              </w:rPr>
              <w:t>（</w:t>
            </w:r>
            <w:r>
              <w:rPr>
                <w:rFonts w:hint="eastAsia"/>
                <w:color w:val="auto"/>
                <w:sz w:val="24"/>
              </w:rPr>
              <w:t>古盐河</w:t>
            </w:r>
            <w:r>
              <w:rPr>
                <w:rFonts w:hint="eastAsia"/>
                <w:color w:val="auto"/>
                <w:sz w:val="24"/>
                <w:lang w:eastAsia="zh-CN"/>
              </w:rPr>
              <w:t>）</w:t>
            </w:r>
            <w:r>
              <w:rPr>
                <w:rFonts w:hint="eastAsia"/>
                <w:color w:val="auto"/>
              </w:rPr>
              <w:t xml:space="preserve"> </w:t>
            </w:r>
            <w:r>
              <w:rPr>
                <w:rFonts w:hint="eastAsia"/>
                <w:color w:val="auto"/>
                <w:sz w:val="24"/>
              </w:rPr>
              <w:t>水质年均值达到《地表水环境质量标准》（GB3838-2002）中Ⅳ类水标准；唐响河水质达到《地表水环境质量标准》（GB3838-2002）中Ⅲ类水标准；公兴河水质年均值达到《地表水环境质量标准》（GB3838-2002）中Ⅳ类水标准；南六塘河个别月份高锰酸盐指、生化需氧量、氨氮、总磷超标，其他因子均达到《地表水环境质量标准》（GB3838-2002）中Ⅲ类水标准；盐河个别月份高锰酸盐指数、总磷超标，其他因子均达到《地表水环境质量标准》（GB3838-2002）中</w:t>
            </w:r>
            <w:r>
              <w:rPr>
                <w:rFonts w:hint="eastAsia"/>
                <w:color w:val="auto"/>
                <w:sz w:val="24"/>
                <w:lang w:eastAsia="zh-CN"/>
              </w:rPr>
              <w:t>Ⅲ类</w:t>
            </w:r>
            <w:r>
              <w:rPr>
                <w:rFonts w:hint="eastAsia"/>
                <w:color w:val="auto"/>
                <w:sz w:val="24"/>
              </w:rPr>
              <w:t>水标准。</w:t>
            </w:r>
          </w:p>
          <w:p w14:paraId="6CD31477">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3.3</w:t>
            </w:r>
            <w:r>
              <w:rPr>
                <w:rFonts w:hAnsi="宋体"/>
                <w:b/>
                <w:color w:val="auto"/>
                <w:kern w:val="0"/>
                <w:sz w:val="24"/>
                <w:highlight w:val="none"/>
                <w:lang w:val="zh-CN"/>
              </w:rPr>
              <w:t>声环境</w:t>
            </w:r>
          </w:p>
          <w:p w14:paraId="7CF27C94">
            <w:pPr>
              <w:keepNext w:val="0"/>
              <w:keepLines w:val="0"/>
              <w:widowControl/>
              <w:suppressLineNumbers w:val="0"/>
              <w:spacing w:before="0" w:beforeAutospacing="0" w:after="0" w:afterAutospacing="0" w:line="360" w:lineRule="auto"/>
              <w:ind w:left="0" w:right="0" w:firstLine="480" w:firstLineChars="200"/>
              <w:rPr>
                <w:color w:val="auto"/>
                <w:kern w:val="0"/>
                <w:sz w:val="24"/>
              </w:rPr>
            </w:pPr>
            <w:r>
              <w:rPr>
                <w:color w:val="auto"/>
                <w:kern w:val="0"/>
                <w:sz w:val="24"/>
              </w:rPr>
              <w:t>根据《2024年涟水县环境质量状况</w:t>
            </w:r>
            <w:r>
              <w:rPr>
                <w:rFonts w:hint="eastAsia"/>
                <w:color w:val="auto"/>
                <w:kern w:val="0"/>
                <w:sz w:val="24"/>
              </w:rPr>
              <w:t>公报</w:t>
            </w:r>
            <w:r>
              <w:rPr>
                <w:color w:val="auto"/>
                <w:kern w:val="0"/>
                <w:sz w:val="24"/>
              </w:rPr>
              <w:t>》显示，2024年度城区环境噪声昼间等效声级Leq平均值为：55.8dB（A），与2023年度昼间等效声级相比上升了1.1 dB（A），2023年年度城区环境噪声昼间等效声级Leq平均值为54.7 dB（A）。涟水县昼间城市区域环境噪声总体水平质量等级为三级，说明涟水县城市区域环境噪声总体水平对应评价为一般。</w:t>
            </w:r>
          </w:p>
          <w:p w14:paraId="5DAE3E0F">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rPr>
            </w:pPr>
            <w:r>
              <w:rPr>
                <w:color w:val="auto"/>
                <w:kern w:val="0"/>
                <w:sz w:val="24"/>
              </w:rPr>
              <w:t>本项目所在地声环境质量现状满足《声环境质量</w:t>
            </w:r>
            <w:r>
              <w:rPr>
                <w:rFonts w:hint="eastAsia"/>
                <w:color w:val="auto"/>
                <w:kern w:val="0"/>
                <w:sz w:val="24"/>
              </w:rPr>
              <w:t>标准》（GB3096-2008）3类标准要求。</w:t>
            </w:r>
          </w:p>
          <w:p w14:paraId="124CB736">
            <w:pPr>
              <w:keepNext w:val="0"/>
              <w:keepLines w:val="0"/>
              <w:widowControl/>
              <w:suppressLineNumbers w:val="0"/>
              <w:spacing w:before="0" w:beforeAutospacing="0" w:after="0" w:afterAutospacing="0" w:line="360" w:lineRule="auto"/>
              <w:ind w:left="0" w:right="0" w:firstLine="480" w:firstLineChars="200"/>
              <w:rPr>
                <w:color w:val="auto"/>
                <w:kern w:val="0"/>
                <w:sz w:val="24"/>
              </w:rPr>
            </w:pPr>
            <w:r>
              <w:rPr>
                <w:rFonts w:hint="eastAsia"/>
                <w:color w:val="auto"/>
                <w:kern w:val="0"/>
                <w:sz w:val="24"/>
              </w:rPr>
              <w:t>项目50m范围内无声环境敏感保护目标，不需要进行声环境质量现状监测。</w:t>
            </w:r>
          </w:p>
          <w:p w14:paraId="2DE128A1">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3.4</w:t>
            </w:r>
            <w:r>
              <w:rPr>
                <w:rFonts w:hAnsi="宋体"/>
                <w:b/>
                <w:color w:val="auto"/>
                <w:kern w:val="0"/>
                <w:sz w:val="24"/>
                <w:highlight w:val="none"/>
                <w:lang w:val="zh-CN"/>
              </w:rPr>
              <w:t>生态环境</w:t>
            </w:r>
          </w:p>
          <w:p w14:paraId="6FC102AA">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本项目位于</w:t>
            </w:r>
            <w:r>
              <w:rPr>
                <w:rFonts w:hint="eastAsia" w:hAnsi="宋体"/>
                <w:color w:val="auto"/>
                <w:kern w:val="0"/>
                <w:sz w:val="24"/>
                <w:highlight w:val="none"/>
                <w:lang w:val="zh-CN"/>
              </w:rPr>
              <w:t>江苏省淮安市涟水县经济开发区模架产业园北侧、科佳五轴机床东侧</w:t>
            </w:r>
            <w:r>
              <w:rPr>
                <w:rFonts w:hAnsi="宋体"/>
                <w:color w:val="auto"/>
                <w:kern w:val="0"/>
                <w:sz w:val="24"/>
                <w:highlight w:val="none"/>
                <w:lang w:val="zh-CN"/>
              </w:rPr>
              <w:t>，不需</w:t>
            </w:r>
            <w:r>
              <w:rPr>
                <w:rFonts w:hAnsi="宋体"/>
                <w:color w:val="auto"/>
                <w:sz w:val="24"/>
                <w:highlight w:val="none"/>
              </w:rPr>
              <w:t>进行</w:t>
            </w:r>
            <w:r>
              <w:rPr>
                <w:rFonts w:hAnsi="宋体"/>
                <w:color w:val="auto"/>
                <w:kern w:val="0"/>
                <w:sz w:val="24"/>
                <w:highlight w:val="none"/>
                <w:lang w:val="zh-CN"/>
              </w:rPr>
              <w:t>生态现状调查。</w:t>
            </w:r>
          </w:p>
          <w:p w14:paraId="6852BBB8">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3.5</w:t>
            </w:r>
            <w:r>
              <w:rPr>
                <w:rFonts w:hAnsi="宋体"/>
                <w:b/>
                <w:color w:val="auto"/>
                <w:kern w:val="0"/>
                <w:sz w:val="24"/>
                <w:highlight w:val="none"/>
                <w:lang w:val="zh-CN"/>
              </w:rPr>
              <w:t>电磁辐射</w:t>
            </w:r>
          </w:p>
          <w:p w14:paraId="6D0DA62C">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kern w:val="0"/>
                <w:sz w:val="24"/>
                <w:highlight w:val="none"/>
                <w:lang w:val="zh-CN"/>
              </w:rPr>
            </w:pPr>
            <w:r>
              <w:rPr>
                <w:rFonts w:hAnsi="宋体"/>
                <w:color w:val="auto"/>
                <w:kern w:val="0"/>
                <w:sz w:val="24"/>
                <w:highlight w:val="none"/>
                <w:lang w:val="zh-CN"/>
              </w:rPr>
              <w:t>项目不涉及电磁辐射影响，不需开展现状开展电磁辐射现状监测与评价。</w:t>
            </w:r>
          </w:p>
          <w:p w14:paraId="0EE28281">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3.6</w:t>
            </w:r>
            <w:r>
              <w:rPr>
                <w:rFonts w:hAnsi="宋体"/>
                <w:b/>
                <w:color w:val="auto"/>
                <w:kern w:val="0"/>
                <w:sz w:val="24"/>
                <w:highlight w:val="none"/>
                <w:lang w:val="zh-CN"/>
              </w:rPr>
              <w:t>地下水、</w:t>
            </w:r>
            <w:r>
              <w:rPr>
                <w:rFonts w:hAnsi="宋体"/>
                <w:b/>
                <w:color w:val="auto"/>
                <w:sz w:val="24"/>
                <w:highlight w:val="none"/>
              </w:rPr>
              <w:t>土壤环境</w:t>
            </w:r>
          </w:p>
          <w:p w14:paraId="19F4E93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据《建设项目环境影响报告表编制技术指南》</w:t>
            </w:r>
            <w:r>
              <w:rPr>
                <w:rFonts w:hint="eastAsia"/>
                <w:color w:val="auto"/>
                <w:sz w:val="24"/>
                <w:highlight w:val="none"/>
                <w:lang w:eastAsia="zh-CN"/>
              </w:rPr>
              <w:t>（</w:t>
            </w:r>
            <w:r>
              <w:rPr>
                <w:color w:val="auto"/>
                <w:sz w:val="24"/>
                <w:highlight w:val="none"/>
              </w:rPr>
              <w:t>污染影响类</w:t>
            </w:r>
            <w:r>
              <w:rPr>
                <w:rFonts w:hint="eastAsia"/>
                <w:color w:val="auto"/>
                <w:sz w:val="24"/>
                <w:highlight w:val="none"/>
              </w:rPr>
              <w:t>）</w:t>
            </w:r>
            <w:r>
              <w:rPr>
                <w:color w:val="auto"/>
                <w:sz w:val="24"/>
                <w:highlight w:val="none"/>
              </w:rPr>
              <w:t>，原则上不开展地下水、土壤环境质量现状调查。建设项目存在土壤、地下水环境污染途径的，应结合污染源、保护目标分布情况开展现状调查以留作背景值。</w:t>
            </w:r>
          </w:p>
          <w:p w14:paraId="7343363F">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Cs w:val="21"/>
                <w:highlight w:val="none"/>
              </w:rPr>
            </w:pPr>
            <w:r>
              <w:rPr>
                <w:color w:val="auto"/>
                <w:sz w:val="24"/>
                <w:highlight w:val="none"/>
              </w:rPr>
              <w:t>项目</w:t>
            </w:r>
            <w:r>
              <w:rPr>
                <w:rFonts w:hint="eastAsia"/>
                <w:color w:val="auto"/>
                <w:sz w:val="24"/>
                <w:highlight w:val="none"/>
              </w:rPr>
              <w:t>租赁现有厂房进行生产</w:t>
            </w:r>
            <w:r>
              <w:rPr>
                <w:color w:val="auto"/>
                <w:sz w:val="24"/>
                <w:highlight w:val="none"/>
              </w:rPr>
              <w:t>，生产车间内部地面</w:t>
            </w:r>
            <w:r>
              <w:rPr>
                <w:rFonts w:hint="eastAsia"/>
                <w:color w:val="auto"/>
                <w:sz w:val="24"/>
                <w:highlight w:val="none"/>
              </w:rPr>
              <w:t>已</w:t>
            </w:r>
            <w:r>
              <w:rPr>
                <w:color w:val="auto"/>
                <w:sz w:val="24"/>
                <w:highlight w:val="none"/>
              </w:rPr>
              <w:t>进行硬化处理，产生的废气主要为</w:t>
            </w:r>
            <w:r>
              <w:rPr>
                <w:bCs/>
                <w:color w:val="auto"/>
                <w:sz w:val="24"/>
                <w:highlight w:val="none"/>
              </w:rPr>
              <w:t>NMHC</w:t>
            </w:r>
            <w:r>
              <w:rPr>
                <w:rFonts w:hint="eastAsia"/>
                <w:bCs/>
                <w:color w:val="auto"/>
                <w:sz w:val="24"/>
                <w:highlight w:val="none"/>
              </w:rPr>
              <w:t>、</w:t>
            </w:r>
            <w:r>
              <w:rPr>
                <w:rFonts w:hint="eastAsia"/>
                <w:color w:val="auto"/>
                <w:sz w:val="24"/>
                <w:highlight w:val="none"/>
              </w:rPr>
              <w:t>颗粒物</w:t>
            </w:r>
            <w:r>
              <w:rPr>
                <w:color w:val="auto"/>
                <w:sz w:val="24"/>
                <w:highlight w:val="none"/>
              </w:rPr>
              <w:t>，不涉及重金属和持久性挥发性有机物，营运期间无生产废水，生活污水经</w:t>
            </w:r>
            <w:r>
              <w:rPr>
                <w:rFonts w:hint="eastAsia"/>
                <w:color w:val="auto"/>
                <w:sz w:val="24"/>
                <w:highlight w:val="none"/>
                <w:lang w:eastAsia="zh-CN"/>
              </w:rPr>
              <w:t>隔油池、</w:t>
            </w:r>
            <w:r>
              <w:rPr>
                <w:color w:val="auto"/>
                <w:sz w:val="24"/>
                <w:highlight w:val="none"/>
              </w:rPr>
              <w:t>化粪池处理达到接管标准后接管至</w:t>
            </w:r>
            <w:r>
              <w:rPr>
                <w:rFonts w:hint="eastAsia" w:ascii="宋体" w:hAnsi="宋体"/>
                <w:color w:val="auto"/>
                <w:sz w:val="24"/>
                <w:szCs w:val="24"/>
                <w:highlight w:val="none"/>
              </w:rPr>
              <w:t>涟水经济开发区西区污水处理厂</w:t>
            </w:r>
            <w:r>
              <w:rPr>
                <w:color w:val="auto"/>
                <w:sz w:val="24"/>
                <w:szCs w:val="24"/>
                <w:highlight w:val="none"/>
              </w:rPr>
              <w:t>集中处</w:t>
            </w:r>
            <w:r>
              <w:rPr>
                <w:color w:val="auto"/>
                <w:sz w:val="24"/>
                <w:highlight w:val="none"/>
              </w:rPr>
              <w:t>理，</w:t>
            </w:r>
            <w:r>
              <w:rPr>
                <w:rFonts w:hint="eastAsia"/>
                <w:color w:val="auto"/>
                <w:sz w:val="24"/>
                <w:highlight w:val="none"/>
                <w:lang w:eastAsia="zh-CN"/>
              </w:rPr>
              <w:t>隔油池、</w:t>
            </w:r>
            <w:r>
              <w:rPr>
                <w:color w:val="auto"/>
                <w:sz w:val="24"/>
                <w:highlight w:val="none"/>
              </w:rPr>
              <w:t>化粪池拟进行防渗；危险废物</w:t>
            </w:r>
            <w:r>
              <w:rPr>
                <w:rFonts w:hint="eastAsia"/>
                <w:color w:val="auto"/>
                <w:sz w:val="24"/>
                <w:highlight w:val="none"/>
              </w:rPr>
              <w:t>拟</w:t>
            </w:r>
            <w:r>
              <w:rPr>
                <w:color w:val="auto"/>
                <w:sz w:val="24"/>
                <w:highlight w:val="none"/>
              </w:rPr>
              <w:t>暂存于危废暂存间，定期委托有资质单位安全处置。危废暂存间拟按照《危险废物贮存污染控制标准》（GB18597-2023）进行建设，不存在地下水、土壤环境污染路径，因此</w:t>
            </w:r>
            <w:r>
              <w:rPr>
                <w:color w:val="auto"/>
                <w:kern w:val="0"/>
                <w:sz w:val="24"/>
                <w:highlight w:val="none"/>
                <w:lang w:val="zh-CN"/>
              </w:rPr>
              <w:t>项目不需开展地下水、土壤环境质量现状调查。</w:t>
            </w:r>
          </w:p>
        </w:tc>
      </w:tr>
      <w:tr w14:paraId="5F13FA87">
        <w:trPr>
          <w:trHeight w:val="1077" w:hRule="atLeast"/>
          <w:jc w:val="center"/>
        </w:trPr>
        <w:tc>
          <w:tcPr>
            <w:tcW w:w="357" w:type="dxa"/>
            <w:vAlign w:val="center"/>
          </w:tcPr>
          <w:p w14:paraId="09E920A0">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环境</w:t>
            </w:r>
          </w:p>
          <w:p w14:paraId="6AB95A43">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保护</w:t>
            </w:r>
          </w:p>
          <w:p w14:paraId="19030F9D">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目标</w:t>
            </w:r>
          </w:p>
        </w:tc>
        <w:tc>
          <w:tcPr>
            <w:tcW w:w="8633" w:type="dxa"/>
            <w:vAlign w:val="center"/>
          </w:tcPr>
          <w:p w14:paraId="625C5742">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3.7</w:t>
            </w:r>
            <w:r>
              <w:rPr>
                <w:rFonts w:hAnsi="宋体"/>
                <w:b/>
                <w:color w:val="auto"/>
                <w:kern w:val="0"/>
                <w:sz w:val="24"/>
                <w:highlight w:val="none"/>
                <w:lang w:val="zh-CN"/>
              </w:rPr>
              <w:t>主要环境保护目标</w:t>
            </w:r>
          </w:p>
          <w:p w14:paraId="6867639E">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建设项目主要环境保护目标见表</w:t>
            </w:r>
            <w:r>
              <w:rPr>
                <w:color w:val="auto"/>
                <w:kern w:val="0"/>
                <w:sz w:val="24"/>
                <w:highlight w:val="none"/>
                <w:lang w:val="zh-CN"/>
              </w:rPr>
              <w:t>3-1</w:t>
            </w:r>
            <w:r>
              <w:rPr>
                <w:rFonts w:hAnsi="宋体"/>
                <w:color w:val="auto"/>
                <w:kern w:val="0"/>
                <w:sz w:val="24"/>
                <w:highlight w:val="none"/>
                <w:lang w:val="zh-CN"/>
              </w:rPr>
              <w:t>。</w:t>
            </w:r>
          </w:p>
          <w:p w14:paraId="4FBB11FE">
            <w:pPr>
              <w:keepNext w:val="0"/>
              <w:keepLines w:val="0"/>
              <w:suppressLineNumbers w:val="0"/>
              <w:adjustRightInd w:val="0"/>
              <w:snapToGrid w:val="0"/>
              <w:spacing w:before="0" w:beforeAutospacing="0" w:after="0" w:afterAutospacing="0"/>
              <w:ind w:left="0" w:right="0"/>
              <w:jc w:val="center"/>
              <w:rPr>
                <w:rFonts w:hAnsi="宋体"/>
                <w:b/>
                <w:color w:val="auto"/>
                <w:sz w:val="24"/>
                <w:highlight w:val="none"/>
              </w:rPr>
            </w:pPr>
          </w:p>
          <w:p w14:paraId="39271E68">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 xml:space="preserve">3-1  </w:t>
            </w:r>
            <w:r>
              <w:rPr>
                <w:rFonts w:hAnsi="宋体"/>
                <w:b/>
                <w:color w:val="auto"/>
                <w:sz w:val="24"/>
                <w:highlight w:val="none"/>
              </w:rPr>
              <w:t>建设项目主要环境保护目标一览表</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15" w:type="dxa"/>
                <w:left w:w="15" w:type="dxa"/>
                <w:bottom w:w="15" w:type="dxa"/>
                <w:right w:w="15" w:type="dxa"/>
              </w:tblCellMar>
            </w:tblPr>
            <w:tblGrid>
              <w:gridCol w:w="346"/>
              <w:gridCol w:w="1369"/>
              <w:gridCol w:w="1329"/>
              <w:gridCol w:w="1030"/>
              <w:gridCol w:w="660"/>
              <w:gridCol w:w="816"/>
              <w:gridCol w:w="891"/>
              <w:gridCol w:w="1976"/>
            </w:tblGrid>
            <w:tr w14:paraId="5F9F0644">
              <w:trPr>
                <w:trHeight w:val="286" w:hRule="atLeast"/>
                <w:jc w:val="center"/>
              </w:trPr>
              <w:tc>
                <w:tcPr>
                  <w:tcW w:w="205" w:type="pct"/>
                  <w:vMerge w:val="restart"/>
                  <w:shd w:val="clear" w:color="auto" w:fill="auto"/>
                  <w:vAlign w:val="center"/>
                </w:tcPr>
                <w:p w14:paraId="268DB48A">
                  <w:pPr>
                    <w:keepNext w:val="0"/>
                    <w:keepLines w:val="0"/>
                    <w:suppressLineNumbers w:val="0"/>
                    <w:spacing w:before="0" w:beforeAutospacing="0" w:after="0" w:afterAutospacing="0"/>
                    <w:ind w:left="0" w:right="0"/>
                    <w:jc w:val="center"/>
                    <w:textAlignment w:val="center"/>
                    <w:rPr>
                      <w:rFonts w:hint="default" w:eastAsiaTheme="minorEastAsia"/>
                      <w:bCs/>
                      <w:color w:val="auto"/>
                      <w:szCs w:val="21"/>
                      <w:highlight w:val="none"/>
                      <w:lang w:val="en-US" w:eastAsia="zh-CN"/>
                    </w:rPr>
                  </w:pPr>
                  <w:r>
                    <w:rPr>
                      <w:rFonts w:hint="eastAsia"/>
                      <w:bCs/>
                      <w:color w:val="auto"/>
                      <w:szCs w:val="21"/>
                      <w:highlight w:val="none"/>
                      <w:lang w:val="en-US" w:eastAsia="zh-CN"/>
                    </w:rPr>
                    <w:t>/</w:t>
                  </w:r>
                </w:p>
              </w:tc>
              <w:tc>
                <w:tcPr>
                  <w:tcW w:w="1602" w:type="pct"/>
                  <w:gridSpan w:val="2"/>
                  <w:shd w:val="clear" w:color="auto" w:fill="auto"/>
                  <w:vAlign w:val="center"/>
                </w:tcPr>
                <w:p w14:paraId="0BCA265B">
                  <w:pPr>
                    <w:keepNext w:val="0"/>
                    <w:keepLines w:val="0"/>
                    <w:suppressLineNumbers w:val="0"/>
                    <w:spacing w:before="0" w:beforeAutospacing="0" w:after="0" w:afterAutospacing="0"/>
                    <w:ind w:left="0" w:right="0"/>
                    <w:jc w:val="center"/>
                    <w:textAlignment w:val="center"/>
                    <w:rPr>
                      <w:bCs/>
                      <w:color w:val="auto"/>
                      <w:szCs w:val="21"/>
                      <w:highlight w:val="none"/>
                    </w:rPr>
                  </w:pPr>
                  <w:r>
                    <w:rPr>
                      <w:bCs/>
                      <w:color w:val="auto"/>
                      <w:szCs w:val="21"/>
                      <w:highlight w:val="none"/>
                    </w:rPr>
                    <w:t>经纬度坐标</w:t>
                  </w:r>
                </w:p>
              </w:tc>
              <w:tc>
                <w:tcPr>
                  <w:tcW w:w="611" w:type="pct"/>
                  <w:vMerge w:val="restart"/>
                  <w:shd w:val="clear" w:color="auto" w:fill="auto"/>
                  <w:vAlign w:val="center"/>
                </w:tcPr>
                <w:p w14:paraId="53BA89A4">
                  <w:pPr>
                    <w:keepNext w:val="0"/>
                    <w:keepLines w:val="0"/>
                    <w:suppressLineNumbers w:val="0"/>
                    <w:spacing w:before="0" w:beforeAutospacing="0" w:after="0" w:afterAutospacing="0"/>
                    <w:ind w:left="0" w:right="0"/>
                    <w:jc w:val="center"/>
                    <w:textAlignment w:val="center"/>
                    <w:rPr>
                      <w:bCs/>
                      <w:color w:val="auto"/>
                      <w:szCs w:val="21"/>
                      <w:highlight w:val="none"/>
                    </w:rPr>
                  </w:pPr>
                  <w:r>
                    <w:rPr>
                      <w:rFonts w:hAnsi="宋体"/>
                      <w:bCs/>
                      <w:color w:val="auto"/>
                      <w:szCs w:val="21"/>
                      <w:highlight w:val="none"/>
                    </w:rPr>
                    <w:t>保护对象</w:t>
                  </w:r>
                </w:p>
              </w:tc>
              <w:tc>
                <w:tcPr>
                  <w:tcW w:w="392" w:type="pct"/>
                  <w:vMerge w:val="restart"/>
                  <w:shd w:val="clear" w:color="auto" w:fill="auto"/>
                  <w:vAlign w:val="center"/>
                </w:tcPr>
                <w:p w14:paraId="422CE233">
                  <w:pPr>
                    <w:keepNext w:val="0"/>
                    <w:keepLines w:val="0"/>
                    <w:suppressLineNumbers w:val="0"/>
                    <w:spacing w:before="0" w:beforeAutospacing="0" w:after="0" w:afterAutospacing="0"/>
                    <w:ind w:left="0" w:right="0"/>
                    <w:jc w:val="center"/>
                    <w:textAlignment w:val="center"/>
                    <w:rPr>
                      <w:bCs/>
                      <w:color w:val="auto"/>
                      <w:szCs w:val="21"/>
                      <w:highlight w:val="none"/>
                    </w:rPr>
                  </w:pPr>
                  <w:r>
                    <w:rPr>
                      <w:rFonts w:hAnsi="宋体"/>
                      <w:bCs/>
                      <w:color w:val="auto"/>
                      <w:szCs w:val="21"/>
                      <w:highlight w:val="none"/>
                    </w:rPr>
                    <w:t>保护内容</w:t>
                  </w:r>
                </w:p>
              </w:tc>
              <w:tc>
                <w:tcPr>
                  <w:tcW w:w="484" w:type="pct"/>
                  <w:vMerge w:val="restart"/>
                  <w:shd w:val="clear" w:color="auto" w:fill="auto"/>
                  <w:vAlign w:val="center"/>
                </w:tcPr>
                <w:p w14:paraId="4349683A">
                  <w:pPr>
                    <w:keepNext w:val="0"/>
                    <w:keepLines w:val="0"/>
                    <w:suppressLineNumbers w:val="0"/>
                    <w:spacing w:before="0" w:beforeAutospacing="0" w:after="0" w:afterAutospacing="0"/>
                    <w:ind w:left="0" w:right="0"/>
                    <w:jc w:val="center"/>
                    <w:textAlignment w:val="center"/>
                    <w:rPr>
                      <w:bCs/>
                      <w:color w:val="auto"/>
                      <w:szCs w:val="21"/>
                      <w:highlight w:val="none"/>
                    </w:rPr>
                  </w:pPr>
                  <w:r>
                    <w:rPr>
                      <w:rFonts w:hAnsi="宋体"/>
                      <w:bCs/>
                      <w:color w:val="auto"/>
                      <w:szCs w:val="21"/>
                      <w:highlight w:val="none"/>
                    </w:rPr>
                    <w:t>方位</w:t>
                  </w:r>
                </w:p>
              </w:tc>
              <w:tc>
                <w:tcPr>
                  <w:tcW w:w="529" w:type="pct"/>
                  <w:vMerge w:val="restart"/>
                  <w:shd w:val="clear" w:color="auto" w:fill="auto"/>
                  <w:vAlign w:val="center"/>
                </w:tcPr>
                <w:p w14:paraId="4B0AD403">
                  <w:pPr>
                    <w:keepNext w:val="0"/>
                    <w:keepLines w:val="0"/>
                    <w:suppressLineNumbers w:val="0"/>
                    <w:spacing w:before="0" w:beforeAutospacing="0" w:after="0" w:afterAutospacing="0"/>
                    <w:ind w:left="0" w:right="0"/>
                    <w:jc w:val="center"/>
                    <w:textAlignment w:val="center"/>
                    <w:rPr>
                      <w:bCs/>
                      <w:color w:val="auto"/>
                      <w:szCs w:val="21"/>
                      <w:highlight w:val="none"/>
                    </w:rPr>
                  </w:pPr>
                  <w:r>
                    <w:rPr>
                      <w:rFonts w:hAnsi="宋体"/>
                      <w:bCs/>
                      <w:color w:val="auto"/>
                      <w:szCs w:val="21"/>
                      <w:highlight w:val="none"/>
                    </w:rPr>
                    <w:t>距离厂界</w:t>
                  </w:r>
                  <w:r>
                    <w:rPr>
                      <w:bCs/>
                      <w:color w:val="auto"/>
                      <w:szCs w:val="21"/>
                      <w:highlight w:val="none"/>
                    </w:rPr>
                    <w:t>/m</w:t>
                  </w:r>
                </w:p>
              </w:tc>
              <w:tc>
                <w:tcPr>
                  <w:tcW w:w="1173" w:type="pct"/>
                  <w:vMerge w:val="restart"/>
                  <w:shd w:val="clear" w:color="auto" w:fill="auto"/>
                  <w:vAlign w:val="center"/>
                </w:tcPr>
                <w:p w14:paraId="44F3BD67">
                  <w:pPr>
                    <w:keepNext w:val="0"/>
                    <w:keepLines w:val="0"/>
                    <w:suppressLineNumbers w:val="0"/>
                    <w:spacing w:before="0" w:beforeAutospacing="0" w:after="0" w:afterAutospacing="0"/>
                    <w:ind w:left="0" w:right="0"/>
                    <w:jc w:val="center"/>
                    <w:textAlignment w:val="center"/>
                    <w:rPr>
                      <w:bCs/>
                      <w:color w:val="auto"/>
                      <w:szCs w:val="21"/>
                      <w:highlight w:val="none"/>
                    </w:rPr>
                  </w:pPr>
                  <w:r>
                    <w:rPr>
                      <w:rFonts w:hint="eastAsia"/>
                      <w:bCs/>
                      <w:color w:val="auto"/>
                      <w:szCs w:val="21"/>
                      <w:highlight w:val="none"/>
                    </w:rPr>
                    <w:t>执行标准</w:t>
                  </w:r>
                </w:p>
              </w:tc>
            </w:tr>
            <w:tr w14:paraId="4C824384">
              <w:trPr>
                <w:trHeight w:val="337" w:hRule="atLeast"/>
                <w:jc w:val="center"/>
              </w:trPr>
              <w:tc>
                <w:tcPr>
                  <w:tcW w:w="205" w:type="pct"/>
                  <w:vMerge w:val="continue"/>
                  <w:shd w:val="clear" w:color="auto" w:fill="auto"/>
                  <w:vAlign w:val="center"/>
                </w:tcPr>
                <w:p w14:paraId="1037A126">
                  <w:pPr>
                    <w:keepNext w:val="0"/>
                    <w:keepLines w:val="0"/>
                    <w:suppressLineNumbers w:val="0"/>
                    <w:spacing w:before="0" w:beforeAutospacing="0" w:after="0" w:afterAutospacing="0"/>
                    <w:ind w:left="0" w:right="0"/>
                    <w:jc w:val="center"/>
                    <w:rPr>
                      <w:color w:val="auto"/>
                      <w:szCs w:val="21"/>
                      <w:highlight w:val="none"/>
                    </w:rPr>
                  </w:pPr>
                </w:p>
              </w:tc>
              <w:tc>
                <w:tcPr>
                  <w:tcW w:w="813" w:type="pct"/>
                  <w:shd w:val="clear" w:color="auto" w:fill="auto"/>
                  <w:vAlign w:val="center"/>
                </w:tcPr>
                <w:p w14:paraId="07C59629">
                  <w:pPr>
                    <w:keepNext w:val="0"/>
                    <w:keepLines w:val="0"/>
                    <w:suppressLineNumbers w:val="0"/>
                    <w:spacing w:before="0" w:beforeAutospacing="0" w:after="0" w:afterAutospacing="0"/>
                    <w:ind w:left="0" w:right="0"/>
                    <w:jc w:val="center"/>
                    <w:textAlignment w:val="center"/>
                    <w:rPr>
                      <w:bCs/>
                      <w:color w:val="auto"/>
                      <w:szCs w:val="21"/>
                      <w:highlight w:val="none"/>
                    </w:rPr>
                  </w:pPr>
                  <w:r>
                    <w:rPr>
                      <w:rFonts w:hint="eastAsia"/>
                      <w:bCs/>
                      <w:color w:val="auto"/>
                      <w:szCs w:val="21"/>
                      <w:highlight w:val="none"/>
                    </w:rPr>
                    <w:t>经度</w:t>
                  </w:r>
                </w:p>
              </w:tc>
              <w:tc>
                <w:tcPr>
                  <w:tcW w:w="789" w:type="pct"/>
                  <w:shd w:val="clear" w:color="auto" w:fill="auto"/>
                  <w:vAlign w:val="center"/>
                </w:tcPr>
                <w:p w14:paraId="65379C53">
                  <w:pPr>
                    <w:keepNext w:val="0"/>
                    <w:keepLines w:val="0"/>
                    <w:suppressLineNumbers w:val="0"/>
                    <w:spacing w:before="0" w:beforeAutospacing="0" w:after="0" w:afterAutospacing="0"/>
                    <w:ind w:left="0" w:right="0"/>
                    <w:jc w:val="center"/>
                    <w:textAlignment w:val="center"/>
                    <w:rPr>
                      <w:bCs/>
                      <w:color w:val="auto"/>
                      <w:szCs w:val="21"/>
                      <w:highlight w:val="none"/>
                    </w:rPr>
                  </w:pPr>
                  <w:r>
                    <w:rPr>
                      <w:rFonts w:hint="eastAsia"/>
                      <w:bCs/>
                      <w:color w:val="auto"/>
                      <w:szCs w:val="21"/>
                      <w:highlight w:val="none"/>
                    </w:rPr>
                    <w:t>纬度</w:t>
                  </w:r>
                </w:p>
              </w:tc>
              <w:tc>
                <w:tcPr>
                  <w:tcW w:w="611" w:type="pct"/>
                  <w:vMerge w:val="continue"/>
                  <w:shd w:val="clear" w:color="auto" w:fill="auto"/>
                  <w:vAlign w:val="center"/>
                </w:tcPr>
                <w:p w14:paraId="1C461AE1">
                  <w:pPr>
                    <w:keepNext w:val="0"/>
                    <w:keepLines w:val="0"/>
                    <w:suppressLineNumbers w:val="0"/>
                    <w:spacing w:before="0" w:beforeAutospacing="0" w:after="0" w:afterAutospacing="0"/>
                    <w:ind w:left="0" w:right="0"/>
                    <w:jc w:val="center"/>
                    <w:rPr>
                      <w:color w:val="auto"/>
                      <w:szCs w:val="21"/>
                      <w:highlight w:val="none"/>
                    </w:rPr>
                  </w:pPr>
                </w:p>
              </w:tc>
              <w:tc>
                <w:tcPr>
                  <w:tcW w:w="392" w:type="pct"/>
                  <w:vMerge w:val="continue"/>
                  <w:shd w:val="clear" w:color="auto" w:fill="auto"/>
                  <w:vAlign w:val="center"/>
                </w:tcPr>
                <w:p w14:paraId="06B8AFDA">
                  <w:pPr>
                    <w:keepNext w:val="0"/>
                    <w:keepLines w:val="0"/>
                    <w:suppressLineNumbers w:val="0"/>
                    <w:spacing w:before="0" w:beforeAutospacing="0" w:after="0" w:afterAutospacing="0"/>
                    <w:ind w:left="0" w:right="0"/>
                    <w:jc w:val="center"/>
                    <w:rPr>
                      <w:color w:val="auto"/>
                      <w:szCs w:val="21"/>
                      <w:highlight w:val="none"/>
                    </w:rPr>
                  </w:pPr>
                </w:p>
              </w:tc>
              <w:tc>
                <w:tcPr>
                  <w:tcW w:w="484" w:type="pct"/>
                  <w:vMerge w:val="continue"/>
                  <w:shd w:val="clear" w:color="auto" w:fill="auto"/>
                  <w:vAlign w:val="center"/>
                </w:tcPr>
                <w:p w14:paraId="436EE4AF">
                  <w:pPr>
                    <w:keepNext w:val="0"/>
                    <w:keepLines w:val="0"/>
                    <w:suppressLineNumbers w:val="0"/>
                    <w:spacing w:before="0" w:beforeAutospacing="0" w:after="0" w:afterAutospacing="0"/>
                    <w:ind w:left="0" w:right="0"/>
                    <w:jc w:val="center"/>
                    <w:rPr>
                      <w:color w:val="auto"/>
                      <w:szCs w:val="21"/>
                      <w:highlight w:val="none"/>
                    </w:rPr>
                  </w:pPr>
                </w:p>
              </w:tc>
              <w:tc>
                <w:tcPr>
                  <w:tcW w:w="529" w:type="pct"/>
                  <w:vMerge w:val="continue"/>
                  <w:shd w:val="clear" w:color="auto" w:fill="auto"/>
                  <w:vAlign w:val="center"/>
                </w:tcPr>
                <w:p w14:paraId="0903F8A5">
                  <w:pPr>
                    <w:keepNext w:val="0"/>
                    <w:keepLines w:val="0"/>
                    <w:suppressLineNumbers w:val="0"/>
                    <w:spacing w:before="0" w:beforeAutospacing="0" w:after="0" w:afterAutospacing="0"/>
                    <w:ind w:left="0" w:right="0"/>
                    <w:jc w:val="center"/>
                    <w:rPr>
                      <w:color w:val="auto"/>
                      <w:szCs w:val="21"/>
                      <w:highlight w:val="none"/>
                    </w:rPr>
                  </w:pPr>
                </w:p>
              </w:tc>
              <w:tc>
                <w:tcPr>
                  <w:tcW w:w="1173" w:type="pct"/>
                  <w:vMerge w:val="continue"/>
                  <w:shd w:val="clear" w:color="auto" w:fill="auto"/>
                  <w:vAlign w:val="center"/>
                </w:tcPr>
                <w:p w14:paraId="6C67B8E6">
                  <w:pPr>
                    <w:keepNext w:val="0"/>
                    <w:keepLines w:val="0"/>
                    <w:suppressLineNumbers w:val="0"/>
                    <w:spacing w:before="0" w:beforeAutospacing="0" w:after="0" w:afterAutospacing="0"/>
                    <w:ind w:left="0" w:right="0"/>
                    <w:jc w:val="center"/>
                    <w:rPr>
                      <w:color w:val="auto"/>
                      <w:szCs w:val="21"/>
                      <w:highlight w:val="none"/>
                    </w:rPr>
                  </w:pPr>
                </w:p>
              </w:tc>
            </w:tr>
            <w:tr w14:paraId="7F3B7A9A">
              <w:trPr>
                <w:trHeight w:val="486" w:hRule="atLeast"/>
                <w:jc w:val="center"/>
              </w:trPr>
              <w:tc>
                <w:tcPr>
                  <w:tcW w:w="205" w:type="pct"/>
                  <w:vMerge w:val="restart"/>
                  <w:shd w:val="clear" w:color="auto" w:fill="auto"/>
                  <w:vAlign w:val="center"/>
                </w:tcPr>
                <w:p w14:paraId="4124E544">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环境空气</w:t>
                  </w:r>
                </w:p>
              </w:tc>
              <w:tc>
                <w:tcPr>
                  <w:tcW w:w="813" w:type="pct"/>
                  <w:shd w:val="clear" w:color="auto" w:fill="auto"/>
                  <w:vAlign w:val="center"/>
                </w:tcPr>
                <w:p w14:paraId="789F0C7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Cs w:val="21"/>
                    </w:rPr>
                    <w:t>119.2472</w:t>
                  </w:r>
                  <w:r>
                    <w:rPr>
                      <w:rFonts w:hint="default" w:ascii="Times New Roman" w:hAnsi="Times New Roman" w:cs="Times New Roman"/>
                      <w:color w:val="auto"/>
                      <w:kern w:val="0"/>
                      <w:szCs w:val="21"/>
                      <w:lang w:val="en-US" w:eastAsia="zh-CN"/>
                    </w:rPr>
                    <w:t>°</w:t>
                  </w:r>
                </w:p>
              </w:tc>
              <w:tc>
                <w:tcPr>
                  <w:tcW w:w="789" w:type="pct"/>
                  <w:shd w:val="clear" w:color="auto" w:fill="auto"/>
                  <w:vAlign w:val="center"/>
                </w:tcPr>
                <w:p w14:paraId="2473E76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Cs w:val="21"/>
                    </w:rPr>
                    <w:t>33.8223</w:t>
                  </w:r>
                  <w:r>
                    <w:rPr>
                      <w:rFonts w:hint="default" w:ascii="Times New Roman" w:hAnsi="Times New Roman" w:cs="Times New Roman"/>
                      <w:color w:val="auto"/>
                      <w:kern w:val="0"/>
                      <w:szCs w:val="21"/>
                      <w:lang w:val="en-US" w:eastAsia="zh-CN"/>
                    </w:rPr>
                    <w:t>°</w:t>
                  </w:r>
                </w:p>
              </w:tc>
              <w:tc>
                <w:tcPr>
                  <w:tcW w:w="611" w:type="pct"/>
                  <w:shd w:val="clear" w:color="auto" w:fill="auto"/>
                  <w:vAlign w:val="center"/>
                </w:tcPr>
                <w:p w14:paraId="2F4DA9D1">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color w:val="auto"/>
                      <w:kern w:val="0"/>
                      <w:szCs w:val="21"/>
                    </w:rPr>
                    <w:t>樊卜小区</w:t>
                  </w:r>
                </w:p>
              </w:tc>
              <w:tc>
                <w:tcPr>
                  <w:tcW w:w="392" w:type="pct"/>
                  <w:shd w:val="clear" w:color="auto" w:fill="auto"/>
                  <w:vAlign w:val="center"/>
                </w:tcPr>
                <w:p w14:paraId="3E94DCD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居民</w:t>
                  </w:r>
                </w:p>
              </w:tc>
              <w:tc>
                <w:tcPr>
                  <w:tcW w:w="484" w:type="pct"/>
                  <w:shd w:val="clear" w:color="auto" w:fill="auto"/>
                  <w:vAlign w:val="center"/>
                </w:tcPr>
                <w:p w14:paraId="32B7593F">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NW</w:t>
                  </w:r>
                </w:p>
              </w:tc>
              <w:tc>
                <w:tcPr>
                  <w:tcW w:w="529" w:type="pct"/>
                  <w:shd w:val="clear" w:color="auto" w:fill="auto"/>
                  <w:vAlign w:val="center"/>
                </w:tcPr>
                <w:p w14:paraId="5833A448">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450</w:t>
                  </w:r>
                </w:p>
              </w:tc>
              <w:tc>
                <w:tcPr>
                  <w:tcW w:w="1173" w:type="pct"/>
                  <w:vMerge w:val="restart"/>
                  <w:shd w:val="clear" w:color="auto" w:fill="auto"/>
                  <w:vAlign w:val="center"/>
                </w:tcPr>
                <w:p w14:paraId="156187E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w:t>
                  </w:r>
                  <w:r>
                    <w:rPr>
                      <w:rFonts w:hint="eastAsia"/>
                      <w:color w:val="auto"/>
                      <w:szCs w:val="21"/>
                      <w:highlight w:val="none"/>
                    </w:rPr>
                    <w:t>环境空气质量标准》（GB3095-2012）及其修改单二级标准</w:t>
                  </w:r>
                </w:p>
              </w:tc>
            </w:tr>
            <w:tr w14:paraId="18CAE6E3">
              <w:trPr>
                <w:trHeight w:val="486" w:hRule="atLeast"/>
                <w:jc w:val="center"/>
              </w:trPr>
              <w:tc>
                <w:tcPr>
                  <w:tcW w:w="205" w:type="pct"/>
                  <w:vMerge w:val="continue"/>
                  <w:shd w:val="clear" w:color="auto" w:fill="auto"/>
                  <w:vAlign w:val="center"/>
                </w:tcPr>
                <w:p w14:paraId="7A3267B0">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p>
              </w:tc>
              <w:tc>
                <w:tcPr>
                  <w:tcW w:w="813" w:type="pct"/>
                  <w:shd w:val="clear" w:color="auto" w:fill="auto"/>
                  <w:vAlign w:val="center"/>
                </w:tcPr>
                <w:p w14:paraId="6AC522B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Cs w:val="21"/>
                    </w:rPr>
                    <w:t>119.2511</w:t>
                  </w:r>
                  <w:r>
                    <w:rPr>
                      <w:rFonts w:hint="default" w:ascii="Times New Roman" w:hAnsi="Times New Roman" w:cs="Times New Roman"/>
                      <w:color w:val="auto"/>
                      <w:kern w:val="0"/>
                      <w:szCs w:val="21"/>
                      <w:lang w:val="en-US" w:eastAsia="zh-CN"/>
                    </w:rPr>
                    <w:t>°</w:t>
                  </w:r>
                </w:p>
              </w:tc>
              <w:tc>
                <w:tcPr>
                  <w:tcW w:w="789" w:type="pct"/>
                  <w:shd w:val="clear" w:color="auto" w:fill="auto"/>
                  <w:vAlign w:val="center"/>
                </w:tcPr>
                <w:p w14:paraId="10FF0D1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Cs w:val="21"/>
                    </w:rPr>
                    <w:t>33.8244</w:t>
                  </w:r>
                  <w:r>
                    <w:rPr>
                      <w:rFonts w:hint="default" w:ascii="Times New Roman" w:hAnsi="Times New Roman" w:cs="Times New Roman"/>
                      <w:color w:val="auto"/>
                      <w:kern w:val="0"/>
                      <w:szCs w:val="21"/>
                      <w:lang w:val="en-US" w:eastAsia="zh-CN"/>
                    </w:rPr>
                    <w:t>°</w:t>
                  </w:r>
                </w:p>
              </w:tc>
              <w:tc>
                <w:tcPr>
                  <w:tcW w:w="611" w:type="pct"/>
                  <w:shd w:val="clear" w:color="auto" w:fill="auto"/>
                  <w:vAlign w:val="center"/>
                </w:tcPr>
                <w:p w14:paraId="4EA77335">
                  <w:pPr>
                    <w:keepNext w:val="0"/>
                    <w:keepLines w:val="0"/>
                    <w:suppressLineNumbers w:val="0"/>
                    <w:adjustRightInd w:val="0"/>
                    <w:snapToGrid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刘庄</w:t>
                  </w:r>
                </w:p>
              </w:tc>
              <w:tc>
                <w:tcPr>
                  <w:tcW w:w="392" w:type="pct"/>
                  <w:shd w:val="clear" w:color="auto" w:fill="auto"/>
                  <w:vAlign w:val="center"/>
                </w:tcPr>
                <w:p w14:paraId="55215E9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居民</w:t>
                  </w:r>
                </w:p>
              </w:tc>
              <w:tc>
                <w:tcPr>
                  <w:tcW w:w="484" w:type="pct"/>
                  <w:shd w:val="clear" w:color="auto" w:fill="auto"/>
                  <w:vAlign w:val="center"/>
                </w:tcPr>
                <w:p w14:paraId="1AF110B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N</w:t>
                  </w:r>
                </w:p>
              </w:tc>
              <w:tc>
                <w:tcPr>
                  <w:tcW w:w="529" w:type="pct"/>
                  <w:shd w:val="clear" w:color="auto" w:fill="auto"/>
                  <w:vAlign w:val="center"/>
                </w:tcPr>
                <w:p w14:paraId="7600E8E0">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480</w:t>
                  </w:r>
                </w:p>
              </w:tc>
              <w:tc>
                <w:tcPr>
                  <w:tcW w:w="1173" w:type="pct"/>
                  <w:vMerge w:val="continue"/>
                  <w:shd w:val="clear" w:color="auto" w:fill="auto"/>
                  <w:vAlign w:val="center"/>
                </w:tcPr>
                <w:p w14:paraId="19C76724">
                  <w:pPr>
                    <w:keepNext w:val="0"/>
                    <w:keepLines w:val="0"/>
                    <w:suppressLineNumbers w:val="0"/>
                    <w:spacing w:before="0" w:beforeAutospacing="0" w:after="0" w:afterAutospacing="0"/>
                    <w:ind w:left="0" w:right="0"/>
                    <w:jc w:val="center"/>
                    <w:rPr>
                      <w:rFonts w:hint="eastAsia"/>
                      <w:color w:val="auto"/>
                      <w:szCs w:val="21"/>
                      <w:highlight w:val="none"/>
                    </w:rPr>
                  </w:pPr>
                </w:p>
              </w:tc>
            </w:tr>
            <w:tr w14:paraId="64C7CC9A">
              <w:trPr>
                <w:trHeight w:val="316" w:hRule="atLeast"/>
                <w:jc w:val="center"/>
              </w:trPr>
              <w:tc>
                <w:tcPr>
                  <w:tcW w:w="1808" w:type="pct"/>
                  <w:gridSpan w:val="3"/>
                  <w:shd w:val="clear" w:color="auto" w:fill="auto"/>
                  <w:vAlign w:val="center"/>
                </w:tcPr>
                <w:p w14:paraId="0CFBC37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w:t>
                  </w:r>
                  <w:r>
                    <w:rPr>
                      <w:rFonts w:hint="eastAsia" w:hAnsi="宋体"/>
                      <w:color w:val="auto"/>
                      <w:szCs w:val="21"/>
                      <w:highlight w:val="none"/>
                    </w:rPr>
                    <w:t>表</w:t>
                  </w:r>
                  <w:r>
                    <w:rPr>
                      <w:rFonts w:hAnsi="宋体"/>
                      <w:color w:val="auto"/>
                      <w:szCs w:val="21"/>
                      <w:highlight w:val="none"/>
                    </w:rPr>
                    <w:t>水环境</w:t>
                  </w:r>
                </w:p>
              </w:tc>
              <w:tc>
                <w:tcPr>
                  <w:tcW w:w="611" w:type="pct"/>
                  <w:shd w:val="clear" w:color="auto" w:fill="auto"/>
                  <w:vAlign w:val="center"/>
                </w:tcPr>
                <w:p w14:paraId="1CE06942">
                  <w:pPr>
                    <w:pStyle w:val="9"/>
                    <w:keepNext w:val="0"/>
                    <w:keepLines w:val="0"/>
                    <w:suppressLineNumbers w:val="0"/>
                    <w:spacing w:before="0" w:beforeAutospacing="0" w:after="0" w:afterAutospacing="0"/>
                    <w:ind w:left="0" w:right="0" w:firstLine="0" w:firstLineChars="0"/>
                    <w:jc w:val="center"/>
                    <w:rPr>
                      <w:rFonts w:ascii="Times New Roman" w:eastAsia="宋体"/>
                      <w:color w:val="auto"/>
                      <w:sz w:val="21"/>
                      <w:szCs w:val="21"/>
                      <w:highlight w:val="none"/>
                    </w:rPr>
                  </w:pPr>
                  <w:r>
                    <w:rPr>
                      <w:rFonts w:ascii="Times New Roman" w:hAnsi="宋体" w:eastAsia="宋体"/>
                      <w:color w:val="auto"/>
                      <w:sz w:val="21"/>
                      <w:szCs w:val="21"/>
                      <w:highlight w:val="none"/>
                    </w:rPr>
                    <w:t>盐河</w:t>
                  </w:r>
                </w:p>
              </w:tc>
              <w:tc>
                <w:tcPr>
                  <w:tcW w:w="392" w:type="pct"/>
                  <w:shd w:val="clear" w:color="auto" w:fill="auto"/>
                  <w:vAlign w:val="center"/>
                </w:tcPr>
                <w:p w14:paraId="214C7AC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水体</w:t>
                  </w:r>
                </w:p>
              </w:tc>
              <w:tc>
                <w:tcPr>
                  <w:tcW w:w="484" w:type="pct"/>
                  <w:shd w:val="clear" w:color="auto" w:fill="auto"/>
                  <w:vAlign w:val="center"/>
                </w:tcPr>
                <w:p w14:paraId="3617FD54">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N</w:t>
                  </w:r>
                </w:p>
              </w:tc>
              <w:tc>
                <w:tcPr>
                  <w:tcW w:w="529" w:type="pct"/>
                  <w:shd w:val="clear" w:color="auto" w:fill="auto"/>
                  <w:vAlign w:val="center"/>
                </w:tcPr>
                <w:p w14:paraId="188ACFC6">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85</w:t>
                  </w:r>
                  <w:r>
                    <w:rPr>
                      <w:rFonts w:hint="eastAsia"/>
                      <w:color w:val="auto"/>
                      <w:szCs w:val="21"/>
                      <w:highlight w:val="none"/>
                    </w:rPr>
                    <w:t>0</w:t>
                  </w:r>
                </w:p>
              </w:tc>
              <w:tc>
                <w:tcPr>
                  <w:tcW w:w="1173" w:type="pct"/>
                  <w:shd w:val="clear" w:color="auto" w:fill="auto"/>
                  <w:vAlign w:val="center"/>
                </w:tcPr>
                <w:p w14:paraId="69D4E52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《地表水环境质量标准》（</w:t>
                  </w:r>
                  <w:r>
                    <w:rPr>
                      <w:color w:val="auto"/>
                      <w:szCs w:val="21"/>
                      <w:highlight w:val="none"/>
                    </w:rPr>
                    <w:t>GB3838-2002</w:t>
                  </w:r>
                  <w:r>
                    <w:rPr>
                      <w:rFonts w:hAnsi="宋体"/>
                      <w:color w:val="auto"/>
                      <w:szCs w:val="21"/>
                      <w:highlight w:val="none"/>
                    </w:rPr>
                    <w:t>）Ⅲ类标准</w:t>
                  </w:r>
                </w:p>
              </w:tc>
            </w:tr>
            <w:tr w14:paraId="542ACEF2">
              <w:trPr>
                <w:trHeight w:val="316" w:hRule="atLeast"/>
                <w:jc w:val="center"/>
              </w:trPr>
              <w:tc>
                <w:tcPr>
                  <w:tcW w:w="1808" w:type="pct"/>
                  <w:gridSpan w:val="3"/>
                  <w:shd w:val="clear" w:color="auto" w:fill="auto"/>
                  <w:vAlign w:val="center"/>
                </w:tcPr>
                <w:p w14:paraId="437CF94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声环境</w:t>
                  </w:r>
                </w:p>
              </w:tc>
              <w:tc>
                <w:tcPr>
                  <w:tcW w:w="3191" w:type="pct"/>
                  <w:gridSpan w:val="5"/>
                  <w:shd w:val="clear" w:color="auto" w:fill="auto"/>
                  <w:vAlign w:val="center"/>
                </w:tcPr>
                <w:p w14:paraId="111A808E">
                  <w:pPr>
                    <w:keepNext w:val="0"/>
                    <w:keepLines w:val="0"/>
                    <w:suppressLineNumbers w:val="0"/>
                    <w:spacing w:before="0" w:beforeAutospacing="0" w:after="0" w:afterAutospacing="0"/>
                    <w:ind w:left="0" w:right="0"/>
                    <w:jc w:val="center"/>
                    <w:rPr>
                      <w:color w:val="auto"/>
                      <w:szCs w:val="21"/>
                      <w:highlight w:val="none"/>
                    </w:rPr>
                  </w:pPr>
                  <w:r>
                    <w:rPr>
                      <w:rFonts w:hAnsi="宋体"/>
                      <w:color w:val="auto"/>
                      <w:highlight w:val="none"/>
                    </w:rPr>
                    <w:t>项目厂界外</w:t>
                  </w:r>
                  <w:r>
                    <w:rPr>
                      <w:color w:val="auto"/>
                      <w:highlight w:val="none"/>
                    </w:rPr>
                    <w:t>50</w:t>
                  </w:r>
                  <w:r>
                    <w:rPr>
                      <w:rFonts w:hAnsi="宋体"/>
                      <w:color w:val="auto"/>
                      <w:highlight w:val="none"/>
                    </w:rPr>
                    <w:t>米范围内的无声环境敏感目标</w:t>
                  </w:r>
                </w:p>
              </w:tc>
            </w:tr>
            <w:tr w14:paraId="20E3F569">
              <w:trPr>
                <w:trHeight w:val="316" w:hRule="atLeast"/>
                <w:jc w:val="center"/>
              </w:trPr>
              <w:tc>
                <w:tcPr>
                  <w:tcW w:w="1808" w:type="pct"/>
                  <w:gridSpan w:val="3"/>
                  <w:shd w:val="clear" w:color="auto" w:fill="auto"/>
                  <w:vAlign w:val="center"/>
                </w:tcPr>
                <w:p w14:paraId="60D0121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地下水环境</w:t>
                  </w:r>
                </w:p>
              </w:tc>
              <w:tc>
                <w:tcPr>
                  <w:tcW w:w="3191" w:type="pct"/>
                  <w:gridSpan w:val="5"/>
                  <w:shd w:val="clear" w:color="auto" w:fill="auto"/>
                  <w:vAlign w:val="center"/>
                </w:tcPr>
                <w:p w14:paraId="676493FE">
                  <w:pPr>
                    <w:keepNext w:val="0"/>
                    <w:keepLines w:val="0"/>
                    <w:suppressLineNumbers w:val="0"/>
                    <w:spacing w:before="0" w:beforeAutospacing="0" w:after="0" w:afterAutospacing="0"/>
                    <w:ind w:left="0" w:right="0"/>
                    <w:jc w:val="center"/>
                    <w:rPr>
                      <w:color w:val="auto"/>
                      <w:szCs w:val="21"/>
                      <w:highlight w:val="none"/>
                    </w:rPr>
                  </w:pPr>
                  <w:r>
                    <w:rPr>
                      <w:rFonts w:hAnsi="宋体"/>
                      <w:color w:val="auto"/>
                      <w:highlight w:val="none"/>
                    </w:rPr>
                    <w:t>项目厂界外</w:t>
                  </w:r>
                  <w:r>
                    <w:rPr>
                      <w:color w:val="auto"/>
                      <w:highlight w:val="none"/>
                    </w:rPr>
                    <w:t>500</w:t>
                  </w:r>
                  <w:r>
                    <w:rPr>
                      <w:rFonts w:hAnsi="宋体"/>
                      <w:color w:val="auto"/>
                      <w:highlight w:val="none"/>
                    </w:rPr>
                    <w:t>米范围内的无地下水集中式饮用水水源和热水、矿泉水、温泉等特殊地下水资源</w:t>
                  </w:r>
                </w:p>
              </w:tc>
            </w:tr>
            <w:tr w14:paraId="755BAE5B">
              <w:trPr>
                <w:trHeight w:val="316" w:hRule="atLeast"/>
                <w:jc w:val="center"/>
              </w:trPr>
              <w:tc>
                <w:tcPr>
                  <w:tcW w:w="1808" w:type="pct"/>
                  <w:gridSpan w:val="3"/>
                  <w:shd w:val="clear" w:color="auto" w:fill="auto"/>
                  <w:vAlign w:val="center"/>
                </w:tcPr>
                <w:p w14:paraId="3C42F85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生态环境</w:t>
                  </w:r>
                </w:p>
              </w:tc>
              <w:tc>
                <w:tcPr>
                  <w:tcW w:w="3191" w:type="pct"/>
                  <w:gridSpan w:val="5"/>
                  <w:shd w:val="clear" w:color="auto" w:fill="auto"/>
                  <w:vAlign w:val="center"/>
                </w:tcPr>
                <w:p w14:paraId="43272575">
                  <w:pPr>
                    <w:keepNext w:val="0"/>
                    <w:keepLines w:val="0"/>
                    <w:suppressLineNumbers w:val="0"/>
                    <w:spacing w:before="0" w:beforeAutospacing="0" w:after="0" w:afterAutospacing="0"/>
                    <w:ind w:left="0" w:right="0"/>
                    <w:jc w:val="center"/>
                    <w:rPr>
                      <w:color w:val="auto"/>
                      <w:szCs w:val="21"/>
                      <w:highlight w:val="none"/>
                    </w:rPr>
                  </w:pPr>
                  <w:r>
                    <w:rPr>
                      <w:rFonts w:hAnsi="宋体"/>
                      <w:color w:val="auto"/>
                      <w:highlight w:val="none"/>
                    </w:rPr>
                    <w:t>本项目用地范围内无生态环境保护目标</w:t>
                  </w:r>
                </w:p>
              </w:tc>
            </w:tr>
          </w:tbl>
          <w:p w14:paraId="58BC4E60">
            <w:pPr>
              <w:keepNext w:val="0"/>
              <w:keepLines w:val="0"/>
              <w:suppressLineNumbers w:val="0"/>
              <w:spacing w:before="0" w:beforeAutospacing="0" w:after="0" w:afterAutospacing="0"/>
              <w:ind w:left="0" w:right="0"/>
              <w:rPr>
                <w:color w:val="auto"/>
                <w:szCs w:val="21"/>
                <w:highlight w:val="none"/>
              </w:rPr>
            </w:pPr>
          </w:p>
        </w:tc>
      </w:tr>
      <w:tr w14:paraId="23202380">
        <w:trPr>
          <w:trHeight w:val="352" w:hRule="atLeast"/>
          <w:jc w:val="center"/>
        </w:trPr>
        <w:tc>
          <w:tcPr>
            <w:tcW w:w="357" w:type="dxa"/>
            <w:tcMar>
              <w:left w:w="28" w:type="dxa"/>
              <w:right w:w="28" w:type="dxa"/>
            </w:tcMar>
            <w:vAlign w:val="center"/>
          </w:tcPr>
          <w:p w14:paraId="099BAED4">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污染</w:t>
            </w:r>
          </w:p>
          <w:p w14:paraId="4C184C23">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物排</w:t>
            </w:r>
          </w:p>
          <w:p w14:paraId="04F9E6E1">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int="eastAsia" w:hAnsi="宋体"/>
                <w:color w:val="auto"/>
                <w:kern w:val="0"/>
                <w:sz w:val="24"/>
                <w:highlight w:val="none"/>
                <w:lang w:eastAsia="zh-CN"/>
              </w:rPr>
              <w:t>防控</w:t>
            </w:r>
          </w:p>
          <w:p w14:paraId="1A21784B">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制标</w:t>
            </w:r>
          </w:p>
          <w:p w14:paraId="3805E9CD">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准</w:t>
            </w:r>
          </w:p>
        </w:tc>
        <w:tc>
          <w:tcPr>
            <w:tcW w:w="8633" w:type="dxa"/>
            <w:vAlign w:val="center"/>
          </w:tcPr>
          <w:p w14:paraId="1F0B72F9">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3.8</w:t>
            </w:r>
            <w:r>
              <w:rPr>
                <w:rFonts w:hAnsi="宋体"/>
                <w:b/>
                <w:color w:val="auto"/>
                <w:kern w:val="0"/>
                <w:sz w:val="24"/>
                <w:highlight w:val="none"/>
                <w:lang w:val="zh-CN"/>
              </w:rPr>
              <w:t>污染物排放控制标准</w:t>
            </w:r>
          </w:p>
          <w:p w14:paraId="24C5F59B">
            <w:pPr>
              <w:keepNext w:val="0"/>
              <w:keepLines w:val="0"/>
              <w:suppressLineNumbers w:val="0"/>
              <w:wordWrap w:val="0"/>
              <w:adjustRightInd w:val="0"/>
              <w:snapToGrid w:val="0"/>
              <w:spacing w:before="0" w:beforeAutospacing="0" w:after="0" w:afterAutospacing="0" w:line="360" w:lineRule="auto"/>
              <w:ind w:left="0" w:right="105" w:rightChars="50" w:firstLine="482" w:firstLineChars="200"/>
              <w:rPr>
                <w:b/>
                <w:color w:val="auto"/>
                <w:sz w:val="24"/>
                <w:highlight w:val="none"/>
              </w:rPr>
            </w:pPr>
            <w:r>
              <w:rPr>
                <w:b/>
                <w:color w:val="auto"/>
                <w:sz w:val="24"/>
                <w:highlight w:val="none"/>
              </w:rPr>
              <w:t>1.</w:t>
            </w:r>
            <w:r>
              <w:rPr>
                <w:rFonts w:hAnsi="宋体"/>
                <w:b/>
                <w:color w:val="auto"/>
                <w:sz w:val="24"/>
                <w:highlight w:val="none"/>
              </w:rPr>
              <w:t>水污染排放标准</w:t>
            </w:r>
          </w:p>
          <w:p w14:paraId="708B89F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本项目</w:t>
            </w:r>
            <w:r>
              <w:rPr>
                <w:rFonts w:hint="eastAsia"/>
                <w:color w:val="auto"/>
                <w:sz w:val="24"/>
                <w:highlight w:val="none"/>
              </w:rPr>
              <w:t>废水</w:t>
            </w:r>
            <w:r>
              <w:rPr>
                <w:color w:val="auto"/>
                <w:sz w:val="24"/>
                <w:highlight w:val="none"/>
              </w:rPr>
              <w:t>主要为</w:t>
            </w:r>
            <w:r>
              <w:rPr>
                <w:rFonts w:hint="eastAsia"/>
                <w:color w:val="auto"/>
                <w:sz w:val="24"/>
                <w:highlight w:val="none"/>
                <w:lang w:val="en-US" w:eastAsia="zh-CN"/>
              </w:rPr>
              <w:t>综合生活污水和超声波清洗废水</w:t>
            </w:r>
            <w:r>
              <w:rPr>
                <w:rFonts w:hint="eastAsia"/>
                <w:color w:val="auto"/>
                <w:sz w:val="24"/>
                <w:highlight w:val="none"/>
              </w:rPr>
              <w:t>，</w:t>
            </w:r>
            <w:r>
              <w:rPr>
                <w:rFonts w:hint="eastAsia"/>
                <w:color w:val="auto"/>
                <w:sz w:val="24"/>
                <w:highlight w:val="none"/>
                <w:lang w:val="en-US" w:eastAsia="zh-CN"/>
              </w:rPr>
              <w:t>综合生活污水经隔油池+</w:t>
            </w:r>
            <w:r>
              <w:rPr>
                <w:color w:val="auto"/>
                <w:sz w:val="24"/>
                <w:szCs w:val="32"/>
                <w:highlight w:val="none"/>
              </w:rPr>
              <w:t>化粪池处理后</w:t>
            </w:r>
            <w:r>
              <w:rPr>
                <w:rFonts w:hint="eastAsia"/>
                <w:color w:val="auto"/>
                <w:sz w:val="24"/>
                <w:szCs w:val="32"/>
                <w:highlight w:val="none"/>
                <w:lang w:val="en-US" w:eastAsia="zh-CN"/>
              </w:rPr>
              <w:t>和经气浮+混凝沉淀处理后的超声波清洗废水共同</w:t>
            </w:r>
            <w:r>
              <w:rPr>
                <w:color w:val="auto"/>
                <w:sz w:val="24"/>
                <w:highlight w:val="none"/>
              </w:rPr>
              <w:t>接管至</w:t>
            </w:r>
            <w:r>
              <w:rPr>
                <w:rFonts w:hint="eastAsia" w:ascii="宋体" w:hAnsi="宋体"/>
                <w:color w:val="auto"/>
                <w:sz w:val="24"/>
                <w:szCs w:val="24"/>
                <w:highlight w:val="none"/>
              </w:rPr>
              <w:t>涟水经济开发区西区污水处理厂</w:t>
            </w:r>
            <w:r>
              <w:rPr>
                <w:color w:val="auto"/>
                <w:sz w:val="24"/>
                <w:highlight w:val="none"/>
              </w:rPr>
              <w:t>，处理</w:t>
            </w:r>
            <w:r>
              <w:rPr>
                <w:rFonts w:hint="eastAsia"/>
                <w:color w:val="auto"/>
                <w:sz w:val="24"/>
                <w:highlight w:val="none"/>
                <w:lang w:eastAsia="zh-CN"/>
              </w:rPr>
              <w:t>达到</w:t>
            </w:r>
            <w:r>
              <w:rPr>
                <w:color w:val="auto"/>
                <w:sz w:val="24"/>
                <w:highlight w:val="none"/>
              </w:rPr>
              <w:t>《城镇污水处理厂污染物排放标准》（GB18918-2002）一级A标准，尾水排入</w:t>
            </w:r>
            <w:r>
              <w:rPr>
                <w:rFonts w:hint="eastAsia"/>
                <w:color w:val="auto"/>
                <w:sz w:val="24"/>
                <w:highlight w:val="none"/>
                <w:lang w:val="en-US" w:eastAsia="zh-CN"/>
              </w:rPr>
              <w:t>公兴</w:t>
            </w:r>
            <w:r>
              <w:rPr>
                <w:color w:val="auto"/>
                <w:sz w:val="24"/>
                <w:highlight w:val="none"/>
              </w:rPr>
              <w:t>河，</w:t>
            </w:r>
            <w:r>
              <w:rPr>
                <w:color w:val="auto"/>
                <w:kern w:val="0"/>
                <w:sz w:val="24"/>
                <w:szCs w:val="20"/>
                <w:highlight w:val="none"/>
              </w:rPr>
              <w:t>具体标准值</w:t>
            </w:r>
            <w:r>
              <w:rPr>
                <w:color w:val="auto"/>
                <w:kern w:val="0"/>
                <w:sz w:val="24"/>
                <w:highlight w:val="none"/>
              </w:rPr>
              <w:t>详见下表</w:t>
            </w:r>
            <w:r>
              <w:rPr>
                <w:color w:val="auto"/>
                <w:spacing w:val="-6"/>
                <w:kern w:val="0"/>
                <w:sz w:val="24"/>
                <w:szCs w:val="20"/>
                <w:highlight w:val="none"/>
              </w:rPr>
              <w:t>。</w:t>
            </w:r>
          </w:p>
          <w:p w14:paraId="0E158534">
            <w:pPr>
              <w:keepNext w:val="0"/>
              <w:keepLines w:val="0"/>
              <w:suppressLineNumbers w:val="0"/>
              <w:adjustRightInd w:val="0"/>
              <w:snapToGrid w:val="0"/>
              <w:spacing w:before="0" w:beforeAutospacing="0" w:after="0" w:afterAutospacing="0"/>
              <w:ind w:left="0" w:right="0"/>
              <w:jc w:val="center"/>
              <w:rPr>
                <w:bCs/>
                <w:color w:val="auto"/>
                <w:spacing w:val="-28"/>
                <w:kern w:val="0"/>
                <w:sz w:val="24"/>
                <w:highlight w:val="none"/>
              </w:rPr>
            </w:pPr>
            <w:r>
              <w:rPr>
                <w:b/>
                <w:color w:val="auto"/>
                <w:sz w:val="24"/>
                <w:highlight w:val="none"/>
              </w:rPr>
              <w:t>表3-</w:t>
            </w:r>
            <w:r>
              <w:rPr>
                <w:rFonts w:hint="eastAsia"/>
                <w:b/>
                <w:color w:val="auto"/>
                <w:sz w:val="24"/>
                <w:highlight w:val="none"/>
              </w:rPr>
              <w:t>2</w:t>
            </w:r>
            <w:r>
              <w:rPr>
                <w:b/>
                <w:bCs/>
                <w:color w:val="auto"/>
                <w:kern w:val="0"/>
                <w:sz w:val="24"/>
                <w:highlight w:val="none"/>
              </w:rPr>
              <w:t>水污染物接管标准和排放标准</w:t>
            </w:r>
            <w:r>
              <w:rPr>
                <w:rFonts w:hint="eastAsia"/>
                <w:b/>
                <w:bCs/>
                <w:color w:val="auto"/>
                <w:kern w:val="0"/>
                <w:sz w:val="24"/>
                <w:highlight w:val="none"/>
              </w:rPr>
              <w:t xml:space="preserve"> </w:t>
            </w:r>
            <w:r>
              <w:rPr>
                <w:bCs/>
                <w:color w:val="auto"/>
                <w:kern w:val="0"/>
                <w:szCs w:val="21"/>
                <w:highlight w:val="none"/>
              </w:rPr>
              <w:t>单位：pH无量纲，其余单位为mg/L</w:t>
            </w:r>
          </w:p>
          <w:tbl>
            <w:tblPr>
              <w:tblStyle w:val="88"/>
              <w:tblW w:w="482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190"/>
              <w:gridCol w:w="1063"/>
              <w:gridCol w:w="1070"/>
              <w:gridCol w:w="990"/>
              <w:gridCol w:w="940"/>
              <w:gridCol w:w="827"/>
              <w:gridCol w:w="923"/>
            </w:tblGrid>
            <w:tr w14:paraId="26BA19EC">
              <w:trPr>
                <w:cantSplit/>
                <w:trHeight w:val="397" w:hRule="atLeast"/>
                <w:jc w:val="center"/>
              </w:trPr>
              <w:tc>
                <w:tcPr>
                  <w:tcW w:w="1111" w:type="dxa"/>
                  <w:vAlign w:val="center"/>
                </w:tcPr>
                <w:p w14:paraId="65EB1614">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项目</w:t>
                  </w:r>
                </w:p>
              </w:tc>
              <w:tc>
                <w:tcPr>
                  <w:tcW w:w="1190" w:type="dxa"/>
                  <w:vAlign w:val="center"/>
                </w:tcPr>
                <w:p w14:paraId="2066FD0D">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pH</w:t>
                  </w:r>
                </w:p>
              </w:tc>
              <w:tc>
                <w:tcPr>
                  <w:tcW w:w="1063" w:type="dxa"/>
                  <w:vAlign w:val="center"/>
                </w:tcPr>
                <w:p w14:paraId="212CA31E">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COD</w:t>
                  </w:r>
                </w:p>
              </w:tc>
              <w:tc>
                <w:tcPr>
                  <w:tcW w:w="1070" w:type="dxa"/>
                  <w:vAlign w:val="center"/>
                </w:tcPr>
                <w:p w14:paraId="7624E938">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NH</w:t>
                  </w:r>
                  <w:r>
                    <w:rPr>
                      <w:b/>
                      <w:bCs/>
                      <w:color w:val="auto"/>
                      <w:kern w:val="0"/>
                      <w:szCs w:val="21"/>
                      <w:highlight w:val="none"/>
                      <w:vertAlign w:val="subscript"/>
                    </w:rPr>
                    <w:t>3</w:t>
                  </w:r>
                  <w:r>
                    <w:rPr>
                      <w:b/>
                      <w:bCs/>
                      <w:color w:val="auto"/>
                      <w:kern w:val="0"/>
                      <w:szCs w:val="21"/>
                      <w:highlight w:val="none"/>
                    </w:rPr>
                    <w:t>-N</w:t>
                  </w:r>
                </w:p>
              </w:tc>
              <w:tc>
                <w:tcPr>
                  <w:tcW w:w="990" w:type="dxa"/>
                  <w:vAlign w:val="center"/>
                </w:tcPr>
                <w:p w14:paraId="105D9B5A">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TN</w:t>
                  </w:r>
                </w:p>
              </w:tc>
              <w:tc>
                <w:tcPr>
                  <w:tcW w:w="940" w:type="dxa"/>
                  <w:vAlign w:val="center"/>
                </w:tcPr>
                <w:p w14:paraId="05197600">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TP</w:t>
                  </w:r>
                </w:p>
              </w:tc>
              <w:tc>
                <w:tcPr>
                  <w:tcW w:w="827" w:type="dxa"/>
                  <w:vAlign w:val="center"/>
                </w:tcPr>
                <w:p w14:paraId="3C819B9B">
                  <w:pPr>
                    <w:keepNext w:val="0"/>
                    <w:keepLines w:val="0"/>
                    <w:widowControl/>
                    <w:suppressLineNumbers w:val="0"/>
                    <w:spacing w:before="0" w:beforeAutospacing="0" w:after="0" w:afterAutospacing="0"/>
                    <w:ind w:left="0" w:right="0"/>
                    <w:jc w:val="center"/>
                    <w:rPr>
                      <w:b/>
                      <w:bCs/>
                      <w:color w:val="auto"/>
                      <w:kern w:val="0"/>
                      <w:szCs w:val="21"/>
                      <w:highlight w:val="none"/>
                    </w:rPr>
                  </w:pPr>
                  <w:r>
                    <w:rPr>
                      <w:b/>
                      <w:bCs/>
                      <w:color w:val="auto"/>
                      <w:kern w:val="0"/>
                      <w:szCs w:val="21"/>
                      <w:highlight w:val="none"/>
                    </w:rPr>
                    <w:t>SS</w:t>
                  </w:r>
                </w:p>
              </w:tc>
              <w:tc>
                <w:tcPr>
                  <w:tcW w:w="923" w:type="dxa"/>
                  <w:vAlign w:val="center"/>
                </w:tcPr>
                <w:p w14:paraId="2961316D">
                  <w:pPr>
                    <w:keepNext w:val="0"/>
                    <w:keepLines w:val="0"/>
                    <w:widowControl/>
                    <w:suppressLineNumbers w:val="0"/>
                    <w:spacing w:before="0" w:beforeAutospacing="0" w:after="0" w:afterAutospacing="0"/>
                    <w:ind w:left="0" w:right="0"/>
                    <w:jc w:val="center"/>
                    <w:rPr>
                      <w:rFonts w:hint="eastAsia" w:eastAsiaTheme="minorEastAsia"/>
                      <w:b/>
                      <w:bCs/>
                      <w:color w:val="auto"/>
                      <w:kern w:val="0"/>
                      <w:szCs w:val="21"/>
                      <w:highlight w:val="none"/>
                      <w:lang w:val="en-US" w:eastAsia="zh-CN"/>
                    </w:rPr>
                  </w:pPr>
                  <w:r>
                    <w:rPr>
                      <w:rFonts w:hint="eastAsia"/>
                      <w:b/>
                      <w:bCs/>
                      <w:color w:val="auto"/>
                      <w:kern w:val="0"/>
                      <w:szCs w:val="21"/>
                      <w:highlight w:val="none"/>
                      <w:lang w:val="en-US" w:eastAsia="zh-CN"/>
                    </w:rPr>
                    <w:t>石油类</w:t>
                  </w:r>
                </w:p>
              </w:tc>
            </w:tr>
            <w:tr w14:paraId="5CBB894E">
              <w:trPr>
                <w:cantSplit/>
                <w:trHeight w:val="397" w:hRule="atLeast"/>
                <w:jc w:val="center"/>
              </w:trPr>
              <w:tc>
                <w:tcPr>
                  <w:tcW w:w="1111" w:type="dxa"/>
                  <w:vAlign w:val="center"/>
                </w:tcPr>
                <w:p w14:paraId="5DD51A55">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接管标准</w:t>
                  </w:r>
                </w:p>
              </w:tc>
              <w:tc>
                <w:tcPr>
                  <w:tcW w:w="1190" w:type="dxa"/>
                  <w:vAlign w:val="center"/>
                </w:tcPr>
                <w:p w14:paraId="57DF7BA6">
                  <w:pPr>
                    <w:keepNext w:val="0"/>
                    <w:keepLines w:val="0"/>
                    <w:widowControl/>
                    <w:suppressLineNumbers w:val="0"/>
                    <w:spacing w:before="0" w:beforeAutospacing="0" w:after="0" w:afterAutospacing="0"/>
                    <w:ind w:left="0" w:right="0"/>
                    <w:jc w:val="center"/>
                    <w:rPr>
                      <w:rFonts w:hint="eastAsia"/>
                      <w:color w:val="auto"/>
                      <w:kern w:val="0"/>
                      <w:szCs w:val="21"/>
                      <w:highlight w:val="none"/>
                      <w:lang w:val="en-US" w:eastAsia="zh-CN"/>
                    </w:rPr>
                  </w:pPr>
                  <w:r>
                    <w:rPr>
                      <w:color w:val="auto"/>
                      <w:kern w:val="0"/>
                      <w:szCs w:val="21"/>
                      <w:highlight w:val="none"/>
                    </w:rPr>
                    <w:t>6</w:t>
                  </w:r>
                  <w:r>
                    <w:rPr>
                      <w:rFonts w:hint="eastAsia"/>
                      <w:color w:val="auto"/>
                      <w:kern w:val="0"/>
                      <w:szCs w:val="21"/>
                      <w:highlight w:val="none"/>
                      <w:lang w:eastAsia="zh-CN"/>
                    </w:rPr>
                    <w:t>.</w:t>
                  </w:r>
                  <w:r>
                    <w:rPr>
                      <w:rFonts w:hint="eastAsia"/>
                      <w:color w:val="auto"/>
                      <w:kern w:val="0"/>
                      <w:szCs w:val="21"/>
                      <w:highlight w:val="none"/>
                      <w:lang w:val="en-US" w:eastAsia="zh-CN"/>
                    </w:rPr>
                    <w:t>5</w:t>
                  </w:r>
                  <w:r>
                    <w:rPr>
                      <w:color w:val="auto"/>
                      <w:kern w:val="0"/>
                      <w:szCs w:val="21"/>
                      <w:highlight w:val="none"/>
                    </w:rPr>
                    <w:t>~9</w:t>
                  </w:r>
                  <w:r>
                    <w:rPr>
                      <w:rFonts w:hint="eastAsia"/>
                      <w:color w:val="auto"/>
                      <w:kern w:val="0"/>
                      <w:szCs w:val="21"/>
                      <w:highlight w:val="none"/>
                      <w:lang w:val="en-US" w:eastAsia="zh-CN"/>
                    </w:rPr>
                    <w:t>.5</w:t>
                  </w:r>
                </w:p>
                <w:p w14:paraId="39B348F4">
                  <w:pPr>
                    <w:keepNext w:val="0"/>
                    <w:keepLines w:val="0"/>
                    <w:widowControl/>
                    <w:suppressLineNumbers w:val="0"/>
                    <w:spacing w:before="0" w:beforeAutospacing="0" w:after="0" w:afterAutospacing="0"/>
                    <w:ind w:left="0" w:right="0"/>
                    <w:jc w:val="center"/>
                    <w:rPr>
                      <w:color w:val="auto"/>
                      <w:kern w:val="0"/>
                      <w:szCs w:val="21"/>
                      <w:highlight w:val="none"/>
                    </w:rPr>
                  </w:pPr>
                  <w:r>
                    <w:rPr>
                      <w:rFonts w:hint="default" w:ascii="Times New Roman" w:hAnsi="Times New Roman" w:eastAsia="宋体" w:cs="Times New Roman"/>
                      <w:color w:val="auto"/>
                      <w:kern w:val="2"/>
                      <w:sz w:val="21"/>
                      <w:szCs w:val="21"/>
                      <w:lang w:val="en-US" w:eastAsia="zh-CN" w:bidi="ar"/>
                    </w:rPr>
                    <w:t>（无量纲）</w:t>
                  </w:r>
                </w:p>
              </w:tc>
              <w:tc>
                <w:tcPr>
                  <w:tcW w:w="1063" w:type="dxa"/>
                  <w:vAlign w:val="center"/>
                </w:tcPr>
                <w:p w14:paraId="038F7DAD">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lang w:val="en-US" w:eastAsia="zh-CN"/>
                    </w:rPr>
                    <w:t>5</w:t>
                  </w:r>
                  <w:r>
                    <w:rPr>
                      <w:color w:val="auto"/>
                      <w:kern w:val="0"/>
                      <w:szCs w:val="21"/>
                      <w:highlight w:val="none"/>
                    </w:rPr>
                    <w:t>00</w:t>
                  </w:r>
                </w:p>
              </w:tc>
              <w:tc>
                <w:tcPr>
                  <w:tcW w:w="1070" w:type="dxa"/>
                  <w:vAlign w:val="center"/>
                </w:tcPr>
                <w:p w14:paraId="0C4F25BF">
                  <w:pPr>
                    <w:keepNext w:val="0"/>
                    <w:keepLines w:val="0"/>
                    <w:widowControl/>
                    <w:suppressLineNumbers w:val="0"/>
                    <w:spacing w:before="0" w:beforeAutospacing="0" w:after="0" w:afterAutospacing="0"/>
                    <w:ind w:left="0" w:right="0"/>
                    <w:jc w:val="center"/>
                    <w:rPr>
                      <w:color w:val="auto"/>
                      <w:kern w:val="0"/>
                      <w:sz w:val="24"/>
                      <w:szCs w:val="20"/>
                      <w:highlight w:val="none"/>
                    </w:rPr>
                  </w:pPr>
                  <w:r>
                    <w:rPr>
                      <w:color w:val="auto"/>
                      <w:kern w:val="0"/>
                      <w:szCs w:val="21"/>
                      <w:highlight w:val="none"/>
                    </w:rPr>
                    <w:t>30</w:t>
                  </w:r>
                </w:p>
              </w:tc>
              <w:tc>
                <w:tcPr>
                  <w:tcW w:w="990" w:type="dxa"/>
                  <w:vAlign w:val="center"/>
                </w:tcPr>
                <w:p w14:paraId="2A79C0E5">
                  <w:pPr>
                    <w:keepNext w:val="0"/>
                    <w:keepLines w:val="0"/>
                    <w:widowControl/>
                    <w:suppressLineNumbers w:val="0"/>
                    <w:spacing w:before="0" w:beforeAutospacing="0" w:after="0" w:afterAutospacing="0"/>
                    <w:ind w:left="0" w:right="0"/>
                    <w:jc w:val="center"/>
                    <w:rPr>
                      <w:rFonts w:hint="default" w:eastAsiaTheme="minorEastAsia"/>
                      <w:color w:val="auto"/>
                      <w:kern w:val="0"/>
                      <w:sz w:val="24"/>
                      <w:szCs w:val="20"/>
                      <w:highlight w:val="none"/>
                      <w:lang w:val="en-US" w:eastAsia="zh-CN"/>
                    </w:rPr>
                  </w:pPr>
                  <w:r>
                    <w:rPr>
                      <w:rFonts w:hint="eastAsia"/>
                      <w:color w:val="auto"/>
                      <w:kern w:val="0"/>
                      <w:szCs w:val="21"/>
                      <w:highlight w:val="none"/>
                      <w:lang w:val="en-US" w:eastAsia="zh-CN"/>
                    </w:rPr>
                    <w:t>45</w:t>
                  </w:r>
                </w:p>
              </w:tc>
              <w:tc>
                <w:tcPr>
                  <w:tcW w:w="940" w:type="dxa"/>
                  <w:vAlign w:val="center"/>
                </w:tcPr>
                <w:p w14:paraId="708CC66E">
                  <w:pPr>
                    <w:keepNext w:val="0"/>
                    <w:keepLines w:val="0"/>
                    <w:widowControl/>
                    <w:suppressLineNumbers w:val="0"/>
                    <w:spacing w:before="0" w:beforeAutospacing="0" w:after="0" w:afterAutospacing="0"/>
                    <w:ind w:left="0" w:right="0"/>
                    <w:jc w:val="center"/>
                    <w:rPr>
                      <w:rFonts w:hint="eastAsia" w:eastAsiaTheme="minorEastAsia"/>
                      <w:color w:val="auto"/>
                      <w:kern w:val="0"/>
                      <w:sz w:val="24"/>
                      <w:szCs w:val="20"/>
                      <w:highlight w:val="none"/>
                      <w:lang w:eastAsia="zh-CN"/>
                    </w:rPr>
                  </w:pPr>
                  <w:r>
                    <w:rPr>
                      <w:rFonts w:hint="eastAsia"/>
                      <w:color w:val="auto"/>
                      <w:kern w:val="0"/>
                      <w:szCs w:val="21"/>
                      <w:highlight w:val="none"/>
                      <w:lang w:val="en-US" w:eastAsia="zh-CN"/>
                    </w:rPr>
                    <w:t>8</w:t>
                  </w:r>
                </w:p>
              </w:tc>
              <w:tc>
                <w:tcPr>
                  <w:tcW w:w="827" w:type="dxa"/>
                  <w:vAlign w:val="center"/>
                </w:tcPr>
                <w:p w14:paraId="748F548B">
                  <w:pPr>
                    <w:keepNext w:val="0"/>
                    <w:keepLines w:val="0"/>
                    <w:widowControl/>
                    <w:suppressLineNumbers w:val="0"/>
                    <w:spacing w:before="0" w:beforeAutospacing="0" w:after="0" w:afterAutospacing="0"/>
                    <w:ind w:left="0" w:right="0"/>
                    <w:jc w:val="center"/>
                    <w:rPr>
                      <w:color w:val="auto"/>
                      <w:kern w:val="0"/>
                      <w:sz w:val="24"/>
                      <w:szCs w:val="20"/>
                      <w:highlight w:val="none"/>
                    </w:rPr>
                  </w:pPr>
                  <w:r>
                    <w:rPr>
                      <w:rFonts w:hint="eastAsia"/>
                      <w:color w:val="auto"/>
                      <w:kern w:val="0"/>
                      <w:szCs w:val="21"/>
                      <w:highlight w:val="none"/>
                      <w:lang w:val="en-US" w:eastAsia="zh-CN"/>
                    </w:rPr>
                    <w:t>40</w:t>
                  </w:r>
                  <w:r>
                    <w:rPr>
                      <w:rFonts w:hint="eastAsia"/>
                      <w:color w:val="auto"/>
                      <w:kern w:val="0"/>
                      <w:szCs w:val="21"/>
                      <w:highlight w:val="none"/>
                    </w:rPr>
                    <w:t>0</w:t>
                  </w:r>
                </w:p>
              </w:tc>
              <w:tc>
                <w:tcPr>
                  <w:tcW w:w="923" w:type="dxa"/>
                  <w:vAlign w:val="center"/>
                </w:tcPr>
                <w:p w14:paraId="663FAED2">
                  <w:pPr>
                    <w:keepNext w:val="0"/>
                    <w:keepLines w:val="0"/>
                    <w:widowControl/>
                    <w:suppressLineNumbers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20</w:t>
                  </w:r>
                </w:p>
              </w:tc>
            </w:tr>
            <w:tr w14:paraId="64D77C73">
              <w:trPr>
                <w:cantSplit/>
                <w:trHeight w:val="397" w:hRule="atLeast"/>
                <w:jc w:val="center"/>
              </w:trPr>
              <w:tc>
                <w:tcPr>
                  <w:tcW w:w="1111" w:type="dxa"/>
                  <w:vAlign w:val="center"/>
                </w:tcPr>
                <w:p w14:paraId="3656F5F1">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排放标准</w:t>
                  </w:r>
                </w:p>
              </w:tc>
              <w:tc>
                <w:tcPr>
                  <w:tcW w:w="1190" w:type="dxa"/>
                  <w:vAlign w:val="center"/>
                </w:tcPr>
                <w:p w14:paraId="12EFCD98">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6~9</w:t>
                  </w:r>
                </w:p>
                <w:p w14:paraId="398FFFE7">
                  <w:pPr>
                    <w:keepNext w:val="0"/>
                    <w:keepLines w:val="0"/>
                    <w:widowControl/>
                    <w:suppressLineNumbers w:val="0"/>
                    <w:spacing w:before="0" w:beforeAutospacing="0" w:after="0" w:afterAutospacing="0"/>
                    <w:ind w:left="0" w:right="0"/>
                    <w:jc w:val="center"/>
                    <w:rPr>
                      <w:color w:val="auto"/>
                      <w:kern w:val="0"/>
                      <w:szCs w:val="21"/>
                      <w:highlight w:val="none"/>
                    </w:rPr>
                  </w:pPr>
                  <w:r>
                    <w:rPr>
                      <w:rFonts w:hint="default" w:ascii="Times New Roman" w:hAnsi="Times New Roman" w:eastAsia="宋体" w:cs="Times New Roman"/>
                      <w:color w:val="auto"/>
                      <w:kern w:val="2"/>
                      <w:sz w:val="21"/>
                      <w:szCs w:val="21"/>
                      <w:lang w:val="en-US" w:eastAsia="zh-CN" w:bidi="ar"/>
                    </w:rPr>
                    <w:t>（无量纲）</w:t>
                  </w:r>
                </w:p>
              </w:tc>
              <w:tc>
                <w:tcPr>
                  <w:tcW w:w="1063" w:type="dxa"/>
                  <w:vAlign w:val="center"/>
                </w:tcPr>
                <w:p w14:paraId="09D3BDE1">
                  <w:pPr>
                    <w:keepNext w:val="0"/>
                    <w:keepLines w:val="0"/>
                    <w:widowControl/>
                    <w:suppressLineNumbers w:val="0"/>
                    <w:spacing w:before="0" w:beforeAutospacing="0" w:after="0" w:afterAutospacing="0"/>
                    <w:ind w:left="0" w:right="0"/>
                    <w:jc w:val="center"/>
                    <w:rPr>
                      <w:color w:val="auto"/>
                      <w:kern w:val="0"/>
                      <w:szCs w:val="21"/>
                      <w:highlight w:val="none"/>
                    </w:rPr>
                  </w:pPr>
                  <w:r>
                    <w:rPr>
                      <w:rFonts w:hint="eastAsia"/>
                      <w:color w:val="auto"/>
                      <w:kern w:val="0"/>
                      <w:szCs w:val="21"/>
                      <w:highlight w:val="none"/>
                    </w:rPr>
                    <w:t>5</w:t>
                  </w:r>
                  <w:r>
                    <w:rPr>
                      <w:color w:val="auto"/>
                      <w:kern w:val="0"/>
                      <w:szCs w:val="21"/>
                      <w:highlight w:val="none"/>
                    </w:rPr>
                    <w:t>0</w:t>
                  </w:r>
                </w:p>
              </w:tc>
              <w:tc>
                <w:tcPr>
                  <w:tcW w:w="1070" w:type="dxa"/>
                  <w:vAlign w:val="center"/>
                </w:tcPr>
                <w:p w14:paraId="18986E5B">
                  <w:pPr>
                    <w:keepNext w:val="0"/>
                    <w:keepLines w:val="0"/>
                    <w:widowControl/>
                    <w:suppressLineNumbers w:val="0"/>
                    <w:spacing w:before="0" w:beforeAutospacing="0" w:after="0" w:afterAutospacing="0"/>
                    <w:ind w:left="0" w:right="0"/>
                    <w:jc w:val="center"/>
                    <w:rPr>
                      <w:color w:val="auto"/>
                      <w:kern w:val="0"/>
                      <w:sz w:val="24"/>
                      <w:szCs w:val="20"/>
                      <w:highlight w:val="none"/>
                    </w:rPr>
                  </w:pPr>
                  <w:r>
                    <w:rPr>
                      <w:rFonts w:hint="eastAsia"/>
                      <w:color w:val="auto"/>
                      <w:kern w:val="0"/>
                      <w:szCs w:val="21"/>
                      <w:highlight w:val="none"/>
                      <w:lang w:eastAsia="zh-CN"/>
                    </w:rPr>
                    <w:t>(</w:t>
                  </w:r>
                  <w:r>
                    <w:rPr>
                      <w:rFonts w:hint="eastAsia"/>
                      <w:color w:val="auto"/>
                      <w:kern w:val="0"/>
                      <w:szCs w:val="21"/>
                      <w:highlight w:val="none"/>
                    </w:rPr>
                    <w:t>5</w:t>
                  </w:r>
                  <w:r>
                    <w:rPr>
                      <w:rFonts w:hint="eastAsia"/>
                      <w:color w:val="auto"/>
                      <w:kern w:val="0"/>
                      <w:szCs w:val="21"/>
                      <w:highlight w:val="none"/>
                      <w:lang w:eastAsia="zh-CN"/>
                    </w:rPr>
                    <w:t>)</w:t>
                  </w:r>
                  <w:r>
                    <w:rPr>
                      <w:rFonts w:hint="eastAsia"/>
                      <w:color w:val="auto"/>
                      <w:kern w:val="0"/>
                      <w:szCs w:val="21"/>
                      <w:highlight w:val="none"/>
                    </w:rPr>
                    <w:t>8</w:t>
                  </w:r>
                  <w:r>
                    <w:rPr>
                      <w:color w:val="auto"/>
                      <w:kern w:val="0"/>
                      <w:szCs w:val="21"/>
                      <w:highlight w:val="none"/>
                      <w:vertAlign w:val="superscript"/>
                    </w:rPr>
                    <w:t>①</w:t>
                  </w:r>
                </w:p>
              </w:tc>
              <w:tc>
                <w:tcPr>
                  <w:tcW w:w="990" w:type="dxa"/>
                  <w:vAlign w:val="center"/>
                </w:tcPr>
                <w:p w14:paraId="24A6A57C">
                  <w:pPr>
                    <w:keepNext w:val="0"/>
                    <w:keepLines w:val="0"/>
                    <w:widowControl/>
                    <w:suppressLineNumbers w:val="0"/>
                    <w:spacing w:before="0" w:beforeAutospacing="0" w:after="0" w:afterAutospacing="0"/>
                    <w:ind w:left="0" w:right="0"/>
                    <w:jc w:val="center"/>
                    <w:rPr>
                      <w:color w:val="auto"/>
                      <w:kern w:val="0"/>
                      <w:sz w:val="24"/>
                      <w:szCs w:val="20"/>
                      <w:highlight w:val="none"/>
                    </w:rPr>
                  </w:pPr>
                  <w:r>
                    <w:rPr>
                      <w:color w:val="auto"/>
                      <w:kern w:val="0"/>
                      <w:szCs w:val="21"/>
                      <w:highlight w:val="none"/>
                    </w:rPr>
                    <w:t>15</w:t>
                  </w:r>
                </w:p>
              </w:tc>
              <w:tc>
                <w:tcPr>
                  <w:tcW w:w="940" w:type="dxa"/>
                  <w:vAlign w:val="center"/>
                </w:tcPr>
                <w:p w14:paraId="31E2E6B8">
                  <w:pPr>
                    <w:keepNext w:val="0"/>
                    <w:keepLines w:val="0"/>
                    <w:widowControl/>
                    <w:suppressLineNumbers w:val="0"/>
                    <w:spacing w:before="0" w:beforeAutospacing="0" w:after="0" w:afterAutospacing="0"/>
                    <w:ind w:left="0" w:right="0"/>
                    <w:jc w:val="center"/>
                    <w:rPr>
                      <w:color w:val="auto"/>
                      <w:kern w:val="0"/>
                      <w:sz w:val="24"/>
                      <w:szCs w:val="20"/>
                      <w:highlight w:val="none"/>
                    </w:rPr>
                  </w:pPr>
                  <w:r>
                    <w:rPr>
                      <w:color w:val="auto"/>
                      <w:kern w:val="0"/>
                      <w:szCs w:val="21"/>
                      <w:highlight w:val="none"/>
                    </w:rPr>
                    <w:t>0.</w:t>
                  </w:r>
                  <w:r>
                    <w:rPr>
                      <w:rFonts w:hint="eastAsia"/>
                      <w:color w:val="auto"/>
                      <w:kern w:val="0"/>
                      <w:szCs w:val="21"/>
                      <w:highlight w:val="none"/>
                    </w:rPr>
                    <w:t>5</w:t>
                  </w:r>
                </w:p>
              </w:tc>
              <w:tc>
                <w:tcPr>
                  <w:tcW w:w="827" w:type="dxa"/>
                  <w:vAlign w:val="center"/>
                </w:tcPr>
                <w:p w14:paraId="415A0A9F">
                  <w:pPr>
                    <w:keepNext w:val="0"/>
                    <w:keepLines w:val="0"/>
                    <w:widowControl/>
                    <w:suppressLineNumbers w:val="0"/>
                    <w:spacing w:before="0" w:beforeAutospacing="0" w:after="0" w:afterAutospacing="0"/>
                    <w:ind w:left="0" w:right="0"/>
                    <w:jc w:val="center"/>
                    <w:rPr>
                      <w:color w:val="auto"/>
                      <w:kern w:val="0"/>
                      <w:sz w:val="24"/>
                      <w:szCs w:val="20"/>
                      <w:highlight w:val="none"/>
                    </w:rPr>
                  </w:pPr>
                  <w:r>
                    <w:rPr>
                      <w:color w:val="auto"/>
                      <w:kern w:val="0"/>
                      <w:szCs w:val="21"/>
                      <w:highlight w:val="none"/>
                    </w:rPr>
                    <w:t>10</w:t>
                  </w:r>
                </w:p>
              </w:tc>
              <w:tc>
                <w:tcPr>
                  <w:tcW w:w="923" w:type="dxa"/>
                  <w:vAlign w:val="center"/>
                </w:tcPr>
                <w:p w14:paraId="50D15F51">
                  <w:pPr>
                    <w:keepNext w:val="0"/>
                    <w:keepLines w:val="0"/>
                    <w:widowControl/>
                    <w:suppressLineNumbers w:val="0"/>
                    <w:spacing w:before="0" w:beforeAutospacing="0" w:after="0" w:afterAutospacing="0"/>
                    <w:ind w:left="0" w:right="0"/>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1</w:t>
                  </w:r>
                </w:p>
              </w:tc>
            </w:tr>
          </w:tbl>
          <w:p w14:paraId="27971ABD">
            <w:pPr>
              <w:keepNext w:val="0"/>
              <w:keepLines w:val="0"/>
              <w:suppressLineNumbers w:val="0"/>
              <w:adjustRightInd w:val="0"/>
              <w:snapToGrid w:val="0"/>
              <w:spacing w:before="0" w:beforeAutospacing="0" w:after="0" w:afterAutospacing="0"/>
              <w:ind w:left="0" w:right="0"/>
              <w:jc w:val="left"/>
              <w:rPr>
                <w:color w:val="auto"/>
                <w:sz w:val="20"/>
                <w:szCs w:val="20"/>
                <w:highlight w:val="none"/>
              </w:rPr>
            </w:pPr>
            <w:r>
              <w:rPr>
                <w:color w:val="auto"/>
                <w:kern w:val="0"/>
                <w:szCs w:val="21"/>
                <w:highlight w:val="none"/>
              </w:rPr>
              <w:t>注：①括号外数值为水温＞12℃时的控制指标，括号内数值为水温≤12℃时的控制指标</w:t>
            </w:r>
            <w:r>
              <w:rPr>
                <w:color w:val="auto"/>
                <w:sz w:val="20"/>
                <w:szCs w:val="20"/>
                <w:highlight w:val="none"/>
              </w:rPr>
              <w:t>。</w:t>
            </w:r>
          </w:p>
          <w:p w14:paraId="507762ED">
            <w:pPr>
              <w:keepNext w:val="0"/>
              <w:keepLines w:val="0"/>
              <w:suppressLineNumbers w:val="0"/>
              <w:wordWrap w:val="0"/>
              <w:adjustRightInd w:val="0"/>
              <w:snapToGrid w:val="0"/>
              <w:spacing w:before="0" w:beforeLines="50" w:beforeAutospacing="0" w:after="0" w:afterAutospacing="0" w:line="360" w:lineRule="auto"/>
              <w:ind w:left="0" w:right="0" w:firstLine="482" w:firstLineChars="200"/>
              <w:rPr>
                <w:b/>
                <w:color w:val="auto"/>
                <w:sz w:val="24"/>
                <w:highlight w:val="none"/>
              </w:rPr>
            </w:pPr>
            <w:r>
              <w:rPr>
                <w:b/>
                <w:color w:val="auto"/>
                <w:sz w:val="24"/>
                <w:highlight w:val="none"/>
              </w:rPr>
              <w:t>2.</w:t>
            </w:r>
            <w:r>
              <w:rPr>
                <w:rFonts w:hAnsi="宋体"/>
                <w:b/>
                <w:color w:val="auto"/>
                <w:sz w:val="24"/>
                <w:highlight w:val="none"/>
              </w:rPr>
              <w:t>大气污染物排放标准</w:t>
            </w:r>
          </w:p>
          <w:p w14:paraId="3B62B12C">
            <w:pPr>
              <w:keepNext w:val="0"/>
              <w:keepLines w:val="0"/>
              <w:suppressLineNumbers w:val="0"/>
              <w:tabs>
                <w:tab w:val="left" w:pos="3353"/>
              </w:tabs>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宋体" w:hAnsi="宋体"/>
                <w:color w:val="auto"/>
                <w:sz w:val="24"/>
                <w:szCs w:val="24"/>
                <w:highlight w:val="none"/>
              </w:rPr>
              <w:t>项目</w:t>
            </w:r>
            <w:r>
              <w:rPr>
                <w:rFonts w:hint="eastAsia" w:ascii="宋体" w:hAnsi="宋体"/>
                <w:color w:val="auto"/>
                <w:sz w:val="24"/>
                <w:szCs w:val="24"/>
                <w:highlight w:val="none"/>
                <w:lang w:val="en-US" w:eastAsia="zh-CN"/>
              </w:rPr>
              <w:t>下料</w:t>
            </w:r>
            <w:r>
              <w:rPr>
                <w:rFonts w:hint="default" w:ascii="Times New Roman" w:hAnsi="Times New Roman" w:cs="Times New Roman"/>
                <w:color w:val="auto"/>
                <w:sz w:val="24"/>
                <w:szCs w:val="24"/>
                <w:highlight w:val="none"/>
              </w:rPr>
              <w:t>、打磨、焊接工序产生的颗粒物执行江苏省《大气污染物综合排放标准》（DB32/4041-2021）表3单位边界大气污染物排放监控浓度限值；喷漆、</w:t>
            </w:r>
            <w:r>
              <w:rPr>
                <w:rFonts w:hint="default" w:ascii="Times New Roman" w:hAnsi="Times New Roman" w:cs="Times New Roman"/>
                <w:color w:val="auto"/>
                <w:sz w:val="24"/>
                <w:szCs w:val="24"/>
                <w:highlight w:val="none"/>
                <w:lang w:val="en-US" w:eastAsia="zh-CN"/>
              </w:rPr>
              <w:t>烘干</w:t>
            </w:r>
            <w:r>
              <w:rPr>
                <w:rFonts w:hint="default" w:ascii="Times New Roman" w:hAnsi="Times New Roman" w:cs="Times New Roman"/>
                <w:color w:val="auto"/>
                <w:sz w:val="24"/>
                <w:szCs w:val="24"/>
                <w:highlight w:val="none"/>
              </w:rPr>
              <w:t>、喷</w:t>
            </w:r>
            <w:r>
              <w:rPr>
                <w:rFonts w:hint="eastAsia" w:cs="Times New Roman"/>
                <w:color w:val="auto"/>
                <w:sz w:val="24"/>
                <w:szCs w:val="24"/>
                <w:highlight w:val="none"/>
                <w:lang w:val="en-US" w:eastAsia="zh-CN"/>
              </w:rPr>
              <w:t>塑</w:t>
            </w:r>
            <w:r>
              <w:rPr>
                <w:rFonts w:hint="default" w:ascii="Times New Roman" w:hAnsi="Times New Roman" w:cs="Times New Roman"/>
                <w:color w:val="auto"/>
                <w:sz w:val="24"/>
                <w:szCs w:val="24"/>
                <w:highlight w:val="none"/>
              </w:rPr>
              <w:t>、固化工序产生的颗粒物、NMHC执行</w:t>
            </w:r>
            <w:r>
              <w:rPr>
                <w:rFonts w:hint="default" w:ascii="Times New Roman" w:hAnsi="Times New Roman" w:cs="Times New Roman"/>
                <w:color w:val="auto"/>
                <w:sz w:val="24"/>
                <w:szCs w:val="24"/>
                <w:highlight w:val="none"/>
                <w:lang w:eastAsia="zh-CN"/>
              </w:rPr>
              <w:t>《表面涂装（工程机械和钢结构行业）大气污染物排放标准》（DB32/4147-2021）</w:t>
            </w:r>
            <w:r>
              <w:rPr>
                <w:rFonts w:hint="default" w:ascii="Times New Roman" w:hAnsi="Times New Roman" w:cs="Times New Roman"/>
                <w:color w:val="auto"/>
                <w:sz w:val="24"/>
                <w:szCs w:val="24"/>
                <w:highlight w:val="none"/>
              </w:rPr>
              <w:t>表1大气污染物排放限值及《大气污染物综合排放标准》（DB32/4041-2021）表3单位边界大气污染物排放监控浓度限值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rPr>
              <w:t>厂区内NMHC无组织排放执行</w:t>
            </w:r>
            <w:r>
              <w:rPr>
                <w:rFonts w:hint="default" w:ascii="Times New Roman" w:hAnsi="Times New Roman" w:cs="Times New Roman"/>
                <w:color w:val="auto"/>
                <w:sz w:val="24"/>
                <w:szCs w:val="24"/>
                <w:highlight w:val="none"/>
                <w:lang w:eastAsia="zh-CN"/>
              </w:rPr>
              <w:t>《表面涂装（工程机械和钢结构行业）大气污染物排放标准》（DB32/4147-2021）</w:t>
            </w:r>
            <w:r>
              <w:rPr>
                <w:rFonts w:hint="default" w:ascii="Times New Roman" w:hAnsi="Times New Roman" w:cs="Times New Roman"/>
                <w:color w:val="auto"/>
                <w:sz w:val="24"/>
                <w:highlight w:val="none"/>
              </w:rPr>
              <w:t>表</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厂区内VOCs无组织排放限值。</w:t>
            </w:r>
          </w:p>
          <w:p w14:paraId="2BB252C2">
            <w:pPr>
              <w:keepNext w:val="0"/>
              <w:keepLines w:val="0"/>
              <w:suppressLineNumbers w:val="0"/>
              <w:tabs>
                <w:tab w:val="left" w:pos="3353"/>
              </w:tabs>
              <w:adjustRightInd w:val="0"/>
              <w:snapToGrid w:val="0"/>
              <w:spacing w:before="0" w:beforeAutospacing="0" w:after="0" w:afterAutospacing="0" w:line="360" w:lineRule="auto"/>
              <w:ind w:left="0" w:right="0" w:firstLine="480" w:firstLineChars="200"/>
              <w:rPr>
                <w:color w:val="auto"/>
                <w:sz w:val="24"/>
                <w:highlight w:val="none"/>
              </w:rPr>
            </w:pPr>
            <w:r>
              <w:rPr>
                <w:rFonts w:hint="eastAsia" w:hAnsi="宋体"/>
                <w:color w:val="auto"/>
                <w:sz w:val="24"/>
                <w:highlight w:val="none"/>
              </w:rPr>
              <w:t>废气污染物排放标准</w:t>
            </w:r>
            <w:r>
              <w:rPr>
                <w:rFonts w:hAnsi="宋体"/>
                <w:color w:val="auto"/>
                <w:sz w:val="24"/>
                <w:highlight w:val="none"/>
              </w:rPr>
              <w:t>详见</w:t>
            </w:r>
            <w:r>
              <w:rPr>
                <w:rFonts w:hint="eastAsia" w:hAnsi="宋体"/>
                <w:color w:val="auto"/>
                <w:sz w:val="24"/>
                <w:highlight w:val="none"/>
              </w:rPr>
              <w:t>下</w:t>
            </w:r>
            <w:r>
              <w:rPr>
                <w:rFonts w:hAnsi="宋体"/>
                <w:color w:val="auto"/>
                <w:sz w:val="24"/>
                <w:highlight w:val="none"/>
              </w:rPr>
              <w:t>表。</w:t>
            </w:r>
          </w:p>
          <w:p w14:paraId="6B884556">
            <w:pPr>
              <w:keepNext w:val="0"/>
              <w:keepLines w:val="0"/>
              <w:suppressLineNumbers w:val="0"/>
              <w:adjustRightInd w:val="0"/>
              <w:snapToGrid w:val="0"/>
              <w:spacing w:before="0" w:beforeAutospacing="0" w:after="0" w:afterAutospacing="0"/>
              <w:ind w:left="0" w:right="0" w:firstLine="482" w:firstLineChars="200"/>
              <w:jc w:val="center"/>
              <w:rPr>
                <w:rFonts w:hint="eastAsia" w:hAnsi="宋体"/>
                <w:b/>
                <w:color w:val="auto"/>
                <w:sz w:val="24"/>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3</w:t>
            </w:r>
            <w:r>
              <w:rPr>
                <w:rFonts w:hint="eastAsia"/>
                <w:b/>
                <w:color w:val="auto"/>
                <w:sz w:val="24"/>
                <w:highlight w:val="none"/>
                <w:lang w:val="en-US" w:eastAsia="zh-CN"/>
              </w:rPr>
              <w:t xml:space="preserve"> </w:t>
            </w:r>
            <w:r>
              <w:rPr>
                <w:rFonts w:hAnsi="宋体"/>
                <w:b/>
                <w:color w:val="auto"/>
                <w:sz w:val="24"/>
                <w:highlight w:val="none"/>
              </w:rPr>
              <w:t>大气污染物</w:t>
            </w:r>
            <w:r>
              <w:rPr>
                <w:rFonts w:hint="eastAsia" w:hAnsi="宋体"/>
                <w:b/>
                <w:color w:val="auto"/>
                <w:sz w:val="24"/>
                <w:highlight w:val="none"/>
              </w:rPr>
              <w:t>有组织</w:t>
            </w:r>
            <w:r>
              <w:rPr>
                <w:rFonts w:hAnsi="宋体"/>
                <w:b/>
                <w:color w:val="auto"/>
                <w:sz w:val="24"/>
                <w:highlight w:val="none"/>
              </w:rPr>
              <w:t>排放标准</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21"/>
              <w:gridCol w:w="1280"/>
              <w:gridCol w:w="1065"/>
              <w:gridCol w:w="867"/>
              <w:gridCol w:w="1340"/>
              <w:gridCol w:w="913"/>
              <w:gridCol w:w="1531"/>
            </w:tblGrid>
            <w:tr w14:paraId="6D008405">
              <w:trPr>
                <w:cantSplit/>
                <w:trHeight w:val="340" w:hRule="atLeast"/>
                <w:jc w:val="center"/>
              </w:trPr>
              <w:tc>
                <w:tcPr>
                  <w:tcW w:w="1421" w:type="dxa"/>
                  <w:vMerge w:val="restart"/>
                  <w:tcBorders>
                    <w:tl2br w:val="nil"/>
                    <w:tr2bl w:val="nil"/>
                  </w:tcBorders>
                  <w:shd w:val="clear" w:color="auto" w:fill="auto"/>
                  <w:vAlign w:val="center"/>
                </w:tcPr>
                <w:p w14:paraId="48A482FA">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排气筒编号</w:t>
                  </w:r>
                </w:p>
              </w:tc>
              <w:tc>
                <w:tcPr>
                  <w:tcW w:w="1280" w:type="dxa"/>
                  <w:vMerge w:val="restart"/>
                  <w:tcBorders>
                    <w:tl2br w:val="nil"/>
                    <w:tr2bl w:val="nil"/>
                  </w:tcBorders>
                  <w:shd w:val="clear" w:color="auto" w:fill="auto"/>
                  <w:vAlign w:val="center"/>
                </w:tcPr>
                <w:p w14:paraId="66DE4C29">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污染物</w:t>
                  </w:r>
                </w:p>
              </w:tc>
              <w:tc>
                <w:tcPr>
                  <w:tcW w:w="1065" w:type="dxa"/>
                  <w:vMerge w:val="restart"/>
                  <w:tcBorders>
                    <w:tl2br w:val="nil"/>
                    <w:tr2bl w:val="nil"/>
                  </w:tcBorders>
                  <w:shd w:val="clear" w:color="auto" w:fill="auto"/>
                  <w:vAlign w:val="center"/>
                </w:tcPr>
                <w:p w14:paraId="24804114">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最高允许</w:t>
                  </w:r>
                </w:p>
                <w:p w14:paraId="20223A8A">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排放浓度（</w:t>
                  </w:r>
                  <w:r>
                    <w:rPr>
                      <w:b/>
                      <w:bCs/>
                      <w:color w:val="auto"/>
                      <w:highlight w:val="none"/>
                    </w:rPr>
                    <w:t>mg/m</w:t>
                  </w:r>
                  <w:r>
                    <w:rPr>
                      <w:b/>
                      <w:bCs/>
                      <w:color w:val="auto"/>
                      <w:highlight w:val="none"/>
                      <w:vertAlign w:val="superscript"/>
                    </w:rPr>
                    <w:t>3</w:t>
                  </w:r>
                  <w:r>
                    <w:rPr>
                      <w:rFonts w:hint="eastAsia" w:cs="宋体"/>
                      <w:b/>
                      <w:bCs/>
                      <w:color w:val="auto"/>
                      <w:highlight w:val="none"/>
                    </w:rPr>
                    <w:t>）</w:t>
                  </w:r>
                </w:p>
              </w:tc>
              <w:tc>
                <w:tcPr>
                  <w:tcW w:w="2207" w:type="dxa"/>
                  <w:gridSpan w:val="2"/>
                  <w:tcBorders>
                    <w:tl2br w:val="nil"/>
                    <w:tr2bl w:val="nil"/>
                  </w:tcBorders>
                  <w:shd w:val="clear" w:color="auto" w:fill="auto"/>
                  <w:vAlign w:val="center"/>
                </w:tcPr>
                <w:p w14:paraId="379572F5">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最高允许排放速率</w:t>
                  </w:r>
                </w:p>
              </w:tc>
              <w:tc>
                <w:tcPr>
                  <w:tcW w:w="913" w:type="dxa"/>
                  <w:vMerge w:val="restart"/>
                  <w:tcBorders>
                    <w:tl2br w:val="nil"/>
                    <w:tr2bl w:val="nil"/>
                  </w:tcBorders>
                  <w:shd w:val="clear" w:color="auto" w:fill="auto"/>
                  <w:vAlign w:val="center"/>
                </w:tcPr>
                <w:p w14:paraId="4A745282">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监控装置</w:t>
                  </w:r>
                </w:p>
              </w:tc>
              <w:tc>
                <w:tcPr>
                  <w:tcW w:w="1531" w:type="dxa"/>
                  <w:vMerge w:val="restart"/>
                  <w:tcBorders>
                    <w:tl2br w:val="nil"/>
                    <w:tr2bl w:val="nil"/>
                  </w:tcBorders>
                  <w:shd w:val="clear" w:color="auto" w:fill="auto"/>
                  <w:vAlign w:val="center"/>
                </w:tcPr>
                <w:p w14:paraId="666C4829">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标准来源</w:t>
                  </w:r>
                </w:p>
              </w:tc>
            </w:tr>
            <w:tr w14:paraId="6104D470">
              <w:trPr>
                <w:cantSplit/>
                <w:trHeight w:val="340" w:hRule="atLeast"/>
                <w:jc w:val="center"/>
              </w:trPr>
              <w:tc>
                <w:tcPr>
                  <w:tcW w:w="1421" w:type="dxa"/>
                  <w:vMerge w:val="continue"/>
                  <w:tcBorders>
                    <w:tl2br w:val="nil"/>
                    <w:tr2bl w:val="nil"/>
                  </w:tcBorders>
                  <w:shd w:val="clear" w:color="auto" w:fill="auto"/>
                  <w:vAlign w:val="center"/>
                </w:tcPr>
                <w:p w14:paraId="08697A04">
                  <w:pPr>
                    <w:keepNext w:val="0"/>
                    <w:keepLines w:val="0"/>
                    <w:suppressLineNumbers w:val="0"/>
                    <w:spacing w:before="0" w:beforeAutospacing="0" w:after="0" w:afterAutospacing="0"/>
                    <w:ind w:left="0" w:right="0"/>
                    <w:rPr>
                      <w:rFonts w:ascii="Calibri" w:hAnsi="Calibri"/>
                      <w:color w:val="auto"/>
                      <w:szCs w:val="22"/>
                      <w:highlight w:val="none"/>
                    </w:rPr>
                  </w:pPr>
                </w:p>
              </w:tc>
              <w:tc>
                <w:tcPr>
                  <w:tcW w:w="1280" w:type="dxa"/>
                  <w:vMerge w:val="continue"/>
                  <w:tcBorders>
                    <w:tl2br w:val="nil"/>
                    <w:tr2bl w:val="nil"/>
                  </w:tcBorders>
                  <w:shd w:val="clear" w:color="auto" w:fill="auto"/>
                  <w:vAlign w:val="center"/>
                </w:tcPr>
                <w:p w14:paraId="33383614">
                  <w:pPr>
                    <w:keepNext w:val="0"/>
                    <w:keepLines w:val="0"/>
                    <w:suppressLineNumbers w:val="0"/>
                    <w:spacing w:before="0" w:beforeAutospacing="0" w:after="0" w:afterAutospacing="0"/>
                    <w:ind w:left="0" w:right="0"/>
                    <w:rPr>
                      <w:rFonts w:ascii="Calibri" w:hAnsi="Calibri"/>
                      <w:color w:val="auto"/>
                      <w:szCs w:val="22"/>
                      <w:highlight w:val="none"/>
                    </w:rPr>
                  </w:pPr>
                </w:p>
              </w:tc>
              <w:tc>
                <w:tcPr>
                  <w:tcW w:w="1065" w:type="dxa"/>
                  <w:vMerge w:val="continue"/>
                  <w:tcBorders>
                    <w:tl2br w:val="nil"/>
                    <w:tr2bl w:val="nil"/>
                  </w:tcBorders>
                  <w:shd w:val="clear" w:color="auto" w:fill="auto"/>
                  <w:vAlign w:val="center"/>
                </w:tcPr>
                <w:p w14:paraId="36C19412">
                  <w:pPr>
                    <w:keepNext w:val="0"/>
                    <w:keepLines w:val="0"/>
                    <w:suppressLineNumbers w:val="0"/>
                    <w:spacing w:before="0" w:beforeAutospacing="0" w:after="0" w:afterAutospacing="0"/>
                    <w:ind w:left="0" w:right="0"/>
                    <w:rPr>
                      <w:rFonts w:ascii="Calibri" w:hAnsi="Calibri"/>
                      <w:color w:val="auto"/>
                      <w:szCs w:val="22"/>
                      <w:highlight w:val="none"/>
                    </w:rPr>
                  </w:pPr>
                </w:p>
              </w:tc>
              <w:tc>
                <w:tcPr>
                  <w:tcW w:w="867" w:type="dxa"/>
                  <w:tcBorders>
                    <w:tl2br w:val="nil"/>
                    <w:tr2bl w:val="nil"/>
                  </w:tcBorders>
                  <w:shd w:val="clear" w:color="auto" w:fill="auto"/>
                  <w:vAlign w:val="center"/>
                </w:tcPr>
                <w:p w14:paraId="20320D16">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排气筒</w:t>
                  </w:r>
                </w:p>
                <w:p w14:paraId="553FA41B">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lang w:eastAsia="zh-CN"/>
                    </w:rPr>
                    <w:t>(</w:t>
                  </w:r>
                  <w:r>
                    <w:rPr>
                      <w:b/>
                      <w:bCs/>
                      <w:color w:val="auto"/>
                      <w:highlight w:val="none"/>
                    </w:rPr>
                    <w:t>m</w:t>
                  </w:r>
                  <w:r>
                    <w:rPr>
                      <w:rFonts w:hint="eastAsia"/>
                      <w:b/>
                      <w:bCs/>
                      <w:color w:val="auto"/>
                      <w:highlight w:val="none"/>
                      <w:lang w:eastAsia="zh-CN"/>
                    </w:rPr>
                    <w:t>)</w:t>
                  </w:r>
                </w:p>
              </w:tc>
              <w:tc>
                <w:tcPr>
                  <w:tcW w:w="1340" w:type="dxa"/>
                  <w:tcBorders>
                    <w:tl2br w:val="nil"/>
                    <w:tr2bl w:val="nil"/>
                  </w:tcBorders>
                  <w:shd w:val="clear" w:color="auto" w:fill="auto"/>
                  <w:vAlign w:val="center"/>
                </w:tcPr>
                <w:p w14:paraId="5B1318D5">
                  <w:pPr>
                    <w:keepNext w:val="0"/>
                    <w:keepLines w:val="0"/>
                    <w:suppressLineNumbers w:val="0"/>
                    <w:spacing w:before="0" w:beforeAutospacing="0" w:after="0" w:afterAutospacing="0"/>
                    <w:ind w:left="0" w:right="0"/>
                    <w:jc w:val="center"/>
                    <w:rPr>
                      <w:b/>
                      <w:bCs/>
                      <w:color w:val="auto"/>
                      <w:highlight w:val="none"/>
                    </w:rPr>
                  </w:pPr>
                  <w:r>
                    <w:rPr>
                      <w:rFonts w:hint="eastAsia" w:cs="宋体"/>
                      <w:b/>
                      <w:bCs/>
                      <w:color w:val="auto"/>
                      <w:highlight w:val="none"/>
                    </w:rPr>
                    <w:t>排放速率</w:t>
                  </w:r>
                </w:p>
                <w:p w14:paraId="64C6B735">
                  <w:pPr>
                    <w:keepNext w:val="0"/>
                    <w:keepLines w:val="0"/>
                    <w:suppressLineNumbers w:val="0"/>
                    <w:spacing w:before="0" w:beforeAutospacing="0" w:after="0" w:afterAutospacing="0"/>
                    <w:ind w:left="0" w:right="0"/>
                    <w:jc w:val="center"/>
                    <w:rPr>
                      <w:b/>
                      <w:bCs/>
                      <w:color w:val="auto"/>
                      <w:highlight w:val="none"/>
                    </w:rPr>
                  </w:pPr>
                  <w:r>
                    <w:rPr>
                      <w:b/>
                      <w:bCs/>
                      <w:color w:val="auto"/>
                      <w:highlight w:val="none"/>
                    </w:rPr>
                    <w:t>(kg/h)</w:t>
                  </w:r>
                </w:p>
              </w:tc>
              <w:tc>
                <w:tcPr>
                  <w:tcW w:w="913" w:type="dxa"/>
                  <w:vMerge w:val="continue"/>
                  <w:tcBorders>
                    <w:tl2br w:val="nil"/>
                    <w:tr2bl w:val="nil"/>
                  </w:tcBorders>
                  <w:shd w:val="clear" w:color="auto" w:fill="auto"/>
                  <w:vAlign w:val="center"/>
                </w:tcPr>
                <w:p w14:paraId="22C7DC6D">
                  <w:pPr>
                    <w:keepNext w:val="0"/>
                    <w:keepLines w:val="0"/>
                    <w:suppressLineNumbers w:val="0"/>
                    <w:spacing w:before="0" w:beforeAutospacing="0" w:after="0" w:afterAutospacing="0"/>
                    <w:ind w:left="0" w:right="0"/>
                    <w:rPr>
                      <w:rFonts w:ascii="Calibri" w:hAnsi="Calibri"/>
                      <w:color w:val="auto"/>
                      <w:szCs w:val="22"/>
                      <w:highlight w:val="none"/>
                    </w:rPr>
                  </w:pPr>
                </w:p>
              </w:tc>
              <w:tc>
                <w:tcPr>
                  <w:tcW w:w="1531" w:type="dxa"/>
                  <w:vMerge w:val="continue"/>
                  <w:tcBorders>
                    <w:tl2br w:val="nil"/>
                    <w:tr2bl w:val="nil"/>
                  </w:tcBorders>
                  <w:shd w:val="clear" w:color="auto" w:fill="auto"/>
                  <w:vAlign w:val="center"/>
                </w:tcPr>
                <w:p w14:paraId="22D2904D">
                  <w:pPr>
                    <w:keepNext w:val="0"/>
                    <w:keepLines w:val="0"/>
                    <w:suppressLineNumbers w:val="0"/>
                    <w:spacing w:before="0" w:beforeAutospacing="0" w:after="0" w:afterAutospacing="0"/>
                    <w:ind w:left="0" w:right="0"/>
                    <w:rPr>
                      <w:rFonts w:ascii="Calibri" w:hAnsi="Calibri"/>
                      <w:color w:val="auto"/>
                      <w:szCs w:val="22"/>
                      <w:highlight w:val="none"/>
                    </w:rPr>
                  </w:pPr>
                </w:p>
              </w:tc>
            </w:tr>
            <w:tr w14:paraId="268546A1">
              <w:trPr>
                <w:cantSplit/>
                <w:trHeight w:val="483" w:hRule="atLeast"/>
                <w:jc w:val="center"/>
              </w:trPr>
              <w:tc>
                <w:tcPr>
                  <w:tcW w:w="1421" w:type="dxa"/>
                  <w:vMerge w:val="restart"/>
                  <w:tcBorders>
                    <w:tl2br w:val="nil"/>
                    <w:tr2bl w:val="nil"/>
                  </w:tcBorders>
                  <w:shd w:val="clear" w:color="auto" w:fill="auto"/>
                  <w:vAlign w:val="center"/>
                </w:tcPr>
                <w:p w14:paraId="00DD2482">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lang w:val="en-US" w:eastAsia="zh-CN"/>
                    </w:rPr>
                    <w:t>DA001</w:t>
                  </w:r>
                  <w:r>
                    <w:rPr>
                      <w:rFonts w:hint="eastAsia" w:cs="宋体"/>
                      <w:color w:val="auto"/>
                      <w:highlight w:val="none"/>
                    </w:rPr>
                    <w:t>排气筒</w:t>
                  </w:r>
                </w:p>
              </w:tc>
              <w:tc>
                <w:tcPr>
                  <w:tcW w:w="1280" w:type="dxa"/>
                  <w:tcBorders>
                    <w:tl2br w:val="nil"/>
                    <w:tr2bl w:val="nil"/>
                  </w:tcBorders>
                  <w:shd w:val="clear" w:color="auto" w:fill="auto"/>
                  <w:vAlign w:val="center"/>
                </w:tcPr>
                <w:p w14:paraId="66F9F297">
                  <w:pPr>
                    <w:keepNext w:val="0"/>
                    <w:keepLines w:val="0"/>
                    <w:suppressLineNumbers w:val="0"/>
                    <w:spacing w:before="0" w:beforeAutospacing="0" w:after="0" w:afterAutospacing="0"/>
                    <w:ind w:left="0" w:right="0"/>
                    <w:jc w:val="center"/>
                    <w:rPr>
                      <w:color w:val="auto"/>
                      <w:highlight w:val="none"/>
                    </w:rPr>
                  </w:pPr>
                  <w:r>
                    <w:rPr>
                      <w:rFonts w:hint="eastAsia" w:cs="宋体"/>
                      <w:color w:val="auto"/>
                      <w:highlight w:val="none"/>
                    </w:rPr>
                    <w:t>颗粒物</w:t>
                  </w:r>
                </w:p>
              </w:tc>
              <w:tc>
                <w:tcPr>
                  <w:tcW w:w="1065" w:type="dxa"/>
                  <w:tcBorders>
                    <w:tl2br w:val="nil"/>
                    <w:tr2bl w:val="nil"/>
                  </w:tcBorders>
                  <w:shd w:val="clear" w:color="auto" w:fill="auto"/>
                  <w:vAlign w:val="center"/>
                </w:tcPr>
                <w:p w14:paraId="5B0B44B3">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10</w:t>
                  </w:r>
                </w:p>
              </w:tc>
              <w:tc>
                <w:tcPr>
                  <w:tcW w:w="867" w:type="dxa"/>
                  <w:vMerge w:val="restart"/>
                  <w:tcBorders>
                    <w:tl2br w:val="nil"/>
                    <w:tr2bl w:val="nil"/>
                  </w:tcBorders>
                  <w:shd w:val="clear" w:color="auto" w:fill="auto"/>
                  <w:vAlign w:val="center"/>
                </w:tcPr>
                <w:p w14:paraId="24993710">
                  <w:pPr>
                    <w:keepNext w:val="0"/>
                    <w:keepLines w:val="0"/>
                    <w:suppressLineNumbers w:val="0"/>
                    <w:spacing w:before="0" w:beforeAutospacing="0" w:after="0" w:afterAutospacing="0"/>
                    <w:ind w:left="0" w:right="0"/>
                    <w:jc w:val="center"/>
                    <w:rPr>
                      <w:smallCaps/>
                      <w:color w:val="auto"/>
                      <w:szCs w:val="21"/>
                      <w:highlight w:val="none"/>
                    </w:rPr>
                  </w:pPr>
                  <w:r>
                    <w:rPr>
                      <w:rFonts w:hint="eastAsia"/>
                      <w:color w:val="auto"/>
                      <w:highlight w:val="none"/>
                    </w:rPr>
                    <w:t>15</w:t>
                  </w:r>
                </w:p>
              </w:tc>
              <w:tc>
                <w:tcPr>
                  <w:tcW w:w="1340" w:type="dxa"/>
                  <w:tcBorders>
                    <w:tl2br w:val="nil"/>
                    <w:tr2bl w:val="nil"/>
                  </w:tcBorders>
                  <w:shd w:val="clear" w:color="auto" w:fill="auto"/>
                  <w:vAlign w:val="center"/>
                </w:tcPr>
                <w:p w14:paraId="558ED0B6">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0.6</w:t>
                  </w:r>
                </w:p>
              </w:tc>
              <w:tc>
                <w:tcPr>
                  <w:tcW w:w="913" w:type="dxa"/>
                  <w:vMerge w:val="restart"/>
                  <w:tcBorders>
                    <w:tl2br w:val="nil"/>
                    <w:tr2bl w:val="nil"/>
                  </w:tcBorders>
                  <w:shd w:val="clear" w:color="auto" w:fill="auto"/>
                  <w:vAlign w:val="center"/>
                </w:tcPr>
                <w:p w14:paraId="0642B4BD">
                  <w:pPr>
                    <w:keepNext w:val="0"/>
                    <w:keepLines w:val="0"/>
                    <w:suppressLineNumbers w:val="0"/>
                    <w:spacing w:before="0" w:beforeAutospacing="0" w:after="0" w:afterAutospacing="0"/>
                    <w:ind w:left="0" w:right="0"/>
                    <w:jc w:val="center"/>
                    <w:rPr>
                      <w:color w:val="auto"/>
                      <w:highlight w:val="none"/>
                    </w:rPr>
                  </w:pPr>
                  <w:r>
                    <w:rPr>
                      <w:rFonts w:hint="eastAsia" w:cs="宋体"/>
                      <w:color w:val="auto"/>
                      <w:highlight w:val="none"/>
                    </w:rPr>
                    <w:t>车间排气筒出口或生产设施排气筒出口</w:t>
                  </w:r>
                </w:p>
              </w:tc>
              <w:tc>
                <w:tcPr>
                  <w:tcW w:w="1531" w:type="dxa"/>
                  <w:vMerge w:val="restart"/>
                  <w:tcBorders>
                    <w:tl2br w:val="nil"/>
                    <w:tr2bl w:val="nil"/>
                  </w:tcBorders>
                  <w:shd w:val="clear" w:color="auto" w:fill="auto"/>
                  <w:vAlign w:val="center"/>
                </w:tcPr>
                <w:p w14:paraId="0FCB22B0">
                  <w:pPr>
                    <w:keepNext w:val="0"/>
                    <w:keepLines w:val="0"/>
                    <w:suppressLineNumbers w:val="0"/>
                    <w:spacing w:before="0" w:beforeAutospacing="0" w:after="0" w:afterAutospacing="0"/>
                    <w:ind w:left="0" w:right="0"/>
                    <w:jc w:val="center"/>
                    <w:rPr>
                      <w:color w:val="auto"/>
                      <w:szCs w:val="21"/>
                      <w:highlight w:val="none"/>
                    </w:rPr>
                  </w:pP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eastAsia" w:cs="宋体"/>
                      <w:color w:val="auto"/>
                      <w:highlight w:val="none"/>
                    </w:rPr>
                    <w:t>表</w:t>
                  </w:r>
                  <w:r>
                    <w:rPr>
                      <w:color w:val="auto"/>
                      <w:highlight w:val="none"/>
                    </w:rPr>
                    <w:t>1</w:t>
                  </w:r>
                  <w:r>
                    <w:rPr>
                      <w:rFonts w:hint="eastAsia" w:cs="宋体"/>
                      <w:color w:val="auto"/>
                      <w:highlight w:val="none"/>
                    </w:rPr>
                    <w:t>标准</w:t>
                  </w:r>
                  <w:r>
                    <w:rPr>
                      <w:rFonts w:hint="eastAsia" w:cs="宋体"/>
                      <w:color w:val="auto"/>
                      <w:highlight w:val="none"/>
                      <w:lang w:val="en-US" w:eastAsia="zh-CN"/>
                    </w:rPr>
                    <w:t>值</w:t>
                  </w:r>
                </w:p>
              </w:tc>
            </w:tr>
            <w:tr w14:paraId="160148D1">
              <w:trPr>
                <w:cantSplit/>
                <w:trHeight w:val="483" w:hRule="atLeast"/>
                <w:jc w:val="center"/>
              </w:trPr>
              <w:tc>
                <w:tcPr>
                  <w:tcW w:w="1421" w:type="dxa"/>
                  <w:vMerge w:val="continue"/>
                  <w:tcBorders>
                    <w:tl2br w:val="nil"/>
                    <w:tr2bl w:val="nil"/>
                  </w:tcBorders>
                  <w:shd w:val="clear" w:color="auto" w:fill="auto"/>
                  <w:vAlign w:val="center"/>
                </w:tcPr>
                <w:p w14:paraId="02D10561">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1280" w:type="dxa"/>
                  <w:tcBorders>
                    <w:tl2br w:val="nil"/>
                    <w:tr2bl w:val="nil"/>
                  </w:tcBorders>
                  <w:shd w:val="clear" w:color="auto" w:fill="auto"/>
                  <w:vAlign w:val="center"/>
                </w:tcPr>
                <w:p w14:paraId="4457AE2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smallCaps/>
                      <w:color w:val="auto"/>
                      <w:kern w:val="2"/>
                      <w:sz w:val="21"/>
                      <w:szCs w:val="21"/>
                      <w:highlight w:val="none"/>
                      <w:lang w:val="en-US" w:eastAsia="zh-CN" w:bidi="ar-SA"/>
                    </w:rPr>
                  </w:pPr>
                  <w:r>
                    <w:rPr>
                      <w:rFonts w:hint="eastAsia" w:cs="宋体"/>
                      <w:smallCaps/>
                      <w:color w:val="auto"/>
                      <w:szCs w:val="21"/>
                      <w:highlight w:val="none"/>
                    </w:rPr>
                    <w:t>NMHC</w:t>
                  </w:r>
                </w:p>
              </w:tc>
              <w:tc>
                <w:tcPr>
                  <w:tcW w:w="1065" w:type="dxa"/>
                  <w:tcBorders>
                    <w:tl2br w:val="nil"/>
                    <w:tr2bl w:val="nil"/>
                  </w:tcBorders>
                  <w:shd w:val="clear" w:color="auto" w:fill="auto"/>
                  <w:vAlign w:val="center"/>
                </w:tcPr>
                <w:p w14:paraId="4D3DC25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smallCaps/>
                      <w:color w:val="auto"/>
                      <w:kern w:val="2"/>
                      <w:sz w:val="21"/>
                      <w:szCs w:val="21"/>
                      <w:highlight w:val="none"/>
                      <w:lang w:val="en-US" w:eastAsia="zh-CN" w:bidi="ar-SA"/>
                    </w:rPr>
                  </w:pPr>
                  <w:r>
                    <w:rPr>
                      <w:rFonts w:hint="eastAsia"/>
                      <w:smallCaps/>
                      <w:color w:val="auto"/>
                      <w:szCs w:val="21"/>
                      <w:highlight w:val="none"/>
                    </w:rPr>
                    <w:t>50</w:t>
                  </w:r>
                </w:p>
              </w:tc>
              <w:tc>
                <w:tcPr>
                  <w:tcW w:w="867" w:type="dxa"/>
                  <w:vMerge w:val="continue"/>
                  <w:tcBorders>
                    <w:tl2br w:val="nil"/>
                    <w:tr2bl w:val="nil"/>
                  </w:tcBorders>
                  <w:shd w:val="clear" w:color="auto" w:fill="auto"/>
                  <w:vAlign w:val="center"/>
                </w:tcPr>
                <w:p w14:paraId="077FB4CE">
                  <w:pPr>
                    <w:keepNext w:val="0"/>
                    <w:keepLines w:val="0"/>
                    <w:suppressLineNumbers w:val="0"/>
                    <w:spacing w:before="0" w:beforeAutospacing="0" w:after="0" w:afterAutospacing="0"/>
                    <w:ind w:left="0" w:right="0"/>
                    <w:jc w:val="center"/>
                    <w:rPr>
                      <w:rFonts w:hint="eastAsia"/>
                      <w:color w:val="auto"/>
                      <w:highlight w:val="none"/>
                    </w:rPr>
                  </w:pPr>
                </w:p>
              </w:tc>
              <w:tc>
                <w:tcPr>
                  <w:tcW w:w="1340" w:type="dxa"/>
                  <w:tcBorders>
                    <w:tl2br w:val="nil"/>
                    <w:tr2bl w:val="nil"/>
                  </w:tcBorders>
                  <w:shd w:val="clear" w:color="auto" w:fill="auto"/>
                  <w:vAlign w:val="center"/>
                </w:tcPr>
                <w:p w14:paraId="3FB7AEAB">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smallCaps/>
                      <w:color w:val="auto"/>
                      <w:szCs w:val="21"/>
                      <w:highlight w:val="none"/>
                      <w:lang w:val="en-US" w:eastAsia="zh-CN"/>
                    </w:rPr>
                    <w:t>1.8</w:t>
                  </w:r>
                </w:p>
              </w:tc>
              <w:tc>
                <w:tcPr>
                  <w:tcW w:w="913" w:type="dxa"/>
                  <w:vMerge w:val="continue"/>
                  <w:tcBorders>
                    <w:tl2br w:val="nil"/>
                    <w:tr2bl w:val="nil"/>
                  </w:tcBorders>
                  <w:shd w:val="clear" w:color="auto" w:fill="auto"/>
                  <w:vAlign w:val="center"/>
                </w:tcPr>
                <w:p w14:paraId="2C0B6B14">
                  <w:pPr>
                    <w:keepNext w:val="0"/>
                    <w:keepLines w:val="0"/>
                    <w:suppressLineNumbers w:val="0"/>
                    <w:spacing w:before="0" w:beforeAutospacing="0" w:after="0" w:afterAutospacing="0"/>
                    <w:ind w:left="0" w:right="0"/>
                    <w:jc w:val="center"/>
                    <w:rPr>
                      <w:rFonts w:hint="eastAsia" w:cs="宋体"/>
                      <w:color w:val="auto"/>
                      <w:highlight w:val="none"/>
                    </w:rPr>
                  </w:pPr>
                </w:p>
              </w:tc>
              <w:tc>
                <w:tcPr>
                  <w:tcW w:w="1531" w:type="dxa"/>
                  <w:vMerge w:val="continue"/>
                  <w:tcBorders>
                    <w:tl2br w:val="nil"/>
                    <w:tr2bl w:val="nil"/>
                  </w:tcBorders>
                  <w:shd w:val="clear" w:color="auto" w:fill="auto"/>
                  <w:vAlign w:val="center"/>
                </w:tcPr>
                <w:p w14:paraId="5E073406">
                  <w:pPr>
                    <w:keepNext w:val="0"/>
                    <w:keepLines w:val="0"/>
                    <w:suppressLineNumbers w:val="0"/>
                    <w:spacing w:before="0" w:beforeAutospacing="0" w:after="0" w:afterAutospacing="0"/>
                    <w:ind w:left="0" w:right="0"/>
                    <w:jc w:val="center"/>
                    <w:rPr>
                      <w:color w:val="auto"/>
                      <w:szCs w:val="21"/>
                      <w:highlight w:val="none"/>
                    </w:rPr>
                  </w:pPr>
                </w:p>
              </w:tc>
            </w:tr>
            <w:tr w14:paraId="09FFCEAD">
              <w:trPr>
                <w:cantSplit/>
                <w:trHeight w:val="340" w:hRule="atLeast"/>
                <w:jc w:val="center"/>
              </w:trPr>
              <w:tc>
                <w:tcPr>
                  <w:tcW w:w="1421" w:type="dxa"/>
                  <w:tcBorders>
                    <w:tl2br w:val="nil"/>
                    <w:tr2bl w:val="nil"/>
                  </w:tcBorders>
                  <w:shd w:val="clear" w:color="auto" w:fill="auto"/>
                  <w:vAlign w:val="center"/>
                </w:tcPr>
                <w:p w14:paraId="770D4BBC">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lang w:val="en-US" w:eastAsia="zh-CN"/>
                    </w:rPr>
                    <w:t>DA00</w:t>
                  </w:r>
                  <w:r>
                    <w:rPr>
                      <w:rFonts w:hint="eastAsia"/>
                      <w:smallCaps/>
                      <w:color w:val="auto"/>
                      <w:szCs w:val="21"/>
                      <w:highlight w:val="none"/>
                      <w:lang w:val="en-US" w:eastAsia="zh-CN"/>
                    </w:rPr>
                    <w:t>2</w:t>
                  </w:r>
                  <w:r>
                    <w:rPr>
                      <w:rFonts w:hint="eastAsia" w:cs="宋体"/>
                      <w:color w:val="auto"/>
                      <w:highlight w:val="none"/>
                    </w:rPr>
                    <w:t>排气筒</w:t>
                  </w:r>
                </w:p>
              </w:tc>
              <w:tc>
                <w:tcPr>
                  <w:tcW w:w="1280" w:type="dxa"/>
                  <w:tcBorders>
                    <w:tl2br w:val="nil"/>
                    <w:tr2bl w:val="nil"/>
                  </w:tcBorders>
                  <w:shd w:val="clear" w:color="auto" w:fill="auto"/>
                  <w:vAlign w:val="center"/>
                </w:tcPr>
                <w:p w14:paraId="7484D459">
                  <w:pPr>
                    <w:keepNext w:val="0"/>
                    <w:keepLines w:val="0"/>
                    <w:suppressLineNumbers w:val="0"/>
                    <w:spacing w:before="0" w:beforeAutospacing="0" w:after="0" w:afterAutospacing="0"/>
                    <w:ind w:left="0" w:right="0"/>
                    <w:jc w:val="center"/>
                    <w:rPr>
                      <w:rFonts w:cs="宋体"/>
                      <w:color w:val="auto"/>
                      <w:highlight w:val="none"/>
                    </w:rPr>
                  </w:pPr>
                  <w:r>
                    <w:rPr>
                      <w:rFonts w:hint="eastAsia" w:cs="宋体"/>
                      <w:color w:val="auto"/>
                      <w:highlight w:val="none"/>
                    </w:rPr>
                    <w:t>颗粒物</w:t>
                  </w:r>
                </w:p>
              </w:tc>
              <w:tc>
                <w:tcPr>
                  <w:tcW w:w="1065" w:type="dxa"/>
                  <w:tcBorders>
                    <w:tl2br w:val="nil"/>
                    <w:tr2bl w:val="nil"/>
                  </w:tcBorders>
                  <w:shd w:val="clear" w:color="auto" w:fill="auto"/>
                  <w:vAlign w:val="center"/>
                </w:tcPr>
                <w:p w14:paraId="18E579E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10</w:t>
                  </w:r>
                </w:p>
              </w:tc>
              <w:tc>
                <w:tcPr>
                  <w:tcW w:w="867" w:type="dxa"/>
                  <w:vMerge w:val="continue"/>
                  <w:tcBorders>
                    <w:tl2br w:val="nil"/>
                    <w:tr2bl w:val="nil"/>
                  </w:tcBorders>
                  <w:shd w:val="clear" w:color="auto" w:fill="auto"/>
                  <w:vAlign w:val="center"/>
                </w:tcPr>
                <w:p w14:paraId="58352DC0">
                  <w:pPr>
                    <w:keepNext w:val="0"/>
                    <w:keepLines w:val="0"/>
                    <w:suppressLineNumbers w:val="0"/>
                    <w:spacing w:before="0" w:beforeAutospacing="0" w:after="0" w:afterAutospacing="0"/>
                    <w:ind w:left="0" w:right="0"/>
                    <w:jc w:val="center"/>
                    <w:rPr>
                      <w:color w:val="auto"/>
                      <w:highlight w:val="none"/>
                    </w:rPr>
                  </w:pPr>
                </w:p>
              </w:tc>
              <w:tc>
                <w:tcPr>
                  <w:tcW w:w="1340" w:type="dxa"/>
                  <w:tcBorders>
                    <w:tl2br w:val="nil"/>
                    <w:tr2bl w:val="nil"/>
                  </w:tcBorders>
                  <w:shd w:val="clear" w:color="auto" w:fill="auto"/>
                  <w:vAlign w:val="center"/>
                </w:tcPr>
                <w:p w14:paraId="0352CAB7">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lang w:val="en-US" w:eastAsia="zh-CN"/>
                    </w:rPr>
                    <w:t>0.6</w:t>
                  </w:r>
                </w:p>
              </w:tc>
              <w:tc>
                <w:tcPr>
                  <w:tcW w:w="913" w:type="dxa"/>
                  <w:vMerge w:val="continue"/>
                  <w:tcBorders>
                    <w:tl2br w:val="nil"/>
                    <w:tr2bl w:val="nil"/>
                  </w:tcBorders>
                  <w:shd w:val="clear" w:color="auto" w:fill="auto"/>
                  <w:vAlign w:val="center"/>
                </w:tcPr>
                <w:p w14:paraId="5B3CA5A8">
                  <w:pPr>
                    <w:keepNext w:val="0"/>
                    <w:keepLines w:val="0"/>
                    <w:suppressLineNumbers w:val="0"/>
                    <w:spacing w:before="0" w:beforeAutospacing="0" w:after="0" w:afterAutospacing="0"/>
                    <w:ind w:left="0" w:right="0"/>
                    <w:jc w:val="center"/>
                    <w:rPr>
                      <w:rFonts w:cs="宋体"/>
                      <w:color w:val="auto"/>
                      <w:highlight w:val="none"/>
                    </w:rPr>
                  </w:pPr>
                </w:p>
              </w:tc>
              <w:tc>
                <w:tcPr>
                  <w:tcW w:w="1531" w:type="dxa"/>
                  <w:vMerge w:val="continue"/>
                  <w:tcBorders>
                    <w:tl2br w:val="nil"/>
                    <w:tr2bl w:val="nil"/>
                  </w:tcBorders>
                  <w:shd w:val="clear" w:color="auto" w:fill="auto"/>
                  <w:vAlign w:val="center"/>
                </w:tcPr>
                <w:p w14:paraId="4CFE9087">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p>
              </w:tc>
            </w:tr>
          </w:tbl>
          <w:p w14:paraId="16D04A20">
            <w:pPr>
              <w:keepNext w:val="0"/>
              <w:keepLines w:val="0"/>
              <w:suppressLineNumbers w:val="0"/>
              <w:adjustRightInd w:val="0"/>
              <w:snapToGrid w:val="0"/>
              <w:spacing w:before="0" w:beforeLines="50" w:beforeAutospacing="0" w:after="0" w:afterAutospacing="0"/>
              <w:ind w:left="0" w:right="0" w:firstLine="482" w:firstLineChars="200"/>
              <w:jc w:val="center"/>
              <w:rPr>
                <w:b/>
                <w:color w:val="auto"/>
                <w:sz w:val="24"/>
                <w:szCs w:val="32"/>
                <w:highlight w:val="none"/>
              </w:rPr>
            </w:pPr>
            <w:r>
              <w:rPr>
                <w:b/>
                <w:color w:val="auto"/>
                <w:sz w:val="24"/>
                <w:szCs w:val="32"/>
                <w:highlight w:val="none"/>
              </w:rPr>
              <w:t>表3-</w:t>
            </w:r>
            <w:r>
              <w:rPr>
                <w:rFonts w:hint="eastAsia"/>
                <w:b/>
                <w:color w:val="auto"/>
                <w:sz w:val="24"/>
                <w:szCs w:val="32"/>
                <w:highlight w:val="none"/>
              </w:rPr>
              <w:t>4</w:t>
            </w:r>
            <w:r>
              <w:rPr>
                <w:rFonts w:hint="eastAsia"/>
                <w:b/>
                <w:color w:val="auto"/>
                <w:sz w:val="24"/>
                <w:szCs w:val="32"/>
                <w:highlight w:val="none"/>
                <w:lang w:val="en-US" w:eastAsia="zh-CN"/>
              </w:rPr>
              <w:t xml:space="preserve"> 大</w:t>
            </w:r>
            <w:r>
              <w:rPr>
                <w:b/>
                <w:color w:val="auto"/>
                <w:sz w:val="24"/>
                <w:szCs w:val="32"/>
                <w:highlight w:val="none"/>
              </w:rPr>
              <w:t>污染物无组织排放标准</w:t>
            </w:r>
            <w:r>
              <w:rPr>
                <w:rFonts w:hint="eastAsia"/>
                <w:b/>
                <w:color w:val="auto"/>
                <w:sz w:val="24"/>
                <w:szCs w:val="32"/>
                <w:highlight w:val="none"/>
              </w:rPr>
              <w:t xml:space="preserve"> </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331"/>
              <w:gridCol w:w="1680"/>
              <w:gridCol w:w="1610"/>
              <w:gridCol w:w="3149"/>
            </w:tblGrid>
            <w:tr w14:paraId="72CF4A82">
              <w:trPr>
                <w:trHeight w:val="340" w:hRule="atLeast"/>
                <w:jc w:val="center"/>
              </w:trPr>
              <w:tc>
                <w:tcPr>
                  <w:tcW w:w="382" w:type="pct"/>
                  <w:vAlign w:val="center"/>
                </w:tcPr>
                <w:p w14:paraId="0AB3F36D">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序号</w:t>
                  </w:r>
                </w:p>
              </w:tc>
              <w:tc>
                <w:tcPr>
                  <w:tcW w:w="790" w:type="pct"/>
                  <w:vAlign w:val="center"/>
                </w:tcPr>
                <w:p w14:paraId="38EE0055">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污染物</w:t>
                  </w:r>
                </w:p>
              </w:tc>
              <w:tc>
                <w:tcPr>
                  <w:tcW w:w="998" w:type="pct"/>
                  <w:vAlign w:val="center"/>
                </w:tcPr>
                <w:p w14:paraId="0284A4DD">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监控浓度限值</w:t>
                  </w:r>
                  <w:r>
                    <w:rPr>
                      <w:rFonts w:hint="eastAsia" w:cs="宋体"/>
                      <w:b/>
                      <w:bCs/>
                      <w:color w:val="auto"/>
                      <w:highlight w:val="none"/>
                    </w:rPr>
                    <w:t>（</w:t>
                  </w:r>
                  <w:r>
                    <w:rPr>
                      <w:b/>
                      <w:bCs/>
                      <w:color w:val="auto"/>
                      <w:highlight w:val="none"/>
                    </w:rPr>
                    <w:t>mg/m</w:t>
                  </w:r>
                  <w:r>
                    <w:rPr>
                      <w:b/>
                      <w:bCs/>
                      <w:color w:val="auto"/>
                      <w:highlight w:val="none"/>
                      <w:vertAlign w:val="superscript"/>
                    </w:rPr>
                    <w:t>3</w:t>
                  </w:r>
                  <w:r>
                    <w:rPr>
                      <w:rFonts w:hint="eastAsia" w:cs="宋体"/>
                      <w:b/>
                      <w:bCs/>
                      <w:color w:val="auto"/>
                      <w:highlight w:val="none"/>
                    </w:rPr>
                    <w:t>）</w:t>
                  </w:r>
                </w:p>
              </w:tc>
              <w:tc>
                <w:tcPr>
                  <w:tcW w:w="956" w:type="pct"/>
                  <w:vAlign w:val="center"/>
                </w:tcPr>
                <w:p w14:paraId="02E42E28">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监控位置</w:t>
                  </w:r>
                </w:p>
              </w:tc>
              <w:tc>
                <w:tcPr>
                  <w:tcW w:w="1871" w:type="pct"/>
                  <w:vAlign w:val="center"/>
                </w:tcPr>
                <w:p w14:paraId="5808483B">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执行标准</w:t>
                  </w:r>
                </w:p>
              </w:tc>
            </w:tr>
            <w:tr w14:paraId="4B23560C">
              <w:trPr>
                <w:trHeight w:val="340" w:hRule="atLeast"/>
                <w:jc w:val="center"/>
              </w:trPr>
              <w:tc>
                <w:tcPr>
                  <w:tcW w:w="382" w:type="pct"/>
                  <w:vAlign w:val="center"/>
                </w:tcPr>
                <w:p w14:paraId="5D348B6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790" w:type="pct"/>
                  <w:shd w:val="clear" w:color="auto" w:fill="auto"/>
                  <w:vAlign w:val="center"/>
                </w:tcPr>
                <w:p w14:paraId="698BAC06">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998" w:type="pct"/>
                  <w:shd w:val="clear" w:color="auto" w:fill="auto"/>
                  <w:vAlign w:val="center"/>
                </w:tcPr>
                <w:p w14:paraId="37242CB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0.5</w:t>
                  </w:r>
                </w:p>
              </w:tc>
              <w:tc>
                <w:tcPr>
                  <w:tcW w:w="956" w:type="pct"/>
                  <w:vMerge w:val="restart"/>
                  <w:vAlign w:val="center"/>
                </w:tcPr>
                <w:p w14:paraId="1947F98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边界外浓度最高点</w:t>
                  </w:r>
                </w:p>
              </w:tc>
              <w:tc>
                <w:tcPr>
                  <w:tcW w:w="1871" w:type="pct"/>
                  <w:vMerge w:val="restart"/>
                  <w:vAlign w:val="center"/>
                </w:tcPr>
                <w:p w14:paraId="24E6149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《大气污染物综合排放标准》（DB32/4041-2021）表3标准值</w:t>
                  </w:r>
                </w:p>
              </w:tc>
            </w:tr>
            <w:tr w14:paraId="5F9319E7">
              <w:trPr>
                <w:trHeight w:val="340" w:hRule="atLeast"/>
                <w:jc w:val="center"/>
              </w:trPr>
              <w:tc>
                <w:tcPr>
                  <w:tcW w:w="382" w:type="pct"/>
                  <w:shd w:val="clear" w:color="auto" w:fill="auto"/>
                  <w:vAlign w:val="center"/>
                </w:tcPr>
                <w:p w14:paraId="45C6B1A0">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2</w:t>
                  </w:r>
                </w:p>
              </w:tc>
              <w:tc>
                <w:tcPr>
                  <w:tcW w:w="790" w:type="pct"/>
                  <w:shd w:val="clear" w:color="auto" w:fill="auto"/>
                  <w:vAlign w:val="center"/>
                </w:tcPr>
                <w:p w14:paraId="373E752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998" w:type="pct"/>
                  <w:shd w:val="clear" w:color="auto" w:fill="auto"/>
                  <w:vAlign w:val="center"/>
                </w:tcPr>
                <w:p w14:paraId="24DCAE1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4.0</w:t>
                  </w:r>
                </w:p>
              </w:tc>
              <w:tc>
                <w:tcPr>
                  <w:tcW w:w="956" w:type="pct"/>
                  <w:vMerge w:val="continue"/>
                  <w:vAlign w:val="center"/>
                </w:tcPr>
                <w:p w14:paraId="74E60DE6">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871" w:type="pct"/>
                  <w:vMerge w:val="continue"/>
                  <w:vAlign w:val="center"/>
                </w:tcPr>
                <w:p w14:paraId="30EC707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bl>
          <w:p w14:paraId="144E2A27">
            <w:pPr>
              <w:keepNext w:val="0"/>
              <w:keepLines w:val="0"/>
              <w:suppressLineNumbers w:val="0"/>
              <w:adjustRightInd w:val="0"/>
              <w:snapToGrid w:val="0"/>
              <w:spacing w:before="0" w:beforeLines="50" w:beforeAutospacing="0" w:after="0" w:afterAutospacing="0"/>
              <w:ind w:left="0" w:right="0" w:firstLine="482" w:firstLineChars="200"/>
              <w:jc w:val="center"/>
              <w:rPr>
                <w:bCs/>
                <w:color w:val="auto"/>
                <w:szCs w:val="21"/>
                <w:highlight w:val="none"/>
                <w:vertAlign w:val="superscript"/>
              </w:rPr>
            </w:pPr>
            <w:r>
              <w:rPr>
                <w:rFonts w:hAnsi="宋体"/>
                <w:b/>
                <w:color w:val="auto"/>
                <w:sz w:val="24"/>
                <w:highlight w:val="none"/>
              </w:rPr>
              <w:t>表</w:t>
            </w:r>
            <w:r>
              <w:rPr>
                <w:b/>
                <w:color w:val="auto"/>
                <w:sz w:val="24"/>
                <w:highlight w:val="none"/>
              </w:rPr>
              <w:t>3-</w:t>
            </w:r>
            <w:r>
              <w:rPr>
                <w:rFonts w:hint="eastAsia"/>
                <w:b/>
                <w:color w:val="auto"/>
                <w:sz w:val="24"/>
                <w:highlight w:val="none"/>
              </w:rPr>
              <w:t>5</w:t>
            </w:r>
            <w:r>
              <w:rPr>
                <w:rFonts w:hAnsi="宋体"/>
                <w:b/>
                <w:color w:val="auto"/>
                <w:sz w:val="24"/>
                <w:highlight w:val="none"/>
              </w:rPr>
              <w:t>厂区内</w:t>
            </w:r>
            <w:r>
              <w:rPr>
                <w:b/>
                <w:color w:val="auto"/>
                <w:sz w:val="24"/>
                <w:highlight w:val="none"/>
              </w:rPr>
              <w:t>NMHC</w:t>
            </w:r>
            <w:r>
              <w:rPr>
                <w:rFonts w:hAnsi="宋体"/>
                <w:b/>
                <w:color w:val="auto"/>
                <w:sz w:val="24"/>
                <w:highlight w:val="none"/>
              </w:rPr>
              <w:t>无组织排放限值</w:t>
            </w:r>
            <w:r>
              <w:rPr>
                <w:rFonts w:hint="eastAsia" w:hAnsi="宋体"/>
                <w:b/>
                <w:color w:val="auto"/>
                <w:sz w:val="24"/>
                <w:highlight w:val="none"/>
              </w:rPr>
              <w:t xml:space="preserve"> </w:t>
            </w:r>
            <w:r>
              <w:rPr>
                <w:rFonts w:hAnsi="宋体"/>
                <w:color w:val="auto"/>
                <w:highlight w:val="none"/>
              </w:rPr>
              <w:t>单位：</w:t>
            </w:r>
            <w:r>
              <w:rPr>
                <w:color w:val="auto"/>
                <w:highlight w:val="none"/>
              </w:rPr>
              <w:t>mg/m</w:t>
            </w:r>
            <w:r>
              <w:rPr>
                <w:color w:val="auto"/>
                <w:highlight w:val="none"/>
                <w:vertAlign w:val="superscript"/>
              </w:rPr>
              <w:t>3</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32"/>
              <w:gridCol w:w="938"/>
              <w:gridCol w:w="2426"/>
              <w:gridCol w:w="1690"/>
              <w:gridCol w:w="2431"/>
            </w:tblGrid>
            <w:tr w14:paraId="6056EC8D">
              <w:trPr>
                <w:trHeight w:val="340" w:hRule="atLeast"/>
                <w:jc w:val="center"/>
              </w:trPr>
              <w:tc>
                <w:tcPr>
                  <w:tcW w:w="553" w:type="pct"/>
                  <w:vAlign w:val="center"/>
                </w:tcPr>
                <w:p w14:paraId="2DB58B4A">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污染物</w:t>
                  </w:r>
                </w:p>
                <w:p w14:paraId="4A9C2C6F">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名称</w:t>
                  </w:r>
                </w:p>
              </w:tc>
              <w:tc>
                <w:tcPr>
                  <w:tcW w:w="557" w:type="pct"/>
                  <w:vAlign w:val="center"/>
                </w:tcPr>
                <w:p w14:paraId="5D57A11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特别排放限值</w:t>
                  </w:r>
                </w:p>
              </w:tc>
              <w:tc>
                <w:tcPr>
                  <w:tcW w:w="1441" w:type="pct"/>
                  <w:vAlign w:val="center"/>
                </w:tcPr>
                <w:p w14:paraId="4D4039AF">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限值意义</w:t>
                  </w:r>
                </w:p>
              </w:tc>
              <w:tc>
                <w:tcPr>
                  <w:tcW w:w="1003" w:type="pct"/>
                  <w:vAlign w:val="center"/>
                </w:tcPr>
                <w:p w14:paraId="482CC3D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无组织排放监控位置</w:t>
                  </w:r>
                </w:p>
              </w:tc>
              <w:tc>
                <w:tcPr>
                  <w:tcW w:w="1444" w:type="pct"/>
                  <w:vAlign w:val="center"/>
                </w:tcPr>
                <w:p w14:paraId="7284FCF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标准来源</w:t>
                  </w:r>
                </w:p>
              </w:tc>
            </w:tr>
            <w:tr w14:paraId="21B6B96A">
              <w:trPr>
                <w:trHeight w:val="340" w:hRule="atLeast"/>
                <w:jc w:val="center"/>
              </w:trPr>
              <w:tc>
                <w:tcPr>
                  <w:tcW w:w="553" w:type="pct"/>
                  <w:vMerge w:val="restart"/>
                  <w:vAlign w:val="center"/>
                </w:tcPr>
                <w:p w14:paraId="37FE026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557" w:type="pct"/>
                  <w:vAlign w:val="center"/>
                </w:tcPr>
                <w:p w14:paraId="107A960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6</w:t>
                  </w:r>
                </w:p>
              </w:tc>
              <w:tc>
                <w:tcPr>
                  <w:tcW w:w="1441" w:type="pct"/>
                  <w:vAlign w:val="center"/>
                </w:tcPr>
                <w:p w14:paraId="385BEBA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监控点处</w:t>
                  </w:r>
                  <w:r>
                    <w:rPr>
                      <w:color w:val="auto"/>
                      <w:szCs w:val="21"/>
                      <w:highlight w:val="none"/>
                    </w:rPr>
                    <w:t>1h</w:t>
                  </w:r>
                  <w:r>
                    <w:rPr>
                      <w:rFonts w:hAnsi="宋体"/>
                      <w:color w:val="auto"/>
                      <w:szCs w:val="21"/>
                      <w:highlight w:val="none"/>
                    </w:rPr>
                    <w:t>平均浓度值</w:t>
                  </w:r>
                </w:p>
              </w:tc>
              <w:tc>
                <w:tcPr>
                  <w:tcW w:w="1003" w:type="pct"/>
                  <w:vMerge w:val="restart"/>
                  <w:vAlign w:val="center"/>
                </w:tcPr>
                <w:p w14:paraId="5D4EAD6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在厂房外设置监控点</w:t>
                  </w:r>
                </w:p>
              </w:tc>
              <w:tc>
                <w:tcPr>
                  <w:tcW w:w="1444" w:type="pct"/>
                  <w:vMerge w:val="restart"/>
                  <w:vAlign w:val="center"/>
                </w:tcPr>
                <w:p w14:paraId="579C8A7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default" w:ascii="Times New Roman" w:hAnsi="Times New Roman" w:cs="Times New Roman"/>
                      <w:color w:val="auto"/>
                      <w:sz w:val="21"/>
                      <w:szCs w:val="21"/>
                      <w:highlight w:val="none"/>
                      <w:lang w:eastAsia="zh-CN"/>
                    </w:rPr>
                    <w:t>《表面涂装（工程机械和钢结构行业）大气污染物排放标准》（DB32/4147-2021）</w:t>
                  </w:r>
                  <w:r>
                    <w:rPr>
                      <w:color w:val="auto"/>
                      <w:szCs w:val="21"/>
                      <w:highlight w:val="none"/>
                    </w:rPr>
                    <w:t>表</w:t>
                  </w:r>
                  <w:r>
                    <w:rPr>
                      <w:rFonts w:hint="eastAsia"/>
                      <w:color w:val="auto"/>
                      <w:szCs w:val="21"/>
                      <w:highlight w:val="none"/>
                      <w:lang w:val="en-US" w:eastAsia="zh-CN"/>
                    </w:rPr>
                    <w:t>3</w:t>
                  </w:r>
                  <w:r>
                    <w:rPr>
                      <w:color w:val="auto"/>
                      <w:szCs w:val="21"/>
                      <w:highlight w:val="none"/>
                    </w:rPr>
                    <w:t>标准值</w:t>
                  </w:r>
                </w:p>
              </w:tc>
            </w:tr>
            <w:tr w14:paraId="1538754F">
              <w:trPr>
                <w:trHeight w:val="340" w:hRule="atLeast"/>
                <w:jc w:val="center"/>
              </w:trPr>
              <w:tc>
                <w:tcPr>
                  <w:tcW w:w="553" w:type="pct"/>
                  <w:vMerge w:val="continue"/>
                  <w:vAlign w:val="center"/>
                </w:tcPr>
                <w:p w14:paraId="6B176570">
                  <w:pPr>
                    <w:keepNext w:val="0"/>
                    <w:keepLines w:val="0"/>
                    <w:suppressLineNumbers w:val="0"/>
                    <w:spacing w:before="0" w:beforeAutospacing="0" w:after="0" w:afterAutospacing="0"/>
                    <w:ind w:left="0" w:right="0"/>
                    <w:rPr>
                      <w:color w:val="auto"/>
                      <w:szCs w:val="21"/>
                      <w:highlight w:val="none"/>
                    </w:rPr>
                  </w:pPr>
                </w:p>
              </w:tc>
              <w:tc>
                <w:tcPr>
                  <w:tcW w:w="557" w:type="pct"/>
                  <w:vAlign w:val="center"/>
                </w:tcPr>
                <w:p w14:paraId="66DFEA2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20</w:t>
                  </w:r>
                </w:p>
              </w:tc>
              <w:tc>
                <w:tcPr>
                  <w:tcW w:w="1441" w:type="pct"/>
                  <w:vAlign w:val="center"/>
                </w:tcPr>
                <w:p w14:paraId="792E93B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监控点处任意一次浓度值</w:t>
                  </w:r>
                </w:p>
              </w:tc>
              <w:tc>
                <w:tcPr>
                  <w:tcW w:w="1003" w:type="pct"/>
                  <w:vMerge w:val="continue"/>
                  <w:vAlign w:val="center"/>
                </w:tcPr>
                <w:p w14:paraId="18D838EE">
                  <w:pPr>
                    <w:keepNext w:val="0"/>
                    <w:keepLines w:val="0"/>
                    <w:suppressLineNumbers w:val="0"/>
                    <w:spacing w:before="0" w:beforeAutospacing="0" w:after="0" w:afterAutospacing="0"/>
                    <w:ind w:left="0" w:right="0"/>
                    <w:rPr>
                      <w:color w:val="auto"/>
                      <w:szCs w:val="21"/>
                      <w:highlight w:val="none"/>
                    </w:rPr>
                  </w:pPr>
                </w:p>
              </w:tc>
              <w:tc>
                <w:tcPr>
                  <w:tcW w:w="1444" w:type="pct"/>
                  <w:vMerge w:val="continue"/>
                  <w:vAlign w:val="center"/>
                </w:tcPr>
                <w:p w14:paraId="39A691EA">
                  <w:pPr>
                    <w:keepNext w:val="0"/>
                    <w:keepLines w:val="0"/>
                    <w:suppressLineNumbers w:val="0"/>
                    <w:spacing w:before="0" w:beforeAutospacing="0" w:after="0" w:afterAutospacing="0"/>
                    <w:ind w:left="0" w:right="0"/>
                    <w:rPr>
                      <w:color w:val="auto"/>
                      <w:szCs w:val="21"/>
                      <w:highlight w:val="none"/>
                    </w:rPr>
                  </w:pPr>
                </w:p>
              </w:tc>
            </w:tr>
          </w:tbl>
          <w:p w14:paraId="417A1216">
            <w:pPr>
              <w:keepNext w:val="0"/>
              <w:keepLines w:val="0"/>
              <w:suppressLineNumbers w:val="0"/>
              <w:wordWrap w:val="0"/>
              <w:adjustRightInd w:val="0"/>
              <w:snapToGrid w:val="0"/>
              <w:spacing w:before="0" w:beforeLines="50" w:beforeAutospacing="0" w:after="0" w:afterAutospacing="0" w:line="360" w:lineRule="auto"/>
              <w:ind w:left="0" w:right="105" w:rightChars="50" w:firstLine="472" w:firstLineChars="196"/>
              <w:rPr>
                <w:b/>
                <w:color w:val="auto"/>
                <w:sz w:val="24"/>
                <w:highlight w:val="none"/>
              </w:rPr>
            </w:pPr>
            <w:r>
              <w:rPr>
                <w:b/>
                <w:color w:val="auto"/>
                <w:sz w:val="24"/>
                <w:highlight w:val="none"/>
              </w:rPr>
              <w:t>3.</w:t>
            </w:r>
            <w:r>
              <w:rPr>
                <w:rFonts w:hAnsi="宋体"/>
                <w:b/>
                <w:color w:val="auto"/>
                <w:sz w:val="24"/>
                <w:highlight w:val="none"/>
              </w:rPr>
              <w:t>噪声排放标准</w:t>
            </w:r>
          </w:p>
          <w:p w14:paraId="752B94C9">
            <w:pPr>
              <w:keepNext w:val="0"/>
              <w:keepLines w:val="0"/>
              <w:suppressLineNumbers w:val="0"/>
              <w:wordWrap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项目运行期间厂界噪声执行《工业企业厂界环境噪声排放标准》（</w:t>
            </w:r>
            <w:r>
              <w:rPr>
                <w:color w:val="auto"/>
                <w:sz w:val="24"/>
                <w:highlight w:val="none"/>
              </w:rPr>
              <w:t>GB12348-2008</w:t>
            </w:r>
            <w:r>
              <w:rPr>
                <w:rFonts w:hAnsi="宋体"/>
                <w:color w:val="auto"/>
                <w:sz w:val="24"/>
                <w:highlight w:val="none"/>
              </w:rPr>
              <w:t>）中的</w:t>
            </w:r>
            <w:r>
              <w:rPr>
                <w:color w:val="auto"/>
                <w:sz w:val="24"/>
                <w:highlight w:val="none"/>
              </w:rPr>
              <w:t>3</w:t>
            </w:r>
            <w:r>
              <w:rPr>
                <w:rFonts w:hAnsi="宋体"/>
                <w:color w:val="auto"/>
                <w:sz w:val="24"/>
                <w:highlight w:val="none"/>
              </w:rPr>
              <w:t>类标准值，具体标准值见表</w:t>
            </w:r>
            <w:r>
              <w:rPr>
                <w:color w:val="auto"/>
                <w:sz w:val="24"/>
                <w:highlight w:val="none"/>
              </w:rPr>
              <w:t>3-</w:t>
            </w:r>
            <w:r>
              <w:rPr>
                <w:rFonts w:hint="eastAsia"/>
                <w:color w:val="auto"/>
                <w:sz w:val="24"/>
                <w:highlight w:val="none"/>
              </w:rPr>
              <w:t>6</w:t>
            </w:r>
            <w:r>
              <w:rPr>
                <w:rFonts w:hAnsi="宋体"/>
                <w:color w:val="auto"/>
                <w:sz w:val="24"/>
                <w:highlight w:val="none"/>
              </w:rPr>
              <w:t>。</w:t>
            </w:r>
          </w:p>
          <w:p w14:paraId="288838A1">
            <w:pPr>
              <w:keepNext w:val="0"/>
              <w:keepLines w:val="0"/>
              <w:suppressLineNumbers w:val="0"/>
              <w:wordWrap w:val="0"/>
              <w:adjustRightInd w:val="0"/>
              <w:snapToGrid w:val="0"/>
              <w:spacing w:before="0" w:beforeAutospacing="0" w:after="0" w:afterAutospacing="0"/>
              <w:ind w:left="0" w:right="0"/>
              <w:jc w:val="center"/>
              <w:rPr>
                <w:b/>
                <w:color w:val="auto"/>
                <w:szCs w:val="16"/>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6</w:t>
            </w:r>
            <w:r>
              <w:rPr>
                <w:rFonts w:hAnsi="宋体"/>
                <w:b/>
                <w:color w:val="auto"/>
                <w:sz w:val="24"/>
                <w:highlight w:val="none"/>
              </w:rPr>
              <w:t>项目厂界噪声标准值</w:t>
            </w:r>
            <w:r>
              <w:rPr>
                <w:rFonts w:hAnsi="宋体"/>
                <w:color w:val="auto"/>
                <w:szCs w:val="21"/>
                <w:highlight w:val="none"/>
              </w:rPr>
              <w:t>单位：</w:t>
            </w:r>
            <w:r>
              <w:rPr>
                <w:color w:val="auto"/>
                <w:szCs w:val="16"/>
                <w:highlight w:val="none"/>
              </w:rPr>
              <w:t>dB</w:t>
            </w:r>
            <w:r>
              <w:rPr>
                <w:rFonts w:hAnsi="宋体"/>
                <w:color w:val="auto"/>
                <w:szCs w:val="16"/>
                <w:highlight w:val="none"/>
              </w:rPr>
              <w:t>（</w:t>
            </w:r>
            <w:r>
              <w:rPr>
                <w:color w:val="auto"/>
                <w:szCs w:val="16"/>
                <w:highlight w:val="none"/>
              </w:rPr>
              <w:t>A</w:t>
            </w:r>
            <w:r>
              <w:rPr>
                <w:rFonts w:hAnsi="宋体"/>
                <w:color w:val="auto"/>
                <w:szCs w:val="16"/>
                <w:highlight w:val="none"/>
              </w:rPr>
              <w:t>）</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3363"/>
              <w:gridCol w:w="3582"/>
            </w:tblGrid>
            <w:tr w14:paraId="7B8F8546">
              <w:trPr>
                <w:trHeight w:val="397" w:hRule="atLeast"/>
                <w:jc w:val="center"/>
              </w:trPr>
              <w:tc>
                <w:tcPr>
                  <w:tcW w:w="1658" w:type="dxa"/>
                  <w:vAlign w:val="center"/>
                </w:tcPr>
                <w:p w14:paraId="054865BA">
                  <w:pPr>
                    <w:keepNext w:val="0"/>
                    <w:keepLines w:val="0"/>
                    <w:suppressLineNumbers w:val="0"/>
                    <w:wordWrap w:val="0"/>
                    <w:snapToGrid w:val="0"/>
                    <w:spacing w:before="0" w:beforeAutospacing="0" w:after="0" w:afterAutospacing="0" w:line="280" w:lineRule="exact"/>
                    <w:ind w:left="0" w:right="0"/>
                    <w:jc w:val="center"/>
                    <w:rPr>
                      <w:bCs/>
                      <w:color w:val="auto"/>
                      <w:szCs w:val="21"/>
                      <w:highlight w:val="none"/>
                    </w:rPr>
                  </w:pPr>
                  <w:r>
                    <w:rPr>
                      <w:rFonts w:hAnsi="宋体"/>
                      <w:bCs/>
                      <w:color w:val="auto"/>
                      <w:szCs w:val="21"/>
                      <w:highlight w:val="none"/>
                    </w:rPr>
                    <w:t>类别</w:t>
                  </w:r>
                </w:p>
              </w:tc>
              <w:tc>
                <w:tcPr>
                  <w:tcW w:w="3363" w:type="dxa"/>
                  <w:vAlign w:val="center"/>
                </w:tcPr>
                <w:p w14:paraId="3935017E">
                  <w:pPr>
                    <w:keepNext w:val="0"/>
                    <w:keepLines w:val="0"/>
                    <w:suppressLineNumbers w:val="0"/>
                    <w:wordWrap w:val="0"/>
                    <w:snapToGrid w:val="0"/>
                    <w:spacing w:before="0" w:beforeAutospacing="0" w:after="0" w:afterAutospacing="0" w:line="280" w:lineRule="exact"/>
                    <w:ind w:left="0" w:right="0"/>
                    <w:jc w:val="center"/>
                    <w:rPr>
                      <w:bCs/>
                      <w:color w:val="auto"/>
                      <w:szCs w:val="21"/>
                      <w:highlight w:val="none"/>
                    </w:rPr>
                  </w:pPr>
                  <w:r>
                    <w:rPr>
                      <w:rFonts w:hAnsi="宋体"/>
                      <w:bCs/>
                      <w:color w:val="auto"/>
                      <w:szCs w:val="21"/>
                      <w:highlight w:val="none"/>
                    </w:rPr>
                    <w:t>昼间</w:t>
                  </w:r>
                </w:p>
              </w:tc>
              <w:tc>
                <w:tcPr>
                  <w:tcW w:w="3582" w:type="dxa"/>
                  <w:vAlign w:val="center"/>
                </w:tcPr>
                <w:p w14:paraId="06227E1F">
                  <w:pPr>
                    <w:keepNext w:val="0"/>
                    <w:keepLines w:val="0"/>
                    <w:suppressLineNumbers w:val="0"/>
                    <w:wordWrap w:val="0"/>
                    <w:snapToGrid w:val="0"/>
                    <w:spacing w:before="0" w:beforeAutospacing="0" w:after="0" w:afterAutospacing="0" w:line="280" w:lineRule="exact"/>
                    <w:ind w:left="0" w:right="0"/>
                    <w:jc w:val="center"/>
                    <w:rPr>
                      <w:bCs/>
                      <w:color w:val="auto"/>
                      <w:szCs w:val="21"/>
                      <w:highlight w:val="none"/>
                    </w:rPr>
                  </w:pPr>
                  <w:r>
                    <w:rPr>
                      <w:rFonts w:hAnsi="宋体"/>
                      <w:bCs/>
                      <w:color w:val="auto"/>
                      <w:szCs w:val="21"/>
                      <w:highlight w:val="none"/>
                    </w:rPr>
                    <w:t>夜间</w:t>
                  </w:r>
                </w:p>
              </w:tc>
            </w:tr>
            <w:tr w14:paraId="769470AE">
              <w:trPr>
                <w:trHeight w:val="397" w:hRule="atLeast"/>
                <w:jc w:val="center"/>
              </w:trPr>
              <w:tc>
                <w:tcPr>
                  <w:tcW w:w="1658" w:type="dxa"/>
                  <w:vAlign w:val="center"/>
                </w:tcPr>
                <w:p w14:paraId="2E7D3392">
                  <w:pPr>
                    <w:keepNext w:val="0"/>
                    <w:keepLines w:val="0"/>
                    <w:suppressLineNumbers w:val="0"/>
                    <w:wordWrap w:val="0"/>
                    <w:snapToGrid w:val="0"/>
                    <w:spacing w:before="0" w:beforeAutospacing="0" w:after="0" w:afterAutospacing="0" w:line="280" w:lineRule="exact"/>
                    <w:ind w:left="0" w:right="0"/>
                    <w:jc w:val="center"/>
                    <w:rPr>
                      <w:bCs/>
                      <w:color w:val="auto"/>
                      <w:szCs w:val="21"/>
                      <w:highlight w:val="none"/>
                    </w:rPr>
                  </w:pPr>
                  <w:r>
                    <w:rPr>
                      <w:bCs/>
                      <w:color w:val="auto"/>
                      <w:szCs w:val="21"/>
                      <w:highlight w:val="none"/>
                    </w:rPr>
                    <w:t>3</w:t>
                  </w:r>
                  <w:r>
                    <w:rPr>
                      <w:rFonts w:hAnsi="宋体"/>
                      <w:bCs/>
                      <w:color w:val="auto"/>
                      <w:szCs w:val="21"/>
                      <w:highlight w:val="none"/>
                    </w:rPr>
                    <w:t>类</w:t>
                  </w:r>
                </w:p>
              </w:tc>
              <w:tc>
                <w:tcPr>
                  <w:tcW w:w="3363" w:type="dxa"/>
                  <w:vAlign w:val="center"/>
                </w:tcPr>
                <w:p w14:paraId="5316B0D4">
                  <w:pPr>
                    <w:keepNext w:val="0"/>
                    <w:keepLines w:val="0"/>
                    <w:suppressLineNumbers w:val="0"/>
                    <w:wordWrap w:val="0"/>
                    <w:snapToGrid w:val="0"/>
                    <w:spacing w:before="0" w:beforeAutospacing="0" w:after="0" w:afterAutospacing="0" w:line="280" w:lineRule="exact"/>
                    <w:ind w:left="0" w:right="0"/>
                    <w:jc w:val="center"/>
                    <w:rPr>
                      <w:bCs/>
                      <w:color w:val="auto"/>
                      <w:szCs w:val="21"/>
                      <w:highlight w:val="none"/>
                    </w:rPr>
                  </w:pPr>
                  <w:r>
                    <w:rPr>
                      <w:color w:val="auto"/>
                      <w:szCs w:val="21"/>
                      <w:highlight w:val="none"/>
                    </w:rPr>
                    <w:t>≤</w:t>
                  </w:r>
                  <w:r>
                    <w:rPr>
                      <w:bCs/>
                      <w:color w:val="auto"/>
                      <w:szCs w:val="21"/>
                      <w:highlight w:val="none"/>
                    </w:rPr>
                    <w:t>65</w:t>
                  </w:r>
                </w:p>
              </w:tc>
              <w:tc>
                <w:tcPr>
                  <w:tcW w:w="3582" w:type="dxa"/>
                  <w:vAlign w:val="center"/>
                </w:tcPr>
                <w:p w14:paraId="06448225">
                  <w:pPr>
                    <w:keepNext w:val="0"/>
                    <w:keepLines w:val="0"/>
                    <w:suppressLineNumbers w:val="0"/>
                    <w:wordWrap w:val="0"/>
                    <w:snapToGrid w:val="0"/>
                    <w:spacing w:before="0" w:beforeAutospacing="0" w:after="0" w:afterAutospacing="0" w:line="280" w:lineRule="exact"/>
                    <w:ind w:left="0" w:right="0"/>
                    <w:jc w:val="center"/>
                    <w:rPr>
                      <w:bCs/>
                      <w:color w:val="auto"/>
                      <w:szCs w:val="21"/>
                      <w:highlight w:val="none"/>
                    </w:rPr>
                  </w:pPr>
                  <w:r>
                    <w:rPr>
                      <w:color w:val="auto"/>
                      <w:szCs w:val="21"/>
                      <w:highlight w:val="none"/>
                    </w:rPr>
                    <w:t>≤</w:t>
                  </w:r>
                  <w:r>
                    <w:rPr>
                      <w:bCs/>
                      <w:color w:val="auto"/>
                      <w:szCs w:val="21"/>
                      <w:highlight w:val="none"/>
                    </w:rPr>
                    <w:t>55</w:t>
                  </w:r>
                </w:p>
              </w:tc>
            </w:tr>
          </w:tbl>
          <w:p w14:paraId="5E08DDC8">
            <w:pPr>
              <w:keepNext w:val="0"/>
              <w:keepLines w:val="0"/>
              <w:suppressLineNumbers w:val="0"/>
              <w:wordWrap w:val="0"/>
              <w:adjustRightInd w:val="0"/>
              <w:snapToGrid w:val="0"/>
              <w:spacing w:before="0" w:beforeLines="50" w:beforeAutospacing="0" w:after="0" w:afterAutospacing="0" w:line="360" w:lineRule="auto"/>
              <w:ind w:left="0" w:right="105" w:rightChars="50" w:firstLine="482" w:firstLineChars="200"/>
              <w:rPr>
                <w:b/>
                <w:color w:val="auto"/>
                <w:sz w:val="24"/>
                <w:highlight w:val="none"/>
              </w:rPr>
            </w:pPr>
            <w:r>
              <w:rPr>
                <w:b/>
                <w:color w:val="auto"/>
                <w:sz w:val="24"/>
                <w:highlight w:val="none"/>
              </w:rPr>
              <w:t>4.</w:t>
            </w:r>
            <w:r>
              <w:rPr>
                <w:rFonts w:hAnsi="宋体"/>
                <w:b/>
                <w:color w:val="auto"/>
                <w:sz w:val="24"/>
                <w:highlight w:val="none"/>
              </w:rPr>
              <w:t>固废排放标准</w:t>
            </w:r>
          </w:p>
          <w:p w14:paraId="14CBB22E">
            <w:pPr>
              <w:keepNext w:val="0"/>
              <w:keepLines w:val="0"/>
              <w:suppressLineNumbers w:val="0"/>
              <w:wordWrap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生活垃圾的储存与处置参照执行《城市生活垃圾管理办法（2015年修正）》（住房和城乡建设部令第24号）。</w:t>
            </w:r>
          </w:p>
          <w:p w14:paraId="4F9A22ED">
            <w:pPr>
              <w:keepNext w:val="0"/>
              <w:keepLines w:val="0"/>
              <w:suppressLineNumbers w:val="0"/>
              <w:wordWrap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一般工业固废执行《一般工业固体废物贮存和填埋污染控制标准》（GB18599-2020）、《固体废物鉴别标准通则》（GB34330-2017）中相关规定。</w:t>
            </w:r>
          </w:p>
          <w:p w14:paraId="263CD641">
            <w:pPr>
              <w:keepNext w:val="0"/>
              <w:keepLines w:val="0"/>
              <w:suppressLineNumbers w:val="0"/>
              <w:spacing w:before="0" w:beforeAutospacing="0" w:after="0" w:afterAutospacing="0" w:line="360" w:lineRule="auto"/>
              <w:ind w:left="0" w:right="0" w:firstLine="480" w:firstLineChars="200"/>
              <w:rPr>
                <w:rFonts w:hAnsi="宋体"/>
                <w:color w:val="auto"/>
                <w:sz w:val="24"/>
                <w:highlight w:val="none"/>
              </w:rPr>
            </w:pPr>
            <w:r>
              <w:rPr>
                <w:rFonts w:hint="eastAsia"/>
                <w:color w:val="auto"/>
                <w:sz w:val="24"/>
              </w:rPr>
              <w:t>危险废物执行《危险废物贮存污染控制标准》（GB18597-2023）、《危险废物鉴别标准通则》（GB5085.7-2019）、《危险废物鉴别技术规范》（HJ/T298-2019）、《危险废物收集贮存运输技术规范》（HJ2025-2012）、《省生态环境厅关于做好〈危险废物贮存污染控制标准〉等标准规范实施后危险废物环境管理衔接工作的通知》（苏环办〔2023〕154号）、《江苏省固体废物全过程环境监管工作意见》（苏环办〔2024〕16号）；固废贮存场所标志执行《环境保护图形标志固体废物贮存（处置）场》（GB15562.2-1995）及修改单，《危险废物识别标志设置技术规范》（HJ1276-2022）及《江苏省危险废物集中收集体系建设工作方案（试行）》（苏环办〔2021〕290号）相关规定</w:t>
            </w:r>
            <w:r>
              <w:rPr>
                <w:rFonts w:hAnsi="宋体"/>
                <w:color w:val="auto"/>
                <w:sz w:val="24"/>
                <w:highlight w:val="none"/>
              </w:rPr>
              <w:t>。</w:t>
            </w:r>
          </w:p>
        </w:tc>
      </w:tr>
      <w:tr w14:paraId="679A7D93">
        <w:trPr>
          <w:trHeight w:val="3330" w:hRule="atLeast"/>
          <w:jc w:val="center"/>
        </w:trPr>
        <w:tc>
          <w:tcPr>
            <w:tcW w:w="357" w:type="dxa"/>
            <w:vAlign w:val="center"/>
          </w:tcPr>
          <w:p w14:paraId="17FCFF1C">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总量</w:t>
            </w:r>
          </w:p>
          <w:p w14:paraId="71071BC6">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控制</w:t>
            </w:r>
          </w:p>
          <w:p w14:paraId="742BE029">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指标</w:t>
            </w:r>
          </w:p>
        </w:tc>
        <w:tc>
          <w:tcPr>
            <w:tcW w:w="8633" w:type="dxa"/>
            <w:vAlign w:val="center"/>
          </w:tcPr>
          <w:p w14:paraId="4A2CF0A3">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3.9</w:t>
            </w:r>
            <w:r>
              <w:rPr>
                <w:rFonts w:hAnsi="宋体"/>
                <w:b/>
                <w:color w:val="auto"/>
                <w:kern w:val="0"/>
                <w:sz w:val="24"/>
                <w:highlight w:val="none"/>
                <w:lang w:val="zh-CN"/>
              </w:rPr>
              <w:t>总量控制</w:t>
            </w:r>
          </w:p>
          <w:p w14:paraId="3A14E8E1">
            <w:pPr>
              <w:pStyle w:val="146"/>
              <w:keepNext w:val="0"/>
              <w:keepLines w:val="0"/>
              <w:suppressLineNumbers w:val="0"/>
              <w:adjustRightInd w:val="0"/>
              <w:snapToGrid w:val="0"/>
              <w:spacing w:before="0" w:beforeAutospacing="0" w:after="0" w:afterAutospacing="0"/>
              <w:ind w:left="0" w:right="0"/>
              <w:jc w:val="center"/>
              <w:rPr>
                <w:bCs/>
                <w:color w:val="auto"/>
                <w:sz w:val="21"/>
                <w:szCs w:val="21"/>
                <w:highlight w:val="none"/>
              </w:rPr>
            </w:pPr>
            <w:r>
              <w:rPr>
                <w:rFonts w:hAnsi="宋体"/>
                <w:b/>
                <w:color w:val="auto"/>
                <w:szCs w:val="24"/>
                <w:highlight w:val="none"/>
              </w:rPr>
              <w:t>表</w:t>
            </w:r>
            <w:r>
              <w:rPr>
                <w:b/>
                <w:color w:val="auto"/>
                <w:szCs w:val="24"/>
                <w:highlight w:val="none"/>
              </w:rPr>
              <w:t>3-</w:t>
            </w:r>
            <w:r>
              <w:rPr>
                <w:rFonts w:hint="eastAsia"/>
                <w:b/>
                <w:color w:val="auto"/>
                <w:szCs w:val="24"/>
                <w:highlight w:val="none"/>
              </w:rPr>
              <w:t xml:space="preserve">7 </w:t>
            </w:r>
            <w:r>
              <w:rPr>
                <w:rFonts w:hAnsi="宋体"/>
                <w:b/>
                <w:color w:val="auto"/>
                <w:szCs w:val="24"/>
                <w:highlight w:val="none"/>
              </w:rPr>
              <w:t>建设项目污染物排放情况一览表</w:t>
            </w:r>
            <w:r>
              <w:rPr>
                <w:rFonts w:hint="eastAsia" w:hAnsi="宋体"/>
                <w:b/>
                <w:color w:val="auto"/>
                <w:szCs w:val="24"/>
                <w:highlight w:val="none"/>
                <w:lang w:val="en-US" w:eastAsia="zh-CN"/>
              </w:rPr>
              <w:t xml:space="preserve"> </w:t>
            </w:r>
            <w:r>
              <w:rPr>
                <w:rFonts w:hAnsi="宋体"/>
                <w:bCs/>
                <w:color w:val="auto"/>
                <w:sz w:val="21"/>
                <w:szCs w:val="21"/>
                <w:highlight w:val="none"/>
              </w:rPr>
              <w:t>单位：</w:t>
            </w:r>
            <w:r>
              <w:rPr>
                <w:bCs/>
                <w:color w:val="auto"/>
                <w:sz w:val="21"/>
                <w:szCs w:val="21"/>
                <w:highlight w:val="none"/>
              </w:rPr>
              <w:t>t/a</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0"/>
              <w:gridCol w:w="639"/>
              <w:gridCol w:w="1586"/>
              <w:gridCol w:w="1264"/>
              <w:gridCol w:w="1192"/>
              <w:gridCol w:w="1710"/>
              <w:gridCol w:w="1456"/>
            </w:tblGrid>
            <w:tr w14:paraId="27591A5B">
              <w:trPr>
                <w:trHeight w:val="340" w:hRule="atLeast"/>
              </w:trPr>
              <w:tc>
                <w:tcPr>
                  <w:tcW w:w="338" w:type="pct"/>
                  <w:vAlign w:val="center"/>
                </w:tcPr>
                <w:p w14:paraId="57E0AD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种类</w:t>
                  </w:r>
                </w:p>
              </w:tc>
              <w:tc>
                <w:tcPr>
                  <w:tcW w:w="1321" w:type="pct"/>
                  <w:gridSpan w:val="2"/>
                  <w:vAlign w:val="center"/>
                </w:tcPr>
                <w:p w14:paraId="0778AC8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污染物名称</w:t>
                  </w:r>
                </w:p>
              </w:tc>
              <w:tc>
                <w:tcPr>
                  <w:tcW w:w="750" w:type="pct"/>
                  <w:vAlign w:val="center"/>
                </w:tcPr>
                <w:p w14:paraId="39B4BDE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项目</w:t>
                  </w:r>
                </w:p>
                <w:p w14:paraId="3573DCC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产生量</w:t>
                  </w:r>
                </w:p>
              </w:tc>
              <w:tc>
                <w:tcPr>
                  <w:tcW w:w="708" w:type="pct"/>
                  <w:vAlign w:val="center"/>
                </w:tcPr>
                <w:p w14:paraId="37A4A19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项目</w:t>
                  </w:r>
                </w:p>
                <w:p w14:paraId="349EB01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削减量</w:t>
                  </w:r>
                </w:p>
              </w:tc>
              <w:tc>
                <w:tcPr>
                  <w:tcW w:w="1015" w:type="pct"/>
                  <w:vAlign w:val="center"/>
                </w:tcPr>
                <w:p w14:paraId="34A0FBC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项目接管量</w:t>
                  </w:r>
                </w:p>
              </w:tc>
              <w:tc>
                <w:tcPr>
                  <w:tcW w:w="864" w:type="pct"/>
                  <w:vAlign w:val="center"/>
                </w:tcPr>
                <w:p w14:paraId="18D22AD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环境排放量</w:t>
                  </w:r>
                </w:p>
              </w:tc>
            </w:tr>
            <w:tr w14:paraId="437AFE2B">
              <w:trPr>
                <w:trHeight w:val="340" w:hRule="atLeast"/>
              </w:trPr>
              <w:tc>
                <w:tcPr>
                  <w:tcW w:w="338" w:type="pct"/>
                  <w:vMerge w:val="restart"/>
                  <w:vAlign w:val="center"/>
                </w:tcPr>
                <w:p w14:paraId="7BB6763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废气</w:t>
                  </w:r>
                </w:p>
              </w:tc>
              <w:tc>
                <w:tcPr>
                  <w:tcW w:w="379" w:type="pct"/>
                  <w:vMerge w:val="restart"/>
                  <w:vAlign w:val="center"/>
                </w:tcPr>
                <w:p w14:paraId="63BEC40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有组织</w:t>
                  </w:r>
                </w:p>
              </w:tc>
              <w:tc>
                <w:tcPr>
                  <w:tcW w:w="942" w:type="pct"/>
                  <w:vAlign w:val="center"/>
                </w:tcPr>
                <w:p w14:paraId="6801E4F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750" w:type="pct"/>
                  <w:vAlign w:val="center"/>
                </w:tcPr>
                <w:p w14:paraId="3CE0B213">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1.1927</w:t>
                  </w:r>
                </w:p>
              </w:tc>
              <w:tc>
                <w:tcPr>
                  <w:tcW w:w="708" w:type="pct"/>
                  <w:vAlign w:val="center"/>
                </w:tcPr>
                <w:p w14:paraId="7C31E3D3">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1.0734</w:t>
                  </w:r>
                </w:p>
              </w:tc>
              <w:tc>
                <w:tcPr>
                  <w:tcW w:w="1015" w:type="pct"/>
                  <w:vAlign w:val="center"/>
                </w:tcPr>
                <w:p w14:paraId="4A064EB9">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r>
                    <w:rPr>
                      <w:rFonts w:hint="eastAsia" w:hAnsi="宋体"/>
                      <w:color w:val="auto"/>
                      <w:szCs w:val="21"/>
                      <w:highlight w:val="none"/>
                      <w:lang w:val="en-US" w:eastAsia="zh-CN"/>
                    </w:rPr>
                    <w:t>/</w:t>
                  </w:r>
                </w:p>
              </w:tc>
              <w:tc>
                <w:tcPr>
                  <w:tcW w:w="864" w:type="pct"/>
                  <w:vAlign w:val="center"/>
                </w:tcPr>
                <w:p w14:paraId="33ECCDE9">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0.1193</w:t>
                  </w:r>
                </w:p>
              </w:tc>
            </w:tr>
            <w:tr w14:paraId="2C32BD8D">
              <w:trPr>
                <w:trHeight w:val="340" w:hRule="atLeast"/>
              </w:trPr>
              <w:tc>
                <w:tcPr>
                  <w:tcW w:w="338" w:type="pct"/>
                  <w:vMerge w:val="continue"/>
                  <w:vAlign w:val="center"/>
                </w:tcPr>
                <w:p w14:paraId="27C5E59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2621FBC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7A78408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颗粒物</w:t>
                  </w:r>
                </w:p>
              </w:tc>
              <w:tc>
                <w:tcPr>
                  <w:tcW w:w="750" w:type="pct"/>
                  <w:vAlign w:val="center"/>
                </w:tcPr>
                <w:p w14:paraId="5E11D165">
                  <w:pPr>
                    <w:keepNext w:val="0"/>
                    <w:keepLines w:val="0"/>
                    <w:suppressLineNumbers w:val="0"/>
                    <w:spacing w:before="0" w:beforeAutospacing="0" w:after="0" w:afterAutospacing="0"/>
                    <w:ind w:left="0" w:right="0"/>
                    <w:jc w:val="center"/>
                    <w:rPr>
                      <w:rFonts w:hint="default" w:eastAsiaTheme="minorEastAsia"/>
                      <w:bCs/>
                      <w:color w:val="auto"/>
                      <w:kern w:val="0"/>
                      <w:szCs w:val="21"/>
                      <w:highlight w:val="none"/>
                      <w:lang w:val="en-US" w:eastAsia="zh-CN"/>
                    </w:rPr>
                  </w:pPr>
                  <w:r>
                    <w:rPr>
                      <w:rFonts w:hint="eastAsia"/>
                      <w:bCs/>
                      <w:color w:val="auto"/>
                      <w:sz w:val="21"/>
                      <w:szCs w:val="21"/>
                      <w:highlight w:val="none"/>
                      <w:lang w:val="en-US" w:eastAsia="zh-CN"/>
                    </w:rPr>
                    <w:t>2.921</w:t>
                  </w:r>
                </w:p>
              </w:tc>
              <w:tc>
                <w:tcPr>
                  <w:tcW w:w="708" w:type="pct"/>
                  <w:vAlign w:val="center"/>
                </w:tcPr>
                <w:p w14:paraId="69B1B506">
                  <w:pPr>
                    <w:keepNext w:val="0"/>
                    <w:keepLines w:val="0"/>
                    <w:suppressLineNumbers w:val="0"/>
                    <w:spacing w:before="0" w:beforeAutospacing="0" w:after="0" w:afterAutospacing="0"/>
                    <w:ind w:left="0" w:right="0"/>
                    <w:jc w:val="center"/>
                    <w:rPr>
                      <w:rFonts w:hint="default" w:eastAsiaTheme="minorEastAsia"/>
                      <w:bCs/>
                      <w:color w:val="auto"/>
                      <w:kern w:val="0"/>
                      <w:szCs w:val="21"/>
                      <w:highlight w:val="none"/>
                      <w:lang w:val="en-US" w:eastAsia="zh-CN"/>
                    </w:rPr>
                  </w:pPr>
                  <w:r>
                    <w:rPr>
                      <w:rFonts w:hint="eastAsia"/>
                      <w:bCs/>
                      <w:color w:val="auto"/>
                      <w:kern w:val="0"/>
                      <w:szCs w:val="21"/>
                      <w:highlight w:val="none"/>
                      <w:lang w:val="en-US" w:eastAsia="zh-CN"/>
                    </w:rPr>
                    <w:t>2.7429</w:t>
                  </w:r>
                </w:p>
              </w:tc>
              <w:tc>
                <w:tcPr>
                  <w:tcW w:w="1015" w:type="pct"/>
                  <w:vAlign w:val="center"/>
                </w:tcPr>
                <w:p w14:paraId="5FCA9C11">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val="en-US" w:eastAsia="zh-CN"/>
                    </w:rPr>
                    <w:t>/</w:t>
                  </w:r>
                </w:p>
              </w:tc>
              <w:tc>
                <w:tcPr>
                  <w:tcW w:w="864" w:type="pct"/>
                  <w:vAlign w:val="center"/>
                </w:tcPr>
                <w:p w14:paraId="37C749A5">
                  <w:pPr>
                    <w:keepNext w:val="0"/>
                    <w:keepLines w:val="0"/>
                    <w:suppressLineNumbers w:val="0"/>
                    <w:spacing w:before="0" w:beforeAutospacing="0" w:after="0" w:afterAutospacing="0"/>
                    <w:ind w:left="0" w:right="0"/>
                    <w:jc w:val="center"/>
                    <w:rPr>
                      <w:rFonts w:hint="default" w:eastAsiaTheme="minorEastAsia"/>
                      <w:bCs/>
                      <w:color w:val="auto"/>
                      <w:kern w:val="0"/>
                      <w:szCs w:val="21"/>
                      <w:highlight w:val="none"/>
                      <w:lang w:val="en-US" w:eastAsia="zh-CN"/>
                    </w:rPr>
                  </w:pPr>
                  <w:r>
                    <w:rPr>
                      <w:rFonts w:hint="eastAsia"/>
                      <w:bCs/>
                      <w:color w:val="auto"/>
                      <w:kern w:val="0"/>
                      <w:szCs w:val="21"/>
                      <w:highlight w:val="none"/>
                      <w:lang w:val="en-US" w:eastAsia="zh-CN"/>
                    </w:rPr>
                    <w:t>0.1781</w:t>
                  </w:r>
                </w:p>
              </w:tc>
            </w:tr>
            <w:tr w14:paraId="50C335D5">
              <w:trPr>
                <w:trHeight w:val="340" w:hRule="atLeast"/>
              </w:trPr>
              <w:tc>
                <w:tcPr>
                  <w:tcW w:w="338" w:type="pct"/>
                  <w:vMerge w:val="continue"/>
                  <w:vAlign w:val="center"/>
                </w:tcPr>
                <w:p w14:paraId="1E5481A8">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restart"/>
                  <w:vAlign w:val="center"/>
                </w:tcPr>
                <w:p w14:paraId="433E402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无组织</w:t>
                  </w:r>
                </w:p>
              </w:tc>
              <w:tc>
                <w:tcPr>
                  <w:tcW w:w="942" w:type="pct"/>
                  <w:vAlign w:val="center"/>
                </w:tcPr>
                <w:p w14:paraId="1F963E4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750" w:type="pct"/>
                  <w:vAlign w:val="center"/>
                </w:tcPr>
                <w:p w14:paraId="0393B113">
                  <w:pPr>
                    <w:keepNext w:val="0"/>
                    <w:keepLines w:val="0"/>
                    <w:suppressLineNumbers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0.0633</w:t>
                  </w:r>
                </w:p>
              </w:tc>
              <w:tc>
                <w:tcPr>
                  <w:tcW w:w="708" w:type="pct"/>
                  <w:vAlign w:val="center"/>
                </w:tcPr>
                <w:p w14:paraId="3694EE68">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lang w:val="en-US" w:eastAsia="zh-CN"/>
                    </w:rPr>
                  </w:pPr>
                  <w:r>
                    <w:rPr>
                      <w:rFonts w:hint="eastAsia" w:hAnsi="宋体"/>
                      <w:color w:val="auto"/>
                      <w:szCs w:val="21"/>
                      <w:highlight w:val="none"/>
                      <w:lang w:val="en-US" w:eastAsia="zh-CN"/>
                    </w:rPr>
                    <w:t>0</w:t>
                  </w:r>
                </w:p>
              </w:tc>
              <w:tc>
                <w:tcPr>
                  <w:tcW w:w="1015" w:type="pct"/>
                  <w:vAlign w:val="center"/>
                </w:tcPr>
                <w:p w14:paraId="4F03C4C1">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lang w:val="en-US" w:eastAsia="zh-CN"/>
                    </w:rPr>
                  </w:pPr>
                  <w:r>
                    <w:rPr>
                      <w:rFonts w:hint="eastAsia" w:hAnsi="宋体"/>
                      <w:color w:val="auto"/>
                      <w:szCs w:val="21"/>
                      <w:highlight w:val="none"/>
                      <w:lang w:val="en-US" w:eastAsia="zh-CN"/>
                    </w:rPr>
                    <w:t>/</w:t>
                  </w:r>
                </w:p>
              </w:tc>
              <w:tc>
                <w:tcPr>
                  <w:tcW w:w="864" w:type="pct"/>
                  <w:shd w:val="clear" w:color="auto" w:fill="auto"/>
                  <w:vAlign w:val="center"/>
                </w:tcPr>
                <w:p w14:paraId="176ED1C3">
                  <w:pPr>
                    <w:keepNext w:val="0"/>
                    <w:keepLines w:val="0"/>
                    <w:suppressLineNumbers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0.0633</w:t>
                  </w:r>
                </w:p>
              </w:tc>
            </w:tr>
            <w:tr w14:paraId="094FD680">
              <w:trPr>
                <w:trHeight w:val="340" w:hRule="atLeast"/>
              </w:trPr>
              <w:tc>
                <w:tcPr>
                  <w:tcW w:w="338" w:type="pct"/>
                  <w:vMerge w:val="continue"/>
                  <w:vAlign w:val="center"/>
                </w:tcPr>
                <w:p w14:paraId="43B49332">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continue"/>
                  <w:vAlign w:val="center"/>
                </w:tcPr>
                <w:p w14:paraId="250136D6">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0683964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颗粒物</w:t>
                  </w:r>
                </w:p>
              </w:tc>
              <w:tc>
                <w:tcPr>
                  <w:tcW w:w="750" w:type="pct"/>
                  <w:vAlign w:val="center"/>
                </w:tcPr>
                <w:p w14:paraId="43CFBC8B">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Cs w:val="21"/>
                      <w:highlight w:val="none"/>
                      <w:lang w:val="en-US" w:eastAsia="zh-CN"/>
                    </w:rPr>
                    <w:t>0.5108</w:t>
                  </w:r>
                </w:p>
              </w:tc>
              <w:tc>
                <w:tcPr>
                  <w:tcW w:w="708" w:type="pct"/>
                  <w:vAlign w:val="center"/>
                </w:tcPr>
                <w:p w14:paraId="05D166B9">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Cs w:val="21"/>
                      <w:highlight w:val="none"/>
                      <w:lang w:val="en-US" w:eastAsia="zh-CN"/>
                    </w:rPr>
                    <w:t>0.2285</w:t>
                  </w:r>
                </w:p>
              </w:tc>
              <w:tc>
                <w:tcPr>
                  <w:tcW w:w="1015" w:type="pct"/>
                  <w:vAlign w:val="center"/>
                </w:tcPr>
                <w:p w14:paraId="007C0A7C">
                  <w:pPr>
                    <w:keepNext w:val="0"/>
                    <w:keepLines w:val="0"/>
                    <w:suppressLineNumbers w:val="0"/>
                    <w:spacing w:before="0" w:beforeAutospacing="0" w:after="0" w:afterAutospacing="0"/>
                    <w:ind w:left="0" w:right="0"/>
                    <w:jc w:val="center"/>
                    <w:rPr>
                      <w:rFonts w:eastAsia="宋体"/>
                      <w:color w:val="auto"/>
                      <w:szCs w:val="21"/>
                      <w:highlight w:val="none"/>
                    </w:rPr>
                  </w:pPr>
                  <w:r>
                    <w:rPr>
                      <w:rFonts w:hint="eastAsia" w:eastAsia="宋体"/>
                      <w:color w:val="auto"/>
                      <w:szCs w:val="21"/>
                      <w:highlight w:val="none"/>
                    </w:rPr>
                    <w:t>/</w:t>
                  </w:r>
                </w:p>
              </w:tc>
              <w:tc>
                <w:tcPr>
                  <w:tcW w:w="864" w:type="pct"/>
                  <w:shd w:val="clear" w:color="auto" w:fill="auto"/>
                  <w:vAlign w:val="center"/>
                </w:tcPr>
                <w:p w14:paraId="54520F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0.2823</w:t>
                  </w:r>
                </w:p>
              </w:tc>
            </w:tr>
            <w:tr w14:paraId="55B89070">
              <w:trPr>
                <w:trHeight w:val="340" w:hRule="atLeast"/>
              </w:trPr>
              <w:tc>
                <w:tcPr>
                  <w:tcW w:w="338" w:type="pct"/>
                  <w:vMerge w:val="restart"/>
                  <w:vAlign w:val="center"/>
                </w:tcPr>
                <w:p w14:paraId="704EF78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废水</w:t>
                  </w:r>
                </w:p>
              </w:tc>
              <w:tc>
                <w:tcPr>
                  <w:tcW w:w="379" w:type="pct"/>
                  <w:vMerge w:val="restart"/>
                  <w:vAlign w:val="center"/>
                </w:tcPr>
                <w:p w14:paraId="0B1307D8">
                  <w:pPr>
                    <w:keepNext w:val="0"/>
                    <w:keepLines w:val="0"/>
                    <w:suppressLineNumbers w:val="0"/>
                    <w:adjustRightInd w:val="0"/>
                    <w:snapToGrid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生产废水</w:t>
                  </w:r>
                </w:p>
              </w:tc>
              <w:tc>
                <w:tcPr>
                  <w:tcW w:w="942" w:type="pct"/>
                  <w:shd w:val="clear" w:color="auto" w:fill="auto"/>
                  <w:vAlign w:val="center"/>
                </w:tcPr>
                <w:p w14:paraId="62A5EB4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废水量</w:t>
                  </w:r>
                </w:p>
              </w:tc>
              <w:tc>
                <w:tcPr>
                  <w:tcW w:w="1264" w:type="dxa"/>
                  <w:vAlign w:val="center"/>
                </w:tcPr>
                <w:p w14:paraId="761AE7A6">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1192" w:type="dxa"/>
                  <w:vAlign w:val="center"/>
                </w:tcPr>
                <w:p w14:paraId="29087FE3">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1710" w:type="dxa"/>
                  <w:shd w:val="clear" w:color="auto" w:fill="auto"/>
                  <w:vAlign w:val="center"/>
                </w:tcPr>
                <w:p w14:paraId="0EB3EBC3">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1456" w:type="dxa"/>
                  <w:vAlign w:val="center"/>
                </w:tcPr>
                <w:p w14:paraId="691EE06C">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w:t>
                  </w:r>
                </w:p>
              </w:tc>
            </w:tr>
            <w:tr w14:paraId="260929CF">
              <w:trPr>
                <w:trHeight w:val="340" w:hRule="atLeast"/>
              </w:trPr>
              <w:tc>
                <w:tcPr>
                  <w:tcW w:w="338" w:type="pct"/>
                  <w:vMerge w:val="continue"/>
                  <w:vAlign w:val="center"/>
                </w:tcPr>
                <w:p w14:paraId="265DF3A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9" w:type="pct"/>
                  <w:vMerge w:val="continue"/>
                  <w:vAlign w:val="center"/>
                </w:tcPr>
                <w:p w14:paraId="19F30DAD">
                  <w:pPr>
                    <w:keepNext w:val="0"/>
                    <w:keepLines w:val="0"/>
                    <w:suppressLineNumbers w:val="0"/>
                    <w:adjustRightInd w:val="0"/>
                    <w:snapToGrid w:val="0"/>
                    <w:spacing w:before="0" w:beforeAutospacing="0" w:after="0" w:afterAutospacing="0"/>
                    <w:ind w:left="0" w:right="0"/>
                    <w:jc w:val="center"/>
                    <w:rPr>
                      <w:rFonts w:hint="eastAsia" w:hAnsi="宋体"/>
                      <w:color w:val="auto"/>
                      <w:szCs w:val="21"/>
                      <w:highlight w:val="none"/>
                      <w:lang w:val="en-US" w:eastAsia="zh-CN"/>
                    </w:rPr>
                  </w:pPr>
                </w:p>
              </w:tc>
              <w:tc>
                <w:tcPr>
                  <w:tcW w:w="942" w:type="pct"/>
                  <w:shd w:val="clear" w:color="auto" w:fill="auto"/>
                  <w:vAlign w:val="center"/>
                </w:tcPr>
                <w:p w14:paraId="15979C3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COD</w:t>
                  </w:r>
                </w:p>
              </w:tc>
              <w:tc>
                <w:tcPr>
                  <w:tcW w:w="1264" w:type="dxa"/>
                  <w:shd w:val="clear" w:color="auto" w:fill="auto"/>
                  <w:vAlign w:val="center"/>
                </w:tcPr>
                <w:p w14:paraId="7FD95A7C">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0.1718 </w:t>
                  </w:r>
                </w:p>
              </w:tc>
              <w:tc>
                <w:tcPr>
                  <w:tcW w:w="1192" w:type="dxa"/>
                  <w:vAlign w:val="center"/>
                </w:tcPr>
                <w:p w14:paraId="6D8230DE">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0.0326 </w:t>
                  </w:r>
                </w:p>
              </w:tc>
              <w:tc>
                <w:tcPr>
                  <w:tcW w:w="1710" w:type="dxa"/>
                  <w:shd w:val="clear" w:color="auto" w:fill="auto"/>
                  <w:vAlign w:val="center"/>
                </w:tcPr>
                <w:p w14:paraId="07A3F670">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0.1392 </w:t>
                  </w:r>
                </w:p>
              </w:tc>
              <w:tc>
                <w:tcPr>
                  <w:tcW w:w="1456" w:type="dxa"/>
                  <w:vAlign w:val="center"/>
                </w:tcPr>
                <w:p w14:paraId="0E9239E9">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0.0240 </w:t>
                  </w:r>
                </w:p>
              </w:tc>
            </w:tr>
            <w:tr w14:paraId="35AA1227">
              <w:trPr>
                <w:trHeight w:val="340" w:hRule="atLeast"/>
              </w:trPr>
              <w:tc>
                <w:tcPr>
                  <w:tcW w:w="338" w:type="pct"/>
                  <w:vMerge w:val="continue"/>
                  <w:vAlign w:val="center"/>
                </w:tcPr>
                <w:p w14:paraId="79633B1C">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9" w:type="pct"/>
                  <w:vMerge w:val="continue"/>
                  <w:vAlign w:val="center"/>
                </w:tcPr>
                <w:p w14:paraId="6D88FE6B">
                  <w:pPr>
                    <w:keepNext w:val="0"/>
                    <w:keepLines w:val="0"/>
                    <w:suppressLineNumbers w:val="0"/>
                    <w:adjustRightInd w:val="0"/>
                    <w:snapToGrid w:val="0"/>
                    <w:spacing w:before="0" w:beforeAutospacing="0" w:after="0" w:afterAutospacing="0"/>
                    <w:ind w:left="0" w:right="0"/>
                    <w:jc w:val="center"/>
                    <w:rPr>
                      <w:rFonts w:hint="eastAsia" w:hAnsi="宋体"/>
                      <w:color w:val="auto"/>
                      <w:szCs w:val="21"/>
                      <w:highlight w:val="none"/>
                      <w:lang w:val="en-US" w:eastAsia="zh-CN"/>
                    </w:rPr>
                  </w:pPr>
                </w:p>
              </w:tc>
              <w:tc>
                <w:tcPr>
                  <w:tcW w:w="942" w:type="pct"/>
                  <w:shd w:val="clear" w:color="auto" w:fill="auto"/>
                  <w:vAlign w:val="center"/>
                </w:tcPr>
                <w:p w14:paraId="7E3D4595">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SS</w:t>
                  </w:r>
                </w:p>
              </w:tc>
              <w:tc>
                <w:tcPr>
                  <w:tcW w:w="1264" w:type="dxa"/>
                  <w:shd w:val="clear" w:color="auto" w:fill="auto"/>
                  <w:vAlign w:val="center"/>
                </w:tcPr>
                <w:p w14:paraId="03F73951">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0.5400 </w:t>
                  </w:r>
                </w:p>
              </w:tc>
              <w:tc>
                <w:tcPr>
                  <w:tcW w:w="1192" w:type="dxa"/>
                  <w:vAlign w:val="center"/>
                </w:tcPr>
                <w:p w14:paraId="6E415290">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0.4320 </w:t>
                  </w:r>
                </w:p>
              </w:tc>
              <w:tc>
                <w:tcPr>
                  <w:tcW w:w="1710" w:type="dxa"/>
                  <w:shd w:val="clear" w:color="auto" w:fill="auto"/>
                  <w:vAlign w:val="center"/>
                </w:tcPr>
                <w:p w14:paraId="40E30732">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0.1080 </w:t>
                  </w:r>
                </w:p>
              </w:tc>
              <w:tc>
                <w:tcPr>
                  <w:tcW w:w="1456" w:type="dxa"/>
                  <w:vAlign w:val="center"/>
                </w:tcPr>
                <w:p w14:paraId="3B47F6E0">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0.0048 </w:t>
                  </w:r>
                </w:p>
              </w:tc>
            </w:tr>
            <w:tr w14:paraId="381FC04A">
              <w:trPr>
                <w:trHeight w:val="340" w:hRule="atLeast"/>
              </w:trPr>
              <w:tc>
                <w:tcPr>
                  <w:tcW w:w="338" w:type="pct"/>
                  <w:vMerge w:val="continue"/>
                  <w:vAlign w:val="center"/>
                </w:tcPr>
                <w:p w14:paraId="3018BC4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9" w:type="pct"/>
                  <w:vMerge w:val="continue"/>
                  <w:vAlign w:val="center"/>
                </w:tcPr>
                <w:p w14:paraId="57BB2C8D">
                  <w:pPr>
                    <w:keepNext w:val="0"/>
                    <w:keepLines w:val="0"/>
                    <w:suppressLineNumbers w:val="0"/>
                    <w:adjustRightInd w:val="0"/>
                    <w:snapToGrid w:val="0"/>
                    <w:spacing w:before="0" w:beforeAutospacing="0" w:after="0" w:afterAutospacing="0"/>
                    <w:ind w:left="0" w:right="0"/>
                    <w:jc w:val="center"/>
                    <w:rPr>
                      <w:rFonts w:hint="eastAsia" w:hAnsi="宋体"/>
                      <w:color w:val="auto"/>
                      <w:szCs w:val="21"/>
                      <w:highlight w:val="none"/>
                      <w:lang w:val="en-US" w:eastAsia="zh-CN"/>
                    </w:rPr>
                  </w:pPr>
                </w:p>
              </w:tc>
              <w:tc>
                <w:tcPr>
                  <w:tcW w:w="942" w:type="pct"/>
                  <w:vAlign w:val="center"/>
                </w:tcPr>
                <w:p w14:paraId="1A0474A4">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color w:val="auto"/>
                      <w:szCs w:val="21"/>
                      <w:highlight w:val="none"/>
                      <w:lang w:val="en-US" w:eastAsia="zh-CN"/>
                    </w:rPr>
                    <w:t>石油类</w:t>
                  </w:r>
                </w:p>
              </w:tc>
              <w:tc>
                <w:tcPr>
                  <w:tcW w:w="1264" w:type="dxa"/>
                  <w:shd w:val="clear" w:color="auto" w:fill="auto"/>
                  <w:vAlign w:val="center"/>
                </w:tcPr>
                <w:p w14:paraId="68F70206">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0.0192 </w:t>
                  </w:r>
                </w:p>
              </w:tc>
              <w:tc>
                <w:tcPr>
                  <w:tcW w:w="1192" w:type="dxa"/>
                  <w:vAlign w:val="center"/>
                </w:tcPr>
                <w:p w14:paraId="68488C15">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0.0115 </w:t>
                  </w:r>
                </w:p>
              </w:tc>
              <w:tc>
                <w:tcPr>
                  <w:tcW w:w="1710" w:type="dxa"/>
                  <w:shd w:val="clear" w:color="auto" w:fill="auto"/>
                  <w:vAlign w:val="center"/>
                </w:tcPr>
                <w:p w14:paraId="2049D3CD">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0.0077 </w:t>
                  </w:r>
                </w:p>
              </w:tc>
              <w:tc>
                <w:tcPr>
                  <w:tcW w:w="1456" w:type="dxa"/>
                  <w:vAlign w:val="center"/>
                </w:tcPr>
                <w:p w14:paraId="0E59DE41">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0.0005 </w:t>
                  </w:r>
                </w:p>
              </w:tc>
            </w:tr>
            <w:tr w14:paraId="5ADF45C2">
              <w:trPr>
                <w:trHeight w:val="340" w:hRule="atLeast"/>
              </w:trPr>
              <w:tc>
                <w:tcPr>
                  <w:tcW w:w="338" w:type="pct"/>
                  <w:vMerge w:val="continue"/>
                  <w:vAlign w:val="center"/>
                </w:tcPr>
                <w:p w14:paraId="099268A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restart"/>
                  <w:vAlign w:val="center"/>
                </w:tcPr>
                <w:p w14:paraId="4A7DFBBA">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hAnsi="宋体"/>
                      <w:color w:val="auto"/>
                      <w:szCs w:val="21"/>
                      <w:highlight w:val="none"/>
                      <w:lang w:val="en-US" w:eastAsia="zh-CN"/>
                    </w:rPr>
                    <w:t>综合废水</w:t>
                  </w:r>
                </w:p>
              </w:tc>
              <w:tc>
                <w:tcPr>
                  <w:tcW w:w="942" w:type="pct"/>
                  <w:vAlign w:val="center"/>
                </w:tcPr>
                <w:p w14:paraId="2C94255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废水量</w:t>
                  </w:r>
                </w:p>
              </w:tc>
              <w:tc>
                <w:tcPr>
                  <w:tcW w:w="1264" w:type="dxa"/>
                  <w:vAlign w:val="center"/>
                </w:tcPr>
                <w:p w14:paraId="0D7C0136">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1620 </w:t>
                  </w:r>
                </w:p>
              </w:tc>
              <w:tc>
                <w:tcPr>
                  <w:tcW w:w="1192" w:type="dxa"/>
                  <w:vAlign w:val="center"/>
                </w:tcPr>
                <w:p w14:paraId="1E94348B">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1710" w:type="dxa"/>
                  <w:shd w:val="clear" w:color="auto" w:fill="auto"/>
                  <w:vAlign w:val="center"/>
                </w:tcPr>
                <w:p w14:paraId="0E9BAEC4">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1620 </w:t>
                  </w:r>
                </w:p>
              </w:tc>
              <w:tc>
                <w:tcPr>
                  <w:tcW w:w="1456" w:type="dxa"/>
                  <w:vAlign w:val="center"/>
                </w:tcPr>
                <w:p w14:paraId="60E448D3">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1620 </w:t>
                  </w:r>
                </w:p>
              </w:tc>
            </w:tr>
            <w:tr w14:paraId="6D53E5D5">
              <w:trPr>
                <w:trHeight w:val="340" w:hRule="atLeast"/>
              </w:trPr>
              <w:tc>
                <w:tcPr>
                  <w:tcW w:w="338" w:type="pct"/>
                  <w:vMerge w:val="continue"/>
                  <w:vAlign w:val="center"/>
                </w:tcPr>
                <w:p w14:paraId="337F485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58345DD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03B988D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COD</w:t>
                  </w:r>
                </w:p>
              </w:tc>
              <w:tc>
                <w:tcPr>
                  <w:tcW w:w="1264" w:type="dxa"/>
                  <w:shd w:val="clear" w:color="auto" w:fill="auto"/>
                  <w:vAlign w:val="center"/>
                </w:tcPr>
                <w:p w14:paraId="645A0779">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0.5708 </w:t>
                  </w:r>
                </w:p>
              </w:tc>
              <w:tc>
                <w:tcPr>
                  <w:tcW w:w="1192" w:type="dxa"/>
                  <w:vAlign w:val="center"/>
                </w:tcPr>
                <w:p w14:paraId="0A3CA895">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0.1124 </w:t>
                  </w:r>
                </w:p>
              </w:tc>
              <w:tc>
                <w:tcPr>
                  <w:tcW w:w="1710" w:type="dxa"/>
                  <w:shd w:val="clear" w:color="auto" w:fill="auto"/>
                  <w:vAlign w:val="center"/>
                </w:tcPr>
                <w:p w14:paraId="4C8866BC">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0.4584 </w:t>
                  </w:r>
                </w:p>
              </w:tc>
              <w:tc>
                <w:tcPr>
                  <w:tcW w:w="1456" w:type="dxa"/>
                  <w:vAlign w:val="center"/>
                </w:tcPr>
                <w:p w14:paraId="6C9E618A">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0.0810 </w:t>
                  </w:r>
                </w:p>
              </w:tc>
            </w:tr>
            <w:tr w14:paraId="2F78C33C">
              <w:trPr>
                <w:trHeight w:val="340" w:hRule="atLeast"/>
              </w:trPr>
              <w:tc>
                <w:tcPr>
                  <w:tcW w:w="338" w:type="pct"/>
                  <w:vMerge w:val="continue"/>
                  <w:vAlign w:val="center"/>
                </w:tcPr>
                <w:p w14:paraId="1922640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954A45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7B02EF6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SS</w:t>
                  </w:r>
                </w:p>
              </w:tc>
              <w:tc>
                <w:tcPr>
                  <w:tcW w:w="1264" w:type="dxa"/>
                  <w:shd w:val="clear" w:color="auto" w:fill="auto"/>
                  <w:vAlign w:val="center"/>
                </w:tcPr>
                <w:p w14:paraId="5C14F1DE">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0.7680 </w:t>
                  </w:r>
                </w:p>
              </w:tc>
              <w:tc>
                <w:tcPr>
                  <w:tcW w:w="1192" w:type="dxa"/>
                  <w:vAlign w:val="center"/>
                </w:tcPr>
                <w:p w14:paraId="0B1B1AB1">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0.5460 </w:t>
                  </w:r>
                </w:p>
              </w:tc>
              <w:tc>
                <w:tcPr>
                  <w:tcW w:w="1710" w:type="dxa"/>
                  <w:shd w:val="clear" w:color="auto" w:fill="auto"/>
                  <w:vAlign w:val="center"/>
                </w:tcPr>
                <w:p w14:paraId="517A2D46">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0.2220 </w:t>
                  </w:r>
                </w:p>
              </w:tc>
              <w:tc>
                <w:tcPr>
                  <w:tcW w:w="1456" w:type="dxa"/>
                  <w:vAlign w:val="center"/>
                </w:tcPr>
                <w:p w14:paraId="6190AB33">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0.0162 </w:t>
                  </w:r>
                </w:p>
              </w:tc>
            </w:tr>
            <w:tr w14:paraId="26C2A9FF">
              <w:trPr>
                <w:trHeight w:val="340" w:hRule="atLeast"/>
              </w:trPr>
              <w:tc>
                <w:tcPr>
                  <w:tcW w:w="338" w:type="pct"/>
                  <w:vMerge w:val="continue"/>
                  <w:vAlign w:val="center"/>
                </w:tcPr>
                <w:p w14:paraId="7B70891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FFD0C6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3535C3B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264" w:type="dxa"/>
                  <w:shd w:val="clear" w:color="auto" w:fill="auto"/>
                  <w:vAlign w:val="center"/>
                </w:tcPr>
                <w:p w14:paraId="549F1A7A">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0.0285 </w:t>
                  </w:r>
                </w:p>
              </w:tc>
              <w:tc>
                <w:tcPr>
                  <w:tcW w:w="1192" w:type="dxa"/>
                  <w:vAlign w:val="center"/>
                </w:tcPr>
                <w:p w14:paraId="2E10BAD5">
                  <w:pPr>
                    <w:keepNext w:val="0"/>
                    <w:keepLines w:val="0"/>
                    <w:widowControl/>
                    <w:suppressLineNumbers w:val="0"/>
                    <w:spacing w:before="0" w:beforeAutospacing="0" w:after="0" w:afterAutospacing="0"/>
                    <w:ind w:left="0" w:right="0"/>
                    <w:jc w:val="center"/>
                    <w:textAlignment w:val="center"/>
                    <w:rPr>
                      <w:rFonts w:eastAsia="宋体"/>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1710" w:type="dxa"/>
                  <w:shd w:val="clear" w:color="auto" w:fill="auto"/>
                  <w:vAlign w:val="center"/>
                </w:tcPr>
                <w:p w14:paraId="3AF818A2">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0.0285 </w:t>
                  </w:r>
                </w:p>
              </w:tc>
              <w:tc>
                <w:tcPr>
                  <w:tcW w:w="1456" w:type="dxa"/>
                  <w:vAlign w:val="center"/>
                </w:tcPr>
                <w:p w14:paraId="0A3385F8">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0.0081 </w:t>
                  </w:r>
                </w:p>
              </w:tc>
            </w:tr>
            <w:tr w14:paraId="0B6C14C5">
              <w:trPr>
                <w:trHeight w:val="340" w:hRule="atLeast"/>
              </w:trPr>
              <w:tc>
                <w:tcPr>
                  <w:tcW w:w="338" w:type="pct"/>
                  <w:vMerge w:val="continue"/>
                  <w:vAlign w:val="center"/>
                </w:tcPr>
                <w:p w14:paraId="209C8B5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DB84F8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1F442990">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TN</w:t>
                  </w:r>
                </w:p>
              </w:tc>
              <w:tc>
                <w:tcPr>
                  <w:tcW w:w="1264" w:type="dxa"/>
                  <w:shd w:val="clear" w:color="auto" w:fill="auto"/>
                  <w:vAlign w:val="center"/>
                </w:tcPr>
                <w:p w14:paraId="408797E6">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0.0513 </w:t>
                  </w:r>
                </w:p>
              </w:tc>
              <w:tc>
                <w:tcPr>
                  <w:tcW w:w="1192" w:type="dxa"/>
                  <w:vAlign w:val="center"/>
                </w:tcPr>
                <w:p w14:paraId="4655763D">
                  <w:pPr>
                    <w:keepNext w:val="0"/>
                    <w:keepLines w:val="0"/>
                    <w:widowControl/>
                    <w:suppressLineNumbers w:val="0"/>
                    <w:spacing w:before="0" w:beforeAutospacing="0" w:after="0" w:afterAutospacing="0"/>
                    <w:ind w:left="0" w:right="0"/>
                    <w:jc w:val="center"/>
                    <w:textAlignment w:val="center"/>
                    <w:rPr>
                      <w:rFonts w:eastAsia="宋体"/>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1710" w:type="dxa"/>
                  <w:shd w:val="clear" w:color="auto" w:fill="auto"/>
                  <w:vAlign w:val="center"/>
                </w:tcPr>
                <w:p w14:paraId="4E81A633">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0.0513 </w:t>
                  </w:r>
                </w:p>
              </w:tc>
              <w:tc>
                <w:tcPr>
                  <w:tcW w:w="1456" w:type="dxa"/>
                  <w:vAlign w:val="center"/>
                </w:tcPr>
                <w:p w14:paraId="44A3DBCE">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0.0243 </w:t>
                  </w:r>
                </w:p>
              </w:tc>
            </w:tr>
            <w:tr w14:paraId="520710C5">
              <w:trPr>
                <w:trHeight w:val="340" w:hRule="atLeast"/>
              </w:trPr>
              <w:tc>
                <w:tcPr>
                  <w:tcW w:w="338" w:type="pct"/>
                  <w:vMerge w:val="continue"/>
                  <w:vAlign w:val="center"/>
                </w:tcPr>
                <w:p w14:paraId="05E51C5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358DC3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5D1EE9B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TP</w:t>
                  </w:r>
                </w:p>
              </w:tc>
              <w:tc>
                <w:tcPr>
                  <w:tcW w:w="1264" w:type="dxa"/>
                  <w:shd w:val="clear" w:color="auto" w:fill="auto"/>
                  <w:vAlign w:val="center"/>
                </w:tcPr>
                <w:p w14:paraId="51F1482B">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1192" w:type="dxa"/>
                  <w:vAlign w:val="center"/>
                </w:tcPr>
                <w:p w14:paraId="6FCA8AE7">
                  <w:pPr>
                    <w:keepNext w:val="0"/>
                    <w:keepLines w:val="0"/>
                    <w:widowControl/>
                    <w:suppressLineNumbers w:val="0"/>
                    <w:spacing w:before="0" w:beforeAutospacing="0" w:after="0" w:afterAutospacing="0"/>
                    <w:ind w:left="0" w:right="0"/>
                    <w:jc w:val="center"/>
                    <w:textAlignment w:val="center"/>
                    <w:rPr>
                      <w:rFonts w:eastAsia="宋体"/>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1710" w:type="dxa"/>
                  <w:shd w:val="clear" w:color="auto" w:fill="auto"/>
                  <w:vAlign w:val="center"/>
                </w:tcPr>
                <w:p w14:paraId="7CD98D25">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1456" w:type="dxa"/>
                  <w:vAlign w:val="center"/>
                </w:tcPr>
                <w:p w14:paraId="5C845DF2">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0.0008 </w:t>
                  </w:r>
                </w:p>
              </w:tc>
            </w:tr>
            <w:tr w14:paraId="598778D4">
              <w:trPr>
                <w:trHeight w:val="340" w:hRule="atLeast"/>
              </w:trPr>
              <w:tc>
                <w:tcPr>
                  <w:tcW w:w="338" w:type="pct"/>
                  <w:vMerge w:val="continue"/>
                  <w:vAlign w:val="center"/>
                </w:tcPr>
                <w:p w14:paraId="7805D73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EBBC5A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7416B390">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石油类</w:t>
                  </w:r>
                </w:p>
              </w:tc>
              <w:tc>
                <w:tcPr>
                  <w:tcW w:w="1264" w:type="dxa"/>
                  <w:shd w:val="clear" w:color="auto" w:fill="auto"/>
                  <w:vAlign w:val="center"/>
                </w:tcPr>
                <w:p w14:paraId="2386BFC2">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0.0192 </w:t>
                  </w:r>
                </w:p>
              </w:tc>
              <w:tc>
                <w:tcPr>
                  <w:tcW w:w="1192" w:type="dxa"/>
                  <w:vAlign w:val="center"/>
                </w:tcPr>
                <w:p w14:paraId="1A99DAC3">
                  <w:pPr>
                    <w:keepNext w:val="0"/>
                    <w:keepLines w:val="0"/>
                    <w:widowControl/>
                    <w:suppressLineNumbers w:val="0"/>
                    <w:spacing w:before="0" w:beforeAutospacing="0" w:after="0" w:afterAutospacing="0"/>
                    <w:ind w:left="0" w:right="0"/>
                    <w:jc w:val="center"/>
                    <w:textAlignment w:val="center"/>
                    <w:rPr>
                      <w:rFonts w:hint="default"/>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0.0115 </w:t>
                  </w:r>
                </w:p>
              </w:tc>
              <w:tc>
                <w:tcPr>
                  <w:tcW w:w="1710" w:type="dxa"/>
                  <w:shd w:val="clear" w:color="auto" w:fill="auto"/>
                  <w:vAlign w:val="center"/>
                </w:tcPr>
                <w:p w14:paraId="3745106C">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0.0077 </w:t>
                  </w:r>
                </w:p>
              </w:tc>
              <w:tc>
                <w:tcPr>
                  <w:tcW w:w="1456" w:type="dxa"/>
                  <w:vAlign w:val="center"/>
                </w:tcPr>
                <w:p w14:paraId="3FFAD86A">
                  <w:pPr>
                    <w:keepNext w:val="0"/>
                    <w:keepLines w:val="0"/>
                    <w:widowControl/>
                    <w:suppressLineNumbers w:val="0"/>
                    <w:spacing w:before="0" w:beforeAutospacing="0" w:after="0" w:afterAutospacing="0"/>
                    <w:ind w:left="0" w:right="0"/>
                    <w:jc w:val="center"/>
                    <w:textAlignment w:val="center"/>
                    <w:rPr>
                      <w:rFonts w:hint="default"/>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0.0016 </w:t>
                  </w:r>
                </w:p>
              </w:tc>
            </w:tr>
            <w:tr w14:paraId="4FA6BA07">
              <w:trPr>
                <w:trHeight w:val="340" w:hRule="atLeast"/>
              </w:trPr>
              <w:tc>
                <w:tcPr>
                  <w:tcW w:w="338" w:type="pct"/>
                  <w:vMerge w:val="continue"/>
                  <w:vAlign w:val="center"/>
                </w:tcPr>
                <w:p w14:paraId="2420747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79C349B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70B05A8B">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动植物油</w:t>
                  </w:r>
                </w:p>
              </w:tc>
              <w:tc>
                <w:tcPr>
                  <w:tcW w:w="1264" w:type="dxa"/>
                  <w:shd w:val="clear" w:color="auto" w:fill="auto"/>
                  <w:vAlign w:val="center"/>
                </w:tcPr>
                <w:p w14:paraId="5DAA0FBA">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0.0288 </w:t>
                  </w:r>
                </w:p>
              </w:tc>
              <w:tc>
                <w:tcPr>
                  <w:tcW w:w="1192" w:type="dxa"/>
                  <w:vAlign w:val="center"/>
                </w:tcPr>
                <w:p w14:paraId="70B67B3B">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1710" w:type="dxa"/>
                  <w:shd w:val="clear" w:color="auto" w:fill="auto"/>
                  <w:vAlign w:val="center"/>
                </w:tcPr>
                <w:p w14:paraId="5651E479">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1456" w:type="dxa"/>
                  <w:vAlign w:val="center"/>
                </w:tcPr>
                <w:p w14:paraId="16831B10">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0.0016 </w:t>
                  </w:r>
                </w:p>
              </w:tc>
            </w:tr>
            <w:tr w14:paraId="221A9908">
              <w:trPr>
                <w:trHeight w:val="340" w:hRule="atLeast"/>
              </w:trPr>
              <w:tc>
                <w:tcPr>
                  <w:tcW w:w="338" w:type="pct"/>
                  <w:vMerge w:val="restart"/>
                  <w:vAlign w:val="center"/>
                </w:tcPr>
                <w:p w14:paraId="2ECF5A3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固废</w:t>
                  </w:r>
                </w:p>
              </w:tc>
              <w:tc>
                <w:tcPr>
                  <w:tcW w:w="1321" w:type="pct"/>
                  <w:gridSpan w:val="2"/>
                  <w:vAlign w:val="center"/>
                </w:tcPr>
                <w:p w14:paraId="73F7844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危险废物</w:t>
                  </w:r>
                </w:p>
              </w:tc>
              <w:tc>
                <w:tcPr>
                  <w:tcW w:w="750" w:type="pct"/>
                  <w:vAlign w:val="center"/>
                </w:tcPr>
                <w:p w14:paraId="171D2737">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13.268</w:t>
                  </w:r>
                </w:p>
              </w:tc>
              <w:tc>
                <w:tcPr>
                  <w:tcW w:w="708" w:type="pct"/>
                  <w:vAlign w:val="center"/>
                </w:tcPr>
                <w:p w14:paraId="0FE045BC">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13.268</w:t>
                  </w:r>
                </w:p>
              </w:tc>
              <w:tc>
                <w:tcPr>
                  <w:tcW w:w="1015" w:type="pct"/>
                  <w:vAlign w:val="center"/>
                </w:tcPr>
                <w:p w14:paraId="38BAEEB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0</w:t>
                  </w:r>
                </w:p>
              </w:tc>
              <w:tc>
                <w:tcPr>
                  <w:tcW w:w="864" w:type="pct"/>
                  <w:vAlign w:val="center"/>
                </w:tcPr>
                <w:p w14:paraId="4A17C3F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56E5A3B0">
              <w:trPr>
                <w:trHeight w:val="340" w:hRule="atLeast"/>
              </w:trPr>
              <w:tc>
                <w:tcPr>
                  <w:tcW w:w="338" w:type="pct"/>
                  <w:vMerge w:val="continue"/>
                  <w:vAlign w:val="center"/>
                </w:tcPr>
                <w:p w14:paraId="3F723C4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21" w:type="pct"/>
                  <w:gridSpan w:val="2"/>
                  <w:vAlign w:val="center"/>
                </w:tcPr>
                <w:p w14:paraId="58E8C5A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一般工业固废</w:t>
                  </w:r>
                </w:p>
              </w:tc>
              <w:tc>
                <w:tcPr>
                  <w:tcW w:w="750" w:type="pct"/>
                  <w:vAlign w:val="center"/>
                </w:tcPr>
                <w:p w14:paraId="3009E66F">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hAnsi="宋体"/>
                      <w:color w:val="auto"/>
                      <w:sz w:val="21"/>
                      <w:szCs w:val="21"/>
                      <w:highlight w:val="none"/>
                      <w:lang w:val="en-US" w:eastAsia="zh-CN"/>
                    </w:rPr>
                    <w:t>37.9551</w:t>
                  </w:r>
                </w:p>
              </w:tc>
              <w:tc>
                <w:tcPr>
                  <w:tcW w:w="708" w:type="pct"/>
                  <w:vAlign w:val="center"/>
                </w:tcPr>
                <w:p w14:paraId="4B534400">
                  <w:pPr>
                    <w:keepNext w:val="0"/>
                    <w:keepLines w:val="0"/>
                    <w:suppressLineNumbers w:val="0"/>
                    <w:spacing w:before="0" w:beforeAutospacing="0" w:after="0" w:afterAutospacing="0"/>
                    <w:ind w:left="0" w:right="0"/>
                    <w:jc w:val="center"/>
                    <w:rPr>
                      <w:color w:val="auto"/>
                      <w:sz w:val="21"/>
                      <w:szCs w:val="21"/>
                      <w:highlight w:val="none"/>
                    </w:rPr>
                  </w:pPr>
                  <w:r>
                    <w:rPr>
                      <w:rFonts w:hint="eastAsia" w:hAnsi="宋体"/>
                      <w:color w:val="auto"/>
                      <w:sz w:val="21"/>
                      <w:szCs w:val="21"/>
                      <w:highlight w:val="none"/>
                      <w:lang w:val="en-US" w:eastAsia="zh-CN"/>
                    </w:rPr>
                    <w:t>37.9551</w:t>
                  </w:r>
                </w:p>
              </w:tc>
              <w:tc>
                <w:tcPr>
                  <w:tcW w:w="1015" w:type="pct"/>
                  <w:vAlign w:val="center"/>
                </w:tcPr>
                <w:p w14:paraId="00AAD6E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c>
                <w:tcPr>
                  <w:tcW w:w="864" w:type="pct"/>
                  <w:vAlign w:val="center"/>
                </w:tcPr>
                <w:p w14:paraId="5E60069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78CC03AF">
              <w:trPr>
                <w:trHeight w:val="340" w:hRule="atLeast"/>
              </w:trPr>
              <w:tc>
                <w:tcPr>
                  <w:tcW w:w="338" w:type="pct"/>
                  <w:vMerge w:val="continue"/>
                  <w:vAlign w:val="center"/>
                </w:tcPr>
                <w:p w14:paraId="6BF4F5AE">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21" w:type="pct"/>
                  <w:gridSpan w:val="2"/>
                  <w:vAlign w:val="center"/>
                </w:tcPr>
                <w:p w14:paraId="3328A48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生活垃圾</w:t>
                  </w:r>
                </w:p>
              </w:tc>
              <w:tc>
                <w:tcPr>
                  <w:tcW w:w="750" w:type="pct"/>
                  <w:vAlign w:val="center"/>
                </w:tcPr>
                <w:p w14:paraId="3B3C6CFB">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12.733</w:t>
                  </w:r>
                </w:p>
              </w:tc>
              <w:tc>
                <w:tcPr>
                  <w:tcW w:w="708" w:type="pct"/>
                  <w:vAlign w:val="center"/>
                </w:tcPr>
                <w:p w14:paraId="5C3C2974">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12.733</w:t>
                  </w:r>
                </w:p>
              </w:tc>
              <w:tc>
                <w:tcPr>
                  <w:tcW w:w="1015" w:type="pct"/>
                  <w:vAlign w:val="center"/>
                </w:tcPr>
                <w:p w14:paraId="6351688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c>
                <w:tcPr>
                  <w:tcW w:w="864" w:type="pct"/>
                  <w:vAlign w:val="center"/>
                </w:tcPr>
                <w:p w14:paraId="009B474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bl>
          <w:p w14:paraId="604D0D65">
            <w:pPr>
              <w:keepNext w:val="0"/>
              <w:keepLines w:val="0"/>
              <w:suppressLineNumbers w:val="0"/>
              <w:adjustRightInd w:val="0"/>
              <w:snapToGrid w:val="0"/>
              <w:spacing w:before="0" w:beforeAutospacing="0" w:after="0" w:afterAutospacing="0" w:line="360" w:lineRule="auto"/>
              <w:ind w:left="0" w:right="0" w:firstLine="482" w:firstLineChars="200"/>
              <w:rPr>
                <w:rFonts w:hAnsi="宋体"/>
                <w:bCs/>
                <w:color w:val="auto"/>
                <w:sz w:val="24"/>
                <w:highlight w:val="none"/>
              </w:rPr>
            </w:pPr>
            <w:r>
              <w:rPr>
                <w:rFonts w:hAnsi="宋体"/>
                <w:b/>
                <w:color w:val="auto"/>
                <w:sz w:val="24"/>
                <w:highlight w:val="none"/>
              </w:rPr>
              <w:t>本项目总量控制指标：</w:t>
            </w:r>
          </w:p>
          <w:p w14:paraId="670BF55B">
            <w:pPr>
              <w:keepNext w:val="0"/>
              <w:keepLines w:val="0"/>
              <w:suppressLineNumbers w:val="0"/>
              <w:adjustRightInd w:val="0"/>
              <w:snapToGrid w:val="0"/>
              <w:spacing w:before="0" w:beforeAutospacing="0" w:after="0" w:afterAutospacing="0" w:line="360" w:lineRule="auto"/>
              <w:ind w:left="0" w:right="0" w:firstLine="480" w:firstLineChars="200"/>
              <w:rPr>
                <w:rFonts w:hAnsi="宋体"/>
                <w:bCs/>
                <w:color w:val="auto"/>
                <w:sz w:val="24"/>
                <w:highlight w:val="none"/>
              </w:rPr>
            </w:pPr>
            <w:r>
              <w:rPr>
                <w:rFonts w:hAnsi="宋体"/>
                <w:bCs/>
                <w:color w:val="auto"/>
                <w:sz w:val="24"/>
                <w:highlight w:val="none"/>
              </w:rPr>
              <w:t>根据《江苏省排污权有偿使用和交易管理暂行办法》和《江苏省排污权有偿使用和交易实施细则（试行）》，</w:t>
            </w:r>
            <w:r>
              <w:rPr>
                <w:bCs/>
                <w:color w:val="auto"/>
                <w:sz w:val="24"/>
                <w:highlight w:val="none"/>
              </w:rPr>
              <w:t>“</w:t>
            </w:r>
            <w:r>
              <w:rPr>
                <w:rFonts w:hAnsi="宋体"/>
                <w:bCs/>
                <w:color w:val="auto"/>
                <w:sz w:val="24"/>
                <w:highlight w:val="none"/>
              </w:rPr>
              <w:t>按照《固定污染源排污许可分类管理名录》，在排污许可证中载明许可排放量的排污单位，应在申领排污许可证时取得排污权。</w:t>
            </w:r>
            <w:r>
              <w:rPr>
                <w:bCs/>
                <w:color w:val="auto"/>
                <w:sz w:val="24"/>
                <w:highlight w:val="none"/>
              </w:rPr>
              <w:t>”</w:t>
            </w:r>
            <w:r>
              <w:rPr>
                <w:rFonts w:hAnsi="宋体"/>
                <w:color w:val="auto"/>
                <w:sz w:val="24"/>
                <w:highlight w:val="none"/>
              </w:rPr>
              <w:t>项目与</w:t>
            </w:r>
            <w:r>
              <w:rPr>
                <w:rFonts w:hAnsi="宋体"/>
                <w:bCs/>
                <w:color w:val="auto"/>
                <w:sz w:val="24"/>
                <w:highlight w:val="none"/>
              </w:rPr>
              <w:t>《固定污染源排污许可分类管理名录（</w:t>
            </w:r>
            <w:r>
              <w:rPr>
                <w:bCs/>
                <w:color w:val="auto"/>
                <w:sz w:val="24"/>
                <w:highlight w:val="none"/>
              </w:rPr>
              <w:t>2019</w:t>
            </w:r>
            <w:r>
              <w:rPr>
                <w:rFonts w:hAnsi="宋体"/>
                <w:bCs/>
                <w:color w:val="auto"/>
                <w:sz w:val="24"/>
                <w:highlight w:val="none"/>
              </w:rPr>
              <w:t>年版）》对比分析见表</w:t>
            </w:r>
            <w:r>
              <w:rPr>
                <w:bCs/>
                <w:color w:val="auto"/>
                <w:sz w:val="24"/>
                <w:highlight w:val="none"/>
              </w:rPr>
              <w:t>3</w:t>
            </w:r>
            <w:r>
              <w:rPr>
                <w:rFonts w:hint="eastAsia"/>
                <w:bCs/>
                <w:color w:val="auto"/>
                <w:sz w:val="24"/>
                <w:highlight w:val="none"/>
              </w:rPr>
              <w:t>-8</w:t>
            </w:r>
            <w:r>
              <w:rPr>
                <w:rFonts w:hAnsi="宋体"/>
                <w:bCs/>
                <w:color w:val="auto"/>
                <w:sz w:val="24"/>
                <w:highlight w:val="none"/>
              </w:rPr>
              <w:t>。</w:t>
            </w:r>
          </w:p>
          <w:p w14:paraId="3B88C950">
            <w:pPr>
              <w:keepNext w:val="0"/>
              <w:keepLines w:val="0"/>
              <w:suppressLineNumbers w:val="0"/>
              <w:adjustRightInd w:val="0"/>
              <w:snapToGrid w:val="0"/>
              <w:spacing w:before="0" w:beforeAutospacing="0" w:after="0" w:afterAutospacing="0"/>
              <w:ind w:left="0" w:right="0"/>
              <w:jc w:val="center"/>
              <w:rPr>
                <w:b/>
                <w:bCs/>
                <w:color w:val="auto"/>
                <w:sz w:val="24"/>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 xml:space="preserve">8 </w:t>
            </w:r>
            <w:r>
              <w:rPr>
                <w:rFonts w:hAnsi="宋体"/>
                <w:b/>
                <w:color w:val="auto"/>
                <w:sz w:val="24"/>
                <w:highlight w:val="none"/>
              </w:rPr>
              <w:t>项目在</w:t>
            </w:r>
            <w:r>
              <w:rPr>
                <w:rFonts w:hAnsi="宋体"/>
                <w:b/>
                <w:bCs/>
                <w:color w:val="auto"/>
                <w:sz w:val="24"/>
                <w:highlight w:val="none"/>
              </w:rPr>
              <w:t>《固定污染源排污许可分类管理名录（</w:t>
            </w:r>
            <w:r>
              <w:rPr>
                <w:b/>
                <w:bCs/>
                <w:color w:val="auto"/>
                <w:sz w:val="24"/>
                <w:highlight w:val="none"/>
              </w:rPr>
              <w:t>2019</w:t>
            </w:r>
            <w:r>
              <w:rPr>
                <w:rFonts w:hAnsi="宋体"/>
                <w:b/>
                <w:bCs/>
                <w:color w:val="auto"/>
                <w:sz w:val="24"/>
                <w:highlight w:val="none"/>
              </w:rPr>
              <w:t>年版）》中对应类别</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8"/>
              <w:gridCol w:w="3803"/>
              <w:gridCol w:w="1188"/>
              <w:gridCol w:w="995"/>
              <w:gridCol w:w="667"/>
              <w:gridCol w:w="1186"/>
            </w:tblGrid>
            <w:tr w14:paraId="28209781">
              <w:trPr>
                <w:trHeight w:val="340" w:hRule="atLeast"/>
              </w:trPr>
              <w:tc>
                <w:tcPr>
                  <w:tcW w:w="343" w:type="pct"/>
                  <w:shd w:val="clear" w:color="auto" w:fill="auto"/>
                  <w:vAlign w:val="center"/>
                </w:tcPr>
                <w:p w14:paraId="5781D4BC">
                  <w:pPr>
                    <w:pStyle w:val="146"/>
                    <w:keepNext w:val="0"/>
                    <w:keepLines w:val="0"/>
                    <w:suppressLineNumbers w:val="0"/>
                    <w:adjustRightInd w:val="0"/>
                    <w:snapToGrid w:val="0"/>
                    <w:spacing w:before="0" w:beforeAutospacing="0" w:after="0" w:afterAutospacing="0"/>
                    <w:ind w:left="0" w:right="0"/>
                    <w:rPr>
                      <w:b/>
                      <w:color w:val="auto"/>
                      <w:sz w:val="21"/>
                      <w:szCs w:val="21"/>
                      <w:highlight w:val="none"/>
                    </w:rPr>
                  </w:pPr>
                  <w:r>
                    <w:rPr>
                      <w:rFonts w:hAnsi="宋体"/>
                      <w:b/>
                      <w:color w:val="auto"/>
                      <w:sz w:val="21"/>
                      <w:szCs w:val="21"/>
                      <w:highlight w:val="none"/>
                    </w:rPr>
                    <w:t>序号</w:t>
                  </w:r>
                </w:p>
              </w:tc>
              <w:tc>
                <w:tcPr>
                  <w:tcW w:w="2259" w:type="pct"/>
                  <w:shd w:val="clear" w:color="auto" w:fill="auto"/>
                  <w:vAlign w:val="center"/>
                </w:tcPr>
                <w:p w14:paraId="247395F0">
                  <w:pPr>
                    <w:pStyle w:val="146"/>
                    <w:keepNext w:val="0"/>
                    <w:keepLines w:val="0"/>
                    <w:suppressLineNumbers w:val="0"/>
                    <w:adjustRightInd w:val="0"/>
                    <w:snapToGrid w:val="0"/>
                    <w:spacing w:before="0" w:beforeAutospacing="0" w:after="0" w:afterAutospacing="0"/>
                    <w:ind w:left="0" w:right="0"/>
                    <w:jc w:val="center"/>
                    <w:rPr>
                      <w:b/>
                      <w:color w:val="auto"/>
                      <w:sz w:val="21"/>
                      <w:szCs w:val="21"/>
                      <w:highlight w:val="none"/>
                    </w:rPr>
                  </w:pPr>
                  <w:r>
                    <w:rPr>
                      <w:rFonts w:hAnsi="宋体"/>
                      <w:b/>
                      <w:color w:val="auto"/>
                      <w:sz w:val="21"/>
                      <w:szCs w:val="21"/>
                      <w:highlight w:val="none"/>
                    </w:rPr>
                    <w:t>行业类别</w:t>
                  </w:r>
                </w:p>
              </w:tc>
              <w:tc>
                <w:tcPr>
                  <w:tcW w:w="705" w:type="pct"/>
                  <w:shd w:val="clear" w:color="auto" w:fill="auto"/>
                  <w:vAlign w:val="center"/>
                </w:tcPr>
                <w:p w14:paraId="5D614BD5">
                  <w:pPr>
                    <w:pStyle w:val="146"/>
                    <w:keepNext w:val="0"/>
                    <w:keepLines w:val="0"/>
                    <w:suppressLineNumbers w:val="0"/>
                    <w:adjustRightInd w:val="0"/>
                    <w:snapToGrid w:val="0"/>
                    <w:spacing w:before="0" w:beforeAutospacing="0" w:after="0" w:afterAutospacing="0"/>
                    <w:ind w:left="0" w:right="0"/>
                    <w:jc w:val="center"/>
                    <w:rPr>
                      <w:b/>
                      <w:color w:val="auto"/>
                      <w:sz w:val="21"/>
                      <w:szCs w:val="21"/>
                      <w:highlight w:val="none"/>
                    </w:rPr>
                  </w:pPr>
                  <w:r>
                    <w:rPr>
                      <w:rFonts w:hAnsi="宋体"/>
                      <w:b/>
                      <w:color w:val="auto"/>
                      <w:sz w:val="21"/>
                      <w:szCs w:val="21"/>
                      <w:highlight w:val="none"/>
                    </w:rPr>
                    <w:t>重点管理</w:t>
                  </w:r>
                </w:p>
              </w:tc>
              <w:tc>
                <w:tcPr>
                  <w:tcW w:w="591" w:type="pct"/>
                  <w:shd w:val="clear" w:color="auto" w:fill="auto"/>
                  <w:vAlign w:val="center"/>
                </w:tcPr>
                <w:p w14:paraId="77220AA8">
                  <w:pPr>
                    <w:pStyle w:val="146"/>
                    <w:keepNext w:val="0"/>
                    <w:keepLines w:val="0"/>
                    <w:suppressLineNumbers w:val="0"/>
                    <w:adjustRightInd w:val="0"/>
                    <w:snapToGrid w:val="0"/>
                    <w:spacing w:before="0" w:beforeAutospacing="0" w:after="0" w:afterAutospacing="0"/>
                    <w:ind w:left="0" w:right="0"/>
                    <w:jc w:val="center"/>
                    <w:rPr>
                      <w:b/>
                      <w:color w:val="auto"/>
                      <w:sz w:val="21"/>
                      <w:szCs w:val="21"/>
                      <w:highlight w:val="none"/>
                    </w:rPr>
                  </w:pPr>
                  <w:r>
                    <w:rPr>
                      <w:rFonts w:hAnsi="宋体"/>
                      <w:b/>
                      <w:color w:val="auto"/>
                      <w:sz w:val="21"/>
                      <w:szCs w:val="21"/>
                      <w:highlight w:val="none"/>
                    </w:rPr>
                    <w:t>简化管理</w:t>
                  </w:r>
                </w:p>
              </w:tc>
              <w:tc>
                <w:tcPr>
                  <w:tcW w:w="396" w:type="pct"/>
                  <w:shd w:val="clear" w:color="auto" w:fill="auto"/>
                  <w:vAlign w:val="center"/>
                </w:tcPr>
                <w:p w14:paraId="11F28904">
                  <w:pPr>
                    <w:pStyle w:val="146"/>
                    <w:keepNext w:val="0"/>
                    <w:keepLines w:val="0"/>
                    <w:suppressLineNumbers w:val="0"/>
                    <w:adjustRightInd w:val="0"/>
                    <w:snapToGrid w:val="0"/>
                    <w:spacing w:before="0" w:beforeAutospacing="0" w:after="0" w:afterAutospacing="0"/>
                    <w:ind w:left="0" w:right="0"/>
                    <w:jc w:val="center"/>
                    <w:rPr>
                      <w:b/>
                      <w:color w:val="auto"/>
                      <w:sz w:val="21"/>
                      <w:szCs w:val="21"/>
                      <w:highlight w:val="none"/>
                    </w:rPr>
                  </w:pPr>
                  <w:r>
                    <w:rPr>
                      <w:rFonts w:hAnsi="宋体"/>
                      <w:b/>
                      <w:color w:val="auto"/>
                      <w:sz w:val="21"/>
                      <w:szCs w:val="21"/>
                      <w:highlight w:val="none"/>
                    </w:rPr>
                    <w:t>登记管理</w:t>
                  </w:r>
                </w:p>
              </w:tc>
              <w:tc>
                <w:tcPr>
                  <w:tcW w:w="704" w:type="pct"/>
                  <w:vAlign w:val="center"/>
                </w:tcPr>
                <w:p w14:paraId="7CD25DB9">
                  <w:pPr>
                    <w:pStyle w:val="146"/>
                    <w:keepNext w:val="0"/>
                    <w:keepLines w:val="0"/>
                    <w:suppressLineNumbers w:val="0"/>
                    <w:adjustRightInd w:val="0"/>
                    <w:snapToGrid w:val="0"/>
                    <w:spacing w:before="0" w:beforeAutospacing="0" w:after="0" w:afterAutospacing="0"/>
                    <w:ind w:left="0" w:right="0"/>
                    <w:jc w:val="center"/>
                    <w:rPr>
                      <w:b/>
                      <w:color w:val="auto"/>
                      <w:sz w:val="21"/>
                      <w:szCs w:val="21"/>
                      <w:highlight w:val="none"/>
                    </w:rPr>
                  </w:pPr>
                  <w:r>
                    <w:rPr>
                      <w:rFonts w:hAnsi="宋体"/>
                      <w:b/>
                      <w:color w:val="auto"/>
                      <w:sz w:val="21"/>
                      <w:szCs w:val="21"/>
                      <w:highlight w:val="none"/>
                    </w:rPr>
                    <w:t>项目排污许可类别</w:t>
                  </w:r>
                </w:p>
              </w:tc>
            </w:tr>
            <w:tr w14:paraId="513B97F2">
              <w:trPr>
                <w:trHeight w:val="340" w:hRule="atLeast"/>
              </w:trPr>
              <w:tc>
                <w:tcPr>
                  <w:tcW w:w="343" w:type="pct"/>
                  <w:shd w:val="clear" w:color="auto" w:fill="auto"/>
                  <w:vAlign w:val="center"/>
                </w:tcPr>
                <w:p w14:paraId="629E19C0">
                  <w:pPr>
                    <w:pStyle w:val="146"/>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rPr>
                    <w:t>8</w:t>
                  </w:r>
                  <w:r>
                    <w:rPr>
                      <w:rFonts w:hint="eastAsia"/>
                      <w:color w:val="auto"/>
                      <w:sz w:val="21"/>
                      <w:szCs w:val="21"/>
                      <w:highlight w:val="none"/>
                      <w:lang w:val="en-US" w:eastAsia="zh-CN"/>
                    </w:rPr>
                    <w:t>3</w:t>
                  </w:r>
                </w:p>
              </w:tc>
              <w:tc>
                <w:tcPr>
                  <w:tcW w:w="2259" w:type="pct"/>
                  <w:shd w:val="clear" w:color="auto" w:fill="auto"/>
                  <w:vAlign w:val="center"/>
                </w:tcPr>
                <w:p w14:paraId="5665236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锅炉及原动设备制造341，</w:t>
                  </w:r>
                  <w:r>
                    <w:rPr>
                      <w:rFonts w:hint="default" w:ascii="Times New Roman" w:hAnsi="Times New Roman" w:eastAsia="宋体" w:cs="Times New Roman"/>
                      <w:b/>
                      <w:bCs/>
                      <w:color w:val="auto"/>
                      <w:kern w:val="0"/>
                      <w:sz w:val="21"/>
                      <w:szCs w:val="21"/>
                      <w:highlight w:val="none"/>
                      <w:lang w:val="en-US" w:eastAsia="zh-CN" w:bidi="ar"/>
                    </w:rPr>
                    <w:t>金属加工机械制造342</w:t>
                  </w:r>
                  <w:r>
                    <w:rPr>
                      <w:rFonts w:hint="default" w:ascii="Times New Roman" w:hAnsi="Times New Roman" w:eastAsia="宋体" w:cs="Times New Roman"/>
                      <w:color w:val="auto"/>
                      <w:kern w:val="0"/>
                      <w:sz w:val="21"/>
                      <w:szCs w:val="21"/>
                      <w:highlight w:val="none"/>
                      <w:lang w:val="en-US" w:eastAsia="zh-CN" w:bidi="ar"/>
                    </w:rPr>
                    <w:t>，物料搬运设备制造343，泵、阀门、压缩机及类似机械制造344，轴承、齿轮和传动部件制造345，烘炉、风机、包装等设备制造346，文化、办公用机械制造347，通用零部件制造348，其他通用设备制造业349</w:t>
                  </w:r>
                </w:p>
              </w:tc>
              <w:tc>
                <w:tcPr>
                  <w:tcW w:w="705" w:type="pct"/>
                  <w:shd w:val="clear" w:color="auto" w:fill="auto"/>
                  <w:vAlign w:val="center"/>
                </w:tcPr>
                <w:p w14:paraId="709D22A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涉及通用工序重点管理的</w:t>
                  </w:r>
                </w:p>
              </w:tc>
              <w:tc>
                <w:tcPr>
                  <w:tcW w:w="591" w:type="pct"/>
                  <w:shd w:val="clear" w:color="auto" w:fill="auto"/>
                  <w:vAlign w:val="center"/>
                </w:tcPr>
                <w:p w14:paraId="01C6476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涉及通用工序简化管理的</w:t>
                  </w:r>
                </w:p>
              </w:tc>
              <w:tc>
                <w:tcPr>
                  <w:tcW w:w="396" w:type="pct"/>
                  <w:shd w:val="pct10" w:color="auto" w:fill="auto"/>
                  <w:vAlign w:val="center"/>
                </w:tcPr>
                <w:p w14:paraId="774BE317">
                  <w:pPr>
                    <w:pStyle w:val="14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其他</w:t>
                  </w:r>
                </w:p>
              </w:tc>
              <w:tc>
                <w:tcPr>
                  <w:tcW w:w="704" w:type="pct"/>
                  <w:vAlign w:val="center"/>
                </w:tcPr>
                <w:p w14:paraId="688180D1">
                  <w:pPr>
                    <w:pStyle w:val="146"/>
                    <w:keepNext w:val="0"/>
                    <w:keepLines w:val="0"/>
                    <w:suppressLineNumbers w:val="0"/>
                    <w:adjustRightInd w:val="0"/>
                    <w:snapToGrid w:val="0"/>
                    <w:spacing w:before="0" w:beforeAutospacing="0" w:after="0" w:afterAutospacing="0"/>
                    <w:ind w:left="0" w:right="0"/>
                    <w:jc w:val="center"/>
                    <w:rPr>
                      <w:color w:val="auto"/>
                      <w:sz w:val="21"/>
                      <w:szCs w:val="21"/>
                      <w:highlight w:val="none"/>
                    </w:rPr>
                  </w:pPr>
                  <w:r>
                    <w:rPr>
                      <w:rFonts w:hint="eastAsia" w:hAnsi="宋体"/>
                      <w:bCs/>
                      <w:color w:val="auto"/>
                      <w:sz w:val="21"/>
                      <w:szCs w:val="21"/>
                      <w:highlight w:val="none"/>
                      <w:lang w:val="en-US" w:eastAsia="zh-CN"/>
                    </w:rPr>
                    <w:t>登记</w:t>
                  </w:r>
                  <w:r>
                    <w:rPr>
                      <w:rFonts w:hAnsi="宋体"/>
                      <w:bCs/>
                      <w:color w:val="auto"/>
                      <w:sz w:val="21"/>
                      <w:szCs w:val="21"/>
                      <w:highlight w:val="none"/>
                    </w:rPr>
                    <w:t>管理</w:t>
                  </w:r>
                </w:p>
              </w:tc>
            </w:tr>
          </w:tbl>
          <w:p w14:paraId="5A2346FC">
            <w:pPr>
              <w:keepNext w:val="0"/>
              <w:keepLines w:val="0"/>
              <w:suppressLineNumbers w:val="0"/>
              <w:adjustRightInd w:val="0"/>
              <w:snapToGrid w:val="0"/>
              <w:spacing w:before="0" w:beforeLines="50" w:beforeAutospacing="0" w:after="0" w:afterAutospacing="0" w:line="360" w:lineRule="auto"/>
              <w:ind w:left="0" w:right="0" w:firstLine="480" w:firstLineChars="200"/>
              <w:rPr>
                <w:rFonts w:eastAsia="宋体"/>
                <w:bCs/>
                <w:color w:val="auto"/>
                <w:sz w:val="24"/>
                <w:highlight w:val="none"/>
              </w:rPr>
            </w:pPr>
            <w:r>
              <w:rPr>
                <w:rFonts w:hAnsi="宋体" w:eastAsia="宋体"/>
                <w:bCs/>
                <w:color w:val="auto"/>
                <w:sz w:val="24"/>
                <w:highlight w:val="none"/>
              </w:rPr>
              <w:t>根据《江苏省排污权有偿使用和交易管理暂行办法》和《江苏省排污权有偿使用和交易实施细则（试行）》，</w:t>
            </w:r>
            <w:r>
              <w:rPr>
                <w:rFonts w:eastAsia="宋体"/>
                <w:bCs/>
                <w:color w:val="auto"/>
                <w:sz w:val="24"/>
                <w:highlight w:val="none"/>
              </w:rPr>
              <w:t>“</w:t>
            </w:r>
            <w:r>
              <w:rPr>
                <w:rFonts w:hAnsi="宋体" w:eastAsia="宋体"/>
                <w:bCs/>
                <w:color w:val="auto"/>
                <w:sz w:val="24"/>
                <w:highlight w:val="none"/>
              </w:rPr>
              <w:t>按照《固定污染源排污许可分类管理名录》，在排污许可证中载明许可排放量的排污单位，应在申领排污许可证时取得排污权。</w:t>
            </w:r>
            <w:r>
              <w:rPr>
                <w:rFonts w:eastAsia="宋体"/>
                <w:bCs/>
                <w:color w:val="auto"/>
                <w:sz w:val="24"/>
                <w:highlight w:val="none"/>
              </w:rPr>
              <w:t>”</w:t>
            </w:r>
          </w:p>
          <w:p w14:paraId="402FF4C5">
            <w:pPr>
              <w:keepNext w:val="0"/>
              <w:keepLines w:val="0"/>
              <w:suppressLineNumbers w:val="0"/>
              <w:adjustRightInd w:val="0"/>
              <w:snapToGrid w:val="0"/>
              <w:spacing w:before="0" w:beforeAutospacing="0" w:after="0" w:afterAutospacing="0" w:line="360" w:lineRule="auto"/>
              <w:ind w:left="0" w:right="0" w:firstLine="480" w:firstLineChars="200"/>
              <w:rPr>
                <w:rFonts w:eastAsia="宋体"/>
                <w:bCs/>
                <w:color w:val="auto"/>
                <w:sz w:val="24"/>
                <w:highlight w:val="none"/>
              </w:rPr>
            </w:pPr>
            <w:r>
              <w:rPr>
                <w:rFonts w:hAnsi="宋体" w:eastAsia="宋体"/>
                <w:bCs/>
                <w:color w:val="auto"/>
                <w:sz w:val="24"/>
                <w:highlight w:val="none"/>
              </w:rPr>
              <w:t>本项目</w:t>
            </w:r>
            <w:r>
              <w:rPr>
                <w:rFonts w:hint="eastAsia" w:hAnsi="宋体" w:eastAsia="宋体"/>
                <w:bCs/>
                <w:color w:val="auto"/>
                <w:sz w:val="24"/>
                <w:highlight w:val="none"/>
                <w:lang w:val="en-US" w:eastAsia="zh-CN"/>
              </w:rPr>
              <w:t>不涉及通用工序</w:t>
            </w:r>
            <w:r>
              <w:rPr>
                <w:rFonts w:hint="eastAsia" w:hAnsi="宋体"/>
                <w:color w:val="auto"/>
                <w:sz w:val="24"/>
                <w:highlight w:val="none"/>
                <w:lang w:val="en-US" w:eastAsia="zh-CN"/>
              </w:rPr>
              <w:t>，</w:t>
            </w:r>
            <w:r>
              <w:rPr>
                <w:rFonts w:hAnsi="宋体" w:eastAsia="宋体"/>
                <w:bCs/>
                <w:color w:val="auto"/>
                <w:sz w:val="24"/>
                <w:highlight w:val="none"/>
              </w:rPr>
              <w:t>根据《固定污染源排污许可分类管理名录》（</w:t>
            </w:r>
            <w:r>
              <w:rPr>
                <w:rFonts w:eastAsia="宋体"/>
                <w:bCs/>
                <w:color w:val="auto"/>
                <w:sz w:val="24"/>
                <w:highlight w:val="none"/>
              </w:rPr>
              <w:t>2019</w:t>
            </w:r>
            <w:r>
              <w:rPr>
                <w:rFonts w:hAnsi="宋体" w:eastAsia="宋体"/>
                <w:bCs/>
                <w:color w:val="auto"/>
                <w:sz w:val="24"/>
                <w:highlight w:val="none"/>
              </w:rPr>
              <w:t>年），属于排污许可</w:t>
            </w:r>
            <w:r>
              <w:rPr>
                <w:rFonts w:hint="eastAsia" w:hAnsi="宋体" w:eastAsia="宋体"/>
                <w:bCs/>
                <w:color w:val="auto"/>
                <w:sz w:val="24"/>
                <w:highlight w:val="none"/>
                <w:lang w:val="en-US" w:eastAsia="zh-CN"/>
              </w:rPr>
              <w:t>登记</w:t>
            </w:r>
            <w:r>
              <w:rPr>
                <w:rFonts w:hAnsi="宋体" w:eastAsia="宋体"/>
                <w:bCs/>
                <w:color w:val="auto"/>
                <w:sz w:val="24"/>
                <w:highlight w:val="none"/>
              </w:rPr>
              <w:t>管理单位，不涉及主要排放口，无需排污权交易。</w:t>
            </w:r>
          </w:p>
          <w:p w14:paraId="08C314B7">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b/>
                <w:color w:val="auto"/>
                <w:sz w:val="24"/>
                <w:highlight w:val="none"/>
              </w:rPr>
              <w:t>1.</w:t>
            </w:r>
            <w:r>
              <w:rPr>
                <w:rFonts w:hAnsi="宋体"/>
                <w:b/>
                <w:color w:val="auto"/>
                <w:sz w:val="24"/>
                <w:highlight w:val="none"/>
              </w:rPr>
              <w:t>废气</w:t>
            </w:r>
          </w:p>
          <w:p w14:paraId="3D00034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Ansi="宋体"/>
                <w:bCs/>
                <w:color w:val="auto"/>
                <w:sz w:val="24"/>
                <w:highlight w:val="none"/>
              </w:rPr>
              <w:t>本项目建</w:t>
            </w:r>
            <w:r>
              <w:rPr>
                <w:rFonts w:hint="default" w:ascii="Times New Roman" w:hAnsi="Times New Roman" w:cs="Times New Roman"/>
                <w:bCs/>
                <w:color w:val="auto"/>
                <w:sz w:val="24"/>
                <w:szCs w:val="24"/>
                <w:highlight w:val="none"/>
              </w:rPr>
              <w:t>成后新增</w:t>
            </w:r>
            <w:r>
              <w:rPr>
                <w:rFonts w:hint="default" w:ascii="Times New Roman" w:hAnsi="Times New Roman" w:cs="Times New Roman"/>
                <w:color w:val="auto"/>
                <w:sz w:val="24"/>
                <w:szCs w:val="24"/>
                <w:highlight w:val="none"/>
              </w:rPr>
              <w:t>NMHC</w:t>
            </w:r>
            <w:r>
              <w:rPr>
                <w:rFonts w:hint="default" w:ascii="Times New Roman" w:hAnsi="Times New Roman" w:cs="Times New Roman"/>
                <w:bCs/>
                <w:color w:val="auto"/>
                <w:sz w:val="24"/>
                <w:szCs w:val="24"/>
                <w:highlight w:val="none"/>
              </w:rPr>
              <w:t>排放量</w:t>
            </w:r>
            <w:r>
              <w:rPr>
                <w:rFonts w:hint="default" w:ascii="Times New Roman" w:hAnsi="Times New Roman" w:cs="Times New Roman"/>
                <w:bCs/>
                <w:color w:val="auto"/>
                <w:sz w:val="24"/>
                <w:szCs w:val="24"/>
                <w:highlight w:val="none"/>
                <w:lang w:val="en-US" w:eastAsia="zh-CN"/>
              </w:rPr>
              <w:t>0.</w:t>
            </w:r>
            <w:r>
              <w:rPr>
                <w:rFonts w:hint="eastAsia" w:ascii="Times New Roman" w:hAnsi="Times New Roman" w:cs="Times New Roman"/>
                <w:bCs/>
                <w:color w:val="auto"/>
                <w:sz w:val="24"/>
                <w:szCs w:val="24"/>
                <w:highlight w:val="none"/>
                <w:lang w:val="en-US" w:eastAsia="zh-CN"/>
              </w:rPr>
              <w:t>1826</w:t>
            </w:r>
            <w:r>
              <w:rPr>
                <w:rFonts w:hint="default" w:ascii="Times New Roman" w:hAnsi="Times New Roman" w:cs="Times New Roman"/>
                <w:bCs/>
                <w:color w:val="auto"/>
                <w:sz w:val="24"/>
                <w:szCs w:val="24"/>
                <w:highlight w:val="none"/>
              </w:rPr>
              <w:t>t/a（有组织</w:t>
            </w:r>
            <w:r>
              <w:rPr>
                <w:rFonts w:hint="default" w:ascii="Times New Roman" w:hAnsi="Times New Roman" w:cs="Times New Roman"/>
                <w:bCs/>
                <w:color w:val="auto"/>
                <w:sz w:val="24"/>
                <w:szCs w:val="24"/>
                <w:highlight w:val="none"/>
                <w:lang w:val="en-US" w:eastAsia="zh-CN"/>
              </w:rPr>
              <w:t>0.1</w:t>
            </w:r>
            <w:r>
              <w:rPr>
                <w:rFonts w:hint="eastAsia" w:ascii="Times New Roman" w:hAnsi="Times New Roman" w:cs="Times New Roman"/>
                <w:bCs/>
                <w:color w:val="auto"/>
                <w:sz w:val="24"/>
                <w:szCs w:val="24"/>
                <w:highlight w:val="none"/>
                <w:lang w:val="en-US" w:eastAsia="zh-CN"/>
              </w:rPr>
              <w:t>19</w:t>
            </w:r>
            <w:r>
              <w:rPr>
                <w:rFonts w:hint="default" w:ascii="Times New Roman" w:hAnsi="Times New Roman" w:cs="Times New Roman"/>
                <w:bCs/>
                <w:color w:val="auto"/>
                <w:sz w:val="24"/>
                <w:szCs w:val="24"/>
                <w:highlight w:val="none"/>
                <w:lang w:val="en-US" w:eastAsia="zh-CN"/>
              </w:rPr>
              <w:t>3</w:t>
            </w:r>
            <w:r>
              <w:rPr>
                <w:rFonts w:hint="default" w:ascii="Times New Roman" w:hAnsi="Times New Roman" w:cs="Times New Roman"/>
                <w:bCs/>
                <w:color w:val="auto"/>
                <w:sz w:val="24"/>
                <w:szCs w:val="24"/>
                <w:highlight w:val="none"/>
              </w:rPr>
              <w:t>t/a、无组织</w:t>
            </w:r>
            <w:r>
              <w:rPr>
                <w:rFonts w:hint="default" w:ascii="Times New Roman" w:hAnsi="Times New Roman" w:cs="Times New Roman"/>
                <w:bCs/>
                <w:color w:val="auto"/>
                <w:sz w:val="24"/>
                <w:szCs w:val="24"/>
                <w:highlight w:val="none"/>
                <w:lang w:val="en-US" w:eastAsia="zh-CN"/>
              </w:rPr>
              <w:t>0.0</w:t>
            </w:r>
            <w:r>
              <w:rPr>
                <w:rFonts w:hint="eastAsia" w:ascii="Times New Roman" w:hAnsi="Times New Roman" w:cs="Times New Roman"/>
                <w:bCs/>
                <w:color w:val="auto"/>
                <w:sz w:val="24"/>
                <w:szCs w:val="24"/>
                <w:highlight w:val="none"/>
                <w:lang w:val="en-US" w:eastAsia="zh-CN"/>
              </w:rPr>
              <w:t>633</w:t>
            </w:r>
            <w:r>
              <w:rPr>
                <w:rFonts w:hint="default" w:ascii="Times New Roman" w:hAnsi="Times New Roman" w:cs="Times New Roman"/>
                <w:bCs/>
                <w:color w:val="auto"/>
                <w:sz w:val="24"/>
                <w:szCs w:val="24"/>
                <w:highlight w:val="none"/>
              </w:rPr>
              <w:t>t/a）、颗粒物</w:t>
            </w:r>
            <w:r>
              <w:rPr>
                <w:rFonts w:hint="default" w:ascii="Times New Roman" w:hAnsi="Times New Roman" w:cs="Times New Roman"/>
                <w:color w:val="auto"/>
                <w:sz w:val="24"/>
                <w:szCs w:val="24"/>
                <w:highlight w:val="none"/>
              </w:rPr>
              <w:t>排放量0.</w:t>
            </w:r>
            <w:r>
              <w:rPr>
                <w:rFonts w:hint="eastAsia" w:ascii="Times New Roman" w:hAnsi="Times New Roman" w:cs="Times New Roman"/>
                <w:color w:val="auto"/>
                <w:sz w:val="24"/>
                <w:szCs w:val="24"/>
                <w:highlight w:val="none"/>
                <w:lang w:val="en-US" w:eastAsia="zh-CN"/>
              </w:rPr>
              <w:t>4604</w:t>
            </w:r>
            <w:r>
              <w:rPr>
                <w:rFonts w:hint="default" w:ascii="Times New Roman" w:hAnsi="Times New Roman" w:cs="Times New Roman"/>
                <w:color w:val="auto"/>
                <w:sz w:val="24"/>
                <w:szCs w:val="24"/>
                <w:highlight w:val="none"/>
              </w:rPr>
              <w:t>t/a（有组织</w:t>
            </w:r>
            <w:r>
              <w:rPr>
                <w:rFonts w:hint="eastAsia" w:ascii="Times New Roman" w:hAnsi="Times New Roman" w:cs="Times New Roman"/>
                <w:bCs/>
                <w:color w:val="auto"/>
                <w:sz w:val="24"/>
                <w:szCs w:val="24"/>
                <w:highlight w:val="none"/>
                <w:lang w:val="en-US" w:eastAsia="zh-CN"/>
              </w:rPr>
              <w:t>0.1781</w:t>
            </w:r>
            <w:r>
              <w:rPr>
                <w:rFonts w:hint="default" w:ascii="Times New Roman" w:hAnsi="Times New Roman" w:cs="Times New Roman"/>
                <w:bCs/>
                <w:color w:val="auto"/>
                <w:sz w:val="24"/>
                <w:szCs w:val="24"/>
                <w:highlight w:val="none"/>
              </w:rPr>
              <w:t>t/a、无组织</w:t>
            </w:r>
            <w:r>
              <w:rPr>
                <w:rFonts w:hint="default" w:ascii="Times New Roman" w:hAnsi="Times New Roman" w:cs="Times New Roman"/>
                <w:bCs/>
                <w:color w:val="auto"/>
                <w:sz w:val="24"/>
                <w:szCs w:val="24"/>
                <w:highlight w:val="none"/>
                <w:lang w:val="en-US" w:eastAsia="zh-CN"/>
              </w:rPr>
              <w:t>0.</w:t>
            </w:r>
            <w:r>
              <w:rPr>
                <w:rFonts w:hint="eastAsia" w:ascii="Times New Roman" w:hAnsi="Times New Roman" w:cs="Times New Roman"/>
                <w:bCs/>
                <w:color w:val="auto"/>
                <w:sz w:val="24"/>
                <w:szCs w:val="24"/>
                <w:highlight w:val="none"/>
                <w:lang w:val="en-US" w:eastAsia="zh-CN"/>
              </w:rPr>
              <w:t>2823</w:t>
            </w:r>
            <w:r>
              <w:rPr>
                <w:rFonts w:hint="default" w:ascii="Times New Roman" w:hAnsi="Times New Roman" w:cs="Times New Roman"/>
                <w:bCs/>
                <w:color w:val="auto"/>
                <w:sz w:val="24"/>
                <w:szCs w:val="24"/>
                <w:highlight w:val="none"/>
              </w:rPr>
              <w:t>t/a</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lang w:val="en-US" w:eastAsia="zh-CN"/>
              </w:rPr>
              <w:t>由淮安市涟水生态环境局从境内企业削减总量中替代平衡。</w:t>
            </w:r>
          </w:p>
          <w:p w14:paraId="41C4C982">
            <w:pPr>
              <w:pStyle w:val="2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eastAsiaTheme="minorEastAsia"/>
                <w:b/>
                <w:bCs w:val="0"/>
                <w:color w:val="auto"/>
                <w:kern w:val="2"/>
                <w:sz w:val="24"/>
                <w:szCs w:val="24"/>
                <w:lang w:val="en-US" w:eastAsia="zh-CN" w:bidi="ar-SA"/>
              </w:rPr>
              <w:t>2.</w:t>
            </w:r>
            <w:r>
              <w:rPr>
                <w:rFonts w:hint="default" w:ascii="Times New Roman" w:hAnsi="Times New Roman" w:cs="Times New Roman"/>
                <w:b/>
                <w:bCs w:val="0"/>
                <w:color w:val="auto"/>
                <w:sz w:val="24"/>
                <w:szCs w:val="24"/>
                <w:highlight w:val="none"/>
                <w:lang w:val="en-US" w:eastAsia="zh-CN"/>
              </w:rPr>
              <w:t>废水</w:t>
            </w:r>
          </w:p>
          <w:p w14:paraId="6E14BF3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项目建成后</w:t>
            </w:r>
            <w:r>
              <w:rPr>
                <w:rFonts w:hint="eastAsia" w:ascii="Times New Roman" w:hAnsi="Times New Roman" w:cs="Times New Roman"/>
                <w:bCs/>
                <w:color w:val="auto"/>
                <w:sz w:val="24"/>
                <w:szCs w:val="24"/>
                <w:highlight w:val="none"/>
                <w:lang w:val="en-US" w:eastAsia="zh-CN"/>
              </w:rPr>
              <w:t>生产废水</w:t>
            </w:r>
            <w:r>
              <w:rPr>
                <w:rFonts w:hint="default" w:ascii="Times New Roman" w:hAnsi="Times New Roman" w:cs="Times New Roman"/>
                <w:bCs/>
                <w:color w:val="auto"/>
                <w:sz w:val="24"/>
                <w:szCs w:val="24"/>
                <w:highlight w:val="none"/>
                <w:lang w:val="en-US" w:eastAsia="zh-CN"/>
              </w:rPr>
              <w:t>接管排放量</w:t>
            </w:r>
            <w:r>
              <w:rPr>
                <w:rFonts w:hint="eastAsia" w:ascii="Times New Roman" w:hAnsi="Times New Roman" w:cs="Times New Roman"/>
                <w:bCs/>
                <w:color w:val="auto"/>
                <w:sz w:val="24"/>
                <w:szCs w:val="24"/>
                <w:highlight w:val="none"/>
                <w:lang w:val="en-US" w:eastAsia="zh-CN"/>
              </w:rPr>
              <w:t>为480</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，其中</w:t>
            </w:r>
            <w:r>
              <w:rPr>
                <w:rFonts w:hint="default" w:ascii="Times New Roman" w:hAnsi="Times New Roman" w:cs="Times New Roman"/>
                <w:bCs/>
                <w:color w:val="auto"/>
                <w:sz w:val="24"/>
                <w:szCs w:val="24"/>
                <w:highlight w:val="none"/>
                <w:lang w:val="en-US" w:eastAsia="zh-CN"/>
              </w:rPr>
              <w:t>COD0.</w:t>
            </w:r>
            <w:r>
              <w:rPr>
                <w:rFonts w:hint="eastAsia" w:ascii="Times New Roman" w:hAnsi="Times New Roman" w:cs="Times New Roman"/>
                <w:bCs/>
                <w:color w:val="auto"/>
                <w:sz w:val="24"/>
                <w:szCs w:val="24"/>
                <w:highlight w:val="none"/>
                <w:lang w:val="en-US" w:eastAsia="zh-CN"/>
              </w:rPr>
              <w:t>1392</w:t>
            </w:r>
            <w:r>
              <w:rPr>
                <w:rFonts w:hint="default" w:ascii="Times New Roman" w:hAnsi="Times New Roman" w:cs="Times New Roman"/>
                <w:bCs/>
                <w:color w:val="auto"/>
                <w:sz w:val="24"/>
                <w:szCs w:val="24"/>
                <w:highlight w:val="none"/>
                <w:lang w:val="en-US" w:eastAsia="zh-CN"/>
              </w:rPr>
              <w:t>t/a、SS0.</w:t>
            </w:r>
            <w:r>
              <w:rPr>
                <w:rFonts w:hint="eastAsia" w:ascii="Times New Roman" w:hAnsi="Times New Roman" w:cs="Times New Roman"/>
                <w:bCs/>
                <w:color w:val="auto"/>
                <w:sz w:val="24"/>
                <w:szCs w:val="24"/>
                <w:highlight w:val="none"/>
                <w:lang w:val="en-US" w:eastAsia="zh-CN"/>
              </w:rPr>
              <w:t>1080</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石油类0.0077t/a</w:t>
            </w:r>
            <w:r>
              <w:rPr>
                <w:rFonts w:hint="default" w:ascii="Times New Roman" w:hAnsi="Times New Roman" w:cs="Times New Roman"/>
                <w:bCs/>
                <w:color w:val="auto"/>
                <w:sz w:val="24"/>
                <w:szCs w:val="24"/>
                <w:highlight w:val="none"/>
                <w:lang w:val="en-US" w:eastAsia="zh-CN"/>
              </w:rPr>
              <w:t>。</w:t>
            </w:r>
          </w:p>
          <w:p w14:paraId="22C7497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生产废水</w:t>
            </w:r>
            <w:r>
              <w:rPr>
                <w:rFonts w:hint="default" w:ascii="Times New Roman" w:hAnsi="Times New Roman" w:cs="Times New Roman"/>
                <w:bCs/>
                <w:color w:val="auto"/>
                <w:sz w:val="24"/>
                <w:szCs w:val="24"/>
                <w:highlight w:val="none"/>
                <w:lang w:val="en-US" w:eastAsia="zh-CN"/>
              </w:rPr>
              <w:t>排入环境量</w:t>
            </w:r>
            <w:r>
              <w:rPr>
                <w:rFonts w:hint="eastAsia" w:ascii="Times New Roman" w:hAnsi="Times New Roman" w:cs="Times New Roman"/>
                <w:bCs/>
                <w:color w:val="auto"/>
                <w:sz w:val="24"/>
                <w:szCs w:val="24"/>
                <w:highlight w:val="none"/>
                <w:lang w:val="en-US" w:eastAsia="zh-CN"/>
              </w:rPr>
              <w:t>为480</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，其中</w:t>
            </w:r>
            <w:r>
              <w:rPr>
                <w:rFonts w:hint="default" w:ascii="Times New Roman" w:hAnsi="Times New Roman" w:cs="Times New Roman"/>
                <w:bCs/>
                <w:color w:val="auto"/>
                <w:sz w:val="24"/>
                <w:szCs w:val="24"/>
                <w:highlight w:val="none"/>
                <w:lang w:val="en-US" w:eastAsia="zh-CN"/>
              </w:rPr>
              <w:t>COD</w:t>
            </w:r>
            <w:r>
              <w:rPr>
                <w:rFonts w:hint="eastAsia" w:ascii="Times New Roman" w:hAnsi="Times New Roman" w:cs="Times New Roman"/>
                <w:bCs/>
                <w:color w:val="auto"/>
                <w:sz w:val="24"/>
                <w:szCs w:val="24"/>
                <w:highlight w:val="none"/>
                <w:lang w:val="en-US" w:eastAsia="zh-CN"/>
              </w:rPr>
              <w:t>0.024</w:t>
            </w:r>
            <w:r>
              <w:rPr>
                <w:rFonts w:hint="default" w:ascii="Times New Roman" w:hAnsi="Times New Roman" w:cs="Times New Roman"/>
                <w:bCs/>
                <w:color w:val="auto"/>
                <w:sz w:val="24"/>
                <w:szCs w:val="24"/>
                <w:highlight w:val="none"/>
                <w:lang w:val="en-US" w:eastAsia="zh-CN"/>
              </w:rPr>
              <w:t>t/a、SS</w:t>
            </w:r>
            <w:r>
              <w:rPr>
                <w:rFonts w:hint="eastAsia" w:ascii="Times New Roman" w:hAnsi="Times New Roman" w:cs="Times New Roman"/>
                <w:bCs/>
                <w:color w:val="auto"/>
                <w:sz w:val="24"/>
                <w:szCs w:val="24"/>
                <w:highlight w:val="none"/>
                <w:lang w:val="en-US" w:eastAsia="zh-CN"/>
              </w:rPr>
              <w:t>0.0048</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石油类0.0005t/a</w:t>
            </w:r>
            <w:r>
              <w:rPr>
                <w:rFonts w:hint="default" w:ascii="Times New Roman" w:hAnsi="Times New Roman" w:cs="Times New Roman"/>
                <w:bCs/>
                <w:color w:val="auto"/>
                <w:sz w:val="24"/>
                <w:szCs w:val="24"/>
                <w:highlight w:val="none"/>
                <w:lang w:val="en-US" w:eastAsia="zh-CN"/>
              </w:rPr>
              <w:t>。</w:t>
            </w:r>
          </w:p>
          <w:p w14:paraId="3726D62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综合废水</w:t>
            </w:r>
            <w:r>
              <w:rPr>
                <w:rFonts w:hint="default" w:ascii="Times New Roman" w:hAnsi="Times New Roman" w:cs="Times New Roman"/>
                <w:bCs/>
                <w:color w:val="auto"/>
                <w:sz w:val="24"/>
                <w:szCs w:val="24"/>
                <w:highlight w:val="none"/>
                <w:lang w:val="en-US" w:eastAsia="zh-CN"/>
              </w:rPr>
              <w:t>接管排放量</w:t>
            </w:r>
            <w:r>
              <w:rPr>
                <w:rFonts w:hint="eastAsia" w:ascii="Times New Roman" w:hAnsi="Times New Roman" w:cs="Times New Roman"/>
                <w:bCs/>
                <w:color w:val="auto"/>
                <w:sz w:val="24"/>
                <w:szCs w:val="24"/>
                <w:highlight w:val="none"/>
                <w:lang w:val="en-US" w:eastAsia="zh-CN"/>
              </w:rPr>
              <w:t>为1620</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，其中</w:t>
            </w:r>
            <w:r>
              <w:rPr>
                <w:rFonts w:hint="default" w:ascii="Times New Roman" w:hAnsi="Times New Roman" w:cs="Times New Roman"/>
                <w:bCs/>
                <w:color w:val="auto"/>
                <w:sz w:val="24"/>
                <w:szCs w:val="24"/>
                <w:highlight w:val="none"/>
                <w:lang w:val="en-US" w:eastAsia="zh-CN"/>
              </w:rPr>
              <w:t>COD0.</w:t>
            </w:r>
            <w:r>
              <w:rPr>
                <w:rFonts w:hint="eastAsia" w:ascii="Times New Roman" w:hAnsi="Times New Roman" w:cs="Times New Roman"/>
                <w:bCs/>
                <w:color w:val="auto"/>
                <w:sz w:val="24"/>
                <w:szCs w:val="24"/>
                <w:highlight w:val="none"/>
                <w:lang w:val="en-US" w:eastAsia="zh-CN"/>
              </w:rPr>
              <w:t>4584</w:t>
            </w:r>
            <w:r>
              <w:rPr>
                <w:rFonts w:hint="default" w:ascii="Times New Roman" w:hAnsi="Times New Roman" w:cs="Times New Roman"/>
                <w:bCs/>
                <w:color w:val="auto"/>
                <w:sz w:val="24"/>
                <w:szCs w:val="24"/>
                <w:highlight w:val="none"/>
                <w:lang w:val="en-US" w:eastAsia="zh-CN"/>
              </w:rPr>
              <w:t>t/a、SS0.</w:t>
            </w:r>
            <w:r>
              <w:rPr>
                <w:rFonts w:hint="eastAsia" w:ascii="Times New Roman" w:hAnsi="Times New Roman" w:cs="Times New Roman"/>
                <w:bCs/>
                <w:color w:val="auto"/>
                <w:sz w:val="24"/>
                <w:szCs w:val="24"/>
                <w:highlight w:val="none"/>
                <w:lang w:val="en-US" w:eastAsia="zh-CN"/>
              </w:rPr>
              <w:t>222</w:t>
            </w:r>
            <w:r>
              <w:rPr>
                <w:rFonts w:hint="default" w:ascii="Times New Roman" w:hAnsi="Times New Roman" w:cs="Times New Roman"/>
                <w:bCs/>
                <w:color w:val="auto"/>
                <w:sz w:val="24"/>
                <w:szCs w:val="24"/>
                <w:highlight w:val="none"/>
                <w:lang w:val="en-US" w:eastAsia="zh-CN"/>
              </w:rPr>
              <w:t>t/a、NH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default" w:ascii="Times New Roman" w:hAnsi="Times New Roman" w:cs="Times New Roman"/>
                <w:color w:val="auto"/>
                <w:sz w:val="24"/>
                <w:szCs w:val="24"/>
                <w:highlight w:val="none"/>
                <w:lang w:val="en-US" w:eastAsia="zh-CN"/>
              </w:rPr>
              <w:t>0.0285</w:t>
            </w:r>
            <w:r>
              <w:rPr>
                <w:rFonts w:hint="default" w:ascii="Times New Roman" w:hAnsi="Times New Roman" w:cs="Times New Roman"/>
                <w:bCs/>
                <w:color w:val="auto"/>
                <w:sz w:val="24"/>
                <w:szCs w:val="24"/>
                <w:highlight w:val="none"/>
                <w:lang w:val="en-US" w:eastAsia="zh-CN"/>
              </w:rPr>
              <w:t>t/a、TN</w:t>
            </w:r>
            <w:r>
              <w:rPr>
                <w:rFonts w:hint="default" w:ascii="Times New Roman" w:hAnsi="Times New Roman" w:cs="Times New Roman"/>
                <w:color w:val="auto"/>
                <w:sz w:val="24"/>
                <w:szCs w:val="24"/>
                <w:highlight w:val="none"/>
                <w:lang w:val="en-US" w:eastAsia="zh-CN"/>
              </w:rPr>
              <w:t>0.0513</w:t>
            </w:r>
            <w:r>
              <w:rPr>
                <w:rFonts w:hint="default" w:ascii="Times New Roman" w:hAnsi="Times New Roman" w:cs="Times New Roman"/>
                <w:bCs/>
                <w:color w:val="auto"/>
                <w:sz w:val="24"/>
                <w:szCs w:val="24"/>
                <w:highlight w:val="none"/>
                <w:lang w:val="en-US" w:eastAsia="zh-CN"/>
              </w:rPr>
              <w:t>t/a、TP</w:t>
            </w:r>
            <w:r>
              <w:rPr>
                <w:rFonts w:hint="default" w:ascii="Times New Roman" w:hAnsi="Times New Roman" w:cs="Times New Roman"/>
                <w:color w:val="auto"/>
                <w:sz w:val="24"/>
                <w:szCs w:val="24"/>
                <w:highlight w:val="none"/>
                <w:lang w:val="en-US" w:eastAsia="zh-CN"/>
              </w:rPr>
              <w:t>0.0034</w:t>
            </w:r>
            <w:r>
              <w:rPr>
                <w:rFonts w:hint="default" w:ascii="Times New Roman" w:hAnsi="Times New Roman" w:cs="Times New Roman"/>
                <w:bCs/>
                <w:color w:val="auto"/>
                <w:sz w:val="24"/>
                <w:szCs w:val="24"/>
                <w:highlight w:val="none"/>
                <w:lang w:val="en-US" w:eastAsia="zh-CN"/>
              </w:rPr>
              <w:t>t/a、动植物油</w:t>
            </w:r>
            <w:r>
              <w:rPr>
                <w:rFonts w:hint="default" w:ascii="Times New Roman" w:hAnsi="Times New Roman" w:cs="Times New Roman"/>
                <w:color w:val="auto"/>
                <w:sz w:val="24"/>
                <w:szCs w:val="24"/>
                <w:highlight w:val="none"/>
                <w:lang w:val="en-US" w:eastAsia="zh-CN"/>
              </w:rPr>
              <w:t>0.0144</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、石油类0.0077t/a</w:t>
            </w:r>
            <w:r>
              <w:rPr>
                <w:rFonts w:hint="default" w:ascii="Times New Roman" w:hAnsi="Times New Roman" w:cs="Times New Roman"/>
                <w:bCs/>
                <w:color w:val="auto"/>
                <w:sz w:val="24"/>
                <w:szCs w:val="24"/>
                <w:highlight w:val="none"/>
                <w:lang w:val="en-US" w:eastAsia="zh-CN"/>
              </w:rPr>
              <w:t>。</w:t>
            </w:r>
          </w:p>
          <w:p w14:paraId="5B41B63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综合废水</w:t>
            </w:r>
            <w:r>
              <w:rPr>
                <w:rFonts w:hint="default" w:ascii="Times New Roman" w:hAnsi="Times New Roman" w:cs="Times New Roman"/>
                <w:bCs/>
                <w:color w:val="auto"/>
                <w:sz w:val="24"/>
                <w:szCs w:val="24"/>
                <w:highlight w:val="none"/>
                <w:lang w:val="en-US" w:eastAsia="zh-CN"/>
              </w:rPr>
              <w:t>排入环境量</w:t>
            </w:r>
            <w:r>
              <w:rPr>
                <w:rFonts w:hint="eastAsia" w:ascii="Times New Roman" w:hAnsi="Times New Roman" w:cs="Times New Roman"/>
                <w:bCs/>
                <w:color w:val="auto"/>
                <w:sz w:val="24"/>
                <w:szCs w:val="24"/>
                <w:highlight w:val="none"/>
                <w:lang w:val="en-US" w:eastAsia="zh-CN"/>
              </w:rPr>
              <w:t>为1620</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，其中</w:t>
            </w:r>
            <w:r>
              <w:rPr>
                <w:rFonts w:hint="default" w:ascii="Times New Roman" w:hAnsi="Times New Roman" w:cs="Times New Roman"/>
                <w:bCs/>
                <w:color w:val="auto"/>
                <w:sz w:val="24"/>
                <w:szCs w:val="24"/>
                <w:highlight w:val="none"/>
                <w:lang w:val="en-US" w:eastAsia="zh-CN"/>
              </w:rPr>
              <w:t>COD</w:t>
            </w:r>
            <w:r>
              <w:rPr>
                <w:rFonts w:hint="eastAsia" w:ascii="Times New Roman" w:hAnsi="Times New Roman" w:cs="Times New Roman"/>
                <w:bCs/>
                <w:color w:val="auto"/>
                <w:sz w:val="24"/>
                <w:szCs w:val="24"/>
                <w:highlight w:val="none"/>
                <w:lang w:val="en-US" w:eastAsia="zh-CN"/>
              </w:rPr>
              <w:t>0.081</w:t>
            </w:r>
            <w:r>
              <w:rPr>
                <w:rFonts w:hint="default" w:ascii="Times New Roman" w:hAnsi="Times New Roman" w:cs="Times New Roman"/>
                <w:bCs/>
                <w:color w:val="auto"/>
                <w:sz w:val="24"/>
                <w:szCs w:val="24"/>
                <w:highlight w:val="none"/>
                <w:lang w:val="en-US" w:eastAsia="zh-CN"/>
              </w:rPr>
              <w:t>t/a、SS</w:t>
            </w:r>
            <w:r>
              <w:rPr>
                <w:rFonts w:hint="eastAsia" w:ascii="Times New Roman" w:hAnsi="Times New Roman" w:cs="Times New Roman"/>
                <w:bCs/>
                <w:color w:val="auto"/>
                <w:sz w:val="24"/>
                <w:szCs w:val="24"/>
                <w:highlight w:val="none"/>
                <w:lang w:val="en-US" w:eastAsia="zh-CN"/>
              </w:rPr>
              <w:t>0.0162</w:t>
            </w:r>
            <w:r>
              <w:rPr>
                <w:rFonts w:hint="default" w:ascii="Times New Roman" w:hAnsi="Times New Roman" w:cs="Times New Roman"/>
                <w:bCs/>
                <w:color w:val="auto"/>
                <w:sz w:val="24"/>
                <w:szCs w:val="24"/>
                <w:highlight w:val="none"/>
                <w:lang w:val="en-US" w:eastAsia="zh-CN"/>
              </w:rPr>
              <w:t>t/a、NH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eastAsia" w:ascii="Times New Roman" w:hAnsi="Times New Roman" w:cs="Times New Roman"/>
                <w:bCs/>
                <w:color w:val="auto"/>
                <w:sz w:val="24"/>
                <w:szCs w:val="24"/>
                <w:highlight w:val="none"/>
                <w:lang w:val="en-US" w:eastAsia="zh-CN"/>
              </w:rPr>
              <w:t>0.0081</w:t>
            </w:r>
            <w:r>
              <w:rPr>
                <w:rFonts w:hint="default" w:ascii="Times New Roman" w:hAnsi="Times New Roman" w:cs="Times New Roman"/>
                <w:bCs/>
                <w:color w:val="auto"/>
                <w:sz w:val="24"/>
                <w:szCs w:val="24"/>
                <w:highlight w:val="none"/>
                <w:lang w:val="en-US" w:eastAsia="zh-CN"/>
              </w:rPr>
              <w:t>t/a、TN0.0</w:t>
            </w:r>
            <w:r>
              <w:rPr>
                <w:rFonts w:hint="eastAsia" w:ascii="Times New Roman" w:hAnsi="Times New Roman" w:cs="Times New Roman"/>
                <w:bCs/>
                <w:color w:val="auto"/>
                <w:sz w:val="24"/>
                <w:szCs w:val="24"/>
                <w:highlight w:val="none"/>
                <w:lang w:val="en-US" w:eastAsia="zh-CN"/>
              </w:rPr>
              <w:t>243</w:t>
            </w:r>
            <w:r>
              <w:rPr>
                <w:rFonts w:hint="default" w:ascii="Times New Roman" w:hAnsi="Times New Roman" w:cs="Times New Roman"/>
                <w:bCs/>
                <w:color w:val="auto"/>
                <w:sz w:val="24"/>
                <w:szCs w:val="24"/>
                <w:highlight w:val="none"/>
                <w:lang w:val="en-US" w:eastAsia="zh-CN"/>
              </w:rPr>
              <w:t>t/a、TP0.000</w:t>
            </w:r>
            <w:r>
              <w:rPr>
                <w:rFonts w:hint="eastAsia" w:ascii="Times New Roman" w:hAnsi="Times New Roman"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lang w:val="en-US" w:eastAsia="zh-CN"/>
              </w:rPr>
              <w:t>t/a、动植物油</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016</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、石油类0.0016t/a</w:t>
            </w:r>
            <w:r>
              <w:rPr>
                <w:rFonts w:hint="default" w:ascii="Times New Roman" w:hAnsi="Times New Roman" w:cs="Times New Roman"/>
                <w:bCs/>
                <w:color w:val="auto"/>
                <w:sz w:val="24"/>
                <w:szCs w:val="24"/>
                <w:highlight w:val="none"/>
                <w:lang w:val="en-US" w:eastAsia="zh-CN"/>
              </w:rPr>
              <w:t>。</w:t>
            </w:r>
          </w:p>
          <w:p w14:paraId="64046FE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b/>
                <w:color w:val="auto"/>
                <w:sz w:val="24"/>
                <w:highlight w:val="none"/>
              </w:rPr>
            </w:pPr>
            <w:r>
              <w:rPr>
                <w:rFonts w:hint="eastAsia" w:ascii="Times New Roman" w:hAnsi="Times New Roman" w:cs="Times New Roman"/>
                <w:bCs/>
                <w:color w:val="auto"/>
                <w:sz w:val="24"/>
                <w:szCs w:val="24"/>
                <w:highlight w:val="none"/>
                <w:lang w:val="en-US" w:eastAsia="zh-CN"/>
              </w:rPr>
              <w:t>废水</w:t>
            </w:r>
            <w:r>
              <w:rPr>
                <w:rFonts w:hint="default" w:ascii="Times New Roman" w:hAnsi="Times New Roman" w:cs="Times New Roman"/>
                <w:bCs/>
                <w:color w:val="auto"/>
                <w:sz w:val="24"/>
                <w:szCs w:val="24"/>
                <w:highlight w:val="none"/>
                <w:lang w:val="en-US" w:eastAsia="zh-CN"/>
              </w:rPr>
              <w:t>总量纳入</w:t>
            </w:r>
            <w:r>
              <w:rPr>
                <w:rFonts w:hint="eastAsia" w:ascii="Times New Roman" w:hAnsi="Times New Roman" w:cs="Times New Roman"/>
                <w:bCs/>
                <w:color w:val="auto"/>
                <w:sz w:val="24"/>
                <w:szCs w:val="24"/>
                <w:highlight w:val="none"/>
                <w:lang w:val="en-US" w:eastAsia="zh-CN"/>
              </w:rPr>
              <w:t>涟水经济开发区西区污水处理厂</w:t>
            </w:r>
            <w:r>
              <w:rPr>
                <w:rFonts w:hint="default" w:ascii="Times New Roman" w:hAnsi="Times New Roman" w:cs="Times New Roman"/>
                <w:bCs/>
                <w:color w:val="auto"/>
                <w:sz w:val="24"/>
                <w:szCs w:val="24"/>
                <w:highlight w:val="none"/>
                <w:lang w:val="en-US" w:eastAsia="zh-CN"/>
              </w:rPr>
              <w:t>剩余总量。</w:t>
            </w:r>
          </w:p>
          <w:p w14:paraId="4EC7DAE8">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b/>
                <w:color w:val="auto"/>
                <w:sz w:val="24"/>
                <w:highlight w:val="none"/>
              </w:rPr>
              <w:t>3.</w:t>
            </w:r>
            <w:r>
              <w:rPr>
                <w:rFonts w:hAnsi="宋体"/>
                <w:b/>
                <w:color w:val="auto"/>
                <w:sz w:val="24"/>
                <w:highlight w:val="none"/>
              </w:rPr>
              <w:t>固废</w:t>
            </w:r>
          </w:p>
          <w:p w14:paraId="43AB7D29">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bCs/>
                <w:color w:val="auto"/>
                <w:sz w:val="24"/>
                <w:highlight w:val="none"/>
              </w:rPr>
              <w:t>建设项目</w:t>
            </w:r>
            <w:r>
              <w:rPr>
                <w:rFonts w:hAnsi="宋体"/>
                <w:color w:val="auto"/>
                <w:sz w:val="24"/>
                <w:highlight w:val="none"/>
              </w:rPr>
              <w:t>产生的所有固废均按环保要求进行处理或处置，故固废排放为</w:t>
            </w:r>
            <w:r>
              <w:rPr>
                <w:color w:val="auto"/>
                <w:sz w:val="24"/>
                <w:highlight w:val="none"/>
              </w:rPr>
              <w:t>0</w:t>
            </w:r>
            <w:r>
              <w:rPr>
                <w:rFonts w:hAnsi="宋体"/>
                <w:color w:val="auto"/>
                <w:sz w:val="24"/>
                <w:highlight w:val="none"/>
              </w:rPr>
              <w:t>。</w:t>
            </w:r>
          </w:p>
          <w:p w14:paraId="5F0A8FF5">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292D107F">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34020E3E">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1FCFC530">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2D88E2E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33FFE74A">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28BE8AE4">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1730056E">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65B9726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7590ACAF">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7691995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6361F13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755341A6">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0A156D05">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1792715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3E6B5839">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77600499">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1E880599">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p w14:paraId="69FE1434">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p>
        </w:tc>
      </w:tr>
    </w:tbl>
    <w:p w14:paraId="51BA19F7">
      <w:pPr>
        <w:pStyle w:val="81"/>
        <w:rPr>
          <w:rFonts w:hAnsi="Times New Roman"/>
          <w:snapToGrid w:val="0"/>
          <w:color w:val="auto"/>
          <w:highlight w:val="none"/>
        </w:rPr>
      </w:pPr>
      <w:r>
        <w:rPr>
          <w:rFonts w:hAnsi="Times New Roman"/>
          <w:snapToGrid w:val="0"/>
          <w:color w:val="auto"/>
          <w:sz w:val="36"/>
          <w:szCs w:val="36"/>
          <w:highlight w:val="none"/>
        </w:rPr>
        <w:br w:type="page"/>
      </w:r>
      <w:bookmarkStart w:id="39" w:name="_Toc12470"/>
      <w:r>
        <w:rPr>
          <w:snapToGrid w:val="0"/>
          <w:color w:val="auto"/>
          <w:highlight w:val="none"/>
        </w:rPr>
        <w:t>四、主要环境影响和保护措施</w:t>
      </w:r>
      <w:bookmarkEnd w:id="39"/>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06ED96E4">
        <w:trPr>
          <w:trHeight w:val="567" w:hRule="atLeast"/>
          <w:jc w:val="center"/>
        </w:trPr>
        <w:tc>
          <w:tcPr>
            <w:tcW w:w="458" w:type="dxa"/>
            <w:tcMar>
              <w:left w:w="28" w:type="dxa"/>
              <w:right w:w="28" w:type="dxa"/>
            </w:tcMar>
            <w:vAlign w:val="center"/>
          </w:tcPr>
          <w:p w14:paraId="4CBBF60A">
            <w:pPr>
              <w:pStyle w:val="81"/>
              <w:keepNext w:val="0"/>
              <w:keepLines w:val="0"/>
              <w:suppressLineNumbers w:val="0"/>
              <w:ind w:left="0" w:right="0"/>
              <w:rPr>
                <w:rFonts w:hAnsi="Times New Roman"/>
                <w:color w:val="auto"/>
                <w:sz w:val="21"/>
                <w:szCs w:val="21"/>
                <w:highlight w:val="none"/>
              </w:rPr>
            </w:pPr>
            <w:bookmarkStart w:id="40" w:name="_Toc24801"/>
            <w:bookmarkStart w:id="41" w:name="_Toc20964"/>
            <w:bookmarkStart w:id="42" w:name="_Toc2166"/>
            <w:r>
              <w:rPr>
                <w:color w:val="auto"/>
                <w:highlight w:val="none"/>
              </w:rPr>
              <w:t>施工</w:t>
            </w:r>
            <w:bookmarkEnd w:id="40"/>
            <w:bookmarkStart w:id="43" w:name="_Toc15534"/>
            <w:r>
              <w:rPr>
                <w:color w:val="auto"/>
                <w:highlight w:val="none"/>
              </w:rPr>
              <w:t>期环</w:t>
            </w:r>
            <w:bookmarkEnd w:id="43"/>
            <w:bookmarkStart w:id="44" w:name="_Toc27471"/>
            <w:r>
              <w:rPr>
                <w:color w:val="auto"/>
                <w:highlight w:val="none"/>
              </w:rPr>
              <w:t>境保</w:t>
            </w:r>
            <w:bookmarkEnd w:id="44"/>
            <w:bookmarkStart w:id="45" w:name="_Toc641"/>
            <w:r>
              <w:rPr>
                <w:color w:val="auto"/>
                <w:highlight w:val="none"/>
              </w:rPr>
              <w:t>护措</w:t>
            </w:r>
            <w:bookmarkEnd w:id="45"/>
            <w:bookmarkStart w:id="46" w:name="_Toc22554"/>
            <w:r>
              <w:rPr>
                <w:color w:val="auto"/>
                <w:highlight w:val="none"/>
              </w:rPr>
              <w:t>施</w:t>
            </w:r>
            <w:bookmarkEnd w:id="41"/>
            <w:bookmarkEnd w:id="42"/>
            <w:bookmarkEnd w:id="46"/>
          </w:p>
        </w:tc>
        <w:tc>
          <w:tcPr>
            <w:tcW w:w="8450" w:type="dxa"/>
            <w:vAlign w:val="center"/>
          </w:tcPr>
          <w:p w14:paraId="7C111E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val="zh-CN"/>
              </w:rPr>
            </w:pPr>
            <w:r>
              <w:rPr>
                <w:rFonts w:hint="default" w:ascii="Times New Roman" w:hAnsi="Times New Roman" w:cs="Times New Roman"/>
                <w:bCs/>
                <w:color w:val="auto"/>
                <w:sz w:val="24"/>
                <w:highlight w:val="none"/>
                <w:lang w:val="zh-CN"/>
              </w:rPr>
              <w:t>4.1施工期环境保护措施</w:t>
            </w:r>
          </w:p>
          <w:p w14:paraId="6115F37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建设项目的建设包括厂房建设及附属工程建设、设备安装等几部分，在建设期间，项目施工活动不可避免</w:t>
            </w:r>
            <w:r>
              <w:rPr>
                <w:rFonts w:hint="eastAsia" w:cs="Times New Roman"/>
                <w:bCs/>
                <w:color w:val="auto"/>
                <w:sz w:val="24"/>
                <w:highlight w:val="none"/>
                <w:lang w:eastAsia="zh-CN"/>
              </w:rPr>
              <w:t>地</w:t>
            </w:r>
            <w:r>
              <w:rPr>
                <w:rFonts w:hint="default" w:ascii="Times New Roman" w:hAnsi="Times New Roman" w:cs="Times New Roman"/>
                <w:bCs/>
                <w:color w:val="auto"/>
                <w:sz w:val="24"/>
                <w:highlight w:val="none"/>
              </w:rPr>
              <w:t>会对周围的环境造成破坏和产生影响，主要包括废气、粉尘、噪声、固体废物、废水等对周围环境的影响，而且以粉尘和施工噪声尤为明显。以下将就这些污染提出相应的防治措施。</w:t>
            </w:r>
          </w:p>
          <w:p w14:paraId="21228D9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（1）大气污染防治对策</w:t>
            </w:r>
          </w:p>
          <w:p w14:paraId="4B93C7B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在施工过程中，粉尘污染主要来源于：建筑材料如水泥、白灰、砂子等在其装卸、运输、堆放过程中，因风力作用将产生扬尘污染；搅拌车辆和运输车辆往来造成地面扬尘；施工垃圾在其堆放和清运过程中产生扬尘。伴随着土方的挖掘、装卸和运输等施工过程，施工期间可能产生较大的扬尘，必须采取合理可行的控制措施，尽量减轻其污染程度，缩小其影响范围。其主要对策有：</w:t>
            </w:r>
          </w:p>
          <w:p w14:paraId="5AC4569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对施工现场进行科学管理，砂石料应统一堆放，水泥应设专门库房堆放，尽量减少搬运环节，搬运时轻举轻放，防止包装袋破裂；开挖时，对作业面适当喷水，使其保持一定的湿度，以减少扬尘量。而且，开挖的泥土和建筑垃圾及时运走；谨防运输车辆装载过满，并尽量采取遮盖、密闭措施，减少其沿途抛洒，并及时清扫落在路面的泥土和灰尘，冲洗轮胎，定时洒水压尘，减少运输过程中的扬尘；现场施工</w:t>
            </w:r>
            <w:r>
              <w:rPr>
                <w:rFonts w:hint="eastAsia" w:cs="Times New Roman"/>
                <w:bCs/>
                <w:color w:val="auto"/>
                <w:sz w:val="24"/>
                <w:highlight w:val="none"/>
                <w:lang w:eastAsia="zh-CN"/>
              </w:rPr>
              <w:t>预拌砂浆</w:t>
            </w:r>
            <w:r>
              <w:rPr>
                <w:rFonts w:hint="default" w:ascii="Times New Roman" w:hAnsi="Times New Roman" w:cs="Times New Roman"/>
                <w:bCs/>
                <w:color w:val="auto"/>
                <w:sz w:val="24"/>
                <w:highlight w:val="none"/>
              </w:rPr>
              <w:t>、混凝土时应尽量做到不洒、不漏、不剩不倒；混凝土搅拌机应设置在棚内，搅拌时要有喷雾降尘措施；施工现场要围栏或部分围栏，减少施工扬尘扩散范围。尽可能减少扬</w:t>
            </w:r>
            <w:r>
              <w:rPr>
                <w:rFonts w:hint="eastAsia" w:cs="Times New Roman"/>
                <w:bCs/>
                <w:color w:val="auto"/>
                <w:sz w:val="24"/>
                <w:highlight w:val="none"/>
                <w:lang w:eastAsia="zh-CN"/>
              </w:rPr>
              <w:t>尘对</w:t>
            </w:r>
            <w:r>
              <w:rPr>
                <w:rFonts w:hint="default" w:ascii="Times New Roman" w:hAnsi="Times New Roman" w:cs="Times New Roman"/>
                <w:bCs/>
                <w:color w:val="auto"/>
                <w:sz w:val="24"/>
                <w:highlight w:val="none"/>
              </w:rPr>
              <w:t>周围环境的影响；风速过大时应停止施工作业，并对堆放的砂石等建筑材料进行遮盖处理</w:t>
            </w:r>
          </w:p>
          <w:p w14:paraId="7805B5A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（2）水污染防治对策</w:t>
            </w:r>
          </w:p>
          <w:p w14:paraId="24E7F54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施工中施工现场清洗废</w:t>
            </w:r>
            <w:r>
              <w:rPr>
                <w:rFonts w:hint="eastAsia" w:cs="Times New Roman"/>
                <w:bCs/>
                <w:color w:val="auto"/>
                <w:sz w:val="24"/>
                <w:highlight w:val="none"/>
                <w:lang w:val="en-US" w:eastAsia="zh-CN"/>
              </w:rPr>
              <w:t>水</w:t>
            </w:r>
            <w:r>
              <w:rPr>
                <w:rFonts w:hint="default" w:ascii="Times New Roman" w:hAnsi="Times New Roman" w:cs="Times New Roman"/>
                <w:bCs/>
                <w:color w:val="auto"/>
                <w:sz w:val="24"/>
                <w:highlight w:val="none"/>
              </w:rPr>
              <w:t>、工人生活污水产生量不大，但如果不经处理或处理不当，同样会危害环境。因此，应该注意，施工期废水不应任意直接排放。施工期间，在排污工程不健全的情况下，应尽量减少物料流失、散落和溢流现象。施工废水经沉淀后回用，生活污水化粪池处理后接管排放。</w:t>
            </w:r>
          </w:p>
          <w:p w14:paraId="2D9F008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（3）施工噪声污染防治措施</w:t>
            </w:r>
          </w:p>
          <w:p w14:paraId="0848E74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在施工过程中，由于各种施工机械设备的运转和各类车辆的运行，不可避免地将产生噪声污染。施工中使用的混凝土搅拌机、运输车辆等都是噪声的产生源。</w:t>
            </w:r>
          </w:p>
          <w:p w14:paraId="3F088C4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为了减轻本工程施工期噪声的环境影响，可采取以下控制措施：</w:t>
            </w:r>
          </w:p>
          <w:p w14:paraId="7A90CED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1）加强施工管理，合理安排施工作业时间，禁止夜间进行高噪声施工作业。拆除作业中尽量避免使用爆破手段；</w:t>
            </w:r>
          </w:p>
          <w:p w14:paraId="079E0B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2）施工机械应尽可能放置于对厂界外造成影响最小的地点；</w:t>
            </w:r>
          </w:p>
          <w:p w14:paraId="7F65AC6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3）以液压工具代替气压工具；</w:t>
            </w:r>
          </w:p>
          <w:p w14:paraId="3796D80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4）在高噪声设备周围设置掩蔽物；</w:t>
            </w:r>
          </w:p>
          <w:p w14:paraId="420B115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5）尽量压缩工区汽车数量与行车密度，控制汽车鸣笛；</w:t>
            </w:r>
          </w:p>
          <w:p w14:paraId="4B870C9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6）做好劳动保护工作，让在噪声源附近操作的作业人员佩戴护耳塞。</w:t>
            </w:r>
          </w:p>
          <w:p w14:paraId="2C2A1D6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（4）施工垃圾污染防治措施</w:t>
            </w:r>
          </w:p>
          <w:p w14:paraId="338CDA6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过程中建筑垃圾要及时清运、加以利用，防止其因长期堆放而产生扬尘。所产生的生活垃圾如不及时清运处理，则会腐烂变质、滋生蚊虫苍蝇产生恶臭，传染疾病，从而对周围环境和作业人员的健康带来不利影响，因此应及时清运并进行处置。</w:t>
            </w:r>
          </w:p>
          <w:p w14:paraId="74E3CB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（5）施工期生态环境影响控制措施</w:t>
            </w:r>
          </w:p>
          <w:p w14:paraId="40281EF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对于整个土建工程区域而言，场地开挖、回填等施工作业活动将使土地被侵占，地表裸露，从而使项目周边局部生态结构发生一定变化，裸露的地面被雨水冲刷后将造成水土流失，进而降低土壤的肥力，影响局部水文条件和陆生生态系统的稳定性。施工过程中产生的水土流失，可能导致附近水体的沉积物淤积和河水浑浊。开挖土方、建筑材料和建渣施工红线内临时堆存、施工扬尘飘散等均会对周边生态环境产生一定影响。</w:t>
            </w:r>
          </w:p>
          <w:p w14:paraId="0A02211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为了有效</w:t>
            </w:r>
            <w:r>
              <w:rPr>
                <w:rFonts w:hint="eastAsia" w:cs="Times New Roman"/>
                <w:bCs/>
                <w:color w:val="auto"/>
                <w:sz w:val="24"/>
                <w:highlight w:val="none"/>
                <w:lang w:eastAsia="zh-CN"/>
              </w:rPr>
              <w:t>地</w:t>
            </w:r>
            <w:r>
              <w:rPr>
                <w:rFonts w:hint="default" w:ascii="Times New Roman" w:hAnsi="Times New Roman" w:cs="Times New Roman"/>
                <w:bCs/>
                <w:color w:val="auto"/>
                <w:sz w:val="24"/>
                <w:highlight w:val="none"/>
              </w:rPr>
              <w:t>控制施工</w:t>
            </w:r>
            <w:r>
              <w:rPr>
                <w:rFonts w:hint="eastAsia" w:cs="Times New Roman"/>
                <w:bCs/>
                <w:color w:val="auto"/>
                <w:sz w:val="24"/>
                <w:highlight w:val="none"/>
                <w:lang w:eastAsia="zh-CN"/>
              </w:rPr>
              <w:t>期间</w:t>
            </w:r>
            <w:r>
              <w:rPr>
                <w:rFonts w:hint="default" w:ascii="Times New Roman" w:hAnsi="Times New Roman" w:cs="Times New Roman"/>
                <w:bCs/>
                <w:color w:val="auto"/>
                <w:sz w:val="24"/>
                <w:highlight w:val="none"/>
              </w:rPr>
              <w:t>生态环境影响，评价要求施工单位必须采取以下防治措施：</w:t>
            </w:r>
          </w:p>
          <w:p w14:paraId="4B823D4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1）施工要求</w:t>
            </w:r>
          </w:p>
          <w:p w14:paraId="1C70491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①整个施工期尽可能避开雨天开挖施工；不得将施工垃圾随意丢弃于附近水域，企业需加强施工</w:t>
            </w:r>
            <w:r>
              <w:rPr>
                <w:rFonts w:hint="eastAsia" w:cs="Times New Roman"/>
                <w:bCs/>
                <w:color w:val="auto"/>
                <w:sz w:val="24"/>
                <w:highlight w:val="none"/>
                <w:lang w:eastAsia="zh-CN"/>
              </w:rPr>
              <w:t>时</w:t>
            </w:r>
            <w:r>
              <w:rPr>
                <w:rFonts w:hint="default" w:ascii="Times New Roman" w:hAnsi="Times New Roman" w:cs="Times New Roman"/>
                <w:bCs/>
                <w:color w:val="auto"/>
                <w:sz w:val="24"/>
                <w:highlight w:val="none"/>
              </w:rPr>
              <w:t>对周围环境的管理与保护；</w:t>
            </w:r>
          </w:p>
          <w:p w14:paraId="346310A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②在施工作业过程中，不得随意开挖，不得</w:t>
            </w:r>
            <w:r>
              <w:rPr>
                <w:rFonts w:hint="eastAsia" w:cs="Times New Roman"/>
                <w:bCs/>
                <w:color w:val="auto"/>
                <w:sz w:val="24"/>
                <w:highlight w:val="none"/>
                <w:lang w:eastAsia="zh-CN"/>
              </w:rPr>
              <w:t>乱砍滥伐</w:t>
            </w:r>
            <w:r>
              <w:rPr>
                <w:rFonts w:hint="default" w:ascii="Times New Roman" w:hAnsi="Times New Roman" w:cs="Times New Roman"/>
                <w:bCs/>
                <w:color w:val="auto"/>
                <w:sz w:val="24"/>
                <w:highlight w:val="none"/>
              </w:rPr>
              <w:t>，保护水土资源；</w:t>
            </w:r>
          </w:p>
          <w:p w14:paraId="7C919CB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③强化生态环境保护意识，严格控制施工作业区，不得随意扩大范围，必须减少对附近植被和道路的破坏；</w:t>
            </w:r>
          </w:p>
          <w:p w14:paraId="030E123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2）临时防护</w:t>
            </w:r>
          </w:p>
          <w:p w14:paraId="0E66A7A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①在基础清理开挖时，为防止开挖土方进入施工区外，在开挖线外缘一侧用编织袋装清理表层土临时拦挡；</w:t>
            </w:r>
          </w:p>
          <w:p w14:paraId="1AF08F3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②建设项目基础为独立基础，开挖土方临时堆放在回填区四周，做好围栏围护及表面用塑料薄膜覆盖；</w:t>
            </w:r>
          </w:p>
          <w:p w14:paraId="784505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③对于开挖的土方及时清运，控制废弃土石和回填土临时堆放场占地面积和堆放量。</w:t>
            </w:r>
          </w:p>
          <w:p w14:paraId="37F79675">
            <w:pPr>
              <w:pStyle w:val="100"/>
              <w:keepNext w:val="0"/>
              <w:keepLines w:val="0"/>
              <w:suppressLineNumbers w:val="0"/>
              <w:spacing w:before="0" w:beforeAutospacing="0" w:after="0" w:afterAutospacing="0"/>
              <w:ind w:left="0" w:right="0" w:firstLine="480"/>
              <w:rPr>
                <w:color w:val="auto"/>
                <w:highlight w:val="none"/>
              </w:rPr>
            </w:pPr>
          </w:p>
          <w:p w14:paraId="268C7EB3">
            <w:pPr>
              <w:pStyle w:val="100"/>
              <w:keepNext w:val="0"/>
              <w:keepLines w:val="0"/>
              <w:suppressLineNumbers w:val="0"/>
              <w:spacing w:before="0" w:beforeAutospacing="0" w:after="0" w:afterAutospacing="0"/>
              <w:ind w:left="0" w:right="0" w:firstLine="480"/>
              <w:rPr>
                <w:color w:val="auto"/>
                <w:highlight w:val="none"/>
              </w:rPr>
            </w:pPr>
          </w:p>
          <w:p w14:paraId="63AF3953">
            <w:pPr>
              <w:keepNext w:val="0"/>
              <w:keepLines w:val="0"/>
              <w:suppressLineNumbers w:val="0"/>
              <w:spacing w:before="0" w:beforeAutospacing="0" w:after="0" w:afterAutospacing="0"/>
              <w:ind w:left="0" w:right="0"/>
              <w:rPr>
                <w:color w:val="auto"/>
                <w:highlight w:val="none"/>
              </w:rPr>
            </w:pPr>
          </w:p>
          <w:p w14:paraId="09C10740">
            <w:pPr>
              <w:keepNext w:val="0"/>
              <w:keepLines w:val="0"/>
              <w:suppressLineNumbers w:val="0"/>
              <w:spacing w:before="0" w:beforeAutospacing="0" w:after="0" w:afterAutospacing="0"/>
              <w:ind w:left="0" w:right="0"/>
              <w:rPr>
                <w:color w:val="auto"/>
                <w:highlight w:val="none"/>
              </w:rPr>
            </w:pPr>
          </w:p>
          <w:p w14:paraId="5D337A94">
            <w:pPr>
              <w:keepNext w:val="0"/>
              <w:keepLines w:val="0"/>
              <w:suppressLineNumbers w:val="0"/>
              <w:spacing w:before="0" w:beforeAutospacing="0" w:after="0" w:afterAutospacing="0"/>
              <w:ind w:left="0" w:right="0"/>
              <w:rPr>
                <w:color w:val="auto"/>
                <w:highlight w:val="none"/>
              </w:rPr>
            </w:pPr>
          </w:p>
          <w:p w14:paraId="7ADDB403">
            <w:pPr>
              <w:keepNext w:val="0"/>
              <w:keepLines w:val="0"/>
              <w:suppressLineNumbers w:val="0"/>
              <w:spacing w:before="0" w:beforeAutospacing="0" w:after="0" w:afterAutospacing="0"/>
              <w:ind w:left="0" w:right="0"/>
              <w:rPr>
                <w:color w:val="auto"/>
                <w:highlight w:val="none"/>
              </w:rPr>
            </w:pPr>
          </w:p>
          <w:p w14:paraId="269FA40C">
            <w:pPr>
              <w:keepNext w:val="0"/>
              <w:keepLines w:val="0"/>
              <w:suppressLineNumbers w:val="0"/>
              <w:spacing w:before="0" w:beforeAutospacing="0" w:after="0" w:afterAutospacing="0"/>
              <w:ind w:left="0" w:right="0"/>
              <w:rPr>
                <w:color w:val="auto"/>
                <w:highlight w:val="none"/>
              </w:rPr>
            </w:pPr>
          </w:p>
          <w:p w14:paraId="1B6A44AD">
            <w:pPr>
              <w:keepNext w:val="0"/>
              <w:keepLines w:val="0"/>
              <w:suppressLineNumbers w:val="0"/>
              <w:spacing w:before="0" w:beforeAutospacing="0" w:after="0" w:afterAutospacing="0"/>
              <w:ind w:left="0" w:right="0"/>
              <w:rPr>
                <w:color w:val="auto"/>
                <w:highlight w:val="none"/>
              </w:rPr>
            </w:pPr>
          </w:p>
          <w:p w14:paraId="0E345AB4">
            <w:pPr>
              <w:keepNext w:val="0"/>
              <w:keepLines w:val="0"/>
              <w:suppressLineNumbers w:val="0"/>
              <w:spacing w:before="0" w:beforeAutospacing="0" w:after="0" w:afterAutospacing="0"/>
              <w:ind w:left="0" w:right="0"/>
              <w:rPr>
                <w:color w:val="auto"/>
                <w:highlight w:val="none"/>
              </w:rPr>
            </w:pPr>
          </w:p>
          <w:p w14:paraId="6C501D66">
            <w:pPr>
              <w:keepNext w:val="0"/>
              <w:keepLines w:val="0"/>
              <w:suppressLineNumbers w:val="0"/>
              <w:spacing w:before="0" w:beforeAutospacing="0" w:after="0" w:afterAutospacing="0"/>
              <w:ind w:left="0" w:right="0"/>
              <w:rPr>
                <w:color w:val="auto"/>
                <w:highlight w:val="none"/>
              </w:rPr>
            </w:pPr>
          </w:p>
          <w:p w14:paraId="3CAE2B3A">
            <w:pPr>
              <w:keepNext w:val="0"/>
              <w:keepLines w:val="0"/>
              <w:suppressLineNumbers w:val="0"/>
              <w:spacing w:before="0" w:beforeAutospacing="0" w:after="0" w:afterAutospacing="0"/>
              <w:ind w:left="0" w:right="0"/>
              <w:rPr>
                <w:color w:val="auto"/>
                <w:highlight w:val="none"/>
              </w:rPr>
            </w:pPr>
          </w:p>
          <w:p w14:paraId="56C35B2A">
            <w:pPr>
              <w:keepNext w:val="0"/>
              <w:keepLines w:val="0"/>
              <w:suppressLineNumbers w:val="0"/>
              <w:spacing w:before="0" w:beforeAutospacing="0" w:after="0" w:afterAutospacing="0"/>
              <w:ind w:left="0" w:right="0"/>
              <w:rPr>
                <w:color w:val="auto"/>
                <w:highlight w:val="none"/>
              </w:rPr>
            </w:pPr>
          </w:p>
          <w:p w14:paraId="5D7544C1">
            <w:pPr>
              <w:keepNext w:val="0"/>
              <w:keepLines w:val="0"/>
              <w:suppressLineNumbers w:val="0"/>
              <w:spacing w:before="0" w:beforeAutospacing="0" w:after="0" w:afterAutospacing="0"/>
              <w:ind w:left="0" w:right="0"/>
              <w:rPr>
                <w:color w:val="auto"/>
                <w:highlight w:val="none"/>
              </w:rPr>
            </w:pPr>
          </w:p>
          <w:p w14:paraId="5AC78A09">
            <w:pPr>
              <w:keepNext w:val="0"/>
              <w:keepLines w:val="0"/>
              <w:suppressLineNumbers w:val="0"/>
              <w:spacing w:before="0" w:beforeAutospacing="0" w:after="0" w:afterAutospacing="0"/>
              <w:ind w:left="0" w:right="0"/>
              <w:rPr>
                <w:color w:val="auto"/>
                <w:highlight w:val="none"/>
              </w:rPr>
            </w:pPr>
          </w:p>
          <w:p w14:paraId="2E294EDB">
            <w:pPr>
              <w:keepNext w:val="0"/>
              <w:keepLines w:val="0"/>
              <w:suppressLineNumbers w:val="0"/>
              <w:spacing w:before="0" w:beforeAutospacing="0" w:after="0" w:afterAutospacing="0"/>
              <w:ind w:left="0" w:right="0"/>
              <w:rPr>
                <w:color w:val="auto"/>
                <w:highlight w:val="none"/>
              </w:rPr>
            </w:pPr>
          </w:p>
          <w:p w14:paraId="65A45410">
            <w:pPr>
              <w:keepNext w:val="0"/>
              <w:keepLines w:val="0"/>
              <w:suppressLineNumbers w:val="0"/>
              <w:spacing w:before="0" w:beforeAutospacing="0" w:after="0" w:afterAutospacing="0"/>
              <w:ind w:left="0" w:right="0"/>
              <w:rPr>
                <w:color w:val="auto"/>
                <w:highlight w:val="none"/>
              </w:rPr>
            </w:pPr>
          </w:p>
          <w:p w14:paraId="2365F7BB">
            <w:pPr>
              <w:keepNext w:val="0"/>
              <w:keepLines w:val="0"/>
              <w:suppressLineNumbers w:val="0"/>
              <w:spacing w:before="0" w:beforeAutospacing="0" w:after="0" w:afterAutospacing="0"/>
              <w:ind w:left="0" w:right="0"/>
              <w:rPr>
                <w:color w:val="auto"/>
                <w:highlight w:val="none"/>
              </w:rPr>
            </w:pPr>
          </w:p>
          <w:p w14:paraId="349FFB6D">
            <w:pPr>
              <w:keepNext w:val="0"/>
              <w:keepLines w:val="0"/>
              <w:suppressLineNumbers w:val="0"/>
              <w:spacing w:before="0" w:beforeAutospacing="0" w:after="0" w:afterAutospacing="0"/>
              <w:ind w:left="0" w:right="0"/>
              <w:rPr>
                <w:color w:val="auto"/>
                <w:highlight w:val="none"/>
              </w:rPr>
            </w:pPr>
          </w:p>
          <w:p w14:paraId="4516B528">
            <w:pPr>
              <w:keepNext w:val="0"/>
              <w:keepLines w:val="0"/>
              <w:suppressLineNumbers w:val="0"/>
              <w:spacing w:before="0" w:beforeAutospacing="0" w:after="0" w:afterAutospacing="0"/>
              <w:ind w:left="0" w:right="0"/>
              <w:rPr>
                <w:color w:val="auto"/>
                <w:highlight w:val="none"/>
              </w:rPr>
            </w:pPr>
          </w:p>
          <w:p w14:paraId="335B4B0E">
            <w:pPr>
              <w:keepNext w:val="0"/>
              <w:keepLines w:val="0"/>
              <w:suppressLineNumbers w:val="0"/>
              <w:spacing w:before="0" w:beforeAutospacing="0" w:after="0" w:afterAutospacing="0"/>
              <w:ind w:left="0" w:right="0"/>
              <w:rPr>
                <w:color w:val="auto"/>
                <w:highlight w:val="none"/>
              </w:rPr>
            </w:pPr>
          </w:p>
          <w:p w14:paraId="64F19ECA">
            <w:pPr>
              <w:keepNext w:val="0"/>
              <w:keepLines w:val="0"/>
              <w:suppressLineNumbers w:val="0"/>
              <w:spacing w:before="0" w:beforeAutospacing="0" w:after="0" w:afterAutospacing="0"/>
              <w:ind w:left="0" w:right="0"/>
              <w:rPr>
                <w:color w:val="auto"/>
                <w:highlight w:val="none"/>
              </w:rPr>
            </w:pPr>
          </w:p>
          <w:p w14:paraId="6FF64523">
            <w:pPr>
              <w:pStyle w:val="100"/>
              <w:keepNext w:val="0"/>
              <w:keepLines w:val="0"/>
              <w:suppressLineNumbers w:val="0"/>
              <w:spacing w:before="0" w:beforeAutospacing="0" w:after="0" w:afterAutospacing="0"/>
              <w:ind w:left="0" w:right="0" w:firstLine="0" w:firstLineChars="0"/>
              <w:rPr>
                <w:color w:val="auto"/>
                <w:highlight w:val="none"/>
              </w:rPr>
            </w:pPr>
          </w:p>
        </w:tc>
      </w:tr>
      <w:tr w14:paraId="1921B17D">
        <w:trPr>
          <w:trHeight w:val="6810" w:hRule="atLeast"/>
          <w:jc w:val="center"/>
        </w:trPr>
        <w:tc>
          <w:tcPr>
            <w:tcW w:w="458" w:type="dxa"/>
            <w:tcMar>
              <w:left w:w="28" w:type="dxa"/>
              <w:right w:w="28" w:type="dxa"/>
            </w:tcMar>
            <w:vAlign w:val="center"/>
          </w:tcPr>
          <w:p w14:paraId="3D751C8D">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72AADC66">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2B218F9F">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0BE49FA3">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2D0EFA66">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79F7C1BC">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 w:val="24"/>
                <w:highlight w:val="none"/>
              </w:rPr>
              <w:t>措施</w:t>
            </w:r>
          </w:p>
        </w:tc>
        <w:tc>
          <w:tcPr>
            <w:tcW w:w="8450" w:type="dxa"/>
            <w:vAlign w:val="center"/>
          </w:tcPr>
          <w:p w14:paraId="30FE0D8E">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4.2</w:t>
            </w:r>
            <w:r>
              <w:rPr>
                <w:rFonts w:hAnsi="宋体"/>
                <w:b/>
                <w:color w:val="auto"/>
                <w:kern w:val="0"/>
                <w:sz w:val="24"/>
                <w:highlight w:val="none"/>
                <w:lang w:val="zh-CN"/>
              </w:rPr>
              <w:t>运营期</w:t>
            </w:r>
            <w:r>
              <w:rPr>
                <w:rFonts w:hAnsi="宋体"/>
                <w:b/>
                <w:color w:val="auto"/>
                <w:sz w:val="24"/>
                <w:highlight w:val="none"/>
              </w:rPr>
              <w:t>环境影响</w:t>
            </w:r>
            <w:r>
              <w:rPr>
                <w:rFonts w:hAnsi="宋体"/>
                <w:b/>
                <w:color w:val="auto"/>
                <w:kern w:val="0"/>
                <w:sz w:val="24"/>
                <w:highlight w:val="none"/>
                <w:lang w:val="zh-CN"/>
              </w:rPr>
              <w:t>和保护措施</w:t>
            </w:r>
          </w:p>
          <w:p w14:paraId="511B7C77">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1.</w:t>
            </w:r>
            <w:r>
              <w:rPr>
                <w:rFonts w:hAnsi="宋体"/>
                <w:b/>
                <w:color w:val="auto"/>
                <w:kern w:val="0"/>
                <w:sz w:val="24"/>
                <w:highlight w:val="none"/>
                <w:lang w:val="zh-CN"/>
              </w:rPr>
              <w:t>大气环境影响及防治措施分析</w:t>
            </w:r>
          </w:p>
          <w:p w14:paraId="678FB887">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w:t>
            </w:r>
            <w:r>
              <w:rPr>
                <w:color w:val="auto"/>
                <w:kern w:val="0"/>
                <w:sz w:val="24"/>
                <w:highlight w:val="none"/>
                <w:lang w:val="zh-CN"/>
              </w:rPr>
              <w:t>1</w:t>
            </w:r>
            <w:r>
              <w:rPr>
                <w:rFonts w:hAnsi="宋体"/>
                <w:color w:val="auto"/>
                <w:kern w:val="0"/>
                <w:sz w:val="24"/>
                <w:highlight w:val="none"/>
                <w:lang w:val="zh-CN"/>
              </w:rPr>
              <w:t>）废气源强及污染防治措施</w:t>
            </w:r>
          </w:p>
          <w:p w14:paraId="5FB6217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szCs w:val="24"/>
                <w:highlight w:val="none"/>
              </w:rPr>
            </w:pPr>
            <w:r>
              <w:rPr>
                <w:rFonts w:hAnsi="宋体"/>
                <w:bCs/>
                <w:color w:val="auto"/>
                <w:sz w:val="24"/>
                <w:highlight w:val="none"/>
              </w:rPr>
              <w:t>建设项目产生的废气主要为</w:t>
            </w:r>
            <w:r>
              <w:rPr>
                <w:rFonts w:hint="eastAsia" w:hAnsi="宋体"/>
                <w:bCs/>
                <w:color w:val="auto"/>
                <w:sz w:val="24"/>
                <w:highlight w:val="none"/>
                <w:lang w:val="en-US" w:eastAsia="zh-CN"/>
              </w:rPr>
              <w:t>下料粉尘</w:t>
            </w:r>
            <w:r>
              <w:rPr>
                <w:rFonts w:hint="eastAsia" w:ascii="宋体" w:hAnsi="宋体"/>
                <w:bCs/>
                <w:color w:val="auto"/>
                <w:sz w:val="24"/>
                <w:szCs w:val="24"/>
                <w:highlight w:val="none"/>
              </w:rPr>
              <w:t>、打磨</w:t>
            </w:r>
            <w:r>
              <w:rPr>
                <w:rFonts w:hint="eastAsia" w:ascii="宋体" w:hAnsi="宋体"/>
                <w:bCs/>
                <w:color w:val="auto"/>
                <w:sz w:val="24"/>
                <w:szCs w:val="24"/>
                <w:highlight w:val="none"/>
                <w:lang w:val="en-US" w:eastAsia="zh-CN"/>
              </w:rPr>
              <w:t>粉尘和</w:t>
            </w:r>
            <w:r>
              <w:rPr>
                <w:rFonts w:hint="eastAsia" w:ascii="宋体" w:hAnsi="宋体"/>
                <w:bCs/>
                <w:color w:val="auto"/>
                <w:sz w:val="24"/>
                <w:szCs w:val="24"/>
                <w:highlight w:val="none"/>
              </w:rPr>
              <w:t>焊接</w:t>
            </w:r>
            <w:r>
              <w:rPr>
                <w:rFonts w:hint="eastAsia" w:ascii="宋体" w:hAnsi="宋体"/>
                <w:bCs/>
                <w:color w:val="auto"/>
                <w:sz w:val="24"/>
                <w:szCs w:val="24"/>
                <w:highlight w:val="none"/>
                <w:lang w:val="en-US" w:eastAsia="zh-CN"/>
              </w:rPr>
              <w:t>烟尘</w:t>
            </w:r>
            <w:r>
              <w:rPr>
                <w:rFonts w:hint="eastAsia" w:hAnsi="宋体"/>
                <w:bCs/>
                <w:color w:val="auto"/>
                <w:sz w:val="24"/>
                <w:szCs w:val="24"/>
                <w:highlight w:val="none"/>
              </w:rPr>
              <w:t>（</w:t>
            </w:r>
            <w:r>
              <w:rPr>
                <w:rFonts w:hint="eastAsia"/>
                <w:color w:val="auto"/>
                <w:sz w:val="24"/>
                <w:szCs w:val="24"/>
                <w:highlight w:val="none"/>
              </w:rPr>
              <w:t>主要污染物为</w:t>
            </w:r>
            <w:r>
              <w:rPr>
                <w:rFonts w:hint="eastAsia"/>
                <w:bCs/>
                <w:color w:val="auto"/>
                <w:sz w:val="24"/>
                <w:szCs w:val="24"/>
                <w:highlight w:val="none"/>
              </w:rPr>
              <w:t>颗粒物</w:t>
            </w:r>
            <w:r>
              <w:rPr>
                <w:rFonts w:hint="eastAsia" w:hAnsi="宋体"/>
                <w:bCs/>
                <w:color w:val="auto"/>
                <w:sz w:val="24"/>
                <w:szCs w:val="24"/>
                <w:highlight w:val="none"/>
              </w:rPr>
              <w:t>）</w:t>
            </w:r>
            <w:r>
              <w:rPr>
                <w:rFonts w:hint="eastAsia" w:ascii="宋体" w:hAnsi="宋体"/>
                <w:bCs/>
                <w:color w:val="auto"/>
                <w:sz w:val="24"/>
                <w:szCs w:val="24"/>
                <w:highlight w:val="none"/>
                <w:lang w:eastAsia="zh-CN"/>
              </w:rPr>
              <w:t>，</w:t>
            </w:r>
            <w:r>
              <w:rPr>
                <w:rFonts w:hint="eastAsia" w:hAnsi="宋体"/>
                <w:bCs/>
                <w:color w:val="auto"/>
                <w:sz w:val="24"/>
                <w:szCs w:val="24"/>
                <w:highlight w:val="none"/>
                <w:lang w:val="en-US" w:eastAsia="zh-CN"/>
              </w:rPr>
              <w:t>喷漆工序产生的废气</w:t>
            </w:r>
            <w:r>
              <w:rPr>
                <w:rFonts w:hint="eastAsia" w:hAnsi="宋体"/>
                <w:bCs/>
                <w:color w:val="auto"/>
                <w:sz w:val="24"/>
                <w:szCs w:val="24"/>
                <w:highlight w:val="none"/>
              </w:rPr>
              <w:t>（</w:t>
            </w:r>
            <w:r>
              <w:rPr>
                <w:rFonts w:hint="eastAsia"/>
                <w:color w:val="auto"/>
                <w:sz w:val="24"/>
                <w:szCs w:val="24"/>
                <w:highlight w:val="none"/>
              </w:rPr>
              <w:t>主要污染物为</w:t>
            </w:r>
            <w:r>
              <w:rPr>
                <w:bCs/>
                <w:color w:val="auto"/>
                <w:sz w:val="24"/>
                <w:szCs w:val="24"/>
                <w:highlight w:val="none"/>
              </w:rPr>
              <w:t>NMHC</w:t>
            </w:r>
            <w:r>
              <w:rPr>
                <w:rFonts w:hint="eastAsia"/>
                <w:bCs/>
                <w:color w:val="auto"/>
                <w:sz w:val="24"/>
                <w:szCs w:val="24"/>
                <w:highlight w:val="none"/>
              </w:rPr>
              <w:t>和颗粒物</w:t>
            </w:r>
            <w:r>
              <w:rPr>
                <w:rFonts w:hint="eastAsia" w:hAnsi="宋体"/>
                <w:bCs/>
                <w:color w:val="auto"/>
                <w:sz w:val="24"/>
                <w:szCs w:val="24"/>
                <w:highlight w:val="none"/>
              </w:rPr>
              <w:t>）</w:t>
            </w:r>
            <w:r>
              <w:rPr>
                <w:rFonts w:hint="eastAsia" w:hAnsi="宋体"/>
                <w:bCs/>
                <w:color w:val="auto"/>
                <w:sz w:val="24"/>
                <w:szCs w:val="24"/>
                <w:highlight w:val="none"/>
                <w:lang w:eastAsia="zh-CN"/>
              </w:rPr>
              <w:t>，</w:t>
            </w:r>
            <w:r>
              <w:rPr>
                <w:rFonts w:hint="eastAsia" w:hAnsi="宋体"/>
                <w:bCs/>
                <w:color w:val="auto"/>
                <w:sz w:val="24"/>
                <w:szCs w:val="24"/>
                <w:highlight w:val="none"/>
                <w:lang w:val="en-US" w:eastAsia="zh-CN"/>
              </w:rPr>
              <w:t>烘干工序产生的废气</w:t>
            </w:r>
            <w:r>
              <w:rPr>
                <w:rFonts w:hint="eastAsia" w:hAnsi="宋体"/>
                <w:bCs/>
                <w:color w:val="auto"/>
                <w:sz w:val="24"/>
                <w:szCs w:val="24"/>
                <w:highlight w:val="none"/>
              </w:rPr>
              <w:t>（</w:t>
            </w:r>
            <w:r>
              <w:rPr>
                <w:rFonts w:hint="eastAsia"/>
                <w:color w:val="auto"/>
                <w:sz w:val="24"/>
                <w:szCs w:val="24"/>
                <w:highlight w:val="none"/>
              </w:rPr>
              <w:t>主要污染物为</w:t>
            </w:r>
            <w:r>
              <w:rPr>
                <w:bCs/>
                <w:color w:val="auto"/>
                <w:sz w:val="24"/>
                <w:szCs w:val="24"/>
                <w:highlight w:val="none"/>
              </w:rPr>
              <w:t>NMHC</w:t>
            </w:r>
            <w:r>
              <w:rPr>
                <w:rFonts w:hint="eastAsia" w:hAnsi="宋体"/>
                <w:bCs/>
                <w:color w:val="auto"/>
                <w:sz w:val="24"/>
                <w:szCs w:val="24"/>
                <w:highlight w:val="none"/>
              </w:rPr>
              <w:t>）</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喷塑</w:t>
            </w:r>
            <w:r>
              <w:rPr>
                <w:rFonts w:hint="eastAsia" w:ascii="宋体" w:hAnsi="宋体"/>
                <w:bCs/>
                <w:color w:val="auto"/>
                <w:sz w:val="24"/>
                <w:szCs w:val="24"/>
                <w:highlight w:val="none"/>
                <w:lang w:val="en-US" w:eastAsia="zh-CN"/>
              </w:rPr>
              <w:t>工序</w:t>
            </w:r>
            <w:r>
              <w:rPr>
                <w:rFonts w:hint="eastAsia" w:ascii="宋体" w:hAnsi="宋体"/>
                <w:bCs/>
                <w:color w:val="auto"/>
                <w:sz w:val="24"/>
                <w:szCs w:val="24"/>
                <w:highlight w:val="none"/>
              </w:rPr>
              <w:t>废气</w:t>
            </w:r>
            <w:r>
              <w:rPr>
                <w:rFonts w:hint="eastAsia" w:hAnsi="宋体"/>
                <w:bCs/>
                <w:color w:val="auto"/>
                <w:sz w:val="24"/>
                <w:szCs w:val="24"/>
                <w:highlight w:val="none"/>
              </w:rPr>
              <w:t>（</w:t>
            </w:r>
            <w:r>
              <w:rPr>
                <w:rFonts w:hint="eastAsia"/>
                <w:color w:val="auto"/>
                <w:sz w:val="24"/>
                <w:szCs w:val="24"/>
                <w:highlight w:val="none"/>
              </w:rPr>
              <w:t>主要污染物为</w:t>
            </w:r>
            <w:r>
              <w:rPr>
                <w:rFonts w:hint="eastAsia"/>
                <w:bCs/>
                <w:color w:val="auto"/>
                <w:sz w:val="24"/>
                <w:szCs w:val="24"/>
                <w:highlight w:val="none"/>
              </w:rPr>
              <w:t>颗粒物</w:t>
            </w:r>
            <w:r>
              <w:rPr>
                <w:rFonts w:hint="eastAsia" w:hAnsi="宋体"/>
                <w:bCs/>
                <w:color w:val="auto"/>
                <w:sz w:val="24"/>
                <w:szCs w:val="24"/>
                <w:highlight w:val="none"/>
              </w:rPr>
              <w:t>）</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固化</w:t>
            </w:r>
            <w:r>
              <w:rPr>
                <w:rFonts w:hint="eastAsia" w:ascii="宋体" w:hAnsi="宋体"/>
                <w:bCs/>
                <w:color w:val="auto"/>
                <w:sz w:val="24"/>
                <w:szCs w:val="24"/>
                <w:highlight w:val="none"/>
                <w:lang w:val="en-US" w:eastAsia="zh-CN"/>
              </w:rPr>
              <w:t>工序</w:t>
            </w:r>
            <w:r>
              <w:rPr>
                <w:rFonts w:hint="eastAsia" w:ascii="宋体" w:hAnsi="宋体"/>
                <w:bCs/>
                <w:color w:val="auto"/>
                <w:sz w:val="24"/>
                <w:szCs w:val="24"/>
                <w:highlight w:val="none"/>
              </w:rPr>
              <w:t>废气</w:t>
            </w:r>
            <w:r>
              <w:rPr>
                <w:rFonts w:hint="eastAsia" w:hAnsi="宋体"/>
                <w:bCs/>
                <w:color w:val="auto"/>
                <w:sz w:val="24"/>
                <w:szCs w:val="24"/>
                <w:highlight w:val="none"/>
              </w:rPr>
              <w:t>（</w:t>
            </w:r>
            <w:r>
              <w:rPr>
                <w:rFonts w:hint="eastAsia"/>
                <w:color w:val="auto"/>
                <w:sz w:val="24"/>
                <w:szCs w:val="24"/>
                <w:highlight w:val="none"/>
              </w:rPr>
              <w:t>主要污染物为</w:t>
            </w:r>
            <w:r>
              <w:rPr>
                <w:bCs/>
                <w:color w:val="auto"/>
                <w:sz w:val="24"/>
                <w:szCs w:val="24"/>
                <w:highlight w:val="none"/>
              </w:rPr>
              <w:t>NMHC</w:t>
            </w:r>
            <w:r>
              <w:rPr>
                <w:rFonts w:hint="eastAsia" w:hAnsi="宋体"/>
                <w:bCs/>
                <w:color w:val="auto"/>
                <w:sz w:val="24"/>
                <w:szCs w:val="24"/>
                <w:highlight w:val="none"/>
              </w:rPr>
              <w:t>）</w:t>
            </w:r>
            <w:r>
              <w:rPr>
                <w:rFonts w:hint="eastAsia" w:hAnsi="宋体"/>
                <w:bCs/>
                <w:color w:val="auto"/>
                <w:sz w:val="24"/>
                <w:szCs w:val="24"/>
                <w:highlight w:val="none"/>
                <w:lang w:val="en-US" w:eastAsia="zh-CN"/>
              </w:rPr>
              <w:t>及危废仓库废气</w:t>
            </w:r>
            <w:r>
              <w:rPr>
                <w:rFonts w:hAnsi="宋体"/>
                <w:bCs/>
                <w:color w:val="auto"/>
                <w:sz w:val="24"/>
                <w:szCs w:val="24"/>
                <w:highlight w:val="none"/>
              </w:rPr>
              <w:t>。</w:t>
            </w:r>
          </w:p>
          <w:p w14:paraId="3BFE58FC">
            <w:pPr>
              <w:pStyle w:val="136"/>
              <w:keepNext w:val="0"/>
              <w:keepLines w:val="0"/>
              <w:suppressLineNumbers w:val="0"/>
              <w:snapToGrid w:val="0"/>
              <w:spacing w:before="0" w:beforeAutospacing="0" w:after="0" w:afterAutospacing="0" w:line="360" w:lineRule="auto"/>
              <w:ind w:left="480" w:right="0" w:firstLine="0" w:firstLineChars="0"/>
              <w:rPr>
                <w:rFonts w:hint="eastAsia" w:eastAsiaTheme="minorEastAsia"/>
                <w:bCs/>
                <w:color w:val="auto"/>
                <w:sz w:val="24"/>
                <w:highlight w:val="none"/>
                <w:lang w:eastAsia="zh-CN"/>
              </w:rPr>
            </w:pPr>
            <w:r>
              <w:rPr>
                <w:rFonts w:hint="eastAsia"/>
                <w:color w:val="auto"/>
                <w:sz w:val="24"/>
                <w:highlight w:val="none"/>
                <w:lang w:val="en-US" w:eastAsia="zh-CN"/>
              </w:rPr>
              <w:t>1</w:t>
            </w:r>
            <w:r>
              <w:rPr>
                <w:color w:val="auto"/>
                <w:sz w:val="24"/>
                <w:highlight w:val="none"/>
              </w:rPr>
              <w:t>）</w:t>
            </w:r>
            <w:r>
              <w:rPr>
                <w:rFonts w:hint="eastAsia"/>
                <w:color w:val="auto"/>
                <w:sz w:val="24"/>
                <w:highlight w:val="none"/>
                <w:lang w:val="en-US" w:eastAsia="zh-CN"/>
              </w:rPr>
              <w:t>下料粉尘</w:t>
            </w:r>
          </w:p>
          <w:p w14:paraId="6A3694DD">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default" w:ascii="Times New Roman" w:hAnsi="Times New Roman" w:cs="Times New Roman"/>
                <w:color w:val="auto"/>
                <w:sz w:val="24"/>
                <w:szCs w:val="24"/>
                <w:highlight w:val="none"/>
              </w:rPr>
              <w:t>项目下料废气</w:t>
            </w:r>
            <w:r>
              <w:rPr>
                <w:rFonts w:hint="default" w:ascii="Times New Roman" w:hAnsi="Times New Roman" w:cs="Times New Roman"/>
                <w:color w:val="auto"/>
                <w:sz w:val="24"/>
                <w:szCs w:val="24"/>
                <w:highlight w:val="none"/>
                <w:lang w:val="en-US" w:eastAsia="zh-CN"/>
              </w:rPr>
              <w:t>主要为激光切割机产生的废气，</w:t>
            </w:r>
            <w:r>
              <w:rPr>
                <w:rFonts w:hint="eastAsia"/>
                <w:color w:val="auto"/>
                <w:sz w:val="24"/>
                <w:szCs w:val="24"/>
                <w:highlight w:val="none"/>
              </w:rPr>
              <w:t>主要污染物为</w:t>
            </w:r>
            <w:r>
              <w:rPr>
                <w:rFonts w:hint="eastAsia"/>
                <w:bCs/>
                <w:color w:val="auto"/>
                <w:sz w:val="24"/>
                <w:szCs w:val="24"/>
                <w:highlight w:val="none"/>
              </w:rPr>
              <w:t>颗粒物</w:t>
            </w:r>
            <w:r>
              <w:rPr>
                <w:rFonts w:hint="eastAsia"/>
                <w:bCs/>
                <w:color w:val="auto"/>
                <w:sz w:val="24"/>
                <w:szCs w:val="24"/>
                <w:highlight w:val="none"/>
                <w:lang w:eastAsia="zh-CN"/>
              </w:rPr>
              <w:t>，</w:t>
            </w:r>
            <w:r>
              <w:rPr>
                <w:rFonts w:hint="eastAsia"/>
                <w:bCs/>
                <w:color w:val="auto"/>
                <w:sz w:val="24"/>
                <w:szCs w:val="24"/>
                <w:highlight w:val="none"/>
                <w:lang w:val="en-US" w:eastAsia="zh-CN"/>
              </w:rPr>
              <w:t>源强</w:t>
            </w:r>
            <w:r>
              <w:rPr>
                <w:rFonts w:hint="default" w:ascii="Times New Roman" w:hAnsi="Times New Roman" w:cs="Times New Roman"/>
                <w:color w:val="auto"/>
                <w:sz w:val="24"/>
                <w:szCs w:val="24"/>
                <w:highlight w:val="none"/>
              </w:rPr>
              <w:t>参考《排放源统计调查产排污核算方法和系数手册》中33-37、431-434机械行业系数手册的“04下料”，切割工序颗粒物产污系数为1.10kg/t-原料，</w:t>
            </w:r>
            <w:r>
              <w:rPr>
                <w:rFonts w:hint="eastAsia" w:ascii="Times New Roman" w:hAnsi="Times New Roman" w:cs="Times New Roman"/>
                <w:color w:val="auto"/>
                <w:sz w:val="24"/>
                <w:szCs w:val="24"/>
                <w:highlight w:val="none"/>
                <w:lang w:val="en-US" w:eastAsia="zh-CN"/>
              </w:rPr>
              <w:t>项目铸件、钢材、钣金用量共计10000t/a，</w:t>
            </w:r>
            <w:r>
              <w:rPr>
                <w:rFonts w:hint="default" w:ascii="Times New Roman" w:hAnsi="Times New Roman" w:cs="Times New Roman"/>
                <w:color w:val="auto"/>
                <w:kern w:val="0"/>
                <w:sz w:val="24"/>
                <w:highlight w:val="none"/>
              </w:rPr>
              <w:t>根据企业提供</w:t>
            </w:r>
            <w:r>
              <w:rPr>
                <w:rFonts w:hint="eastAsia" w:cs="Times New Roman"/>
                <w:color w:val="auto"/>
                <w:kern w:val="0"/>
                <w:sz w:val="24"/>
                <w:highlight w:val="none"/>
                <w:lang w:eastAsia="zh-CN"/>
              </w:rPr>
              <w:t>的</w:t>
            </w:r>
            <w:r>
              <w:rPr>
                <w:rFonts w:hint="default" w:ascii="Times New Roman" w:hAnsi="Times New Roman" w:cs="Times New Roman"/>
                <w:color w:val="auto"/>
                <w:kern w:val="0"/>
                <w:sz w:val="24"/>
                <w:highlight w:val="none"/>
              </w:rPr>
              <w:t>资料可知，</w:t>
            </w:r>
            <w:r>
              <w:rPr>
                <w:rFonts w:hint="default" w:ascii="Times New Roman" w:hAnsi="Times New Roman" w:cs="Times New Roman"/>
                <w:color w:val="auto"/>
                <w:sz w:val="24"/>
                <w:szCs w:val="24"/>
                <w:highlight w:val="none"/>
              </w:rPr>
              <w:t>项目需要</w:t>
            </w:r>
            <w:r>
              <w:rPr>
                <w:rFonts w:hint="eastAsia" w:cs="Times New Roman"/>
                <w:color w:val="auto"/>
                <w:sz w:val="24"/>
                <w:szCs w:val="24"/>
                <w:highlight w:val="none"/>
                <w:lang w:val="en-US" w:eastAsia="zh-CN"/>
              </w:rPr>
              <w:t>切割</w:t>
            </w:r>
            <w:r>
              <w:rPr>
                <w:rFonts w:hint="default" w:ascii="Times New Roman" w:hAnsi="Times New Roman" w:cs="Times New Roman"/>
                <w:color w:val="auto"/>
                <w:sz w:val="24"/>
                <w:szCs w:val="24"/>
                <w:highlight w:val="none"/>
              </w:rPr>
              <w:t>的工件</w:t>
            </w:r>
            <w:r>
              <w:rPr>
                <w:rFonts w:hint="eastAsia" w:cs="Times New Roman"/>
                <w:color w:val="auto"/>
                <w:sz w:val="24"/>
                <w:szCs w:val="24"/>
                <w:highlight w:val="none"/>
                <w:lang w:val="en-US" w:eastAsia="zh-CN"/>
              </w:rPr>
              <w:t>比例</w:t>
            </w:r>
            <w:r>
              <w:rPr>
                <w:rFonts w:hint="default" w:ascii="Times New Roman" w:hAnsi="Times New Roman" w:cs="Times New Roman"/>
                <w:color w:val="auto"/>
                <w:sz w:val="24"/>
                <w:szCs w:val="24"/>
                <w:highlight w:val="none"/>
              </w:rPr>
              <w:t>约为</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%，即</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t/a，</w:t>
            </w:r>
            <w:r>
              <w:rPr>
                <w:rFonts w:hint="default" w:ascii="Times New Roman" w:hAnsi="Times New Roman" w:cs="Times New Roman"/>
                <w:bCs/>
                <w:color w:val="auto"/>
                <w:sz w:val="24"/>
                <w:highlight w:val="none"/>
                <w:lang w:val="en-US" w:eastAsia="zh-CN"/>
              </w:rPr>
              <w:t>切割工序</w:t>
            </w:r>
            <w:r>
              <w:rPr>
                <w:rFonts w:hint="default" w:ascii="Times New Roman" w:hAnsi="Times New Roman" w:cs="Times New Roman"/>
                <w:bCs/>
                <w:color w:val="auto"/>
                <w:sz w:val="24"/>
                <w:szCs w:val="24"/>
                <w:highlight w:val="none"/>
              </w:rPr>
              <w:t>年工作</w:t>
            </w:r>
            <w:r>
              <w:rPr>
                <w:rFonts w:hint="default" w:ascii="Times New Roman" w:hAnsi="Times New Roman" w:cs="Times New Roman"/>
                <w:bCs/>
                <w:color w:val="auto"/>
                <w:sz w:val="24"/>
                <w:szCs w:val="24"/>
                <w:highlight w:val="none"/>
                <w:lang w:val="en-US" w:eastAsia="zh-CN"/>
              </w:rPr>
              <w:t>24</w:t>
            </w:r>
            <w:r>
              <w:rPr>
                <w:rFonts w:hint="default" w:ascii="Times New Roman" w:hAnsi="Times New Roman" w:cs="Times New Roman"/>
                <w:bCs/>
                <w:color w:val="auto"/>
                <w:sz w:val="24"/>
                <w:szCs w:val="24"/>
                <w:highlight w:val="none"/>
              </w:rPr>
              <w:t>00h，</w:t>
            </w:r>
            <w:r>
              <w:rPr>
                <w:rFonts w:hint="default" w:ascii="Times New Roman" w:hAnsi="Times New Roman" w:cs="Times New Roman"/>
                <w:color w:val="auto"/>
                <w:sz w:val="24"/>
                <w:szCs w:val="24"/>
                <w:highlight w:val="none"/>
              </w:rPr>
              <w:t>则下料</w:t>
            </w:r>
            <w:r>
              <w:rPr>
                <w:rFonts w:hint="eastAsia"/>
                <w:bCs/>
                <w:color w:val="auto"/>
                <w:sz w:val="24"/>
              </w:rPr>
              <w:t>粉尘</w:t>
            </w:r>
            <w:r>
              <w:rPr>
                <w:rFonts w:hint="default" w:ascii="Times New Roman" w:hAnsi="Times New Roman" w:cs="Times New Roman"/>
                <w:color w:val="auto"/>
                <w:sz w:val="24"/>
                <w:szCs w:val="24"/>
                <w:highlight w:val="none"/>
              </w:rPr>
              <w:t>产生量为</w:t>
            </w:r>
            <w:r>
              <w:rPr>
                <w:rFonts w:hint="eastAsia" w:cs="Times New Roman"/>
                <w:color w:val="auto"/>
                <w:sz w:val="24"/>
                <w:szCs w:val="24"/>
                <w:highlight w:val="none"/>
                <w:lang w:val="en-US" w:eastAsia="zh-CN"/>
              </w:rPr>
              <w:t>0.11</w:t>
            </w:r>
            <w:r>
              <w:rPr>
                <w:rFonts w:hint="default" w:ascii="Times New Roman" w:hAnsi="Times New Roman" w:cs="Times New Roman"/>
                <w:color w:val="auto"/>
                <w:sz w:val="24"/>
                <w:szCs w:val="24"/>
                <w:highlight w:val="none"/>
              </w:rPr>
              <w:t>t/a</w:t>
            </w:r>
            <w:r>
              <w:rPr>
                <w:color w:val="auto"/>
                <w:sz w:val="24"/>
              </w:rPr>
              <w:t>。</w:t>
            </w:r>
            <w:r>
              <w:rPr>
                <w:rFonts w:hint="eastAsia" w:cs="Times New Roman"/>
                <w:color w:val="auto"/>
                <w:sz w:val="24"/>
                <w:szCs w:val="24"/>
                <w:highlight w:val="none"/>
                <w:lang w:val="en-US" w:eastAsia="zh-CN"/>
              </w:rPr>
              <w:t>下料粉尘</w:t>
            </w:r>
            <w:r>
              <w:rPr>
                <w:rFonts w:hint="eastAsia" w:cs="Times New Roman"/>
                <w:color w:val="auto"/>
                <w:sz w:val="24"/>
                <w:szCs w:val="24"/>
                <w:highlight w:val="none"/>
                <w:lang w:eastAsia="zh-CN"/>
              </w:rPr>
              <w:t>经</w:t>
            </w:r>
            <w:r>
              <w:rPr>
                <w:rFonts w:hint="default" w:ascii="Times New Roman" w:hAnsi="Times New Roman" w:cs="Times New Roman"/>
                <w:color w:val="auto"/>
                <w:sz w:val="24"/>
                <w:szCs w:val="24"/>
                <w:highlight w:val="none"/>
              </w:rPr>
              <w:t>集气罩收集</w:t>
            </w:r>
            <w:r>
              <w:rPr>
                <w:rFonts w:hint="eastAsia" w:cs="Times New Roman"/>
                <w:color w:val="auto"/>
                <w:sz w:val="24"/>
                <w:szCs w:val="24"/>
                <w:highlight w:val="none"/>
                <w:lang w:val="en-US" w:eastAsia="zh-CN"/>
              </w:rPr>
              <w:t>后通过</w:t>
            </w:r>
            <w:r>
              <w:rPr>
                <w:rFonts w:hint="eastAsia" w:ascii="Times New Roman" w:hAnsi="Times New Roman" w:cs="Times New Roman"/>
                <w:color w:val="auto"/>
                <w:sz w:val="24"/>
                <w:szCs w:val="24"/>
                <w:highlight w:val="none"/>
                <w:lang w:val="en-US" w:eastAsia="zh-CN"/>
              </w:rPr>
              <w:t>移动式</w:t>
            </w:r>
            <w:r>
              <w:rPr>
                <w:rFonts w:hint="eastAsia" w:cs="Times New Roman"/>
                <w:color w:val="auto"/>
                <w:sz w:val="24"/>
                <w:szCs w:val="24"/>
                <w:highlight w:val="none"/>
                <w:lang w:val="en-US" w:eastAsia="zh-CN"/>
              </w:rPr>
              <w:t>布袋除尘</w:t>
            </w:r>
            <w:r>
              <w:rPr>
                <w:rFonts w:hint="default" w:ascii="Times New Roman" w:hAnsi="Times New Roman" w:cs="Times New Roman"/>
                <w:color w:val="auto"/>
                <w:sz w:val="24"/>
                <w:szCs w:val="24"/>
                <w:highlight w:val="none"/>
              </w:rPr>
              <w:t>器</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风机风量为3000m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处理后无组织排放，收集效率以</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%计，处理效率以</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0%计。未收集及未处理的</w:t>
            </w:r>
            <w:r>
              <w:rPr>
                <w:rFonts w:hint="eastAsia" w:cs="Times New Roman"/>
                <w:color w:val="auto"/>
                <w:sz w:val="24"/>
                <w:szCs w:val="24"/>
                <w:highlight w:val="none"/>
                <w:lang w:val="en-US" w:eastAsia="zh-CN"/>
              </w:rPr>
              <w:t>下料粉尘以</w:t>
            </w:r>
            <w:r>
              <w:rPr>
                <w:rFonts w:hint="default" w:ascii="Times New Roman" w:hAnsi="Times New Roman" w:cs="Times New Roman"/>
                <w:color w:val="auto"/>
                <w:sz w:val="24"/>
                <w:szCs w:val="24"/>
                <w:highlight w:val="none"/>
              </w:rPr>
              <w:t>无组织排放，则</w:t>
            </w:r>
            <w:r>
              <w:rPr>
                <w:rFonts w:hint="eastAsia"/>
                <w:color w:val="auto"/>
                <w:sz w:val="24"/>
                <w:highlight w:val="none"/>
                <w:lang w:val="en-US" w:eastAsia="zh-CN"/>
              </w:rPr>
              <w:t>下料粉尘</w:t>
            </w:r>
            <w:r>
              <w:rPr>
                <w:rFonts w:hint="default" w:ascii="Times New Roman" w:hAnsi="Times New Roman" w:cs="Times New Roman"/>
                <w:color w:val="auto"/>
                <w:sz w:val="24"/>
                <w:szCs w:val="24"/>
                <w:highlight w:val="none"/>
              </w:rPr>
              <w:t>无组织排放量为0.0</w:t>
            </w:r>
            <w:r>
              <w:rPr>
                <w:rFonts w:hint="eastAsia" w:cs="Times New Roman"/>
                <w:color w:val="auto"/>
                <w:sz w:val="24"/>
                <w:szCs w:val="24"/>
                <w:highlight w:val="none"/>
                <w:lang w:val="en-US" w:eastAsia="zh-CN"/>
              </w:rPr>
              <w:t>396</w:t>
            </w:r>
            <w:r>
              <w:rPr>
                <w:rFonts w:hint="default" w:ascii="Times New Roman" w:hAnsi="Times New Roman" w:cs="Times New Roman"/>
                <w:color w:val="auto"/>
                <w:sz w:val="24"/>
                <w:szCs w:val="24"/>
                <w:highlight w:val="none"/>
              </w:rPr>
              <w:t>t/a（排放速率为0.0</w:t>
            </w:r>
            <w:r>
              <w:rPr>
                <w:rFonts w:hint="eastAsia" w:cs="Times New Roman"/>
                <w:color w:val="auto"/>
                <w:sz w:val="24"/>
                <w:szCs w:val="24"/>
                <w:highlight w:val="none"/>
                <w:lang w:val="en-US" w:eastAsia="zh-CN"/>
              </w:rPr>
              <w:t>165</w:t>
            </w:r>
            <w:r>
              <w:rPr>
                <w:rFonts w:hint="default" w:ascii="Times New Roman" w:hAnsi="Times New Roman" w:cs="Times New Roman"/>
                <w:color w:val="auto"/>
                <w:sz w:val="24"/>
                <w:szCs w:val="24"/>
                <w:highlight w:val="none"/>
              </w:rPr>
              <w:t>kg/h）。</w:t>
            </w:r>
          </w:p>
          <w:p w14:paraId="3EC12ADC">
            <w:pPr>
              <w:pStyle w:val="136"/>
              <w:keepNext w:val="0"/>
              <w:keepLines w:val="0"/>
              <w:suppressLineNumbers w:val="0"/>
              <w:snapToGrid w:val="0"/>
              <w:spacing w:before="0" w:beforeAutospacing="0" w:after="0" w:afterAutospacing="0" w:line="360" w:lineRule="auto"/>
              <w:ind w:left="480" w:right="0" w:firstLine="0" w:firstLineChars="0"/>
              <w:rPr>
                <w:rFonts w:hint="default" w:eastAsiaTheme="minorEastAsia"/>
                <w:bCs/>
                <w:color w:val="auto"/>
                <w:sz w:val="24"/>
                <w:highlight w:val="none"/>
                <w:lang w:val="en-US" w:eastAsia="zh-CN"/>
              </w:rPr>
            </w:pPr>
            <w:r>
              <w:rPr>
                <w:rFonts w:hint="eastAsia"/>
                <w:color w:val="auto"/>
                <w:sz w:val="24"/>
                <w:highlight w:val="none"/>
                <w:lang w:val="en-US" w:eastAsia="zh-CN"/>
              </w:rPr>
              <w:t>2</w:t>
            </w:r>
            <w:r>
              <w:rPr>
                <w:color w:val="auto"/>
                <w:sz w:val="24"/>
                <w:highlight w:val="none"/>
              </w:rPr>
              <w:t>）</w:t>
            </w:r>
            <w:r>
              <w:rPr>
                <w:rFonts w:hint="eastAsia"/>
                <w:color w:val="auto"/>
                <w:sz w:val="24"/>
                <w:highlight w:val="none"/>
                <w:lang w:val="en-US" w:eastAsia="zh-CN"/>
              </w:rPr>
              <w:t>打磨粉尘</w:t>
            </w:r>
          </w:p>
          <w:p w14:paraId="674B084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下料</w:t>
            </w:r>
            <w:r>
              <w:rPr>
                <w:rFonts w:hint="default" w:ascii="Times New Roman" w:hAnsi="Times New Roman" w:cs="Times New Roman"/>
                <w:color w:val="auto"/>
                <w:sz w:val="24"/>
                <w:szCs w:val="24"/>
                <w:highlight w:val="none"/>
              </w:rPr>
              <w:t>后工件需要进行打磨，打磨过程中产生打磨废气，主要污染物为</w:t>
            </w:r>
            <w:r>
              <w:rPr>
                <w:rFonts w:hint="default" w:ascii="Times New Roman" w:hAnsi="Times New Roman" w:cs="Times New Roman"/>
                <w:bCs/>
                <w:color w:val="auto"/>
                <w:sz w:val="24"/>
                <w:szCs w:val="24"/>
                <w:highlight w:val="none"/>
              </w:rPr>
              <w:t>颗粒物</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源强</w:t>
            </w:r>
            <w:r>
              <w:rPr>
                <w:rFonts w:hint="default" w:ascii="Times New Roman" w:hAnsi="Times New Roman" w:cs="Times New Roman"/>
                <w:color w:val="auto"/>
                <w:sz w:val="24"/>
                <w:szCs w:val="24"/>
                <w:highlight w:val="none"/>
              </w:rPr>
              <w:t>参考《排放源统计调查产排污核算方法和系数手册》中33-37、431-434机械行业系数手册的“06预处理”，打磨工序颗粒物产污系数为2.19kg/t-原料，</w:t>
            </w:r>
            <w:r>
              <w:rPr>
                <w:rFonts w:hint="eastAsia" w:ascii="Times New Roman" w:hAnsi="Times New Roman" w:cs="Times New Roman"/>
                <w:color w:val="auto"/>
                <w:sz w:val="24"/>
                <w:szCs w:val="24"/>
                <w:highlight w:val="none"/>
                <w:lang w:val="en-US" w:eastAsia="zh-CN"/>
              </w:rPr>
              <w:t>项目铸件、钢材、钣金用量共计10000t/a，</w:t>
            </w:r>
            <w:r>
              <w:rPr>
                <w:rFonts w:hint="default" w:ascii="Times New Roman" w:hAnsi="Times New Roman" w:cs="Times New Roman"/>
                <w:color w:val="auto"/>
                <w:kern w:val="0"/>
                <w:sz w:val="24"/>
                <w:highlight w:val="none"/>
              </w:rPr>
              <w:t>根据</w:t>
            </w:r>
            <w:r>
              <w:rPr>
                <w:rFonts w:hint="eastAsia" w:cs="Times New Roman"/>
                <w:color w:val="auto"/>
                <w:kern w:val="0"/>
                <w:sz w:val="24"/>
                <w:highlight w:val="none"/>
                <w:lang w:val="en-US" w:eastAsia="zh-CN"/>
              </w:rPr>
              <w:t>工艺流程分析</w:t>
            </w:r>
            <w:r>
              <w:rPr>
                <w:rFonts w:hint="default" w:ascii="Times New Roman" w:hAnsi="Times New Roman" w:cs="Times New Roman"/>
                <w:color w:val="auto"/>
                <w:kern w:val="0"/>
                <w:sz w:val="24"/>
                <w:highlight w:val="none"/>
              </w:rPr>
              <w:t>可知，</w:t>
            </w:r>
            <w:r>
              <w:rPr>
                <w:rFonts w:hint="eastAsia" w:cs="Times New Roman"/>
                <w:color w:val="auto"/>
                <w:kern w:val="0"/>
                <w:sz w:val="24"/>
                <w:highlight w:val="none"/>
                <w:lang w:val="en-US" w:eastAsia="zh-CN"/>
              </w:rPr>
              <w:t>打磨主要针对</w:t>
            </w:r>
            <w:r>
              <w:rPr>
                <w:rFonts w:ascii="宋体" w:hAnsi="宋体"/>
                <w:color w:val="auto"/>
                <w:sz w:val="24"/>
                <w:szCs w:val="24"/>
                <w:highlight w:val="none"/>
              </w:rPr>
              <w:t>工件少量</w:t>
            </w:r>
            <w:r>
              <w:rPr>
                <w:rFonts w:ascii="宋体" w:hAnsi="宋体"/>
                <w:bCs/>
                <w:color w:val="auto"/>
                <w:sz w:val="24"/>
                <w:szCs w:val="24"/>
                <w:highlight w:val="none"/>
              </w:rPr>
              <w:t>局部不平整</w:t>
            </w:r>
            <w:r>
              <w:rPr>
                <w:rFonts w:hint="eastAsia" w:ascii="宋体" w:hAnsi="宋体"/>
                <w:bCs/>
                <w:color w:val="auto"/>
                <w:sz w:val="24"/>
                <w:szCs w:val="24"/>
                <w:highlight w:val="none"/>
                <w:lang w:val="en-US" w:eastAsia="zh-CN"/>
              </w:rPr>
              <w:t>的地方进行打磨</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lang w:val="en-US" w:eastAsia="zh-CN"/>
              </w:rPr>
              <w:t>不需整体打磨，因此</w:t>
            </w:r>
            <w:r>
              <w:rPr>
                <w:rFonts w:hint="default" w:ascii="Times New Roman" w:hAnsi="Times New Roman" w:cs="Times New Roman"/>
                <w:color w:val="auto"/>
                <w:sz w:val="24"/>
                <w:szCs w:val="24"/>
                <w:highlight w:val="none"/>
              </w:rPr>
              <w:t>项目需要打磨的工件</w:t>
            </w:r>
            <w:r>
              <w:rPr>
                <w:rFonts w:hint="eastAsia" w:cs="Times New Roman"/>
                <w:color w:val="auto"/>
                <w:sz w:val="24"/>
                <w:szCs w:val="24"/>
                <w:highlight w:val="none"/>
                <w:lang w:val="en-US" w:eastAsia="zh-CN"/>
              </w:rPr>
              <w:t>量</w:t>
            </w:r>
            <w:r>
              <w:rPr>
                <w:rFonts w:hint="default" w:ascii="Times New Roman" w:hAnsi="Times New Roman" w:cs="Times New Roman"/>
                <w:color w:val="auto"/>
                <w:sz w:val="24"/>
                <w:szCs w:val="24"/>
                <w:highlight w:val="none"/>
              </w:rPr>
              <w:t>约为原料重量的</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%，即</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打磨工序</w:t>
            </w:r>
            <w:r>
              <w:rPr>
                <w:rFonts w:hint="default" w:ascii="Times New Roman" w:hAnsi="Times New Roman" w:cs="Times New Roman"/>
                <w:bCs/>
                <w:color w:val="auto"/>
                <w:sz w:val="24"/>
                <w:szCs w:val="24"/>
                <w:highlight w:val="none"/>
              </w:rPr>
              <w:t>年工作</w:t>
            </w:r>
            <w:r>
              <w:rPr>
                <w:rFonts w:hint="default" w:ascii="Times New Roman" w:hAnsi="Times New Roman" w:cs="Times New Roman"/>
                <w:bCs/>
                <w:color w:val="auto"/>
                <w:sz w:val="24"/>
                <w:szCs w:val="24"/>
                <w:highlight w:val="none"/>
                <w:lang w:val="en-US" w:eastAsia="zh-CN"/>
              </w:rPr>
              <w:t>24</w:t>
            </w:r>
            <w:r>
              <w:rPr>
                <w:rFonts w:hint="default" w:ascii="Times New Roman" w:hAnsi="Times New Roman" w:cs="Times New Roman"/>
                <w:bCs/>
                <w:color w:val="auto"/>
                <w:sz w:val="24"/>
                <w:szCs w:val="24"/>
                <w:highlight w:val="none"/>
              </w:rPr>
              <w:t>00h，</w:t>
            </w:r>
            <w:r>
              <w:rPr>
                <w:rFonts w:hint="default" w:ascii="Times New Roman" w:hAnsi="Times New Roman" w:cs="Times New Roman"/>
                <w:color w:val="auto"/>
                <w:sz w:val="24"/>
                <w:szCs w:val="24"/>
                <w:highlight w:val="none"/>
              </w:rPr>
              <w:t>则打磨废气产生量为</w:t>
            </w:r>
            <w:r>
              <w:rPr>
                <w:rFonts w:hint="eastAsia" w:cs="Times New Roman"/>
                <w:color w:val="auto"/>
                <w:sz w:val="24"/>
                <w:szCs w:val="24"/>
                <w:highlight w:val="none"/>
                <w:lang w:val="en-US" w:eastAsia="zh-CN"/>
              </w:rPr>
              <w:t>0.219</w:t>
            </w:r>
            <w:r>
              <w:rPr>
                <w:rFonts w:hint="default" w:ascii="Times New Roman" w:hAnsi="Times New Roman" w:cs="Times New Roman"/>
                <w:color w:val="auto"/>
                <w:sz w:val="24"/>
                <w:szCs w:val="24"/>
                <w:highlight w:val="none"/>
              </w:rPr>
              <w:t>t/a。</w:t>
            </w:r>
            <w:r>
              <w:rPr>
                <w:rFonts w:hint="eastAsia" w:cs="Times New Roman"/>
                <w:color w:val="auto"/>
                <w:sz w:val="24"/>
                <w:szCs w:val="24"/>
                <w:highlight w:val="none"/>
                <w:lang w:val="en-US" w:eastAsia="zh-CN"/>
              </w:rPr>
              <w:t>打磨粉尘</w:t>
            </w:r>
            <w:r>
              <w:rPr>
                <w:rFonts w:hint="eastAsia" w:cs="Times New Roman"/>
                <w:color w:val="auto"/>
                <w:sz w:val="24"/>
                <w:szCs w:val="24"/>
                <w:highlight w:val="none"/>
                <w:lang w:eastAsia="zh-CN"/>
              </w:rPr>
              <w:t>采用</w:t>
            </w:r>
            <w:r>
              <w:rPr>
                <w:rFonts w:hint="default" w:ascii="Times New Roman" w:hAnsi="Times New Roman" w:cs="Times New Roman"/>
                <w:color w:val="auto"/>
                <w:sz w:val="24"/>
                <w:szCs w:val="24"/>
                <w:highlight w:val="none"/>
              </w:rPr>
              <w:t>集气罩收集</w:t>
            </w:r>
            <w:r>
              <w:rPr>
                <w:rFonts w:hint="eastAsia" w:cs="Times New Roman"/>
                <w:color w:val="auto"/>
                <w:sz w:val="24"/>
                <w:szCs w:val="24"/>
                <w:highlight w:val="none"/>
                <w:lang w:eastAsia="zh-CN"/>
              </w:rPr>
              <w:t>后通过</w:t>
            </w:r>
            <w:r>
              <w:rPr>
                <w:rFonts w:hint="eastAsia" w:ascii="Times New Roman" w:hAnsi="Times New Roman" w:cs="Times New Roman"/>
                <w:color w:val="auto"/>
                <w:sz w:val="24"/>
                <w:szCs w:val="24"/>
                <w:highlight w:val="none"/>
                <w:lang w:val="en-US" w:eastAsia="zh-CN"/>
              </w:rPr>
              <w:t>移动式</w:t>
            </w:r>
            <w:r>
              <w:rPr>
                <w:rFonts w:hint="eastAsia" w:cs="Times New Roman"/>
                <w:color w:val="auto"/>
                <w:sz w:val="24"/>
                <w:szCs w:val="24"/>
                <w:highlight w:val="none"/>
                <w:lang w:val="en-US" w:eastAsia="zh-CN"/>
              </w:rPr>
              <w:t>布袋除尘</w:t>
            </w:r>
            <w:r>
              <w:rPr>
                <w:rFonts w:hint="default" w:ascii="Times New Roman" w:hAnsi="Times New Roman" w:cs="Times New Roman"/>
                <w:color w:val="auto"/>
                <w:sz w:val="24"/>
                <w:szCs w:val="24"/>
                <w:highlight w:val="none"/>
              </w:rPr>
              <w:t>器</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风机风量为3000m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处理后无组织排放，收集效率以</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%计，处理效率以</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0%计。未收集及未处理的</w:t>
            </w:r>
            <w:r>
              <w:rPr>
                <w:rFonts w:hint="eastAsia" w:cs="Times New Roman"/>
                <w:color w:val="auto"/>
                <w:sz w:val="24"/>
                <w:szCs w:val="24"/>
                <w:highlight w:val="none"/>
                <w:lang w:val="en-US" w:eastAsia="zh-CN"/>
              </w:rPr>
              <w:t>打磨粉尘以</w:t>
            </w:r>
            <w:r>
              <w:rPr>
                <w:rFonts w:hint="default" w:ascii="Times New Roman" w:hAnsi="Times New Roman" w:cs="Times New Roman"/>
                <w:color w:val="auto"/>
                <w:sz w:val="24"/>
                <w:szCs w:val="24"/>
                <w:highlight w:val="none"/>
              </w:rPr>
              <w:t>无组织排放，则</w:t>
            </w:r>
            <w:r>
              <w:rPr>
                <w:rFonts w:hint="eastAsia"/>
                <w:color w:val="auto"/>
                <w:sz w:val="24"/>
                <w:highlight w:val="none"/>
                <w:lang w:val="en-US" w:eastAsia="zh-CN"/>
              </w:rPr>
              <w:t>打磨粉尘</w:t>
            </w:r>
            <w:r>
              <w:rPr>
                <w:rFonts w:hint="default" w:ascii="Times New Roman" w:hAnsi="Times New Roman" w:cs="Times New Roman"/>
                <w:color w:val="auto"/>
                <w:sz w:val="24"/>
                <w:szCs w:val="24"/>
                <w:highlight w:val="none"/>
              </w:rPr>
              <w:t>无组织排放量为0.0</w:t>
            </w:r>
            <w:r>
              <w:rPr>
                <w:rFonts w:hint="eastAsia" w:cs="Times New Roman"/>
                <w:color w:val="auto"/>
                <w:sz w:val="24"/>
                <w:szCs w:val="24"/>
                <w:highlight w:val="none"/>
                <w:lang w:val="en-US" w:eastAsia="zh-CN"/>
              </w:rPr>
              <w:t>788</w:t>
            </w:r>
            <w:r>
              <w:rPr>
                <w:rFonts w:hint="default" w:ascii="Times New Roman" w:hAnsi="Times New Roman" w:cs="Times New Roman"/>
                <w:color w:val="auto"/>
                <w:sz w:val="24"/>
                <w:szCs w:val="24"/>
                <w:highlight w:val="none"/>
              </w:rPr>
              <w:t>t/a（排放速率为0.0</w:t>
            </w:r>
            <w:r>
              <w:rPr>
                <w:rFonts w:hint="eastAsia" w:cs="Times New Roman"/>
                <w:color w:val="auto"/>
                <w:sz w:val="24"/>
                <w:szCs w:val="24"/>
                <w:highlight w:val="none"/>
                <w:lang w:val="en-US" w:eastAsia="zh-CN"/>
              </w:rPr>
              <w:t>328</w:t>
            </w:r>
            <w:r>
              <w:rPr>
                <w:rFonts w:hint="default" w:ascii="Times New Roman" w:hAnsi="Times New Roman" w:cs="Times New Roman"/>
                <w:color w:val="auto"/>
                <w:sz w:val="24"/>
                <w:szCs w:val="24"/>
                <w:highlight w:val="none"/>
              </w:rPr>
              <w:t>kg/h）。</w:t>
            </w:r>
          </w:p>
          <w:p w14:paraId="20044051">
            <w:pPr>
              <w:pStyle w:val="136"/>
              <w:keepNext w:val="0"/>
              <w:keepLines w:val="0"/>
              <w:suppressLineNumbers w:val="0"/>
              <w:snapToGrid w:val="0"/>
              <w:spacing w:before="0" w:beforeAutospacing="0" w:after="0" w:afterAutospacing="0" w:line="360" w:lineRule="auto"/>
              <w:ind w:left="480" w:right="0" w:firstLine="0" w:firstLineChars="0"/>
              <w:rPr>
                <w:rFonts w:hint="default"/>
                <w:color w:val="auto"/>
                <w:sz w:val="24"/>
                <w:highlight w:val="none"/>
                <w:lang w:val="en-US" w:eastAsia="zh-CN"/>
              </w:rPr>
            </w:pPr>
            <w:r>
              <w:rPr>
                <w:rFonts w:hint="eastAsia"/>
                <w:color w:val="auto"/>
                <w:sz w:val="24"/>
                <w:highlight w:val="none"/>
                <w:lang w:val="en-US" w:eastAsia="zh-CN"/>
              </w:rPr>
              <w:t>3）焊接烟尘</w:t>
            </w:r>
          </w:p>
          <w:p w14:paraId="6A433B88">
            <w:pPr>
              <w:keepNext w:val="0"/>
              <w:keepLines w:val="0"/>
              <w:suppressLineNumbers w:val="0"/>
              <w:autoSpaceDE w:val="0"/>
              <w:autoSpaceDN w:val="0"/>
              <w:adjustRightInd w:val="0"/>
              <w:snapToGrid w:val="0"/>
              <w:spacing w:before="0" w:beforeAutospacing="0" w:after="0" w:afterAutospacing="0" w:line="360" w:lineRule="auto"/>
              <w:ind w:left="0" w:right="0" w:firstLine="405"/>
              <w:rPr>
                <w:bCs/>
                <w:color w:val="auto"/>
                <w:highlight w:val="none"/>
              </w:rPr>
            </w:pPr>
            <w:r>
              <w:rPr>
                <w:rFonts w:hint="default" w:ascii="Times New Roman" w:hAnsi="Times New Roman" w:cs="Times New Roman"/>
                <w:color w:val="auto"/>
                <w:sz w:val="24"/>
                <w:szCs w:val="24"/>
                <w:highlight w:val="none"/>
              </w:rPr>
              <w:t>焊接废气（烟尘）是金属及非金属物质在加热条件下产生的蒸汽经氧化和冷凝而形成的。本项目采用</w:t>
            </w:r>
            <w:r>
              <w:rPr>
                <w:rFonts w:hint="default" w:ascii="Times New Roman" w:hAnsi="Times New Roman" w:cs="Times New Roman"/>
                <w:color w:val="auto"/>
                <w:sz w:val="24"/>
                <w:szCs w:val="24"/>
                <w:highlight w:val="none"/>
                <w:lang w:val="en-US" w:eastAsia="zh-CN"/>
              </w:rPr>
              <w:t>氩弧焊</w:t>
            </w:r>
            <w:r>
              <w:rPr>
                <w:rFonts w:hint="default" w:ascii="Times New Roman" w:hAnsi="Times New Roman" w:cs="Times New Roman"/>
                <w:color w:val="auto"/>
                <w:sz w:val="24"/>
                <w:szCs w:val="24"/>
                <w:highlight w:val="none"/>
              </w:rPr>
              <w:t>及二氧化碳保护焊两种方式，根据《排放源统计调查产排污核算方法和系数手册》中33-37、431-434机械行业系数手册的“09焊接”，实心焊丝二氧化碳保护焊</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氩弧焊</w:t>
            </w:r>
            <w:r>
              <w:rPr>
                <w:rFonts w:hint="default" w:ascii="Times New Roman" w:hAnsi="Times New Roman" w:cs="Times New Roman"/>
                <w:color w:val="auto"/>
                <w:sz w:val="24"/>
                <w:szCs w:val="24"/>
                <w:highlight w:val="none"/>
              </w:rPr>
              <w:t>的颗粒物产污系数为9.19kg/t-原料，</w:t>
            </w:r>
            <w:r>
              <w:rPr>
                <w:rFonts w:hint="eastAsia" w:ascii="宋体" w:hAnsi="宋体"/>
                <w:color w:val="auto"/>
                <w:sz w:val="24"/>
                <w:szCs w:val="24"/>
                <w:highlight w:val="none"/>
              </w:rPr>
              <w:t>本项目选用碳钢实心无铅锡焊丝，使用量为</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t/a，经计算本项目焊接烟尘产生量为0.0</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8t/a。焊接</w:t>
            </w:r>
            <w:r>
              <w:rPr>
                <w:rFonts w:hint="eastAsia" w:ascii="Times New Roman" w:hAnsi="Times New Roman" w:cs="Times New Roman"/>
                <w:color w:val="auto"/>
                <w:sz w:val="24"/>
                <w:szCs w:val="24"/>
                <w:highlight w:val="none"/>
                <w:lang w:val="en-US" w:eastAsia="zh-CN"/>
              </w:rPr>
              <w:t>年</w:t>
            </w:r>
            <w:r>
              <w:rPr>
                <w:rFonts w:hint="default" w:ascii="Times New Roman" w:hAnsi="Times New Roman" w:cs="Times New Roman"/>
                <w:color w:val="auto"/>
                <w:sz w:val="24"/>
                <w:szCs w:val="24"/>
                <w:highlight w:val="none"/>
              </w:rPr>
              <w:t>工作时间约</w:t>
            </w:r>
            <w:r>
              <w:rPr>
                <w:rFonts w:hint="eastAsia"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00h。焊接区废气</w:t>
            </w:r>
            <w:r>
              <w:rPr>
                <w:rFonts w:hint="eastAsia" w:cs="Times New Roman"/>
                <w:color w:val="auto"/>
                <w:sz w:val="24"/>
                <w:szCs w:val="24"/>
                <w:highlight w:val="none"/>
                <w:lang w:eastAsia="zh-CN"/>
              </w:rPr>
              <w:t>经</w:t>
            </w:r>
            <w:r>
              <w:rPr>
                <w:rFonts w:hint="default" w:ascii="Times New Roman" w:hAnsi="Times New Roman" w:cs="Times New Roman"/>
                <w:color w:val="auto"/>
                <w:sz w:val="24"/>
                <w:szCs w:val="24"/>
                <w:highlight w:val="none"/>
              </w:rPr>
              <w:t>集气罩收集</w:t>
            </w:r>
            <w:r>
              <w:rPr>
                <w:rFonts w:hint="eastAsia" w:cs="Times New Roman"/>
                <w:color w:val="auto"/>
                <w:sz w:val="24"/>
                <w:szCs w:val="24"/>
                <w:highlight w:val="none"/>
                <w:lang w:eastAsia="zh-CN"/>
              </w:rPr>
              <w:t>后通过</w:t>
            </w:r>
            <w:r>
              <w:rPr>
                <w:rFonts w:hint="eastAsia" w:ascii="Times New Roman" w:hAnsi="Times New Roman" w:cs="Times New Roman"/>
                <w:color w:val="auto"/>
                <w:sz w:val="24"/>
                <w:szCs w:val="24"/>
                <w:highlight w:val="none"/>
                <w:lang w:val="en-US" w:eastAsia="zh-CN"/>
              </w:rPr>
              <w:t>移动式焊</w:t>
            </w:r>
            <w:r>
              <w:rPr>
                <w:rFonts w:hint="default" w:ascii="Times New Roman" w:hAnsi="Times New Roman" w:cs="Times New Roman"/>
                <w:color w:val="auto"/>
                <w:sz w:val="24"/>
                <w:szCs w:val="24"/>
                <w:highlight w:val="none"/>
              </w:rPr>
              <w:t>烟尘净化器</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风机风量为2000m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/h）</w:t>
            </w:r>
            <w:r>
              <w:rPr>
                <w:rFonts w:hint="default" w:ascii="Times New Roman" w:hAnsi="Times New Roman" w:cs="Times New Roman"/>
                <w:color w:val="auto"/>
                <w:sz w:val="24"/>
                <w:szCs w:val="24"/>
                <w:highlight w:val="none"/>
              </w:rPr>
              <w:t>处理后无组织排放，收集效率以</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%计，处理效率以</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0%计。未收集及未处理的焊接烟尘</w:t>
            </w:r>
            <w:r>
              <w:rPr>
                <w:rFonts w:hint="eastAsia" w:cs="Times New Roman"/>
                <w:color w:val="auto"/>
                <w:sz w:val="24"/>
                <w:szCs w:val="24"/>
                <w:highlight w:val="none"/>
                <w:lang w:val="en-US" w:eastAsia="zh-CN"/>
              </w:rPr>
              <w:t>以</w:t>
            </w:r>
            <w:r>
              <w:rPr>
                <w:rFonts w:hint="default" w:ascii="Times New Roman" w:hAnsi="Times New Roman" w:cs="Times New Roman"/>
                <w:color w:val="auto"/>
                <w:sz w:val="24"/>
                <w:szCs w:val="24"/>
                <w:highlight w:val="none"/>
              </w:rPr>
              <w:t>无组织排放，则焊接烟尘无组织排放量为0.0</w:t>
            </w:r>
            <w:r>
              <w:rPr>
                <w:rFonts w:hint="eastAsia" w:cs="Times New Roman"/>
                <w:color w:val="auto"/>
                <w:sz w:val="24"/>
                <w:szCs w:val="24"/>
                <w:highlight w:val="none"/>
                <w:lang w:val="en-US" w:eastAsia="zh-CN"/>
              </w:rPr>
              <w:t>101</w:t>
            </w:r>
            <w:r>
              <w:rPr>
                <w:rFonts w:hint="default" w:ascii="Times New Roman" w:hAnsi="Times New Roman" w:cs="Times New Roman"/>
                <w:color w:val="auto"/>
                <w:sz w:val="24"/>
                <w:szCs w:val="24"/>
                <w:highlight w:val="none"/>
              </w:rPr>
              <w:t>t/a（排放速率为0.0</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kg/h）。</w:t>
            </w:r>
          </w:p>
          <w:p w14:paraId="0CBCC2FB">
            <w:pPr>
              <w:pStyle w:val="136"/>
              <w:keepNext w:val="0"/>
              <w:keepLines w:val="0"/>
              <w:suppressLineNumbers w:val="0"/>
              <w:snapToGrid w:val="0"/>
              <w:spacing w:before="0" w:beforeAutospacing="0" w:after="0" w:afterAutospacing="0" w:line="360" w:lineRule="auto"/>
              <w:ind w:left="480" w:right="0" w:firstLine="0" w:firstLineChars="0"/>
              <w:rPr>
                <w:rFonts w:hint="default" w:ascii="Times New Roman" w:hAnsi="Times New Roman" w:cs="Times New Roman"/>
                <w:color w:val="auto"/>
                <w:sz w:val="24"/>
                <w:szCs w:val="24"/>
                <w:highlight w:val="none"/>
              </w:rPr>
            </w:pPr>
            <w:r>
              <w:rPr>
                <w:rFonts w:hint="eastAsia"/>
                <w:color w:val="auto"/>
                <w:sz w:val="24"/>
                <w:highlight w:val="none"/>
                <w:lang w:val="en-US" w:eastAsia="zh-CN"/>
              </w:rPr>
              <w:t>4）喷塑废气</w:t>
            </w:r>
          </w:p>
          <w:p w14:paraId="635B4961">
            <w:pPr>
              <w:keepNext w:val="0"/>
              <w:keepLines w:val="0"/>
              <w:suppressLineNumbers w:val="0"/>
              <w:autoSpaceDE w:val="0"/>
              <w:autoSpaceDN w:val="0"/>
              <w:adjustRightInd w:val="0"/>
              <w:snapToGrid w:val="0"/>
              <w:spacing w:before="0" w:beforeAutospacing="0" w:after="0" w:afterAutospacing="0" w:line="360" w:lineRule="auto"/>
              <w:ind w:left="0" w:right="0" w:firstLine="40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喷</w:t>
            </w:r>
            <w:r>
              <w:rPr>
                <w:rFonts w:hint="eastAsia" w:cs="Times New Roman"/>
                <w:color w:val="auto"/>
                <w:sz w:val="24"/>
                <w:szCs w:val="24"/>
                <w:highlight w:val="none"/>
                <w:lang w:val="en-US" w:eastAsia="zh-CN"/>
              </w:rPr>
              <w:t>塑</w:t>
            </w:r>
            <w:r>
              <w:rPr>
                <w:rFonts w:hint="default" w:ascii="Times New Roman" w:hAnsi="Times New Roman" w:cs="Times New Roman"/>
                <w:color w:val="auto"/>
                <w:sz w:val="24"/>
                <w:szCs w:val="24"/>
                <w:highlight w:val="none"/>
              </w:rPr>
              <w:t>工艺参照《</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"http://www.mee.gov.cn/xxgk2018/xxgk/xxgk01/202106/W020210624327149500026.pdf"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排放源统计调查产排污核算方法和系数手册</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》（公告2021年第24号）中“机械行业系数手册”，喷</w:t>
            </w:r>
            <w:r>
              <w:rPr>
                <w:rFonts w:hint="eastAsia" w:cs="Times New Roman"/>
                <w:color w:val="auto"/>
                <w:sz w:val="24"/>
                <w:szCs w:val="24"/>
                <w:highlight w:val="none"/>
                <w:lang w:val="en-US" w:eastAsia="zh-CN"/>
              </w:rPr>
              <w:t>塑</w:t>
            </w:r>
            <w:r>
              <w:rPr>
                <w:rFonts w:hint="default" w:ascii="Times New Roman" w:hAnsi="Times New Roman" w:cs="Times New Roman"/>
                <w:color w:val="auto"/>
                <w:sz w:val="24"/>
                <w:szCs w:val="24"/>
                <w:highlight w:val="none"/>
              </w:rPr>
              <w:t>工艺颗粒物产污系数为300kg/t-原料，本项目塑粉用量</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颗粒物</w:t>
            </w:r>
            <w:r>
              <w:rPr>
                <w:rFonts w:hint="default" w:ascii="Times New Roman" w:hAnsi="Times New Roman" w:cs="Times New Roman"/>
                <w:color w:val="auto"/>
                <w:sz w:val="24"/>
                <w:szCs w:val="24"/>
                <w:highlight w:val="none"/>
              </w:rPr>
              <w:t>产生量为</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t/a。项目配套风机风量1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/h，喷</w:t>
            </w:r>
            <w:r>
              <w:rPr>
                <w:rFonts w:hint="eastAsia" w:cs="Times New Roman"/>
                <w:color w:val="auto"/>
                <w:sz w:val="24"/>
                <w:szCs w:val="24"/>
                <w:highlight w:val="none"/>
                <w:lang w:val="en-US" w:eastAsia="zh-CN"/>
              </w:rPr>
              <w:t>塑室</w:t>
            </w:r>
            <w:r>
              <w:rPr>
                <w:rFonts w:hint="default" w:ascii="Times New Roman" w:hAnsi="Times New Roman" w:cs="Times New Roman"/>
                <w:color w:val="auto"/>
                <w:sz w:val="24"/>
                <w:szCs w:val="24"/>
                <w:highlight w:val="none"/>
              </w:rPr>
              <w:t>内采用</w:t>
            </w:r>
            <w:r>
              <w:rPr>
                <w:rFonts w:hint="eastAsia" w:cs="Times New Roman"/>
                <w:color w:val="auto"/>
                <w:sz w:val="24"/>
                <w:szCs w:val="24"/>
                <w:highlight w:val="none"/>
                <w:lang w:val="en-US" w:eastAsia="zh-CN"/>
              </w:rPr>
              <w:t>半</w:t>
            </w:r>
            <w:r>
              <w:rPr>
                <w:rFonts w:hint="default" w:ascii="Times New Roman" w:hAnsi="Times New Roman" w:cs="Times New Roman"/>
                <w:color w:val="auto"/>
                <w:sz w:val="24"/>
                <w:szCs w:val="24"/>
                <w:highlight w:val="none"/>
              </w:rPr>
              <w:t>密闭收集，收集效率以95%计，年运行时间约1200h，</w:t>
            </w:r>
            <w:r>
              <w:rPr>
                <w:rFonts w:hint="default" w:ascii="Times New Roman" w:hAnsi="Times New Roman" w:cs="Times New Roman"/>
                <w:color w:val="auto"/>
                <w:sz w:val="24"/>
                <w:szCs w:val="24"/>
                <w:highlight w:val="none"/>
                <w:lang w:eastAsia="zh-CN"/>
              </w:rPr>
              <w:t>颗粒物</w:t>
            </w:r>
            <w:r>
              <w:rPr>
                <w:rFonts w:hint="default" w:ascii="Times New Roman" w:hAnsi="Times New Roman" w:cs="Times New Roman"/>
                <w:color w:val="auto"/>
                <w:sz w:val="24"/>
                <w:szCs w:val="24"/>
                <w:highlight w:val="none"/>
              </w:rPr>
              <w:t>有组织产生量为</w:t>
            </w:r>
            <w:r>
              <w:rPr>
                <w:rFonts w:hint="eastAsia" w:ascii="Times New Roman" w:hAnsi="Times New Roman" w:cs="Times New Roman"/>
                <w:color w:val="auto"/>
                <w:sz w:val="24"/>
                <w:szCs w:val="24"/>
                <w:highlight w:val="none"/>
                <w:lang w:val="en-US" w:eastAsia="zh-CN"/>
              </w:rPr>
              <w:t>1.425</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1.188</w:t>
            </w:r>
            <w:r>
              <w:rPr>
                <w:rFonts w:hint="default" w:ascii="Times New Roman" w:hAnsi="Times New Roman" w:cs="Times New Roman"/>
                <w:color w:val="auto"/>
                <w:sz w:val="24"/>
                <w:szCs w:val="24"/>
                <w:highlight w:val="none"/>
              </w:rPr>
              <w:t>kg/h，</w:t>
            </w:r>
            <w:r>
              <w:rPr>
                <w:rFonts w:hint="eastAsia" w:ascii="Times New Roman" w:hAnsi="Times New Roman" w:cs="Times New Roman"/>
                <w:color w:val="auto"/>
                <w:sz w:val="24"/>
                <w:szCs w:val="24"/>
                <w:highlight w:val="none"/>
                <w:lang w:val="en-US" w:eastAsia="zh-CN"/>
              </w:rPr>
              <w:t>99</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），通过布袋除尘器进行处理后经</w:t>
            </w:r>
            <w:r>
              <w:rPr>
                <w:rFonts w:hint="default" w:ascii="Times New Roman" w:hAnsi="Times New Roman" w:cs="Times New Roman"/>
                <w:color w:val="auto"/>
                <w:sz w:val="24"/>
                <w:highlight w:val="none"/>
              </w:rPr>
              <w:t>15m高排气筒</w:t>
            </w:r>
            <w:r>
              <w:rPr>
                <w:rFonts w:hint="default" w:ascii="Times New Roman" w:hAnsi="Times New Roman" w:cs="Times New Roman"/>
                <w:color w:val="auto"/>
                <w:sz w:val="24"/>
                <w:szCs w:val="24"/>
                <w:highlight w:val="none"/>
              </w:rPr>
              <w:t>DA002排放，布袋除尘器去除效率以9</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%计，经计算</w:t>
            </w:r>
            <w:r>
              <w:rPr>
                <w:rFonts w:hint="default" w:ascii="Times New Roman" w:hAnsi="Times New Roman" w:cs="Times New Roman"/>
                <w:color w:val="auto"/>
                <w:sz w:val="24"/>
                <w:szCs w:val="24"/>
                <w:highlight w:val="none"/>
                <w:lang w:eastAsia="zh-CN"/>
              </w:rPr>
              <w:t>颗粒物</w:t>
            </w:r>
            <w:r>
              <w:rPr>
                <w:rFonts w:hint="default" w:ascii="Times New Roman" w:hAnsi="Times New Roman" w:cs="Times New Roman"/>
                <w:color w:val="auto"/>
                <w:sz w:val="24"/>
                <w:szCs w:val="24"/>
                <w:highlight w:val="none"/>
              </w:rPr>
              <w:t>有组织排放量为0.</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285</w:t>
            </w:r>
            <w:r>
              <w:rPr>
                <w:rFonts w:hint="default" w:ascii="Times New Roman" w:hAnsi="Times New Roman" w:cs="Times New Roman"/>
                <w:color w:val="auto"/>
                <w:sz w:val="24"/>
                <w:szCs w:val="24"/>
                <w:highlight w:val="none"/>
              </w:rPr>
              <w:t>t/a（0.</w:t>
            </w:r>
            <w:r>
              <w:rPr>
                <w:rFonts w:hint="eastAsia"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238</w:t>
            </w:r>
            <w:r>
              <w:rPr>
                <w:rFonts w:hint="default" w:ascii="Times New Roman" w:hAnsi="Times New Roman" w:cs="Times New Roman"/>
                <w:color w:val="auto"/>
                <w:sz w:val="24"/>
                <w:szCs w:val="24"/>
                <w:highlight w:val="none"/>
              </w:rPr>
              <w:t>kg/h，</w:t>
            </w:r>
            <w:r>
              <w:rPr>
                <w:rFonts w:hint="eastAsia" w:cs="Times New Roman"/>
                <w:color w:val="auto"/>
                <w:sz w:val="24"/>
                <w:szCs w:val="24"/>
                <w:highlight w:val="none"/>
                <w:lang w:val="en-US" w:eastAsia="zh-CN"/>
              </w:rPr>
              <w:t>1.98</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）。颗粒物无组织排放量为0.</w:t>
            </w:r>
            <w:r>
              <w:rPr>
                <w:rFonts w:hint="eastAsia" w:ascii="Times New Roman" w:hAnsi="Times New Roman" w:cs="Times New Roman"/>
                <w:color w:val="auto"/>
                <w:sz w:val="24"/>
                <w:szCs w:val="24"/>
                <w:highlight w:val="none"/>
                <w:lang w:val="en-US" w:eastAsia="zh-CN"/>
              </w:rPr>
              <w:t>075</w:t>
            </w:r>
            <w:r>
              <w:rPr>
                <w:rFonts w:hint="default" w:ascii="Times New Roman" w:hAnsi="Times New Roman" w:cs="Times New Roman"/>
                <w:color w:val="auto"/>
                <w:sz w:val="24"/>
                <w:szCs w:val="24"/>
                <w:highlight w:val="none"/>
              </w:rPr>
              <w:t>t/a（0.</w:t>
            </w:r>
            <w:r>
              <w:rPr>
                <w:rFonts w:hint="eastAsia" w:ascii="Times New Roman" w:hAnsi="Times New Roman" w:cs="Times New Roman"/>
                <w:color w:val="auto"/>
                <w:sz w:val="24"/>
                <w:szCs w:val="24"/>
                <w:highlight w:val="none"/>
                <w:lang w:val="en-US" w:eastAsia="zh-CN"/>
              </w:rPr>
              <w:t>062</w:t>
            </w:r>
            <w:r>
              <w:rPr>
                <w:rFonts w:hint="default" w:ascii="Times New Roman" w:hAnsi="Times New Roman" w:cs="Times New Roman"/>
                <w:color w:val="auto"/>
                <w:sz w:val="24"/>
                <w:szCs w:val="24"/>
                <w:highlight w:val="none"/>
              </w:rPr>
              <w:t>5kg/h）。</w:t>
            </w:r>
          </w:p>
          <w:p w14:paraId="7377FB31">
            <w:pPr>
              <w:pStyle w:val="136"/>
              <w:keepNext w:val="0"/>
              <w:keepLines w:val="0"/>
              <w:suppressLineNumbers w:val="0"/>
              <w:snapToGrid w:val="0"/>
              <w:spacing w:before="0" w:beforeAutospacing="0" w:after="0" w:afterAutospacing="0" w:line="360" w:lineRule="auto"/>
              <w:ind w:left="480" w:right="0" w:firstLine="0" w:firstLineChars="0"/>
              <w:rPr>
                <w:rFonts w:hint="eastAsia"/>
                <w:color w:val="auto"/>
                <w:sz w:val="24"/>
                <w:highlight w:val="none"/>
                <w:lang w:val="en-US" w:eastAsia="zh-CN"/>
              </w:rPr>
            </w:pPr>
            <w:r>
              <w:rPr>
                <w:rFonts w:hint="eastAsia"/>
                <w:color w:val="auto"/>
                <w:sz w:val="24"/>
                <w:highlight w:val="none"/>
                <w:lang w:val="en-US" w:eastAsia="zh-CN"/>
              </w:rPr>
              <w:t>5）固化废气</w:t>
            </w:r>
          </w:p>
          <w:p w14:paraId="0EDBEDE5">
            <w:pPr>
              <w:keepNext w:val="0"/>
              <w:keepLines w:val="0"/>
              <w:suppressLineNumbers w:val="0"/>
              <w:autoSpaceDE w:val="0"/>
              <w:autoSpaceDN w:val="0"/>
              <w:adjustRightInd w:val="0"/>
              <w:snapToGrid w:val="0"/>
              <w:spacing w:before="0" w:beforeAutospacing="0" w:after="0" w:afterAutospacing="0" w:line="360" w:lineRule="auto"/>
              <w:ind w:left="0" w:right="0" w:firstLine="405"/>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szCs w:val="24"/>
                <w:highlight w:val="none"/>
              </w:rPr>
              <w:t>固化工艺参照《</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"http://www.mee.gov.cn/xxgk2018/xxgk/xxgk01/202106/W020210624327149500026.pdf"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排放源统计调查产排污核算方法和系数手册</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》（公告2021年第24号）中“机械行业系数手册”，固化工艺NMHC产污系数为1.2kg/t原料，本项目塑粉用量</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t，则NMHC产生量为0.0</w:t>
            </w:r>
            <w:r>
              <w:rPr>
                <w:rFonts w:hint="eastAsia" w:ascii="Times New Roman" w:hAnsi="Times New Roman" w:cs="Times New Roman"/>
                <w:color w:val="auto"/>
                <w:sz w:val="24"/>
                <w:szCs w:val="24"/>
                <w:highlight w:val="none"/>
                <w:lang w:val="en-US" w:eastAsia="zh-CN"/>
              </w:rPr>
              <w:t>06</w:t>
            </w:r>
            <w:r>
              <w:rPr>
                <w:rFonts w:hint="default" w:ascii="Times New Roman" w:hAnsi="Times New Roman" w:cs="Times New Roman"/>
                <w:color w:val="auto"/>
                <w:sz w:val="24"/>
                <w:szCs w:val="24"/>
                <w:highlight w:val="none"/>
              </w:rPr>
              <w:t>t/a。项目配套风机风量</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/h，固化废气</w:t>
            </w:r>
            <w:r>
              <w:rPr>
                <w:rFonts w:hint="default" w:ascii="Times New Roman" w:hAnsi="Times New Roman" w:cs="Times New Roman"/>
                <w:color w:val="auto"/>
                <w:sz w:val="24"/>
                <w:szCs w:val="24"/>
                <w:highlight w:val="none"/>
                <w:lang w:val="en-US" w:eastAsia="zh-CN"/>
              </w:rPr>
              <w:t>经</w:t>
            </w:r>
            <w:r>
              <w:rPr>
                <w:rFonts w:hint="default" w:ascii="Times New Roman" w:hAnsi="Times New Roman" w:cs="Times New Roman"/>
                <w:color w:val="auto"/>
                <w:sz w:val="24"/>
                <w:szCs w:val="24"/>
                <w:highlight w:val="none"/>
              </w:rPr>
              <w:t>密闭</w:t>
            </w:r>
            <w:r>
              <w:rPr>
                <w:rFonts w:hint="default" w:ascii="Times New Roman" w:hAnsi="Times New Roman" w:cs="Times New Roman"/>
                <w:color w:val="auto"/>
                <w:sz w:val="24"/>
                <w:szCs w:val="24"/>
                <w:highlight w:val="none"/>
                <w:lang w:val="en-US" w:eastAsia="zh-CN"/>
              </w:rPr>
              <w:t>车间负压</w:t>
            </w:r>
            <w:r>
              <w:rPr>
                <w:rFonts w:hint="default" w:ascii="Times New Roman" w:hAnsi="Times New Roman" w:cs="Times New Roman"/>
                <w:color w:val="auto"/>
                <w:sz w:val="24"/>
                <w:szCs w:val="24"/>
                <w:highlight w:val="none"/>
              </w:rPr>
              <w:t>收集，收集效率以9</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%计，年运行时间约1200h，则NMHC有组织产生量为0.0</w:t>
            </w:r>
            <w:r>
              <w:rPr>
                <w:rFonts w:hint="eastAsia" w:ascii="Times New Roman" w:hAnsi="Times New Roman" w:cs="Times New Roman"/>
                <w:color w:val="auto"/>
                <w:sz w:val="24"/>
                <w:szCs w:val="24"/>
                <w:highlight w:val="none"/>
                <w:lang w:val="en-US" w:eastAsia="zh-CN"/>
              </w:rPr>
              <w:t>057</w:t>
            </w:r>
            <w:r>
              <w:rPr>
                <w:rFonts w:hint="default" w:ascii="Times New Roman" w:hAnsi="Times New Roman" w:cs="Times New Roman"/>
                <w:color w:val="auto"/>
                <w:sz w:val="24"/>
                <w:szCs w:val="24"/>
                <w:highlight w:val="none"/>
              </w:rPr>
              <w:t>t/a（0.00</w:t>
            </w:r>
            <w:r>
              <w:rPr>
                <w:rFonts w:hint="eastAsia" w:ascii="Times New Roman" w:hAnsi="Times New Roman" w:cs="Times New Roman"/>
                <w:color w:val="auto"/>
                <w:sz w:val="24"/>
                <w:szCs w:val="24"/>
                <w:highlight w:val="none"/>
                <w:lang w:val="en-US" w:eastAsia="zh-CN"/>
              </w:rPr>
              <w:t>48</w:t>
            </w:r>
            <w:r>
              <w:rPr>
                <w:rFonts w:hint="default" w:ascii="Times New Roman" w:hAnsi="Times New Roman" w:cs="Times New Roman"/>
                <w:color w:val="auto"/>
                <w:sz w:val="24"/>
                <w:szCs w:val="24"/>
                <w:highlight w:val="none"/>
              </w:rPr>
              <w:t>kg/h，</w:t>
            </w:r>
            <w:r>
              <w:rPr>
                <w:rFonts w:hint="eastAsia"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），通过</w:t>
            </w:r>
            <w:r>
              <w:rPr>
                <w:rFonts w:hint="default" w:ascii="Times New Roman" w:hAnsi="Times New Roman" w:cs="Times New Roman"/>
                <w:color w:val="auto"/>
                <w:sz w:val="24"/>
                <w:highlight w:val="none"/>
              </w:rPr>
              <w:t>干式过滤+二级活性炭吸附</w:t>
            </w:r>
            <w:r>
              <w:rPr>
                <w:rFonts w:hint="default" w:ascii="Times New Roman" w:hAnsi="Times New Roman" w:cs="Times New Roman"/>
                <w:color w:val="auto"/>
                <w:sz w:val="24"/>
                <w:szCs w:val="24"/>
                <w:highlight w:val="none"/>
              </w:rPr>
              <w:t>处理后经</w:t>
            </w:r>
            <w:r>
              <w:rPr>
                <w:rFonts w:hint="default" w:ascii="Times New Roman" w:hAnsi="Times New Roman" w:cs="Times New Roman"/>
                <w:color w:val="auto"/>
                <w:sz w:val="24"/>
                <w:highlight w:val="none"/>
              </w:rPr>
              <w:t>15m高排气筒</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排放，去除效率以90%计，则NMHC有组织排放量为0.00</w:t>
            </w:r>
            <w:r>
              <w:rPr>
                <w:rFonts w:hint="eastAsia" w:ascii="Times New Roman" w:hAnsi="Times New Roman" w:cs="Times New Roman"/>
                <w:color w:val="auto"/>
                <w:sz w:val="24"/>
                <w:szCs w:val="24"/>
                <w:highlight w:val="none"/>
                <w:lang w:val="en-US" w:eastAsia="zh-CN"/>
              </w:rPr>
              <w:t>06</w:t>
            </w:r>
            <w:r>
              <w:rPr>
                <w:rFonts w:hint="default" w:ascii="Times New Roman" w:hAnsi="Times New Roman" w:cs="Times New Roman"/>
                <w:color w:val="auto"/>
                <w:sz w:val="24"/>
                <w:szCs w:val="24"/>
                <w:highlight w:val="none"/>
              </w:rPr>
              <w:t>t/a（0.00</w:t>
            </w:r>
            <w:r>
              <w:rPr>
                <w:rFonts w:hint="eastAsia"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rPr>
              <w:t>kg/h，0.</w:t>
            </w:r>
            <w:r>
              <w:rPr>
                <w:rFonts w:hint="eastAsia"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），NMHC无组织产生量为0.00</w:t>
            </w:r>
            <w:r>
              <w:rPr>
                <w:rFonts w:hint="eastAsia" w:ascii="Times New Roman" w:hAnsi="Times New Roman" w:cs="Times New Roman"/>
                <w:color w:val="auto"/>
                <w:sz w:val="24"/>
                <w:szCs w:val="24"/>
                <w:highlight w:val="none"/>
                <w:lang w:val="en-US" w:eastAsia="zh-CN"/>
              </w:rPr>
              <w:t>03</w:t>
            </w:r>
            <w:r>
              <w:rPr>
                <w:rFonts w:hint="default" w:ascii="Times New Roman" w:hAnsi="Times New Roman" w:cs="Times New Roman"/>
                <w:color w:val="auto"/>
                <w:sz w:val="24"/>
                <w:szCs w:val="24"/>
                <w:highlight w:val="none"/>
              </w:rPr>
              <w:t>t/a（0.00</w:t>
            </w:r>
            <w:r>
              <w:rPr>
                <w:rFonts w:hint="eastAsia" w:ascii="Times New Roman" w:hAnsi="Times New Roman" w:cs="Times New Roman"/>
                <w:color w:val="auto"/>
                <w:sz w:val="24"/>
                <w:szCs w:val="24"/>
                <w:highlight w:val="none"/>
                <w:lang w:val="en-US" w:eastAsia="zh-CN"/>
              </w:rPr>
              <w:t>025</w:t>
            </w:r>
            <w:r>
              <w:rPr>
                <w:rFonts w:hint="default" w:ascii="Times New Roman" w:hAnsi="Times New Roman" w:cs="Times New Roman"/>
                <w:color w:val="auto"/>
                <w:sz w:val="24"/>
                <w:szCs w:val="24"/>
                <w:highlight w:val="none"/>
              </w:rPr>
              <w:t>kg/h）。</w:t>
            </w:r>
          </w:p>
          <w:p w14:paraId="5FF18A76">
            <w:pPr>
              <w:pStyle w:val="136"/>
              <w:keepNext w:val="0"/>
              <w:keepLines w:val="0"/>
              <w:suppressLineNumbers w:val="0"/>
              <w:snapToGrid w:val="0"/>
              <w:spacing w:before="0" w:beforeAutospacing="0" w:after="0" w:afterAutospacing="0" w:line="360" w:lineRule="auto"/>
              <w:ind w:left="480" w:right="0" w:firstLine="0" w:firstLineChars="0"/>
              <w:rPr>
                <w:rFonts w:hint="default" w:ascii="Times New Roman" w:hAnsi="Times New Roman" w:cs="Times New Roman"/>
                <w:color w:val="auto"/>
                <w:sz w:val="24"/>
                <w:highlight w:val="none"/>
              </w:rPr>
            </w:pPr>
            <w:r>
              <w:rPr>
                <w:rFonts w:hint="eastAsia"/>
                <w:color w:val="auto"/>
                <w:sz w:val="24"/>
                <w:highlight w:val="none"/>
                <w:lang w:val="en-US" w:eastAsia="zh-CN"/>
              </w:rPr>
              <w:t>6）喷漆废气</w:t>
            </w:r>
          </w:p>
          <w:p w14:paraId="6870DC5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eastAsia"/>
                <w:color w:val="auto"/>
                <w:sz w:val="24"/>
                <w:highlight w:val="none"/>
                <w:lang w:val="en-US" w:eastAsia="zh-CN"/>
              </w:rPr>
              <w:t>颗粒物</w:t>
            </w:r>
          </w:p>
          <w:p w14:paraId="61E30901">
            <w:pPr>
              <w:keepNext w:val="0"/>
              <w:keepLines w:val="0"/>
              <w:suppressLineNumbers w:val="0"/>
              <w:spacing w:before="0" w:beforeAutospacing="0" w:after="0" w:afterAutospacing="0" w:line="360" w:lineRule="auto"/>
              <w:ind w:left="0" w:right="0" w:firstLine="480" w:firstLineChars="200"/>
              <w:rPr>
                <w:color w:val="auto"/>
                <w:sz w:val="24"/>
                <w:highlight w:val="none"/>
              </w:rPr>
            </w:pPr>
            <w:r>
              <w:rPr>
                <w:color w:val="auto"/>
                <w:sz w:val="24"/>
                <w:highlight w:val="none"/>
              </w:rPr>
              <w:t>项目</w:t>
            </w:r>
            <w:r>
              <w:rPr>
                <w:rFonts w:hint="eastAsia"/>
                <w:color w:val="auto"/>
                <w:sz w:val="24"/>
                <w:highlight w:val="none"/>
              </w:rPr>
              <w:t>喷漆过程会产生一定的颗粒物，喷漆在</w:t>
            </w:r>
            <w:r>
              <w:rPr>
                <w:rFonts w:hint="eastAsia"/>
                <w:color w:val="auto"/>
                <w:sz w:val="24"/>
                <w:highlight w:val="none"/>
                <w:lang w:val="en-US" w:eastAsia="zh-CN"/>
              </w:rPr>
              <w:t>喷漆车间</w:t>
            </w:r>
            <w:r>
              <w:rPr>
                <w:rFonts w:hint="eastAsia"/>
                <w:color w:val="auto"/>
                <w:sz w:val="24"/>
                <w:highlight w:val="none"/>
              </w:rPr>
              <w:t>内进行，喷漆使用的漆料为</w:t>
            </w:r>
            <w:r>
              <w:rPr>
                <w:rFonts w:hint="eastAsia"/>
                <w:color w:val="auto"/>
                <w:sz w:val="24"/>
                <w:highlight w:val="none"/>
                <w:lang w:val="en-US" w:eastAsia="zh-CN"/>
              </w:rPr>
              <w:t>水性</w:t>
            </w:r>
            <w:r>
              <w:rPr>
                <w:rFonts w:hint="eastAsia"/>
                <w:color w:val="auto"/>
                <w:sz w:val="24"/>
                <w:highlight w:val="none"/>
              </w:rPr>
              <w:t>漆，用量为</w:t>
            </w:r>
            <w:r>
              <w:rPr>
                <w:rFonts w:hint="eastAsia"/>
                <w:color w:val="auto"/>
                <w:sz w:val="24"/>
                <w:highlight w:val="none"/>
                <w:lang w:val="en-US" w:eastAsia="zh-CN"/>
              </w:rPr>
              <w:t>10</w:t>
            </w:r>
            <w:r>
              <w:rPr>
                <w:rFonts w:hint="eastAsia"/>
                <w:color w:val="auto"/>
                <w:sz w:val="24"/>
                <w:highlight w:val="none"/>
              </w:rPr>
              <w:t>t/a。</w:t>
            </w:r>
            <w:r>
              <w:rPr>
                <w:color w:val="auto"/>
                <w:sz w:val="24"/>
                <w:highlight w:val="none"/>
              </w:rPr>
              <w:t>根据</w:t>
            </w:r>
            <w:r>
              <w:rPr>
                <w:rFonts w:hint="eastAsia"/>
                <w:color w:val="auto"/>
                <w:sz w:val="24"/>
                <w:highlight w:val="none"/>
              </w:rPr>
              <w:t>企业提供的</w:t>
            </w:r>
            <w:r>
              <w:rPr>
                <w:color w:val="auto"/>
                <w:sz w:val="24"/>
                <w:highlight w:val="none"/>
              </w:rPr>
              <w:t>MSDS，</w:t>
            </w:r>
            <w:r>
              <w:rPr>
                <w:rFonts w:hint="eastAsia"/>
                <w:color w:val="auto"/>
                <w:sz w:val="24"/>
                <w:highlight w:val="none"/>
                <w:lang w:val="en-US" w:eastAsia="zh-CN"/>
              </w:rPr>
              <w:t>水性</w:t>
            </w:r>
            <w:r>
              <w:rPr>
                <w:rFonts w:hint="eastAsia"/>
                <w:color w:val="auto"/>
                <w:sz w:val="24"/>
                <w:highlight w:val="none"/>
              </w:rPr>
              <w:t>漆</w:t>
            </w:r>
            <w:r>
              <w:rPr>
                <w:bCs/>
                <w:color w:val="auto"/>
                <w:sz w:val="24"/>
                <w:highlight w:val="none"/>
              </w:rPr>
              <w:t>固体分占</w:t>
            </w:r>
            <w:r>
              <w:rPr>
                <w:rFonts w:hint="eastAsia"/>
                <w:bCs/>
                <w:color w:val="auto"/>
                <w:sz w:val="24"/>
                <w:highlight w:val="none"/>
                <w:lang w:val="en-US" w:eastAsia="zh-CN"/>
              </w:rPr>
              <w:t>52.5</w:t>
            </w:r>
            <w:r>
              <w:rPr>
                <w:bCs/>
                <w:color w:val="auto"/>
                <w:sz w:val="24"/>
                <w:highlight w:val="none"/>
              </w:rPr>
              <w:t>%，</w:t>
            </w:r>
            <w:r>
              <w:rPr>
                <w:rFonts w:hint="eastAsia"/>
                <w:bCs/>
                <w:color w:val="auto"/>
                <w:sz w:val="24"/>
                <w:highlight w:val="none"/>
              </w:rPr>
              <w:t>即为</w:t>
            </w:r>
            <w:r>
              <w:rPr>
                <w:rFonts w:hint="eastAsia"/>
                <w:bCs/>
                <w:color w:val="auto"/>
                <w:sz w:val="24"/>
                <w:highlight w:val="none"/>
                <w:lang w:val="en-US" w:eastAsia="zh-CN"/>
              </w:rPr>
              <w:t>5.25</w:t>
            </w:r>
            <w:r>
              <w:rPr>
                <w:bCs/>
                <w:color w:val="auto"/>
                <w:sz w:val="24"/>
                <w:highlight w:val="none"/>
              </w:rPr>
              <w:t>t/a。</w:t>
            </w:r>
            <w:r>
              <w:rPr>
                <w:rFonts w:hAnsi="宋体"/>
                <w:color w:val="auto"/>
                <w:sz w:val="24"/>
                <w:highlight w:val="none"/>
              </w:rPr>
              <w:t>根据《涂装技术实用手册》（叶扬祥，潘肇基：机械工业出版社），喷漆固体分附着率约为</w:t>
            </w:r>
            <w:r>
              <w:rPr>
                <w:color w:val="auto"/>
                <w:sz w:val="24"/>
                <w:highlight w:val="none"/>
              </w:rPr>
              <w:t>70%</w:t>
            </w:r>
            <w:r>
              <w:rPr>
                <w:rFonts w:hAnsi="宋体"/>
                <w:color w:val="auto"/>
                <w:sz w:val="24"/>
                <w:highlight w:val="none"/>
              </w:rPr>
              <w:t>，即</w:t>
            </w:r>
            <w:r>
              <w:rPr>
                <w:color w:val="auto"/>
                <w:sz w:val="24"/>
                <w:highlight w:val="none"/>
              </w:rPr>
              <w:t>70%</w:t>
            </w:r>
            <w:r>
              <w:rPr>
                <w:rFonts w:hAnsi="宋体"/>
                <w:color w:val="auto"/>
                <w:sz w:val="24"/>
                <w:highlight w:val="none"/>
              </w:rPr>
              <w:t>的漆料固分附着在工件表面，剩余</w:t>
            </w:r>
            <w:r>
              <w:rPr>
                <w:color w:val="auto"/>
                <w:sz w:val="24"/>
                <w:highlight w:val="none"/>
              </w:rPr>
              <w:t>30%</w:t>
            </w:r>
            <w:r>
              <w:rPr>
                <w:rFonts w:hAnsi="宋体"/>
                <w:color w:val="auto"/>
                <w:sz w:val="24"/>
                <w:highlight w:val="none"/>
              </w:rPr>
              <w:t>形成漆雾。</w:t>
            </w:r>
            <w:r>
              <w:rPr>
                <w:color w:val="auto"/>
                <w:sz w:val="24"/>
                <w:highlight w:val="none"/>
              </w:rPr>
              <w:t>根据</w:t>
            </w:r>
            <w:r>
              <w:rPr>
                <w:rFonts w:hint="eastAsia"/>
                <w:color w:val="auto"/>
                <w:sz w:val="24"/>
                <w:highlight w:val="none"/>
                <w:lang w:val="en-US" w:eastAsia="zh-CN"/>
              </w:rPr>
              <w:t>水性</w:t>
            </w:r>
            <w:r>
              <w:rPr>
                <w:rFonts w:hint="eastAsia"/>
                <w:color w:val="auto"/>
                <w:sz w:val="24"/>
                <w:highlight w:val="none"/>
              </w:rPr>
              <w:t>漆</w:t>
            </w:r>
            <w:r>
              <w:rPr>
                <w:color w:val="auto"/>
                <w:sz w:val="24"/>
                <w:highlight w:val="none"/>
              </w:rPr>
              <w:t>中固</w:t>
            </w:r>
            <w:r>
              <w:rPr>
                <w:bCs/>
                <w:color w:val="auto"/>
                <w:sz w:val="24"/>
                <w:highlight w:val="none"/>
              </w:rPr>
              <w:t>体</w:t>
            </w:r>
            <w:r>
              <w:rPr>
                <w:color w:val="auto"/>
                <w:sz w:val="24"/>
                <w:highlight w:val="none"/>
              </w:rPr>
              <w:t>份含量、工件附着率计算，则</w:t>
            </w:r>
            <w:r>
              <w:rPr>
                <w:rFonts w:hint="eastAsia"/>
                <w:color w:val="auto"/>
                <w:sz w:val="24"/>
                <w:highlight w:val="none"/>
              </w:rPr>
              <w:t>喷漆工序的</w:t>
            </w:r>
            <w:r>
              <w:rPr>
                <w:color w:val="auto"/>
                <w:sz w:val="24"/>
                <w:highlight w:val="none"/>
              </w:rPr>
              <w:t>漆雾（颗粒物）总产生量</w:t>
            </w:r>
            <w:r>
              <w:rPr>
                <w:rFonts w:hint="eastAsia"/>
                <w:color w:val="auto"/>
                <w:sz w:val="24"/>
                <w:highlight w:val="none"/>
              </w:rPr>
              <w:t>为</w:t>
            </w:r>
            <w:r>
              <w:rPr>
                <w:rFonts w:hint="eastAsia"/>
                <w:color w:val="auto"/>
                <w:sz w:val="24"/>
                <w:highlight w:val="none"/>
                <w:lang w:val="en-US" w:eastAsia="zh-CN"/>
              </w:rPr>
              <w:t>1.575</w:t>
            </w:r>
            <w:r>
              <w:rPr>
                <w:color w:val="auto"/>
                <w:sz w:val="24"/>
                <w:highlight w:val="none"/>
              </w:rPr>
              <w:t>t/a。</w:t>
            </w:r>
          </w:p>
          <w:p w14:paraId="5E61BC83">
            <w:pPr>
              <w:keepNext w:val="0"/>
              <w:keepLines w:val="0"/>
              <w:suppressLineNumbers w:val="0"/>
              <w:spacing w:before="0" w:beforeAutospacing="0" w:after="0" w:afterAutospacing="0" w:line="360" w:lineRule="auto"/>
              <w:ind w:left="0" w:right="0" w:firstLine="480" w:firstLineChars="200"/>
              <w:rPr>
                <w:rFonts w:ascii="宋体" w:hAnsi="宋体" w:cs="宋体"/>
                <w:color w:val="auto"/>
                <w:kern w:val="0"/>
                <w:sz w:val="24"/>
                <w:highlight w:val="none"/>
              </w:rPr>
            </w:pPr>
            <w:r>
              <w:rPr>
                <w:bCs/>
                <w:color w:val="auto"/>
                <w:sz w:val="24"/>
                <w:highlight w:val="none"/>
              </w:rPr>
              <w:t>项目喷漆废气采用</w:t>
            </w:r>
            <w:r>
              <w:rPr>
                <w:rFonts w:hint="eastAsia"/>
                <w:color w:val="auto"/>
                <w:sz w:val="24"/>
                <w:highlight w:val="none"/>
              </w:rPr>
              <w:t>密闭</w:t>
            </w:r>
            <w:r>
              <w:rPr>
                <w:bCs/>
                <w:color w:val="auto"/>
                <w:sz w:val="24"/>
                <w:highlight w:val="none"/>
              </w:rPr>
              <w:t>车间</w:t>
            </w:r>
            <w:r>
              <w:rPr>
                <w:color w:val="auto"/>
                <w:sz w:val="24"/>
                <w:highlight w:val="none"/>
              </w:rPr>
              <w:t>负压收集</w:t>
            </w:r>
            <w:r>
              <w:rPr>
                <w:bCs/>
                <w:color w:val="auto"/>
                <w:sz w:val="24"/>
                <w:highlight w:val="none"/>
              </w:rPr>
              <w:t>，废气收集效率以95%计，</w:t>
            </w:r>
            <w:r>
              <w:rPr>
                <w:color w:val="auto"/>
                <w:sz w:val="24"/>
                <w:highlight w:val="none"/>
              </w:rPr>
              <w:t>风机风量</w:t>
            </w:r>
            <w:r>
              <w:rPr>
                <w:rFonts w:hint="eastAsia"/>
                <w:color w:val="auto"/>
                <w:sz w:val="24"/>
                <w:highlight w:val="none"/>
                <w:lang w:val="en-US" w:eastAsia="zh-CN"/>
              </w:rPr>
              <w:t>15</w:t>
            </w:r>
            <w:r>
              <w:rPr>
                <w:color w:val="auto"/>
                <w:sz w:val="24"/>
                <w:highlight w:val="none"/>
              </w:rPr>
              <w:t>000m</w:t>
            </w:r>
            <w:r>
              <w:rPr>
                <w:color w:val="auto"/>
                <w:sz w:val="24"/>
                <w:highlight w:val="none"/>
                <w:vertAlign w:val="superscript"/>
              </w:rPr>
              <w:t>3</w:t>
            </w:r>
            <w:r>
              <w:rPr>
                <w:color w:val="auto"/>
                <w:sz w:val="24"/>
                <w:highlight w:val="none"/>
              </w:rPr>
              <w:t>/h，年工作</w:t>
            </w:r>
            <w:r>
              <w:rPr>
                <w:rFonts w:hint="eastAsia"/>
                <w:color w:val="auto"/>
                <w:sz w:val="24"/>
                <w:highlight w:val="none"/>
                <w:lang w:val="en-US" w:eastAsia="zh-CN"/>
              </w:rPr>
              <w:t>12</w:t>
            </w:r>
            <w:r>
              <w:rPr>
                <w:color w:val="auto"/>
                <w:sz w:val="24"/>
                <w:highlight w:val="none"/>
              </w:rPr>
              <w:t>00h。</w:t>
            </w:r>
            <w:r>
              <w:rPr>
                <w:rFonts w:hint="eastAsia"/>
                <w:bCs/>
                <w:color w:val="auto"/>
                <w:sz w:val="24"/>
                <w:highlight w:val="none"/>
              </w:rPr>
              <w:t>则</w:t>
            </w:r>
            <w:r>
              <w:rPr>
                <w:bCs/>
                <w:color w:val="auto"/>
                <w:sz w:val="24"/>
                <w:highlight w:val="none"/>
              </w:rPr>
              <w:t>有组织</w:t>
            </w:r>
            <w:r>
              <w:rPr>
                <w:rFonts w:hint="eastAsia"/>
                <w:bCs/>
                <w:color w:val="auto"/>
                <w:sz w:val="24"/>
                <w:highlight w:val="none"/>
              </w:rPr>
              <w:t>颗粒物</w:t>
            </w:r>
            <w:r>
              <w:rPr>
                <w:bCs/>
                <w:color w:val="auto"/>
                <w:sz w:val="24"/>
                <w:highlight w:val="none"/>
              </w:rPr>
              <w:t>产生量为</w:t>
            </w:r>
            <w:r>
              <w:rPr>
                <w:rFonts w:hint="eastAsia"/>
                <w:bCs/>
                <w:color w:val="auto"/>
                <w:sz w:val="24"/>
                <w:highlight w:val="none"/>
              </w:rPr>
              <w:t>1.</w:t>
            </w:r>
            <w:r>
              <w:rPr>
                <w:rFonts w:hint="eastAsia"/>
                <w:bCs/>
                <w:color w:val="auto"/>
                <w:sz w:val="24"/>
                <w:highlight w:val="none"/>
                <w:lang w:val="en-US" w:eastAsia="zh-CN"/>
              </w:rPr>
              <w:t>496</w:t>
            </w:r>
            <w:r>
              <w:rPr>
                <w:bCs/>
                <w:color w:val="auto"/>
                <w:sz w:val="24"/>
                <w:highlight w:val="none"/>
              </w:rPr>
              <w:t>t/a（</w:t>
            </w:r>
            <w:r>
              <w:rPr>
                <w:rFonts w:hint="eastAsia"/>
                <w:bCs/>
                <w:color w:val="auto"/>
                <w:sz w:val="24"/>
                <w:highlight w:val="none"/>
                <w:lang w:val="en-US" w:eastAsia="zh-CN"/>
              </w:rPr>
              <w:t>1.247</w:t>
            </w:r>
            <w:r>
              <w:rPr>
                <w:bCs/>
                <w:color w:val="auto"/>
                <w:sz w:val="24"/>
                <w:highlight w:val="none"/>
              </w:rPr>
              <w:t>kg/h、</w:t>
            </w:r>
            <w:r>
              <w:rPr>
                <w:rFonts w:hint="eastAsia"/>
                <w:bCs/>
                <w:color w:val="auto"/>
                <w:sz w:val="24"/>
                <w:highlight w:val="none"/>
                <w:lang w:val="en-US" w:eastAsia="zh-CN"/>
              </w:rPr>
              <w:t>83</w:t>
            </w:r>
            <w:r>
              <w:rPr>
                <w:bCs/>
                <w:color w:val="auto"/>
                <w:sz w:val="24"/>
                <w:highlight w:val="none"/>
              </w:rPr>
              <w:t>mg/m</w:t>
            </w:r>
            <w:r>
              <w:rPr>
                <w:bCs/>
                <w:color w:val="auto"/>
                <w:sz w:val="24"/>
                <w:highlight w:val="none"/>
                <w:vertAlign w:val="superscript"/>
              </w:rPr>
              <w:t>3</w:t>
            </w:r>
            <w:r>
              <w:rPr>
                <w:bCs/>
                <w:color w:val="auto"/>
                <w:sz w:val="24"/>
                <w:highlight w:val="none"/>
              </w:rPr>
              <w:t>）。</w:t>
            </w:r>
            <w:r>
              <w:rPr>
                <w:color w:val="auto"/>
                <w:sz w:val="24"/>
                <w:highlight w:val="none"/>
              </w:rPr>
              <w:t>产生的废气经“</w:t>
            </w:r>
            <w:r>
              <w:rPr>
                <w:rFonts w:hint="eastAsia"/>
                <w:color w:val="auto"/>
                <w:sz w:val="24"/>
                <w:highlight w:val="none"/>
              </w:rPr>
              <w:t>干式过滤</w:t>
            </w:r>
            <w:r>
              <w:rPr>
                <w:color w:val="auto"/>
                <w:sz w:val="24"/>
                <w:highlight w:val="none"/>
              </w:rPr>
              <w:t>+</w:t>
            </w:r>
            <w:r>
              <w:rPr>
                <w:rFonts w:hint="eastAsia"/>
                <w:color w:val="auto"/>
                <w:sz w:val="24"/>
                <w:highlight w:val="none"/>
              </w:rPr>
              <w:t>二级</w:t>
            </w:r>
            <w:r>
              <w:rPr>
                <w:color w:val="auto"/>
                <w:sz w:val="24"/>
                <w:highlight w:val="none"/>
              </w:rPr>
              <w:t>活性炭吸附”后由1根15m高排气筒</w:t>
            </w:r>
            <w:r>
              <w:rPr>
                <w:rFonts w:hint="eastAsia"/>
                <w:color w:val="auto"/>
                <w:sz w:val="24"/>
                <w:highlight w:val="none"/>
              </w:rPr>
              <w:t>DA00</w:t>
            </w:r>
            <w:r>
              <w:rPr>
                <w:rFonts w:hint="eastAsia"/>
                <w:color w:val="auto"/>
                <w:sz w:val="24"/>
                <w:highlight w:val="none"/>
                <w:lang w:val="en-US" w:eastAsia="zh-CN"/>
              </w:rPr>
              <w:t>1</w:t>
            </w:r>
            <w:r>
              <w:rPr>
                <w:color w:val="auto"/>
                <w:sz w:val="24"/>
                <w:highlight w:val="none"/>
              </w:rPr>
              <w:t>排放。</w:t>
            </w:r>
            <w:r>
              <w:rPr>
                <w:rFonts w:hint="eastAsia"/>
                <w:color w:val="auto"/>
                <w:sz w:val="24"/>
                <w:highlight w:val="none"/>
              </w:rPr>
              <w:t>干式过滤</w:t>
            </w:r>
            <w:r>
              <w:rPr>
                <w:bCs/>
                <w:color w:val="auto"/>
                <w:sz w:val="24"/>
                <w:highlight w:val="none"/>
              </w:rPr>
              <w:t>处理效率以90%计</w:t>
            </w:r>
            <w:r>
              <w:rPr>
                <w:rFonts w:hint="eastAsia"/>
                <w:color w:val="auto"/>
                <w:sz w:val="24"/>
                <w:highlight w:val="none"/>
              </w:rPr>
              <w:t>，则</w:t>
            </w:r>
            <w:r>
              <w:rPr>
                <w:bCs/>
                <w:color w:val="auto"/>
                <w:sz w:val="24"/>
                <w:highlight w:val="none"/>
              </w:rPr>
              <w:t>有组织</w:t>
            </w:r>
            <w:r>
              <w:rPr>
                <w:rFonts w:hint="eastAsia"/>
                <w:bCs/>
                <w:color w:val="auto"/>
                <w:sz w:val="24"/>
                <w:highlight w:val="none"/>
              </w:rPr>
              <w:t>颗粒物</w:t>
            </w:r>
            <w:r>
              <w:rPr>
                <w:bCs/>
                <w:color w:val="auto"/>
                <w:sz w:val="24"/>
                <w:highlight w:val="none"/>
              </w:rPr>
              <w:t>排放量为0.</w:t>
            </w:r>
            <w:r>
              <w:rPr>
                <w:rFonts w:hint="eastAsia"/>
                <w:bCs/>
                <w:color w:val="auto"/>
                <w:sz w:val="24"/>
                <w:highlight w:val="none"/>
              </w:rPr>
              <w:t>1</w:t>
            </w:r>
            <w:r>
              <w:rPr>
                <w:rFonts w:hint="eastAsia"/>
                <w:bCs/>
                <w:color w:val="auto"/>
                <w:sz w:val="24"/>
                <w:highlight w:val="none"/>
                <w:lang w:val="en-US" w:eastAsia="zh-CN"/>
              </w:rPr>
              <w:t>496</w:t>
            </w:r>
            <w:r>
              <w:rPr>
                <w:bCs/>
                <w:color w:val="auto"/>
                <w:sz w:val="24"/>
                <w:highlight w:val="none"/>
              </w:rPr>
              <w:t>t/a（0.</w:t>
            </w:r>
            <w:r>
              <w:rPr>
                <w:rFonts w:hint="eastAsia"/>
                <w:bCs/>
                <w:color w:val="auto"/>
                <w:sz w:val="24"/>
                <w:highlight w:val="none"/>
                <w:lang w:val="en-US" w:eastAsia="zh-CN"/>
              </w:rPr>
              <w:t>1247</w:t>
            </w:r>
            <w:r>
              <w:rPr>
                <w:bCs/>
                <w:color w:val="auto"/>
                <w:sz w:val="24"/>
                <w:highlight w:val="none"/>
              </w:rPr>
              <w:t>kg/h、</w:t>
            </w:r>
            <w:r>
              <w:rPr>
                <w:rFonts w:hint="eastAsia"/>
                <w:bCs/>
                <w:color w:val="auto"/>
                <w:sz w:val="24"/>
                <w:highlight w:val="none"/>
                <w:lang w:val="en-US" w:eastAsia="zh-CN"/>
              </w:rPr>
              <w:t>8.3</w:t>
            </w:r>
            <w:r>
              <w:rPr>
                <w:bCs/>
                <w:color w:val="auto"/>
                <w:sz w:val="24"/>
                <w:highlight w:val="none"/>
              </w:rPr>
              <w:t>mg/m</w:t>
            </w:r>
            <w:r>
              <w:rPr>
                <w:bCs/>
                <w:color w:val="auto"/>
                <w:sz w:val="24"/>
                <w:highlight w:val="none"/>
                <w:vertAlign w:val="superscript"/>
              </w:rPr>
              <w:t>3</w:t>
            </w:r>
            <w:r>
              <w:rPr>
                <w:bCs/>
                <w:color w:val="auto"/>
                <w:sz w:val="24"/>
                <w:highlight w:val="none"/>
              </w:rPr>
              <w:t>）</w:t>
            </w:r>
            <w:r>
              <w:rPr>
                <w:rFonts w:hint="eastAsia"/>
                <w:color w:val="auto"/>
                <w:sz w:val="24"/>
                <w:highlight w:val="none"/>
              </w:rPr>
              <w:t>，</w:t>
            </w:r>
            <w:r>
              <w:rPr>
                <w:color w:val="auto"/>
                <w:sz w:val="24"/>
                <w:highlight w:val="none"/>
              </w:rPr>
              <w:t>无组织</w:t>
            </w:r>
            <w:r>
              <w:rPr>
                <w:rFonts w:hint="eastAsia"/>
                <w:bCs/>
                <w:color w:val="auto"/>
                <w:sz w:val="24"/>
                <w:highlight w:val="none"/>
              </w:rPr>
              <w:t>颗粒物</w:t>
            </w:r>
            <w:r>
              <w:rPr>
                <w:bCs/>
                <w:color w:val="auto"/>
                <w:sz w:val="24"/>
                <w:highlight w:val="none"/>
              </w:rPr>
              <w:t>排放量为</w:t>
            </w:r>
            <w:r>
              <w:rPr>
                <w:rFonts w:hint="eastAsia"/>
                <w:bCs/>
                <w:color w:val="auto"/>
                <w:sz w:val="24"/>
                <w:highlight w:val="none"/>
              </w:rPr>
              <w:t>0.0</w:t>
            </w:r>
            <w:r>
              <w:rPr>
                <w:rFonts w:hint="eastAsia"/>
                <w:bCs/>
                <w:color w:val="auto"/>
                <w:sz w:val="24"/>
                <w:highlight w:val="none"/>
                <w:lang w:val="en-US" w:eastAsia="zh-CN"/>
              </w:rPr>
              <w:t>788</w:t>
            </w:r>
            <w:r>
              <w:rPr>
                <w:bCs/>
                <w:color w:val="auto"/>
                <w:sz w:val="24"/>
                <w:highlight w:val="none"/>
              </w:rPr>
              <w:t>t/a（0.0</w:t>
            </w:r>
            <w:r>
              <w:rPr>
                <w:rFonts w:hint="eastAsia"/>
                <w:bCs/>
                <w:color w:val="auto"/>
                <w:sz w:val="24"/>
                <w:highlight w:val="none"/>
                <w:lang w:val="en-US" w:eastAsia="zh-CN"/>
              </w:rPr>
              <w:t>65</w:t>
            </w:r>
            <w:r>
              <w:rPr>
                <w:rFonts w:hint="eastAsia"/>
                <w:bCs/>
                <w:color w:val="auto"/>
                <w:sz w:val="24"/>
                <w:highlight w:val="none"/>
              </w:rPr>
              <w:t>6</w:t>
            </w:r>
            <w:r>
              <w:rPr>
                <w:bCs/>
                <w:color w:val="auto"/>
                <w:sz w:val="24"/>
                <w:highlight w:val="none"/>
              </w:rPr>
              <w:t>kg/h）。</w:t>
            </w:r>
          </w:p>
          <w:p w14:paraId="40A4122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w:t>
            </w:r>
            <w:r>
              <w:rPr>
                <w:rFonts w:hint="eastAsia"/>
                <w:color w:val="auto"/>
                <w:sz w:val="24"/>
                <w:highlight w:val="none"/>
              </w:rPr>
              <w:t>NMHC</w:t>
            </w:r>
          </w:p>
          <w:p w14:paraId="3B182A07">
            <w:pPr>
              <w:keepNext w:val="0"/>
              <w:keepLines w:val="0"/>
              <w:widowControl/>
              <w:suppressLineNumbers w:val="0"/>
              <w:spacing w:before="0" w:beforeAutospacing="0" w:after="0" w:afterAutospacing="0" w:line="360" w:lineRule="auto"/>
              <w:ind w:left="0" w:right="0" w:firstLine="480" w:firstLineChars="200"/>
              <w:rPr>
                <w:rFonts w:hint="eastAsia"/>
                <w:color w:val="auto"/>
                <w:sz w:val="24"/>
                <w:highlight w:val="none"/>
                <w:lang w:val="en-US" w:eastAsia="zh-CN"/>
              </w:rPr>
            </w:pPr>
            <w:r>
              <w:rPr>
                <w:color w:val="auto"/>
                <w:sz w:val="24"/>
                <w:highlight w:val="none"/>
              </w:rPr>
              <w:t>项目</w:t>
            </w:r>
            <w:r>
              <w:rPr>
                <w:rFonts w:hint="eastAsia"/>
                <w:color w:val="auto"/>
                <w:sz w:val="24"/>
                <w:highlight w:val="none"/>
              </w:rPr>
              <w:t>喷漆过程会产生一定的有机废气（以NMHC计）</w:t>
            </w:r>
            <w:r>
              <w:rPr>
                <w:color w:val="auto"/>
                <w:sz w:val="24"/>
                <w:highlight w:val="none"/>
              </w:rPr>
              <w:t>，</w:t>
            </w:r>
            <w:r>
              <w:rPr>
                <w:rFonts w:hint="eastAsia"/>
                <w:color w:val="auto"/>
                <w:sz w:val="24"/>
                <w:highlight w:val="none"/>
              </w:rPr>
              <w:t>喷漆在喷漆房内进行，喷漆使用的漆料为</w:t>
            </w:r>
            <w:r>
              <w:rPr>
                <w:rFonts w:hint="eastAsia"/>
                <w:color w:val="auto"/>
                <w:sz w:val="24"/>
                <w:highlight w:val="none"/>
                <w:lang w:val="en-US" w:eastAsia="zh-CN"/>
              </w:rPr>
              <w:t>水性</w:t>
            </w:r>
            <w:r>
              <w:rPr>
                <w:rFonts w:hint="eastAsia"/>
                <w:color w:val="auto"/>
                <w:sz w:val="24"/>
                <w:highlight w:val="none"/>
              </w:rPr>
              <w:t>漆，用量为</w:t>
            </w:r>
            <w:r>
              <w:rPr>
                <w:rFonts w:hint="eastAsia"/>
                <w:color w:val="auto"/>
                <w:sz w:val="24"/>
                <w:highlight w:val="none"/>
                <w:lang w:val="en-US" w:eastAsia="zh-CN"/>
              </w:rPr>
              <w:t>10</w:t>
            </w:r>
            <w:r>
              <w:rPr>
                <w:rFonts w:hint="eastAsia"/>
                <w:color w:val="auto"/>
                <w:sz w:val="24"/>
                <w:highlight w:val="none"/>
              </w:rPr>
              <w:t>t/a</w:t>
            </w:r>
            <w:r>
              <w:rPr>
                <w:color w:val="auto"/>
                <w:sz w:val="24"/>
                <w:highlight w:val="none"/>
              </w:rPr>
              <w:t>。</w:t>
            </w:r>
            <w:r>
              <w:rPr>
                <w:rFonts w:hint="eastAsia"/>
                <w:color w:val="auto"/>
                <w:kern w:val="0"/>
                <w:sz w:val="24"/>
                <w:szCs w:val="24"/>
                <w:highlight w:val="none"/>
                <w:lang w:val="en-US" w:eastAsia="zh-CN"/>
              </w:rPr>
              <w:t>水性漆成分为水性丙烯酸</w:t>
            </w:r>
            <w:r>
              <w:rPr>
                <w:rFonts w:hint="eastAsia"/>
                <w:color w:val="auto"/>
                <w:kern w:val="0"/>
                <w:sz w:val="24"/>
                <w:szCs w:val="24"/>
                <w:highlight w:val="none"/>
              </w:rPr>
              <w:t>树脂</w:t>
            </w:r>
            <w:r>
              <w:rPr>
                <w:rFonts w:hint="eastAsia"/>
                <w:color w:val="auto"/>
                <w:kern w:val="0"/>
                <w:sz w:val="24"/>
                <w:szCs w:val="24"/>
                <w:highlight w:val="none"/>
                <w:lang w:val="en-US" w:eastAsia="zh-CN"/>
              </w:rPr>
              <w:t>15%～35</w:t>
            </w:r>
            <w:r>
              <w:rPr>
                <w:rFonts w:hint="eastAsia"/>
                <w:color w:val="auto"/>
                <w:kern w:val="0"/>
                <w:sz w:val="24"/>
                <w:szCs w:val="24"/>
                <w:highlight w:val="none"/>
              </w:rPr>
              <w:t>%、</w:t>
            </w:r>
            <w:r>
              <w:rPr>
                <w:rFonts w:hint="eastAsia"/>
                <w:color w:val="auto"/>
                <w:kern w:val="0"/>
                <w:sz w:val="24"/>
                <w:szCs w:val="24"/>
                <w:highlight w:val="none"/>
                <w:lang w:val="en-US" w:eastAsia="zh-CN"/>
              </w:rPr>
              <w:t>水性氨基树脂</w:t>
            </w:r>
            <w:r>
              <w:rPr>
                <w:rFonts w:hint="eastAsia"/>
                <w:color w:val="auto"/>
                <w:kern w:val="0"/>
                <w:sz w:val="24"/>
                <w:szCs w:val="24"/>
                <w:highlight w:val="none"/>
              </w:rPr>
              <w:t>1</w:t>
            </w:r>
            <w:r>
              <w:rPr>
                <w:rFonts w:hint="eastAsia"/>
                <w:color w:val="auto"/>
                <w:kern w:val="0"/>
                <w:sz w:val="24"/>
                <w:szCs w:val="24"/>
                <w:highlight w:val="none"/>
                <w:lang w:val="en-US" w:eastAsia="zh-CN"/>
              </w:rPr>
              <w:t>0%～</w:t>
            </w:r>
            <w:r>
              <w:rPr>
                <w:rFonts w:hint="eastAsia"/>
                <w:color w:val="auto"/>
                <w:kern w:val="0"/>
                <w:sz w:val="24"/>
                <w:szCs w:val="24"/>
                <w:highlight w:val="none"/>
              </w:rPr>
              <w:t>1</w:t>
            </w:r>
            <w:r>
              <w:rPr>
                <w:rFonts w:hint="eastAsia"/>
                <w:color w:val="auto"/>
                <w:kern w:val="0"/>
                <w:sz w:val="24"/>
                <w:szCs w:val="24"/>
                <w:highlight w:val="none"/>
                <w:lang w:val="en-US" w:eastAsia="zh-CN"/>
              </w:rPr>
              <w:t>4</w:t>
            </w:r>
            <w:r>
              <w:rPr>
                <w:rFonts w:hint="eastAsia"/>
                <w:color w:val="auto"/>
                <w:kern w:val="0"/>
                <w:sz w:val="24"/>
                <w:szCs w:val="24"/>
                <w:highlight w:val="none"/>
              </w:rPr>
              <w:t>%、</w:t>
            </w:r>
            <w:r>
              <w:rPr>
                <w:rFonts w:hint="eastAsia"/>
                <w:color w:val="auto"/>
                <w:kern w:val="0"/>
                <w:sz w:val="24"/>
                <w:szCs w:val="24"/>
                <w:highlight w:val="none"/>
                <w:lang w:val="en-US" w:eastAsia="zh-CN"/>
              </w:rPr>
              <w:t>其他颜填料</w:t>
            </w:r>
            <w:r>
              <w:rPr>
                <w:rFonts w:hint="eastAsia"/>
                <w:color w:val="auto"/>
                <w:kern w:val="0"/>
                <w:sz w:val="24"/>
                <w:szCs w:val="24"/>
                <w:highlight w:val="none"/>
              </w:rPr>
              <w:t>5</w:t>
            </w:r>
            <w:r>
              <w:rPr>
                <w:rFonts w:hint="eastAsia"/>
                <w:color w:val="auto"/>
                <w:kern w:val="0"/>
                <w:sz w:val="24"/>
                <w:szCs w:val="24"/>
                <w:highlight w:val="none"/>
                <w:lang w:eastAsia="zh-CN"/>
              </w:rPr>
              <w:t>%～</w:t>
            </w:r>
            <w:r>
              <w:rPr>
                <w:rFonts w:hint="eastAsia"/>
                <w:color w:val="auto"/>
                <w:kern w:val="0"/>
                <w:sz w:val="24"/>
                <w:szCs w:val="24"/>
                <w:highlight w:val="none"/>
                <w:lang w:val="en-US" w:eastAsia="zh-CN"/>
              </w:rPr>
              <w:t>16</w:t>
            </w:r>
            <w:r>
              <w:rPr>
                <w:rFonts w:hint="eastAsia"/>
                <w:color w:val="auto"/>
                <w:kern w:val="0"/>
                <w:sz w:val="24"/>
                <w:szCs w:val="24"/>
                <w:highlight w:val="none"/>
              </w:rPr>
              <w:t>%、</w:t>
            </w:r>
            <w:r>
              <w:rPr>
                <w:rFonts w:hint="eastAsia"/>
                <w:color w:val="auto"/>
                <w:kern w:val="0"/>
                <w:sz w:val="24"/>
                <w:szCs w:val="24"/>
                <w:highlight w:val="none"/>
                <w:lang w:val="en-US" w:eastAsia="zh-CN"/>
              </w:rPr>
              <w:t>二</w:t>
            </w:r>
            <w:r>
              <w:rPr>
                <w:rFonts w:hint="eastAsia"/>
                <w:color w:val="auto"/>
                <w:kern w:val="0"/>
                <w:sz w:val="24"/>
                <w:szCs w:val="24"/>
                <w:highlight w:val="none"/>
              </w:rPr>
              <w:t>丙二醇甲醚1</w:t>
            </w:r>
            <w:r>
              <w:rPr>
                <w:rFonts w:hint="eastAsia"/>
                <w:color w:val="auto"/>
                <w:kern w:val="0"/>
                <w:sz w:val="24"/>
                <w:szCs w:val="24"/>
                <w:highlight w:val="none"/>
                <w:lang w:val="en-US" w:eastAsia="zh-CN"/>
              </w:rPr>
              <w:t>0%～15</w:t>
            </w:r>
            <w:r>
              <w:rPr>
                <w:rFonts w:hint="eastAsia"/>
                <w:color w:val="auto"/>
                <w:kern w:val="0"/>
                <w:sz w:val="24"/>
                <w:szCs w:val="24"/>
                <w:highlight w:val="none"/>
              </w:rPr>
              <w:t>%</w:t>
            </w:r>
            <w:r>
              <w:rPr>
                <w:rFonts w:hint="eastAsia"/>
                <w:color w:val="auto"/>
                <w:kern w:val="0"/>
                <w:sz w:val="24"/>
                <w:szCs w:val="24"/>
                <w:highlight w:val="none"/>
                <w:lang w:eastAsia="zh-CN"/>
              </w:rPr>
              <w:t>、</w:t>
            </w:r>
            <w:r>
              <w:rPr>
                <w:rFonts w:hint="eastAsia"/>
                <w:color w:val="auto"/>
                <w:kern w:val="0"/>
                <w:sz w:val="24"/>
                <w:szCs w:val="24"/>
                <w:highlight w:val="none"/>
                <w:lang w:val="en-US" w:eastAsia="zh-CN"/>
              </w:rPr>
              <w:t>流平剂3%～5</w:t>
            </w:r>
            <w:r>
              <w:rPr>
                <w:rFonts w:hint="eastAsia"/>
                <w:color w:val="auto"/>
                <w:kern w:val="0"/>
                <w:sz w:val="24"/>
                <w:szCs w:val="24"/>
                <w:highlight w:val="none"/>
              </w:rPr>
              <w:t>%</w:t>
            </w:r>
            <w:r>
              <w:rPr>
                <w:rFonts w:hint="eastAsia"/>
                <w:color w:val="auto"/>
                <w:kern w:val="0"/>
                <w:sz w:val="24"/>
                <w:szCs w:val="24"/>
                <w:highlight w:val="none"/>
                <w:lang w:eastAsia="zh-CN"/>
              </w:rPr>
              <w:t>、</w:t>
            </w:r>
            <w:r>
              <w:rPr>
                <w:rFonts w:hint="eastAsia"/>
                <w:color w:val="auto"/>
                <w:kern w:val="0"/>
                <w:sz w:val="24"/>
                <w:szCs w:val="24"/>
                <w:highlight w:val="none"/>
                <w:lang w:val="en-US" w:eastAsia="zh-CN"/>
              </w:rPr>
              <w:t>水30%～40</w:t>
            </w:r>
            <w:r>
              <w:rPr>
                <w:rFonts w:hint="eastAsia"/>
                <w:color w:val="auto"/>
                <w:kern w:val="0"/>
                <w:sz w:val="24"/>
                <w:szCs w:val="24"/>
                <w:highlight w:val="none"/>
              </w:rPr>
              <w:t>%</w:t>
            </w:r>
            <w:r>
              <w:rPr>
                <w:rFonts w:hint="eastAsia"/>
                <w:color w:val="auto"/>
                <w:kern w:val="0"/>
                <w:sz w:val="24"/>
                <w:szCs w:val="24"/>
                <w:highlight w:val="none"/>
                <w:lang w:eastAsia="zh-CN"/>
              </w:rPr>
              <w:t>。根据企业提供的MSDS，水性漆中挥发性有机成分为二丙二醇甲醚，含量合计占比在10%～15%，根据《江苏省重点行业挥发性有机物排放量计算暂行办法》（苏环办〔2016〕154号）“物料中VOCs含量可以以供货商提供的质检报告（MSDS文件）为核定依据，如文件中的溶剂含量数据为百分比范围，取其范围中值”，因此，本次评价水性漆中挥发性有机成分含量取12.5%，</w:t>
            </w:r>
            <w:r>
              <w:rPr>
                <w:color w:val="auto"/>
                <w:sz w:val="24"/>
                <w:highlight w:val="none"/>
              </w:rPr>
              <w:t>则</w:t>
            </w:r>
            <w:r>
              <w:rPr>
                <w:rFonts w:hint="eastAsia"/>
                <w:color w:val="auto"/>
                <w:sz w:val="24"/>
                <w:highlight w:val="none"/>
              </w:rPr>
              <w:t>NMHC</w:t>
            </w:r>
            <w:r>
              <w:rPr>
                <w:color w:val="auto"/>
                <w:sz w:val="24"/>
                <w:highlight w:val="none"/>
              </w:rPr>
              <w:t>产生量</w:t>
            </w:r>
            <w:r>
              <w:rPr>
                <w:rFonts w:hint="eastAsia"/>
                <w:color w:val="auto"/>
                <w:sz w:val="24"/>
                <w:highlight w:val="none"/>
              </w:rPr>
              <w:t>为</w:t>
            </w:r>
            <w:r>
              <w:rPr>
                <w:rFonts w:hint="eastAsia"/>
                <w:color w:val="auto"/>
                <w:sz w:val="24"/>
                <w:highlight w:val="none"/>
                <w:lang w:val="en-US" w:eastAsia="zh-CN"/>
              </w:rPr>
              <w:t>1.25</w:t>
            </w:r>
            <w:r>
              <w:rPr>
                <w:color w:val="auto"/>
                <w:sz w:val="24"/>
                <w:highlight w:val="none"/>
              </w:rPr>
              <w:t>t/a</w:t>
            </w:r>
            <w:r>
              <w:rPr>
                <w:rFonts w:hint="eastAsia"/>
                <w:color w:val="auto"/>
                <w:sz w:val="24"/>
                <w:highlight w:val="none"/>
                <w:lang w:eastAsia="zh-CN"/>
              </w:rPr>
              <w:t>。</w:t>
            </w:r>
            <w:r>
              <w:rPr>
                <w:rFonts w:hAnsi="宋体"/>
                <w:color w:val="auto"/>
                <w:sz w:val="24"/>
                <w:highlight w:val="none"/>
              </w:rPr>
              <w:t>参照《涂装工艺及车间设计手册》（傅邵燕编著），喷涂、烘干工段有机溶剂挥发量占比按</w:t>
            </w:r>
            <w:r>
              <w:rPr>
                <w:color w:val="auto"/>
                <w:sz w:val="24"/>
                <w:highlight w:val="none"/>
              </w:rPr>
              <w:t>7:3</w:t>
            </w:r>
            <w:r>
              <w:rPr>
                <w:rFonts w:hAnsi="宋体"/>
                <w:color w:val="auto"/>
                <w:sz w:val="24"/>
                <w:highlight w:val="none"/>
              </w:rPr>
              <w:t>计算</w:t>
            </w:r>
            <w:r>
              <w:rPr>
                <w:rFonts w:hint="eastAsia" w:hAnsi="宋体"/>
                <w:color w:val="auto"/>
                <w:sz w:val="24"/>
                <w:highlight w:val="none"/>
              </w:rPr>
              <w:t>，</w:t>
            </w:r>
            <w:r>
              <w:rPr>
                <w:color w:val="auto"/>
                <w:sz w:val="24"/>
                <w:highlight w:val="none"/>
              </w:rPr>
              <w:t>则</w:t>
            </w:r>
            <w:r>
              <w:rPr>
                <w:rFonts w:hint="eastAsia"/>
                <w:color w:val="auto"/>
                <w:sz w:val="24"/>
                <w:highlight w:val="none"/>
              </w:rPr>
              <w:t>喷漆工序的NMHC</w:t>
            </w:r>
            <w:r>
              <w:rPr>
                <w:color w:val="auto"/>
                <w:sz w:val="24"/>
                <w:highlight w:val="none"/>
              </w:rPr>
              <w:t>产生量</w:t>
            </w:r>
            <w:r>
              <w:rPr>
                <w:rFonts w:hint="eastAsia"/>
                <w:color w:val="auto"/>
                <w:sz w:val="24"/>
                <w:highlight w:val="none"/>
              </w:rPr>
              <w:t>为</w:t>
            </w:r>
            <w:r>
              <w:rPr>
                <w:rFonts w:hint="eastAsia"/>
                <w:color w:val="auto"/>
                <w:sz w:val="24"/>
                <w:highlight w:val="none"/>
                <w:lang w:val="en-US" w:eastAsia="zh-CN"/>
              </w:rPr>
              <w:t>0.875</w:t>
            </w:r>
            <w:r>
              <w:rPr>
                <w:color w:val="auto"/>
                <w:sz w:val="24"/>
                <w:highlight w:val="none"/>
              </w:rPr>
              <w:t>t/a。</w:t>
            </w:r>
            <w:r>
              <w:rPr>
                <w:rFonts w:ascii="宋体" w:hAnsi="宋体"/>
                <w:bCs/>
                <w:color w:val="auto"/>
                <w:sz w:val="24"/>
                <w:highlight w:val="none"/>
              </w:rPr>
              <w:t>项目</w:t>
            </w:r>
            <w:r>
              <w:rPr>
                <w:rFonts w:hint="eastAsia"/>
                <w:bCs/>
                <w:color w:val="auto"/>
                <w:sz w:val="24"/>
                <w:highlight w:val="none"/>
              </w:rPr>
              <w:t>喷漆</w:t>
            </w:r>
            <w:r>
              <w:rPr>
                <w:bCs/>
                <w:color w:val="auto"/>
                <w:sz w:val="24"/>
                <w:highlight w:val="none"/>
              </w:rPr>
              <w:t>废气采用</w:t>
            </w:r>
            <w:r>
              <w:rPr>
                <w:rFonts w:hint="eastAsia"/>
                <w:bCs/>
                <w:color w:val="auto"/>
                <w:sz w:val="24"/>
                <w:highlight w:val="none"/>
              </w:rPr>
              <w:t>密闭</w:t>
            </w:r>
            <w:r>
              <w:rPr>
                <w:bCs/>
                <w:color w:val="auto"/>
                <w:sz w:val="24"/>
                <w:highlight w:val="none"/>
              </w:rPr>
              <w:t>车间负压收集，废气收集效率以</w:t>
            </w:r>
            <w:r>
              <w:rPr>
                <w:rFonts w:hint="eastAsia"/>
                <w:bCs/>
                <w:color w:val="auto"/>
                <w:sz w:val="24"/>
                <w:highlight w:val="none"/>
              </w:rPr>
              <w:t>95</w:t>
            </w:r>
            <w:r>
              <w:rPr>
                <w:bCs/>
                <w:color w:val="auto"/>
                <w:sz w:val="24"/>
                <w:highlight w:val="none"/>
              </w:rPr>
              <w:t>%计，</w:t>
            </w:r>
            <w:r>
              <w:rPr>
                <w:color w:val="auto"/>
                <w:sz w:val="24"/>
                <w:highlight w:val="none"/>
              </w:rPr>
              <w:t>风机风量</w:t>
            </w:r>
            <w:r>
              <w:rPr>
                <w:rFonts w:hint="eastAsia"/>
                <w:color w:val="auto"/>
                <w:sz w:val="24"/>
                <w:highlight w:val="none"/>
                <w:lang w:val="en-US" w:eastAsia="zh-CN"/>
              </w:rPr>
              <w:t>15</w:t>
            </w:r>
            <w:r>
              <w:rPr>
                <w:color w:val="auto"/>
                <w:sz w:val="24"/>
                <w:highlight w:val="none"/>
              </w:rPr>
              <w:t>000m</w:t>
            </w:r>
            <w:r>
              <w:rPr>
                <w:color w:val="auto"/>
                <w:sz w:val="24"/>
                <w:highlight w:val="none"/>
                <w:vertAlign w:val="superscript"/>
              </w:rPr>
              <w:t>3</w:t>
            </w:r>
            <w:r>
              <w:rPr>
                <w:color w:val="auto"/>
                <w:sz w:val="24"/>
                <w:highlight w:val="none"/>
              </w:rPr>
              <w:t>/h，</w:t>
            </w:r>
            <w:r>
              <w:rPr>
                <w:rFonts w:hint="eastAsia"/>
                <w:bCs/>
                <w:color w:val="auto"/>
                <w:sz w:val="24"/>
                <w:highlight w:val="none"/>
              </w:rPr>
              <w:t>喷漆</w:t>
            </w:r>
            <w:r>
              <w:rPr>
                <w:color w:val="auto"/>
                <w:sz w:val="24"/>
                <w:highlight w:val="none"/>
              </w:rPr>
              <w:t>年工作</w:t>
            </w:r>
            <w:r>
              <w:rPr>
                <w:rFonts w:hint="eastAsia"/>
                <w:color w:val="auto"/>
                <w:sz w:val="24"/>
                <w:highlight w:val="none"/>
                <w:lang w:val="en-US" w:eastAsia="zh-CN"/>
              </w:rPr>
              <w:t>12</w:t>
            </w:r>
            <w:r>
              <w:rPr>
                <w:rFonts w:hint="eastAsia"/>
                <w:color w:val="auto"/>
                <w:sz w:val="24"/>
                <w:highlight w:val="none"/>
              </w:rPr>
              <w:t>0</w:t>
            </w:r>
            <w:r>
              <w:rPr>
                <w:color w:val="auto"/>
                <w:sz w:val="24"/>
                <w:highlight w:val="none"/>
              </w:rPr>
              <w:t>0h。</w:t>
            </w:r>
            <w:r>
              <w:rPr>
                <w:rFonts w:hint="eastAsia"/>
                <w:bCs/>
                <w:color w:val="auto"/>
                <w:sz w:val="24"/>
                <w:highlight w:val="none"/>
              </w:rPr>
              <w:t>则</w:t>
            </w:r>
            <w:r>
              <w:rPr>
                <w:bCs/>
                <w:color w:val="auto"/>
                <w:sz w:val="24"/>
                <w:highlight w:val="none"/>
              </w:rPr>
              <w:t>有组织</w:t>
            </w:r>
            <w:r>
              <w:rPr>
                <w:rFonts w:hint="eastAsia"/>
                <w:bCs/>
                <w:color w:val="auto"/>
                <w:sz w:val="24"/>
                <w:highlight w:val="none"/>
              </w:rPr>
              <w:t>NMHC</w:t>
            </w:r>
            <w:r>
              <w:rPr>
                <w:bCs/>
                <w:color w:val="auto"/>
                <w:sz w:val="24"/>
                <w:highlight w:val="none"/>
              </w:rPr>
              <w:t>产生量为</w:t>
            </w:r>
            <w:r>
              <w:rPr>
                <w:rFonts w:hint="eastAsia"/>
                <w:bCs/>
                <w:color w:val="auto"/>
                <w:sz w:val="24"/>
                <w:highlight w:val="none"/>
                <w:lang w:val="en-US" w:eastAsia="zh-CN"/>
              </w:rPr>
              <w:t>0.831</w:t>
            </w:r>
            <w:r>
              <w:rPr>
                <w:bCs/>
                <w:color w:val="auto"/>
                <w:sz w:val="24"/>
                <w:highlight w:val="none"/>
              </w:rPr>
              <w:t>t/a（</w:t>
            </w:r>
            <w:r>
              <w:rPr>
                <w:rFonts w:hint="eastAsia"/>
                <w:bCs/>
                <w:color w:val="auto"/>
                <w:sz w:val="24"/>
                <w:highlight w:val="none"/>
                <w:lang w:val="en-US" w:eastAsia="zh-CN"/>
              </w:rPr>
              <w:t>0.6925</w:t>
            </w:r>
            <w:r>
              <w:rPr>
                <w:bCs/>
                <w:color w:val="auto"/>
                <w:sz w:val="24"/>
                <w:highlight w:val="none"/>
              </w:rPr>
              <w:t>kg/h、</w:t>
            </w:r>
            <w:r>
              <w:rPr>
                <w:rFonts w:hint="eastAsia"/>
                <w:bCs/>
                <w:color w:val="auto"/>
                <w:sz w:val="24"/>
                <w:highlight w:val="none"/>
                <w:lang w:val="en-US" w:eastAsia="zh-CN"/>
              </w:rPr>
              <w:t>46</w:t>
            </w:r>
            <w:r>
              <w:rPr>
                <w:bCs/>
                <w:color w:val="auto"/>
                <w:sz w:val="24"/>
                <w:highlight w:val="none"/>
              </w:rPr>
              <w:t>mg/m</w:t>
            </w:r>
            <w:r>
              <w:rPr>
                <w:bCs/>
                <w:color w:val="auto"/>
                <w:sz w:val="24"/>
                <w:highlight w:val="none"/>
                <w:vertAlign w:val="superscript"/>
              </w:rPr>
              <w:t>3</w:t>
            </w:r>
            <w:r>
              <w:rPr>
                <w:bCs/>
                <w:color w:val="auto"/>
                <w:sz w:val="24"/>
                <w:highlight w:val="none"/>
              </w:rPr>
              <w:t>）。</w:t>
            </w:r>
            <w:r>
              <w:rPr>
                <w:color w:val="auto"/>
                <w:sz w:val="24"/>
                <w:highlight w:val="none"/>
              </w:rPr>
              <w:t>产生的废气经“干式过滤+</w:t>
            </w:r>
            <w:r>
              <w:rPr>
                <w:rFonts w:hint="eastAsia"/>
                <w:color w:val="auto"/>
                <w:sz w:val="24"/>
                <w:highlight w:val="none"/>
              </w:rPr>
              <w:t>二级</w:t>
            </w:r>
            <w:r>
              <w:rPr>
                <w:color w:val="auto"/>
                <w:sz w:val="24"/>
                <w:highlight w:val="none"/>
              </w:rPr>
              <w:t>活性炭吸附装置”后由1根15m高排气筒</w:t>
            </w:r>
            <w:r>
              <w:rPr>
                <w:rFonts w:hint="eastAsia"/>
                <w:color w:val="auto"/>
                <w:sz w:val="24"/>
                <w:highlight w:val="none"/>
              </w:rPr>
              <w:t>DA00</w:t>
            </w:r>
            <w:r>
              <w:rPr>
                <w:rFonts w:hint="eastAsia"/>
                <w:color w:val="auto"/>
                <w:sz w:val="24"/>
                <w:highlight w:val="none"/>
                <w:lang w:val="en-US" w:eastAsia="zh-CN"/>
              </w:rPr>
              <w:t>1</w:t>
            </w:r>
            <w:r>
              <w:rPr>
                <w:color w:val="auto"/>
                <w:sz w:val="24"/>
                <w:highlight w:val="none"/>
              </w:rPr>
              <w:t>排放</w:t>
            </w:r>
            <w:r>
              <w:rPr>
                <w:rFonts w:hint="eastAsia"/>
                <w:color w:val="auto"/>
                <w:sz w:val="24"/>
                <w:highlight w:val="none"/>
                <w:lang w:eastAsia="zh-CN"/>
              </w:rPr>
              <w:t>，</w:t>
            </w:r>
            <w:r>
              <w:rPr>
                <w:bCs/>
                <w:color w:val="auto"/>
                <w:sz w:val="24"/>
                <w:highlight w:val="none"/>
              </w:rPr>
              <w:t>NMHC处理效率以90%计</w:t>
            </w:r>
            <w:r>
              <w:rPr>
                <w:rFonts w:hint="eastAsia"/>
                <w:color w:val="auto"/>
                <w:sz w:val="24"/>
                <w:highlight w:val="none"/>
              </w:rPr>
              <w:t>，则</w:t>
            </w:r>
            <w:r>
              <w:rPr>
                <w:bCs/>
                <w:color w:val="auto"/>
                <w:sz w:val="24"/>
                <w:highlight w:val="none"/>
              </w:rPr>
              <w:t>有组织</w:t>
            </w:r>
            <w:r>
              <w:rPr>
                <w:rFonts w:hint="eastAsia"/>
                <w:bCs/>
                <w:color w:val="auto"/>
                <w:sz w:val="24"/>
                <w:highlight w:val="none"/>
              </w:rPr>
              <w:t>NMHC</w:t>
            </w:r>
            <w:r>
              <w:rPr>
                <w:bCs/>
                <w:color w:val="auto"/>
                <w:sz w:val="24"/>
                <w:highlight w:val="none"/>
              </w:rPr>
              <w:t>排放量为0.</w:t>
            </w:r>
            <w:r>
              <w:rPr>
                <w:rFonts w:hint="eastAsia"/>
                <w:bCs/>
                <w:color w:val="auto"/>
                <w:sz w:val="24"/>
                <w:highlight w:val="none"/>
                <w:lang w:val="en-US" w:eastAsia="zh-CN"/>
              </w:rPr>
              <w:t>0831</w:t>
            </w:r>
            <w:r>
              <w:rPr>
                <w:bCs/>
                <w:color w:val="auto"/>
                <w:sz w:val="24"/>
                <w:highlight w:val="none"/>
              </w:rPr>
              <w:t>t/a（0.</w:t>
            </w:r>
            <w:r>
              <w:rPr>
                <w:rFonts w:hint="eastAsia"/>
                <w:bCs/>
                <w:color w:val="auto"/>
                <w:sz w:val="24"/>
                <w:highlight w:val="none"/>
                <w:lang w:val="en-US" w:eastAsia="zh-CN"/>
              </w:rPr>
              <w:t>0693</w:t>
            </w:r>
            <w:r>
              <w:rPr>
                <w:bCs/>
                <w:color w:val="auto"/>
                <w:sz w:val="24"/>
                <w:highlight w:val="none"/>
              </w:rPr>
              <w:t>kg/h、</w:t>
            </w:r>
            <w:r>
              <w:rPr>
                <w:rFonts w:hint="eastAsia"/>
                <w:bCs/>
                <w:color w:val="auto"/>
                <w:sz w:val="24"/>
                <w:highlight w:val="none"/>
                <w:lang w:val="en-US" w:eastAsia="zh-CN"/>
              </w:rPr>
              <w:t>4.6</w:t>
            </w:r>
            <w:r>
              <w:rPr>
                <w:bCs/>
                <w:color w:val="auto"/>
                <w:sz w:val="24"/>
                <w:highlight w:val="none"/>
              </w:rPr>
              <w:t>mg/m</w:t>
            </w:r>
            <w:r>
              <w:rPr>
                <w:bCs/>
                <w:color w:val="auto"/>
                <w:sz w:val="24"/>
                <w:highlight w:val="none"/>
                <w:vertAlign w:val="superscript"/>
              </w:rPr>
              <w:t>3</w:t>
            </w:r>
            <w:r>
              <w:rPr>
                <w:bCs/>
                <w:color w:val="auto"/>
                <w:sz w:val="24"/>
                <w:highlight w:val="none"/>
              </w:rPr>
              <w:t>）</w:t>
            </w:r>
            <w:r>
              <w:rPr>
                <w:rFonts w:hint="eastAsia"/>
                <w:color w:val="auto"/>
                <w:sz w:val="24"/>
                <w:highlight w:val="none"/>
              </w:rPr>
              <w:t>，</w:t>
            </w:r>
            <w:r>
              <w:rPr>
                <w:color w:val="auto"/>
                <w:sz w:val="24"/>
                <w:highlight w:val="none"/>
              </w:rPr>
              <w:t>无组织</w:t>
            </w:r>
            <w:r>
              <w:rPr>
                <w:rFonts w:hint="eastAsia"/>
                <w:bCs/>
                <w:color w:val="auto"/>
                <w:sz w:val="24"/>
                <w:highlight w:val="none"/>
              </w:rPr>
              <w:t>NMHC</w:t>
            </w:r>
            <w:r>
              <w:rPr>
                <w:bCs/>
                <w:color w:val="auto"/>
                <w:sz w:val="24"/>
                <w:highlight w:val="none"/>
              </w:rPr>
              <w:t>排放量为</w:t>
            </w:r>
            <w:r>
              <w:rPr>
                <w:rFonts w:hint="eastAsia"/>
                <w:bCs/>
                <w:color w:val="auto"/>
                <w:sz w:val="24"/>
                <w:highlight w:val="none"/>
              </w:rPr>
              <w:t>0.0</w:t>
            </w:r>
            <w:r>
              <w:rPr>
                <w:rFonts w:hint="eastAsia"/>
                <w:bCs/>
                <w:color w:val="auto"/>
                <w:sz w:val="24"/>
                <w:highlight w:val="none"/>
                <w:lang w:val="en-US" w:eastAsia="zh-CN"/>
              </w:rPr>
              <w:t>44</w:t>
            </w:r>
            <w:r>
              <w:rPr>
                <w:bCs/>
                <w:color w:val="auto"/>
                <w:sz w:val="24"/>
                <w:highlight w:val="none"/>
              </w:rPr>
              <w:t>t/a（0.0</w:t>
            </w:r>
            <w:r>
              <w:rPr>
                <w:rFonts w:hint="eastAsia"/>
                <w:bCs/>
                <w:color w:val="auto"/>
                <w:sz w:val="24"/>
                <w:highlight w:val="none"/>
                <w:lang w:val="en-US" w:eastAsia="zh-CN"/>
              </w:rPr>
              <w:t>366</w:t>
            </w:r>
            <w:r>
              <w:rPr>
                <w:bCs/>
                <w:color w:val="auto"/>
                <w:sz w:val="24"/>
                <w:highlight w:val="none"/>
              </w:rPr>
              <w:t>kg/h）。</w:t>
            </w:r>
          </w:p>
          <w:p w14:paraId="1DB88232">
            <w:pPr>
              <w:pStyle w:val="136"/>
              <w:keepNext w:val="0"/>
              <w:keepLines w:val="0"/>
              <w:suppressLineNumbers w:val="0"/>
              <w:snapToGrid w:val="0"/>
              <w:spacing w:before="0" w:beforeAutospacing="0" w:after="0" w:afterAutospacing="0" w:line="360" w:lineRule="auto"/>
              <w:ind w:left="480" w:right="0" w:firstLine="0" w:firstLineChars="0"/>
              <w:rPr>
                <w:rFonts w:hint="eastAsia"/>
                <w:color w:val="auto"/>
                <w:sz w:val="24"/>
                <w:highlight w:val="none"/>
                <w:lang w:val="en-US" w:eastAsia="zh-CN"/>
              </w:rPr>
            </w:pPr>
            <w:r>
              <w:rPr>
                <w:rFonts w:hint="eastAsia"/>
                <w:color w:val="auto"/>
                <w:sz w:val="24"/>
                <w:highlight w:val="none"/>
                <w:lang w:val="en-US" w:eastAsia="zh-CN"/>
              </w:rPr>
              <w:t>7）烘干废气</w:t>
            </w:r>
          </w:p>
          <w:p w14:paraId="5BFDC9D2">
            <w:pPr>
              <w:pStyle w:val="1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color w:val="auto"/>
                <w:sz w:val="24"/>
                <w:highlight w:val="none"/>
              </w:rPr>
            </w:pPr>
            <w:r>
              <w:rPr>
                <w:rFonts w:hint="eastAsia"/>
                <w:color w:val="auto"/>
                <w:sz w:val="24"/>
                <w:highlight w:val="none"/>
                <w:lang w:val="en-US" w:eastAsia="zh-CN"/>
              </w:rPr>
              <w:t>喷</w:t>
            </w:r>
            <w:r>
              <w:rPr>
                <w:rFonts w:hAnsi="宋体"/>
                <w:color w:val="auto"/>
                <w:sz w:val="24"/>
                <w:highlight w:val="none"/>
              </w:rPr>
              <w:t>漆</w:t>
            </w:r>
            <w:r>
              <w:rPr>
                <w:rFonts w:hint="eastAsia" w:hAnsi="宋体"/>
                <w:color w:val="auto"/>
                <w:sz w:val="24"/>
                <w:highlight w:val="none"/>
              </w:rPr>
              <w:t>后的</w:t>
            </w:r>
            <w:r>
              <w:rPr>
                <w:rFonts w:hint="eastAsia" w:hAnsi="宋体"/>
                <w:color w:val="auto"/>
                <w:sz w:val="24"/>
                <w:highlight w:val="none"/>
                <w:lang w:val="en-US" w:eastAsia="zh-CN"/>
              </w:rPr>
              <w:t>工件</w:t>
            </w:r>
            <w:r>
              <w:rPr>
                <w:rFonts w:hint="eastAsia" w:hAnsi="宋体"/>
                <w:color w:val="auto"/>
                <w:sz w:val="24"/>
                <w:highlight w:val="none"/>
              </w:rPr>
              <w:t>需</w:t>
            </w:r>
            <w:r>
              <w:rPr>
                <w:rFonts w:hint="eastAsia" w:hAnsi="宋体"/>
                <w:color w:val="auto"/>
                <w:sz w:val="24"/>
                <w:highlight w:val="none"/>
                <w:lang w:val="en-US" w:eastAsia="zh-CN"/>
              </w:rPr>
              <w:t>烘干</w:t>
            </w:r>
            <w:r>
              <w:rPr>
                <w:rFonts w:hint="eastAsia" w:hAnsi="宋体"/>
                <w:color w:val="auto"/>
                <w:sz w:val="24"/>
                <w:highlight w:val="none"/>
              </w:rPr>
              <w:t>处理，</w:t>
            </w:r>
            <w:r>
              <w:rPr>
                <w:rFonts w:hAnsi="宋体"/>
                <w:color w:val="auto"/>
                <w:sz w:val="24"/>
                <w:highlight w:val="none"/>
              </w:rPr>
              <w:t>参照《涂装工艺及车间设计手册》（傅邵燕编著），</w:t>
            </w:r>
            <w:r>
              <w:rPr>
                <w:rFonts w:hint="eastAsia"/>
                <w:color w:val="auto"/>
                <w:sz w:val="24"/>
                <w:highlight w:val="none"/>
                <w:lang w:val="en-US" w:eastAsia="zh-CN"/>
              </w:rPr>
              <w:t>喷</w:t>
            </w:r>
            <w:r>
              <w:rPr>
                <w:rFonts w:hint="eastAsia"/>
                <w:color w:val="auto"/>
                <w:sz w:val="24"/>
                <w:highlight w:val="none"/>
              </w:rPr>
              <w:t>漆</w:t>
            </w:r>
            <w:r>
              <w:rPr>
                <w:color w:val="auto"/>
                <w:sz w:val="24"/>
                <w:highlight w:val="none"/>
              </w:rPr>
              <w:t>、</w:t>
            </w:r>
            <w:r>
              <w:rPr>
                <w:rFonts w:hint="eastAsia"/>
                <w:color w:val="auto"/>
                <w:sz w:val="24"/>
                <w:highlight w:val="none"/>
                <w:lang w:val="en-US" w:eastAsia="zh-CN"/>
              </w:rPr>
              <w:t>烘干</w:t>
            </w:r>
            <w:r>
              <w:rPr>
                <w:rFonts w:hAnsi="宋体"/>
                <w:color w:val="auto"/>
                <w:sz w:val="24"/>
                <w:highlight w:val="none"/>
              </w:rPr>
              <w:t>工段有机溶剂挥发量占比按</w:t>
            </w:r>
            <w:r>
              <w:rPr>
                <w:color w:val="auto"/>
                <w:sz w:val="24"/>
                <w:highlight w:val="none"/>
              </w:rPr>
              <w:t>7:3</w:t>
            </w:r>
            <w:r>
              <w:rPr>
                <w:rFonts w:hAnsi="宋体"/>
                <w:color w:val="auto"/>
                <w:sz w:val="24"/>
                <w:highlight w:val="none"/>
              </w:rPr>
              <w:t>计算。</w:t>
            </w:r>
            <w:r>
              <w:rPr>
                <w:rFonts w:hint="eastAsia"/>
                <w:bCs/>
                <w:color w:val="auto"/>
                <w:sz w:val="24"/>
                <w:highlight w:val="none"/>
              </w:rPr>
              <w:t>则</w:t>
            </w:r>
            <w:r>
              <w:rPr>
                <w:rFonts w:hint="eastAsia"/>
                <w:color w:val="auto"/>
                <w:sz w:val="24"/>
                <w:highlight w:val="none"/>
                <w:lang w:val="en-US" w:eastAsia="zh-CN"/>
              </w:rPr>
              <w:t>烘干</w:t>
            </w:r>
            <w:r>
              <w:rPr>
                <w:bCs/>
                <w:color w:val="auto"/>
                <w:sz w:val="24"/>
                <w:highlight w:val="none"/>
              </w:rPr>
              <w:t>工序</w:t>
            </w:r>
            <w:r>
              <w:rPr>
                <w:rFonts w:hint="eastAsia"/>
                <w:bCs/>
                <w:color w:val="auto"/>
                <w:sz w:val="24"/>
                <w:highlight w:val="none"/>
              </w:rPr>
              <w:t>的</w:t>
            </w:r>
            <w:r>
              <w:rPr>
                <w:bCs/>
                <w:color w:val="auto"/>
                <w:sz w:val="24"/>
                <w:highlight w:val="none"/>
              </w:rPr>
              <w:t>NMHC产生量为</w:t>
            </w:r>
            <w:r>
              <w:rPr>
                <w:rFonts w:hint="eastAsia"/>
                <w:bCs/>
                <w:color w:val="auto"/>
                <w:sz w:val="24"/>
                <w:highlight w:val="none"/>
                <w:lang w:val="en-US" w:eastAsia="zh-CN"/>
              </w:rPr>
              <w:t>0.375</w:t>
            </w:r>
            <w:r>
              <w:rPr>
                <w:bCs/>
                <w:color w:val="auto"/>
                <w:sz w:val="24"/>
                <w:highlight w:val="none"/>
              </w:rPr>
              <w:t>t/a。</w:t>
            </w:r>
            <w:r>
              <w:rPr>
                <w:rFonts w:hint="eastAsia"/>
                <w:color w:val="auto"/>
                <w:sz w:val="24"/>
                <w:highlight w:val="none"/>
                <w:lang w:val="en-US" w:eastAsia="zh-CN"/>
              </w:rPr>
              <w:t>烘干</w:t>
            </w:r>
            <w:r>
              <w:rPr>
                <w:rFonts w:hint="eastAsia" w:ascii="宋体" w:hAnsi="宋体" w:cs="宋体"/>
                <w:color w:val="auto"/>
                <w:kern w:val="0"/>
                <w:sz w:val="24"/>
                <w:highlight w:val="none"/>
              </w:rPr>
              <w:t>废气</w:t>
            </w:r>
            <w:r>
              <w:rPr>
                <w:bCs/>
                <w:color w:val="auto"/>
                <w:sz w:val="24"/>
                <w:highlight w:val="none"/>
              </w:rPr>
              <w:t>采用</w:t>
            </w:r>
            <w:r>
              <w:rPr>
                <w:rFonts w:ascii="Calibri" w:hAnsi="Calibri" w:eastAsiaTheme="minorEastAsia"/>
                <w:color w:val="auto"/>
                <w:sz w:val="24"/>
                <w:highlight w:val="none"/>
              </w:rPr>
              <w:t>密闭车间负压</w:t>
            </w:r>
            <w:r>
              <w:rPr>
                <w:bCs/>
                <w:color w:val="auto"/>
                <w:sz w:val="24"/>
                <w:highlight w:val="none"/>
              </w:rPr>
              <w:t>收集，</w:t>
            </w:r>
            <w:r>
              <w:rPr>
                <w:rFonts w:hint="eastAsia" w:ascii="宋体" w:hAnsi="宋体" w:cs="宋体"/>
                <w:color w:val="auto"/>
                <w:kern w:val="0"/>
                <w:sz w:val="24"/>
                <w:highlight w:val="none"/>
              </w:rPr>
              <w:t>收集效率以</w:t>
            </w:r>
            <w:r>
              <w:rPr>
                <w:color w:val="auto"/>
                <w:kern w:val="0"/>
                <w:sz w:val="24"/>
                <w:highlight w:val="none"/>
              </w:rPr>
              <w:t>9</w:t>
            </w:r>
            <w:r>
              <w:rPr>
                <w:rFonts w:hint="eastAsia"/>
                <w:color w:val="auto"/>
                <w:kern w:val="0"/>
                <w:sz w:val="24"/>
                <w:highlight w:val="none"/>
              </w:rPr>
              <w:t>5</w:t>
            </w:r>
            <w:r>
              <w:rPr>
                <w:color w:val="auto"/>
                <w:kern w:val="0"/>
                <w:sz w:val="24"/>
                <w:highlight w:val="none"/>
              </w:rPr>
              <w:t>%</w:t>
            </w:r>
            <w:r>
              <w:rPr>
                <w:rFonts w:hint="eastAsia" w:ascii="宋体" w:hAnsi="宋体" w:cs="宋体"/>
                <w:color w:val="auto"/>
                <w:kern w:val="0"/>
                <w:sz w:val="24"/>
                <w:highlight w:val="none"/>
              </w:rPr>
              <w:t>计，</w:t>
            </w:r>
            <w:r>
              <w:rPr>
                <w:color w:val="auto"/>
                <w:kern w:val="0"/>
                <w:sz w:val="24"/>
                <w:highlight w:val="none"/>
              </w:rPr>
              <w:t>风机风量</w:t>
            </w:r>
            <w:r>
              <w:rPr>
                <w:rFonts w:hint="eastAsia"/>
                <w:color w:val="auto"/>
                <w:kern w:val="0"/>
                <w:sz w:val="24"/>
                <w:highlight w:val="none"/>
                <w:lang w:val="en-US" w:eastAsia="zh-CN"/>
              </w:rPr>
              <w:t>6</w:t>
            </w:r>
            <w:r>
              <w:rPr>
                <w:color w:val="auto"/>
                <w:kern w:val="0"/>
                <w:sz w:val="24"/>
                <w:highlight w:val="none"/>
              </w:rPr>
              <w:t>000m</w:t>
            </w:r>
            <w:r>
              <w:rPr>
                <w:color w:val="auto"/>
                <w:kern w:val="0"/>
                <w:sz w:val="24"/>
                <w:highlight w:val="none"/>
                <w:vertAlign w:val="superscript"/>
              </w:rPr>
              <w:t>3</w:t>
            </w:r>
            <w:r>
              <w:rPr>
                <w:color w:val="auto"/>
                <w:kern w:val="0"/>
                <w:sz w:val="24"/>
                <w:highlight w:val="none"/>
              </w:rPr>
              <w:t>/h，</w:t>
            </w:r>
            <w:r>
              <w:rPr>
                <w:rFonts w:hint="eastAsia" w:ascii="宋体" w:hAnsi="宋体" w:cs="宋体"/>
                <w:color w:val="auto"/>
                <w:kern w:val="0"/>
                <w:sz w:val="24"/>
                <w:highlight w:val="none"/>
              </w:rPr>
              <w:t>年工作</w:t>
            </w:r>
            <w:r>
              <w:rPr>
                <w:rFonts w:hint="eastAsia"/>
                <w:color w:val="auto"/>
                <w:kern w:val="0"/>
                <w:sz w:val="24"/>
                <w:highlight w:val="none"/>
                <w:lang w:val="en-US" w:eastAsia="zh-CN"/>
              </w:rPr>
              <w:t>12</w:t>
            </w:r>
            <w:r>
              <w:rPr>
                <w:color w:val="auto"/>
                <w:kern w:val="0"/>
                <w:sz w:val="24"/>
                <w:highlight w:val="none"/>
              </w:rPr>
              <w:t>00h</w:t>
            </w:r>
            <w:r>
              <w:rPr>
                <w:rFonts w:hint="eastAsia" w:ascii="宋体" w:hAnsi="宋体" w:cs="宋体"/>
                <w:color w:val="auto"/>
                <w:kern w:val="0"/>
                <w:sz w:val="24"/>
                <w:highlight w:val="none"/>
              </w:rPr>
              <w:t>。</w:t>
            </w:r>
            <w:r>
              <w:rPr>
                <w:rFonts w:hint="eastAsia"/>
                <w:bCs/>
                <w:color w:val="auto"/>
                <w:sz w:val="24"/>
                <w:highlight w:val="none"/>
              </w:rPr>
              <w:t>则</w:t>
            </w:r>
            <w:r>
              <w:rPr>
                <w:bCs/>
                <w:color w:val="auto"/>
                <w:sz w:val="24"/>
                <w:highlight w:val="none"/>
              </w:rPr>
              <w:t>有组织</w:t>
            </w:r>
            <w:r>
              <w:rPr>
                <w:rFonts w:hint="eastAsia"/>
                <w:bCs/>
                <w:color w:val="auto"/>
                <w:sz w:val="24"/>
                <w:highlight w:val="none"/>
              </w:rPr>
              <w:t>NMHC</w:t>
            </w:r>
            <w:r>
              <w:rPr>
                <w:bCs/>
                <w:color w:val="auto"/>
                <w:sz w:val="24"/>
                <w:highlight w:val="none"/>
              </w:rPr>
              <w:t>产生量为</w:t>
            </w:r>
            <w:r>
              <w:rPr>
                <w:rFonts w:hint="eastAsia"/>
                <w:bCs/>
                <w:color w:val="auto"/>
                <w:sz w:val="24"/>
                <w:highlight w:val="none"/>
                <w:lang w:val="en-US" w:eastAsia="zh-CN"/>
              </w:rPr>
              <w:t>0.356</w:t>
            </w:r>
            <w:r>
              <w:rPr>
                <w:bCs/>
                <w:color w:val="auto"/>
                <w:sz w:val="24"/>
                <w:highlight w:val="none"/>
              </w:rPr>
              <w:t>t/a（</w:t>
            </w:r>
            <w:r>
              <w:rPr>
                <w:rFonts w:hint="eastAsia"/>
                <w:bCs/>
                <w:color w:val="auto"/>
                <w:sz w:val="24"/>
                <w:highlight w:val="none"/>
                <w:lang w:val="en-US" w:eastAsia="zh-CN"/>
              </w:rPr>
              <w:t>0.2967</w:t>
            </w:r>
            <w:r>
              <w:rPr>
                <w:bCs/>
                <w:color w:val="auto"/>
                <w:sz w:val="24"/>
                <w:highlight w:val="none"/>
              </w:rPr>
              <w:t>kg/h、</w:t>
            </w:r>
            <w:r>
              <w:rPr>
                <w:rFonts w:hint="eastAsia"/>
                <w:bCs/>
                <w:color w:val="auto"/>
                <w:sz w:val="24"/>
                <w:highlight w:val="none"/>
                <w:lang w:val="en-US" w:eastAsia="zh-CN"/>
              </w:rPr>
              <w:t>49</w:t>
            </w:r>
            <w:r>
              <w:rPr>
                <w:bCs/>
                <w:color w:val="auto"/>
                <w:sz w:val="24"/>
                <w:highlight w:val="none"/>
              </w:rPr>
              <w:t>mg/m</w:t>
            </w:r>
            <w:r>
              <w:rPr>
                <w:bCs/>
                <w:color w:val="auto"/>
                <w:sz w:val="24"/>
                <w:highlight w:val="none"/>
                <w:vertAlign w:val="superscript"/>
              </w:rPr>
              <w:t>3</w:t>
            </w:r>
            <w:r>
              <w:rPr>
                <w:bCs/>
                <w:color w:val="auto"/>
                <w:sz w:val="24"/>
                <w:highlight w:val="none"/>
              </w:rPr>
              <w:t>）。</w:t>
            </w:r>
            <w:r>
              <w:rPr>
                <w:rFonts w:hint="eastAsia" w:ascii="宋体" w:hAnsi="宋体" w:cs="宋体"/>
                <w:color w:val="auto"/>
                <w:kern w:val="0"/>
                <w:sz w:val="24"/>
                <w:highlight w:val="none"/>
              </w:rPr>
              <w:t>收集的废气经一套</w:t>
            </w:r>
            <w:r>
              <w:rPr>
                <w:color w:val="auto"/>
                <w:kern w:val="0"/>
                <w:sz w:val="24"/>
                <w:highlight w:val="none"/>
              </w:rPr>
              <w:t>“</w:t>
            </w:r>
            <w:r>
              <w:rPr>
                <w:rFonts w:hint="eastAsia"/>
                <w:color w:val="auto"/>
                <w:sz w:val="24"/>
                <w:highlight w:val="none"/>
              </w:rPr>
              <w:t>干式过滤</w:t>
            </w:r>
            <w:r>
              <w:rPr>
                <w:color w:val="auto"/>
                <w:sz w:val="24"/>
                <w:highlight w:val="none"/>
              </w:rPr>
              <w:t>+</w:t>
            </w:r>
            <w:r>
              <w:rPr>
                <w:rFonts w:hint="eastAsia" w:ascii="宋体" w:hAnsi="宋体" w:cs="宋体"/>
                <w:color w:val="auto"/>
                <w:kern w:val="0"/>
                <w:sz w:val="24"/>
                <w:highlight w:val="none"/>
              </w:rPr>
              <w:t>二级活性炭吸附装置</w:t>
            </w:r>
            <w:r>
              <w:rPr>
                <w:color w:val="auto"/>
                <w:kern w:val="0"/>
                <w:sz w:val="24"/>
                <w:highlight w:val="none"/>
              </w:rPr>
              <w:t>”</w:t>
            </w:r>
            <w:r>
              <w:rPr>
                <w:rFonts w:hint="eastAsia"/>
                <w:color w:val="auto"/>
                <w:kern w:val="0"/>
                <w:sz w:val="24"/>
                <w:highlight w:val="none"/>
              </w:rPr>
              <w:t>处理</w:t>
            </w:r>
            <w:r>
              <w:rPr>
                <w:rFonts w:hint="eastAsia" w:ascii="宋体" w:hAnsi="宋体" w:cs="宋体"/>
                <w:color w:val="auto"/>
                <w:kern w:val="0"/>
                <w:sz w:val="24"/>
                <w:highlight w:val="none"/>
              </w:rPr>
              <w:t>后通过</w:t>
            </w:r>
            <w:r>
              <w:rPr>
                <w:color w:val="auto"/>
                <w:kern w:val="0"/>
                <w:sz w:val="24"/>
                <w:highlight w:val="none"/>
              </w:rPr>
              <w:t>1根15m高排气筒DA00</w:t>
            </w:r>
            <w:r>
              <w:rPr>
                <w:rFonts w:hint="eastAsia"/>
                <w:color w:val="auto"/>
                <w:kern w:val="0"/>
                <w:sz w:val="24"/>
                <w:highlight w:val="none"/>
                <w:lang w:val="en-US" w:eastAsia="zh-CN"/>
              </w:rPr>
              <w:t>1</w:t>
            </w:r>
            <w:r>
              <w:rPr>
                <w:color w:val="auto"/>
                <w:kern w:val="0"/>
                <w:sz w:val="24"/>
                <w:highlight w:val="none"/>
              </w:rPr>
              <w:t>排放，NMHC处理效率按90%计，</w:t>
            </w:r>
            <w:r>
              <w:rPr>
                <w:rFonts w:hint="eastAsia"/>
                <w:color w:val="auto"/>
                <w:sz w:val="24"/>
                <w:highlight w:val="none"/>
                <w:lang w:val="en-US" w:eastAsia="zh-CN"/>
              </w:rPr>
              <w:t>处理后的</w:t>
            </w:r>
            <w:r>
              <w:rPr>
                <w:bCs/>
                <w:color w:val="auto"/>
                <w:sz w:val="24"/>
                <w:highlight w:val="none"/>
              </w:rPr>
              <w:t>有组织</w:t>
            </w:r>
            <w:r>
              <w:rPr>
                <w:rFonts w:hint="eastAsia"/>
                <w:bCs/>
                <w:color w:val="auto"/>
                <w:sz w:val="24"/>
                <w:highlight w:val="none"/>
              </w:rPr>
              <w:t>NMHC</w:t>
            </w:r>
            <w:r>
              <w:rPr>
                <w:bCs/>
                <w:color w:val="auto"/>
                <w:sz w:val="24"/>
                <w:highlight w:val="none"/>
              </w:rPr>
              <w:t>排放量为0.</w:t>
            </w:r>
            <w:r>
              <w:rPr>
                <w:rFonts w:hint="eastAsia"/>
                <w:bCs/>
                <w:color w:val="auto"/>
                <w:sz w:val="24"/>
                <w:highlight w:val="none"/>
                <w:lang w:val="en-US" w:eastAsia="zh-CN"/>
              </w:rPr>
              <w:t>0356</w:t>
            </w:r>
            <w:r>
              <w:rPr>
                <w:bCs/>
                <w:color w:val="auto"/>
                <w:sz w:val="24"/>
                <w:highlight w:val="none"/>
              </w:rPr>
              <w:t>t/a（0.</w:t>
            </w:r>
            <w:r>
              <w:rPr>
                <w:rFonts w:hint="eastAsia"/>
                <w:bCs/>
                <w:color w:val="auto"/>
                <w:sz w:val="24"/>
                <w:highlight w:val="none"/>
              </w:rPr>
              <w:t>0</w:t>
            </w:r>
            <w:r>
              <w:rPr>
                <w:rFonts w:hint="eastAsia"/>
                <w:bCs/>
                <w:color w:val="auto"/>
                <w:sz w:val="24"/>
                <w:highlight w:val="none"/>
                <w:lang w:val="en-US" w:eastAsia="zh-CN"/>
              </w:rPr>
              <w:t>297</w:t>
            </w:r>
            <w:r>
              <w:rPr>
                <w:bCs/>
                <w:color w:val="auto"/>
                <w:sz w:val="24"/>
                <w:highlight w:val="none"/>
              </w:rPr>
              <w:t>kg/h、</w:t>
            </w:r>
            <w:r>
              <w:rPr>
                <w:rFonts w:hint="eastAsia"/>
                <w:bCs/>
                <w:color w:val="auto"/>
                <w:sz w:val="24"/>
                <w:highlight w:val="none"/>
                <w:lang w:val="en-US" w:eastAsia="zh-CN"/>
              </w:rPr>
              <w:t>5.0</w:t>
            </w:r>
            <w:r>
              <w:rPr>
                <w:bCs/>
                <w:color w:val="auto"/>
                <w:sz w:val="24"/>
                <w:highlight w:val="none"/>
              </w:rPr>
              <w:t>mg/m</w:t>
            </w:r>
            <w:r>
              <w:rPr>
                <w:bCs/>
                <w:color w:val="auto"/>
                <w:sz w:val="24"/>
                <w:highlight w:val="none"/>
                <w:vertAlign w:val="superscript"/>
              </w:rPr>
              <w:t>3</w:t>
            </w:r>
            <w:r>
              <w:rPr>
                <w:bCs/>
                <w:color w:val="auto"/>
                <w:sz w:val="24"/>
                <w:highlight w:val="none"/>
              </w:rPr>
              <w:t>）</w:t>
            </w:r>
            <w:r>
              <w:rPr>
                <w:rFonts w:hint="eastAsia"/>
                <w:bCs/>
                <w:color w:val="auto"/>
                <w:sz w:val="24"/>
                <w:highlight w:val="none"/>
              </w:rPr>
              <w:t>，</w:t>
            </w:r>
            <w:r>
              <w:rPr>
                <w:color w:val="auto"/>
                <w:sz w:val="24"/>
                <w:highlight w:val="none"/>
              </w:rPr>
              <w:t>无组织</w:t>
            </w:r>
            <w:r>
              <w:rPr>
                <w:rFonts w:hint="eastAsia"/>
                <w:bCs/>
                <w:color w:val="auto"/>
                <w:sz w:val="24"/>
                <w:highlight w:val="none"/>
              </w:rPr>
              <w:t>NMHC</w:t>
            </w:r>
            <w:r>
              <w:rPr>
                <w:bCs/>
                <w:color w:val="auto"/>
                <w:sz w:val="24"/>
                <w:highlight w:val="none"/>
              </w:rPr>
              <w:t>排放量为</w:t>
            </w:r>
            <w:r>
              <w:rPr>
                <w:rFonts w:hint="eastAsia"/>
                <w:bCs/>
                <w:color w:val="auto"/>
                <w:sz w:val="24"/>
                <w:highlight w:val="none"/>
              </w:rPr>
              <w:t>0.0</w:t>
            </w:r>
            <w:r>
              <w:rPr>
                <w:rFonts w:hint="eastAsia"/>
                <w:bCs/>
                <w:color w:val="auto"/>
                <w:sz w:val="24"/>
                <w:highlight w:val="none"/>
                <w:lang w:val="en-US" w:eastAsia="zh-CN"/>
              </w:rPr>
              <w:t>19</w:t>
            </w:r>
            <w:r>
              <w:rPr>
                <w:bCs/>
                <w:color w:val="auto"/>
                <w:sz w:val="24"/>
                <w:highlight w:val="none"/>
              </w:rPr>
              <w:t>t/a（0.0</w:t>
            </w:r>
            <w:r>
              <w:rPr>
                <w:rFonts w:hint="eastAsia"/>
                <w:bCs/>
                <w:color w:val="auto"/>
                <w:sz w:val="24"/>
                <w:highlight w:val="none"/>
                <w:lang w:val="en-US" w:eastAsia="zh-CN"/>
              </w:rPr>
              <w:t>158</w:t>
            </w:r>
            <w:r>
              <w:rPr>
                <w:bCs/>
                <w:color w:val="auto"/>
                <w:sz w:val="24"/>
                <w:highlight w:val="none"/>
              </w:rPr>
              <w:t>kg/h）。</w:t>
            </w:r>
          </w:p>
          <w:p w14:paraId="31604787">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Ansi="宋体"/>
                <w:color w:val="auto"/>
                <w:kern w:val="0"/>
                <w:sz w:val="24"/>
                <w:highlight w:val="none"/>
              </w:rPr>
              <w:t>危废仓库废气</w:t>
            </w:r>
          </w:p>
          <w:p w14:paraId="42536D84">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建设项目危险废物暂存场所贮存的危险废物主要为：废润滑油、</w:t>
            </w:r>
            <w:r>
              <w:rPr>
                <w:rFonts w:hint="eastAsia" w:hAnsi="宋体"/>
                <w:color w:val="auto"/>
                <w:kern w:val="0"/>
                <w:sz w:val="24"/>
                <w:highlight w:val="none"/>
                <w:lang w:val="en-US" w:eastAsia="zh-CN"/>
              </w:rPr>
              <w:t>废切削液、废过滤棉、漆渣、废包装桶和</w:t>
            </w:r>
            <w:r>
              <w:rPr>
                <w:rFonts w:hAnsi="宋体"/>
                <w:color w:val="auto"/>
                <w:kern w:val="0"/>
                <w:sz w:val="24"/>
                <w:highlight w:val="none"/>
              </w:rPr>
              <w:t>废</w:t>
            </w:r>
            <w:r>
              <w:rPr>
                <w:rFonts w:hint="eastAsia" w:hAnsi="宋体"/>
                <w:color w:val="auto"/>
                <w:kern w:val="0"/>
                <w:sz w:val="24"/>
                <w:highlight w:val="none"/>
              </w:rPr>
              <w:t>活性炭</w:t>
            </w:r>
            <w:r>
              <w:rPr>
                <w:rFonts w:hAnsi="宋体"/>
                <w:color w:val="auto"/>
                <w:kern w:val="0"/>
                <w:sz w:val="24"/>
                <w:highlight w:val="none"/>
              </w:rPr>
              <w:t>等，根据危险废物性状，采取密闭封存。废气产生量较少，对环境影响较小，本次评价不予量化分析。</w:t>
            </w:r>
          </w:p>
          <w:p w14:paraId="729B55F3">
            <w:pPr>
              <w:keepNext w:val="0"/>
              <w:keepLines w:val="0"/>
              <w:suppressLineNumbers w:val="0"/>
              <w:spacing w:before="0" w:beforeAutospacing="0" w:after="0" w:afterAutospacing="0" w:line="360" w:lineRule="auto"/>
              <w:ind w:left="0" w:right="0" w:firstLine="480"/>
              <w:rPr>
                <w:rFonts w:hint="eastAsia"/>
                <w:color w:val="auto"/>
                <w:sz w:val="24"/>
                <w:szCs w:val="24"/>
                <w:lang w:eastAsia="zh-CN"/>
              </w:rPr>
            </w:pPr>
            <w:r>
              <w:rPr>
                <w:rFonts w:hint="eastAsia"/>
                <w:color w:val="auto"/>
                <w:sz w:val="24"/>
                <w:szCs w:val="24"/>
                <w:lang w:val="en-US" w:eastAsia="zh-CN"/>
              </w:rPr>
              <w:t>9）</w:t>
            </w:r>
            <w:r>
              <w:rPr>
                <w:rFonts w:hint="eastAsia"/>
                <w:color w:val="auto"/>
                <w:sz w:val="24"/>
                <w:szCs w:val="24"/>
                <w:lang w:eastAsia="zh-CN"/>
              </w:rPr>
              <w:t>食堂废气</w:t>
            </w:r>
          </w:p>
          <w:p w14:paraId="2C2AA92B">
            <w:pPr>
              <w:keepNext w:val="0"/>
              <w:keepLines w:val="0"/>
              <w:suppressLineNumbers w:val="0"/>
              <w:spacing w:before="0" w:beforeAutospacing="0" w:after="0" w:afterAutospacing="0" w:line="360" w:lineRule="auto"/>
              <w:ind w:left="0" w:right="0" w:firstLine="480"/>
              <w:rPr>
                <w:color w:val="auto"/>
                <w:sz w:val="24"/>
                <w:szCs w:val="24"/>
              </w:rPr>
            </w:pPr>
            <w:r>
              <w:rPr>
                <w:rFonts w:hint="default" w:ascii="Times New Roman" w:hAnsi="Times New Roman" w:cs="Times New Roman"/>
                <w:color w:val="auto"/>
                <w:sz w:val="24"/>
                <w:szCs w:val="24"/>
                <w:lang w:val="en-US" w:eastAsia="zh-CN"/>
              </w:rPr>
              <w:t>①</w:t>
            </w:r>
            <w:r>
              <w:rPr>
                <w:rFonts w:hint="eastAsia"/>
                <w:color w:val="auto"/>
                <w:sz w:val="24"/>
                <w:szCs w:val="24"/>
              </w:rPr>
              <w:t>燃料废气</w:t>
            </w:r>
          </w:p>
          <w:p w14:paraId="031C5A73">
            <w:pPr>
              <w:keepNext w:val="0"/>
              <w:keepLines w:val="0"/>
              <w:suppressLineNumbers w:val="0"/>
              <w:spacing w:before="0" w:beforeAutospacing="0" w:after="0" w:afterAutospacing="0" w:line="360" w:lineRule="auto"/>
              <w:ind w:left="0" w:right="0" w:firstLine="480"/>
              <w:rPr>
                <w:bCs/>
                <w:color w:val="auto"/>
                <w:sz w:val="24"/>
                <w:szCs w:val="24"/>
              </w:rPr>
            </w:pPr>
            <w:r>
              <w:rPr>
                <w:rFonts w:hint="eastAsia"/>
                <w:color w:val="auto"/>
                <w:sz w:val="24"/>
                <w:szCs w:val="24"/>
                <w:lang w:eastAsia="zh-CN"/>
              </w:rPr>
              <w:t>项目</w:t>
            </w:r>
            <w:r>
              <w:rPr>
                <w:rFonts w:hint="eastAsia"/>
                <w:color w:val="auto"/>
                <w:sz w:val="24"/>
                <w:szCs w:val="24"/>
                <w:lang w:val="en-US" w:eastAsia="zh-CN"/>
              </w:rPr>
              <w:t>设有食堂供</w:t>
            </w:r>
            <w:r>
              <w:rPr>
                <w:rFonts w:hint="eastAsia"/>
                <w:color w:val="auto"/>
                <w:sz w:val="24"/>
                <w:szCs w:val="24"/>
                <w:lang w:eastAsia="zh-CN"/>
              </w:rPr>
              <w:t>员工就餐，</w:t>
            </w:r>
            <w:r>
              <w:rPr>
                <w:rFonts w:hint="eastAsia"/>
                <w:bCs/>
                <w:color w:val="auto"/>
                <w:sz w:val="24"/>
                <w:szCs w:val="24"/>
                <w:lang w:eastAsia="zh-CN"/>
              </w:rPr>
              <w:t>厂区</w:t>
            </w:r>
            <w:r>
              <w:rPr>
                <w:bCs/>
                <w:color w:val="auto"/>
                <w:sz w:val="24"/>
                <w:szCs w:val="24"/>
              </w:rPr>
              <w:t>食堂</w:t>
            </w:r>
            <w:r>
              <w:rPr>
                <w:color w:val="auto"/>
                <w:sz w:val="24"/>
                <w:szCs w:val="24"/>
              </w:rPr>
              <w:t>使用清洁能源</w:t>
            </w:r>
            <w:r>
              <w:rPr>
                <w:bCs/>
                <w:color w:val="auto"/>
                <w:sz w:val="24"/>
                <w:szCs w:val="24"/>
              </w:rPr>
              <w:t>天然气作为燃料，用量约为</w:t>
            </w:r>
            <w:r>
              <w:rPr>
                <w:rFonts w:hint="eastAsia"/>
                <w:bCs/>
                <w:color w:val="auto"/>
                <w:sz w:val="24"/>
                <w:szCs w:val="24"/>
                <w:lang w:val="en-US" w:eastAsia="zh-CN"/>
              </w:rPr>
              <w:t>1.2</w:t>
            </w:r>
            <w:r>
              <w:rPr>
                <w:bCs/>
                <w:color w:val="auto"/>
                <w:sz w:val="24"/>
                <w:szCs w:val="24"/>
              </w:rPr>
              <w:t>万立方米/年，燃料燃烧过程中会产生少量的</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X</w:t>
            </w:r>
            <w:r>
              <w:rPr>
                <w:color w:val="auto"/>
                <w:sz w:val="24"/>
                <w:szCs w:val="24"/>
              </w:rPr>
              <w:t>和烟尘</w:t>
            </w:r>
            <w:r>
              <w:rPr>
                <w:bCs/>
                <w:color w:val="auto"/>
                <w:sz w:val="24"/>
                <w:szCs w:val="24"/>
              </w:rPr>
              <w:t>，采用抽油烟机集气后，通过建筑物内预设的内壁式专用烟道进行排放，对周围环境的影响比较小，本次评价不做定量分析。</w:t>
            </w:r>
          </w:p>
          <w:p w14:paraId="527C4549">
            <w:pPr>
              <w:pStyle w:val="35"/>
              <w:keepNext w:val="0"/>
              <w:keepLines w:val="0"/>
              <w:suppressLineNumbers w:val="0"/>
              <w:adjustRightInd w:val="0"/>
              <w:snapToGrid w:val="0"/>
              <w:spacing w:before="0" w:beforeAutospacing="0" w:after="0" w:afterAutospacing="0" w:line="360" w:lineRule="auto"/>
              <w:ind w:left="0" w:leftChars="0" w:right="0" w:firstLine="480"/>
              <w:rPr>
                <w:color w:val="auto"/>
                <w:sz w:val="24"/>
                <w:szCs w:val="24"/>
              </w:rPr>
            </w:pPr>
            <w:r>
              <w:rPr>
                <w:rFonts w:hint="eastAsia" w:ascii="宋体" w:hAnsi="宋体" w:eastAsia="宋体" w:cs="宋体"/>
                <w:color w:val="auto"/>
                <w:sz w:val="24"/>
                <w:szCs w:val="24"/>
                <w:lang w:val="en-US" w:eastAsia="zh-CN"/>
              </w:rPr>
              <w:t>②</w:t>
            </w:r>
            <w:r>
              <w:rPr>
                <w:color w:val="auto"/>
                <w:sz w:val="24"/>
                <w:szCs w:val="24"/>
              </w:rPr>
              <w:t>食堂油烟</w:t>
            </w:r>
          </w:p>
          <w:p w14:paraId="54354631">
            <w:pPr>
              <w:keepNext w:val="0"/>
              <w:keepLines w:val="0"/>
              <w:suppressLineNumbers w:val="0"/>
              <w:spacing w:before="0" w:beforeAutospacing="0" w:after="0" w:afterAutospacing="0" w:line="360" w:lineRule="auto"/>
              <w:ind w:left="0" w:right="0" w:firstLine="480"/>
              <w:rPr>
                <w:color w:val="auto"/>
                <w:sz w:val="24"/>
                <w:szCs w:val="24"/>
              </w:rPr>
            </w:pPr>
            <w:r>
              <w:rPr>
                <w:rFonts w:hint="eastAsia"/>
                <w:color w:val="auto"/>
                <w:sz w:val="24"/>
                <w:szCs w:val="24"/>
                <w:lang w:val="en-US" w:eastAsia="zh-CN"/>
              </w:rPr>
              <w:t>项目员工共用50人，</w:t>
            </w:r>
            <w:r>
              <w:rPr>
                <w:rFonts w:hint="eastAsia"/>
                <w:color w:val="auto"/>
                <w:sz w:val="24"/>
                <w:szCs w:val="24"/>
                <w:lang w:eastAsia="zh-CN"/>
              </w:rPr>
              <w:t>厂区</w:t>
            </w:r>
            <w:r>
              <w:rPr>
                <w:color w:val="auto"/>
                <w:sz w:val="24"/>
                <w:szCs w:val="24"/>
              </w:rPr>
              <w:t>食堂供应</w:t>
            </w:r>
            <w:r>
              <w:rPr>
                <w:rFonts w:hint="eastAsia"/>
                <w:color w:val="auto"/>
                <w:sz w:val="24"/>
                <w:szCs w:val="24"/>
                <w:lang w:val="en-US" w:eastAsia="zh-CN"/>
              </w:rPr>
              <w:t>50</w:t>
            </w:r>
            <w:r>
              <w:rPr>
                <w:color w:val="auto"/>
                <w:sz w:val="24"/>
                <w:szCs w:val="24"/>
              </w:rPr>
              <w:t>人/次•天饭菜，灶台排风量按</w:t>
            </w:r>
            <w:r>
              <w:rPr>
                <w:rFonts w:hint="eastAsia"/>
                <w:color w:val="auto"/>
                <w:sz w:val="24"/>
                <w:szCs w:val="24"/>
                <w:lang w:val="en-US" w:eastAsia="zh-CN"/>
              </w:rPr>
              <w:t>4</w:t>
            </w:r>
            <w:r>
              <w:rPr>
                <w:color w:val="auto"/>
                <w:sz w:val="24"/>
                <w:szCs w:val="24"/>
              </w:rPr>
              <w:t>000m</w:t>
            </w:r>
            <w:r>
              <w:rPr>
                <w:color w:val="auto"/>
                <w:sz w:val="24"/>
                <w:szCs w:val="24"/>
                <w:vertAlign w:val="superscript"/>
              </w:rPr>
              <w:t>3</w:t>
            </w:r>
            <w:r>
              <w:rPr>
                <w:color w:val="auto"/>
                <w:sz w:val="24"/>
                <w:szCs w:val="24"/>
              </w:rPr>
              <w:t>/h计，年工作3</w:t>
            </w:r>
            <w:r>
              <w:rPr>
                <w:rFonts w:hint="eastAsia"/>
                <w:color w:val="auto"/>
                <w:sz w:val="24"/>
                <w:szCs w:val="24"/>
                <w:lang w:val="en-US" w:eastAsia="zh-CN"/>
              </w:rPr>
              <w:t>0</w:t>
            </w:r>
            <w:r>
              <w:rPr>
                <w:color w:val="auto"/>
                <w:sz w:val="24"/>
                <w:szCs w:val="24"/>
              </w:rPr>
              <w:t>0天，日工作时间约</w:t>
            </w:r>
            <w:r>
              <w:rPr>
                <w:rFonts w:hint="eastAsia"/>
                <w:color w:val="auto"/>
                <w:sz w:val="24"/>
                <w:szCs w:val="24"/>
                <w:lang w:val="en-US" w:eastAsia="zh-CN"/>
              </w:rPr>
              <w:t>2</w:t>
            </w:r>
            <w:r>
              <w:rPr>
                <w:color w:val="auto"/>
                <w:sz w:val="24"/>
                <w:szCs w:val="24"/>
              </w:rPr>
              <w:t>h，则年油烟排放量为</w:t>
            </w:r>
            <w:r>
              <w:rPr>
                <w:rFonts w:hint="eastAsia"/>
                <w:color w:val="auto"/>
                <w:sz w:val="24"/>
                <w:szCs w:val="24"/>
                <w:lang w:val="en-US" w:eastAsia="zh-CN"/>
              </w:rPr>
              <w:t>240</w:t>
            </w:r>
            <w:r>
              <w:rPr>
                <w:color w:val="auto"/>
                <w:sz w:val="24"/>
                <w:szCs w:val="24"/>
              </w:rPr>
              <w:t>万m</w:t>
            </w:r>
            <w:r>
              <w:rPr>
                <w:color w:val="auto"/>
                <w:sz w:val="24"/>
                <w:szCs w:val="24"/>
                <w:vertAlign w:val="superscript"/>
              </w:rPr>
              <w:t>3</w:t>
            </w:r>
            <w:r>
              <w:rPr>
                <w:color w:val="auto"/>
                <w:sz w:val="24"/>
                <w:szCs w:val="24"/>
              </w:rPr>
              <w:t>，食物在烹饪、加工过程中将挥发出油脂、有机质及热分解或裂解产物，从而产生油烟。根据对员工用油情况的类比调查，目前员工人均食用油用量约10g/人·次，一般油烟挥发量约占总耗油量的3%。本项目共约</w:t>
            </w:r>
            <w:r>
              <w:rPr>
                <w:rFonts w:hint="eastAsia"/>
                <w:color w:val="auto"/>
                <w:sz w:val="24"/>
                <w:szCs w:val="24"/>
                <w:lang w:val="en-US" w:eastAsia="zh-CN"/>
              </w:rPr>
              <w:t>50</w:t>
            </w:r>
            <w:r>
              <w:rPr>
                <w:color w:val="auto"/>
                <w:sz w:val="24"/>
                <w:szCs w:val="24"/>
              </w:rPr>
              <w:t>人，则厨房油烟产生量约为0.0</w:t>
            </w:r>
            <w:r>
              <w:rPr>
                <w:rFonts w:hint="eastAsia"/>
                <w:color w:val="auto"/>
                <w:sz w:val="24"/>
                <w:szCs w:val="24"/>
                <w:lang w:val="en-US" w:eastAsia="zh-CN"/>
              </w:rPr>
              <w:t>045</w:t>
            </w:r>
            <w:r>
              <w:rPr>
                <w:color w:val="auto"/>
                <w:sz w:val="24"/>
                <w:szCs w:val="24"/>
              </w:rPr>
              <w:t>t/a，产生浓度为</w:t>
            </w:r>
            <w:r>
              <w:rPr>
                <w:rFonts w:hint="eastAsia"/>
                <w:color w:val="auto"/>
                <w:sz w:val="24"/>
                <w:szCs w:val="24"/>
                <w:lang w:val="en-US" w:eastAsia="zh-CN"/>
              </w:rPr>
              <w:t>2</w:t>
            </w:r>
            <w:r>
              <w:rPr>
                <w:color w:val="auto"/>
                <w:sz w:val="24"/>
                <w:szCs w:val="24"/>
              </w:rPr>
              <w:t>mg/m</w:t>
            </w:r>
            <w:r>
              <w:rPr>
                <w:color w:val="auto"/>
                <w:sz w:val="24"/>
                <w:szCs w:val="24"/>
                <w:vertAlign w:val="superscript"/>
              </w:rPr>
              <w:t>3</w:t>
            </w:r>
            <w:r>
              <w:rPr>
                <w:color w:val="auto"/>
                <w:sz w:val="24"/>
                <w:szCs w:val="24"/>
              </w:rPr>
              <w:t>。建设单位拟设置油烟净化器，排风量为</w:t>
            </w:r>
            <w:r>
              <w:rPr>
                <w:rFonts w:hint="eastAsia"/>
                <w:color w:val="auto"/>
                <w:sz w:val="24"/>
                <w:szCs w:val="24"/>
                <w:lang w:val="en-US" w:eastAsia="zh-CN"/>
              </w:rPr>
              <w:t>5</w:t>
            </w:r>
            <w:r>
              <w:rPr>
                <w:color w:val="auto"/>
                <w:sz w:val="24"/>
                <w:szCs w:val="24"/>
              </w:rPr>
              <w:t>000m</w:t>
            </w:r>
            <w:r>
              <w:rPr>
                <w:color w:val="auto"/>
                <w:sz w:val="24"/>
                <w:szCs w:val="24"/>
                <w:vertAlign w:val="superscript"/>
              </w:rPr>
              <w:t>3</w:t>
            </w:r>
            <w:r>
              <w:rPr>
                <w:color w:val="auto"/>
                <w:sz w:val="24"/>
                <w:szCs w:val="24"/>
              </w:rPr>
              <w:t>/h，处理效率达</w:t>
            </w:r>
            <w:r>
              <w:rPr>
                <w:rFonts w:hint="eastAsia"/>
                <w:color w:val="auto"/>
                <w:sz w:val="24"/>
                <w:szCs w:val="24"/>
                <w:lang w:val="en-US" w:eastAsia="zh-CN"/>
              </w:rPr>
              <w:t>75</w:t>
            </w:r>
            <w:r>
              <w:rPr>
                <w:color w:val="auto"/>
                <w:sz w:val="24"/>
                <w:szCs w:val="24"/>
              </w:rPr>
              <w:t>%，油烟废气经油烟净化器处理后，油烟排放量为0.0</w:t>
            </w:r>
            <w:r>
              <w:rPr>
                <w:rFonts w:hint="eastAsia"/>
                <w:color w:val="auto"/>
                <w:sz w:val="24"/>
                <w:szCs w:val="24"/>
                <w:lang w:val="en-US" w:eastAsia="zh-CN"/>
              </w:rPr>
              <w:t>011</w:t>
            </w:r>
            <w:r>
              <w:rPr>
                <w:color w:val="auto"/>
                <w:sz w:val="24"/>
                <w:szCs w:val="24"/>
              </w:rPr>
              <w:t>t/a，排放浓度为</w:t>
            </w:r>
            <w:r>
              <w:rPr>
                <w:rFonts w:hint="eastAsia"/>
                <w:color w:val="auto"/>
                <w:sz w:val="24"/>
                <w:szCs w:val="24"/>
                <w:lang w:val="en-US" w:eastAsia="zh-CN"/>
              </w:rPr>
              <w:t>0.5</w:t>
            </w:r>
            <w:r>
              <w:rPr>
                <w:color w:val="auto"/>
                <w:sz w:val="24"/>
                <w:szCs w:val="24"/>
              </w:rPr>
              <w:t>mg/m</w:t>
            </w:r>
            <w:r>
              <w:rPr>
                <w:color w:val="auto"/>
                <w:sz w:val="24"/>
                <w:szCs w:val="24"/>
                <w:vertAlign w:val="superscript"/>
              </w:rPr>
              <w:t>3</w:t>
            </w:r>
            <w:r>
              <w:rPr>
                <w:color w:val="auto"/>
                <w:sz w:val="24"/>
                <w:szCs w:val="24"/>
              </w:rPr>
              <w:t>。通过食堂专用烟道排放。</w:t>
            </w:r>
          </w:p>
          <w:p w14:paraId="355449E2">
            <w:pPr>
              <w:keepNext w:val="0"/>
              <w:keepLines w:val="0"/>
              <w:suppressLineNumbers w:val="0"/>
              <w:adjustRightInd w:val="0"/>
              <w:snapToGrid w:val="0"/>
              <w:spacing w:before="0" w:beforeAutospacing="0" w:after="0" w:afterAutospacing="0" w:line="240" w:lineRule="auto"/>
              <w:ind w:left="0" w:right="0" w:firstLine="0" w:firstLineChars="0"/>
              <w:jc w:val="center"/>
              <w:rPr>
                <w:b/>
                <w:color w:val="auto"/>
                <w:sz w:val="24"/>
                <w:szCs w:val="24"/>
              </w:rPr>
            </w:pPr>
            <w:r>
              <w:rPr>
                <w:b/>
                <w:color w:val="auto"/>
                <w:sz w:val="24"/>
                <w:szCs w:val="24"/>
              </w:rPr>
              <w:t>表4-</w:t>
            </w:r>
            <w:r>
              <w:rPr>
                <w:rFonts w:hint="eastAsia"/>
                <w:b/>
                <w:color w:val="auto"/>
                <w:sz w:val="24"/>
                <w:szCs w:val="24"/>
                <w:lang w:val="en-US" w:eastAsia="zh-CN"/>
              </w:rPr>
              <w:t xml:space="preserve">1  </w:t>
            </w:r>
            <w:r>
              <w:rPr>
                <w:b/>
                <w:color w:val="auto"/>
                <w:sz w:val="24"/>
                <w:szCs w:val="24"/>
              </w:rPr>
              <w:t>食堂</w:t>
            </w:r>
            <w:r>
              <w:rPr>
                <w:rFonts w:hint="eastAsia"/>
                <w:b/>
                <w:color w:val="auto"/>
                <w:sz w:val="24"/>
                <w:szCs w:val="24"/>
                <w:lang w:eastAsia="zh-CN"/>
              </w:rPr>
              <w:t>空气污染物</w:t>
            </w:r>
            <w:r>
              <w:rPr>
                <w:b/>
                <w:color w:val="auto"/>
                <w:sz w:val="24"/>
                <w:szCs w:val="24"/>
              </w:rPr>
              <w:t>排放量</w:t>
            </w:r>
          </w:p>
          <w:tbl>
            <w:tblPr>
              <w:tblStyle w:val="8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454"/>
              <w:gridCol w:w="678"/>
              <w:gridCol w:w="827"/>
              <w:gridCol w:w="850"/>
              <w:gridCol w:w="455"/>
              <w:gridCol w:w="641"/>
              <w:gridCol w:w="827"/>
              <w:gridCol w:w="850"/>
              <w:gridCol w:w="827"/>
              <w:gridCol w:w="797"/>
              <w:gridCol w:w="567"/>
            </w:tblGrid>
            <w:tr w14:paraId="04590FCD">
              <w:trPr>
                <w:trHeight w:val="340" w:hRule="atLeast"/>
              </w:trPr>
              <w:tc>
                <w:tcPr>
                  <w:tcW w:w="276" w:type="pct"/>
                  <w:vMerge w:val="restart"/>
                  <w:noWrap w:val="0"/>
                  <w:vAlign w:val="center"/>
                </w:tcPr>
                <w:p w14:paraId="23642DBE">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污染源</w:t>
                  </w:r>
                </w:p>
              </w:tc>
              <w:tc>
                <w:tcPr>
                  <w:tcW w:w="276" w:type="pct"/>
                  <w:vMerge w:val="restart"/>
                  <w:noWrap w:val="0"/>
                  <w:vAlign w:val="center"/>
                </w:tcPr>
                <w:p w14:paraId="7B33B897">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污染物</w:t>
                  </w:r>
                </w:p>
              </w:tc>
              <w:tc>
                <w:tcPr>
                  <w:tcW w:w="412" w:type="pct"/>
                  <w:vMerge w:val="restart"/>
                  <w:noWrap w:val="0"/>
                  <w:vAlign w:val="center"/>
                </w:tcPr>
                <w:p w14:paraId="3FFE2642">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风量m</w:t>
                  </w:r>
                  <w:r>
                    <w:rPr>
                      <w:color w:val="auto"/>
                      <w:sz w:val="21"/>
                      <w:szCs w:val="21"/>
                      <w:vertAlign w:val="superscript"/>
                    </w:rPr>
                    <w:t>3</w:t>
                  </w:r>
                  <w:r>
                    <w:rPr>
                      <w:color w:val="auto"/>
                      <w:sz w:val="21"/>
                      <w:szCs w:val="21"/>
                    </w:rPr>
                    <w:t>/h</w:t>
                  </w:r>
                </w:p>
              </w:tc>
              <w:tc>
                <w:tcPr>
                  <w:tcW w:w="1018" w:type="pct"/>
                  <w:gridSpan w:val="2"/>
                  <w:noWrap w:val="0"/>
                  <w:vAlign w:val="center"/>
                </w:tcPr>
                <w:p w14:paraId="604D260C">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产生状况</w:t>
                  </w:r>
                </w:p>
              </w:tc>
              <w:tc>
                <w:tcPr>
                  <w:tcW w:w="276" w:type="pct"/>
                  <w:vMerge w:val="restart"/>
                  <w:noWrap w:val="0"/>
                  <w:vAlign w:val="center"/>
                </w:tcPr>
                <w:p w14:paraId="6F68112B">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治理措施</w:t>
                  </w:r>
                </w:p>
              </w:tc>
              <w:tc>
                <w:tcPr>
                  <w:tcW w:w="389" w:type="pct"/>
                  <w:vMerge w:val="restart"/>
                  <w:noWrap w:val="0"/>
                  <w:vAlign w:val="center"/>
                </w:tcPr>
                <w:p w14:paraId="63F3FE5D">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去除率%</w:t>
                  </w:r>
                </w:p>
              </w:tc>
              <w:tc>
                <w:tcPr>
                  <w:tcW w:w="1018" w:type="pct"/>
                  <w:gridSpan w:val="2"/>
                  <w:noWrap w:val="0"/>
                  <w:vAlign w:val="center"/>
                </w:tcPr>
                <w:p w14:paraId="4F7509DC">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排放状况</w:t>
                  </w:r>
                </w:p>
              </w:tc>
              <w:tc>
                <w:tcPr>
                  <w:tcW w:w="502" w:type="pct"/>
                  <w:noWrap w:val="0"/>
                  <w:vAlign w:val="center"/>
                </w:tcPr>
                <w:p w14:paraId="3861D12B">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执行标准</w:t>
                  </w:r>
                </w:p>
              </w:tc>
              <w:tc>
                <w:tcPr>
                  <w:tcW w:w="484" w:type="pct"/>
                  <w:vMerge w:val="restart"/>
                  <w:noWrap w:val="0"/>
                  <w:vAlign w:val="center"/>
                </w:tcPr>
                <w:p w14:paraId="3405CFB3">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排放高度/内径m</w:t>
                  </w:r>
                </w:p>
              </w:tc>
              <w:tc>
                <w:tcPr>
                  <w:tcW w:w="344" w:type="pct"/>
                  <w:vMerge w:val="restart"/>
                  <w:noWrap w:val="0"/>
                  <w:vAlign w:val="center"/>
                </w:tcPr>
                <w:p w14:paraId="51BFDA45">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年排放时间h</w:t>
                  </w:r>
                </w:p>
              </w:tc>
            </w:tr>
            <w:tr w14:paraId="11F17CC4">
              <w:trPr>
                <w:trHeight w:val="340" w:hRule="atLeast"/>
              </w:trPr>
              <w:tc>
                <w:tcPr>
                  <w:tcW w:w="276" w:type="pct"/>
                  <w:vMerge w:val="continue"/>
                  <w:noWrap w:val="0"/>
                  <w:vAlign w:val="center"/>
                </w:tcPr>
                <w:p w14:paraId="44BCDCF8">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c>
                <w:tcPr>
                  <w:tcW w:w="276" w:type="pct"/>
                  <w:vMerge w:val="continue"/>
                  <w:noWrap w:val="0"/>
                  <w:vAlign w:val="center"/>
                </w:tcPr>
                <w:p w14:paraId="6AAF4336">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c>
                <w:tcPr>
                  <w:tcW w:w="412" w:type="pct"/>
                  <w:vMerge w:val="continue"/>
                  <w:noWrap w:val="0"/>
                  <w:vAlign w:val="center"/>
                </w:tcPr>
                <w:p w14:paraId="73B4B09B">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c>
                <w:tcPr>
                  <w:tcW w:w="502" w:type="pct"/>
                  <w:noWrap w:val="0"/>
                  <w:vAlign w:val="center"/>
                </w:tcPr>
                <w:p w14:paraId="47CB1251">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浓度mg/m</w:t>
                  </w:r>
                  <w:r>
                    <w:rPr>
                      <w:color w:val="auto"/>
                      <w:sz w:val="21"/>
                      <w:szCs w:val="21"/>
                      <w:vertAlign w:val="superscript"/>
                    </w:rPr>
                    <w:t>3</w:t>
                  </w:r>
                </w:p>
              </w:tc>
              <w:tc>
                <w:tcPr>
                  <w:tcW w:w="515" w:type="pct"/>
                  <w:noWrap w:val="0"/>
                  <w:vAlign w:val="center"/>
                </w:tcPr>
                <w:p w14:paraId="6A33F730">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产生量t/a</w:t>
                  </w:r>
                </w:p>
              </w:tc>
              <w:tc>
                <w:tcPr>
                  <w:tcW w:w="276" w:type="pct"/>
                  <w:vMerge w:val="continue"/>
                  <w:noWrap w:val="0"/>
                  <w:vAlign w:val="center"/>
                </w:tcPr>
                <w:p w14:paraId="08C7626B">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c>
                <w:tcPr>
                  <w:tcW w:w="389" w:type="pct"/>
                  <w:vMerge w:val="continue"/>
                  <w:noWrap w:val="0"/>
                  <w:vAlign w:val="center"/>
                </w:tcPr>
                <w:p w14:paraId="7AFC3B42">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c>
                <w:tcPr>
                  <w:tcW w:w="502" w:type="pct"/>
                  <w:noWrap w:val="0"/>
                  <w:vAlign w:val="center"/>
                </w:tcPr>
                <w:p w14:paraId="2AA0091F">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浓度mg/m</w:t>
                  </w:r>
                  <w:r>
                    <w:rPr>
                      <w:color w:val="auto"/>
                      <w:sz w:val="21"/>
                      <w:szCs w:val="21"/>
                      <w:vertAlign w:val="superscript"/>
                    </w:rPr>
                    <w:t>3</w:t>
                  </w:r>
                </w:p>
              </w:tc>
              <w:tc>
                <w:tcPr>
                  <w:tcW w:w="515" w:type="pct"/>
                  <w:noWrap w:val="0"/>
                  <w:vAlign w:val="center"/>
                </w:tcPr>
                <w:p w14:paraId="0F5650B2">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排放量t/a</w:t>
                  </w:r>
                </w:p>
              </w:tc>
              <w:tc>
                <w:tcPr>
                  <w:tcW w:w="502" w:type="pct"/>
                  <w:noWrap w:val="0"/>
                  <w:vAlign w:val="center"/>
                </w:tcPr>
                <w:p w14:paraId="7FEA027D">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浓度mg/m</w:t>
                  </w:r>
                  <w:r>
                    <w:rPr>
                      <w:color w:val="auto"/>
                      <w:sz w:val="21"/>
                      <w:szCs w:val="21"/>
                      <w:vertAlign w:val="superscript"/>
                    </w:rPr>
                    <w:t>3</w:t>
                  </w:r>
                </w:p>
              </w:tc>
              <w:tc>
                <w:tcPr>
                  <w:tcW w:w="484" w:type="pct"/>
                  <w:vMerge w:val="continue"/>
                  <w:noWrap w:val="0"/>
                  <w:vAlign w:val="center"/>
                </w:tcPr>
                <w:p w14:paraId="4088FFF5">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c>
                <w:tcPr>
                  <w:tcW w:w="344" w:type="pct"/>
                  <w:vMerge w:val="continue"/>
                  <w:noWrap w:val="0"/>
                  <w:vAlign w:val="center"/>
                </w:tcPr>
                <w:p w14:paraId="5E9ED169">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p>
              </w:tc>
            </w:tr>
            <w:tr w14:paraId="175F8291">
              <w:trPr>
                <w:trHeight w:val="340" w:hRule="atLeast"/>
              </w:trPr>
              <w:tc>
                <w:tcPr>
                  <w:tcW w:w="276" w:type="pct"/>
                  <w:noWrap w:val="0"/>
                  <w:vAlign w:val="center"/>
                </w:tcPr>
                <w:p w14:paraId="6DE69F57">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烹饪</w:t>
                  </w:r>
                </w:p>
              </w:tc>
              <w:tc>
                <w:tcPr>
                  <w:tcW w:w="276" w:type="pct"/>
                  <w:noWrap w:val="0"/>
                  <w:vAlign w:val="center"/>
                </w:tcPr>
                <w:p w14:paraId="067E58F5">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油烟</w:t>
                  </w:r>
                </w:p>
              </w:tc>
              <w:tc>
                <w:tcPr>
                  <w:tcW w:w="412" w:type="pct"/>
                  <w:noWrap w:val="0"/>
                  <w:vAlign w:val="center"/>
                </w:tcPr>
                <w:p w14:paraId="20FB7ECF">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rFonts w:hint="eastAsia"/>
                      <w:color w:val="auto"/>
                      <w:sz w:val="21"/>
                      <w:szCs w:val="21"/>
                      <w:lang w:val="en-US" w:eastAsia="zh-CN"/>
                    </w:rPr>
                    <w:t>4</w:t>
                  </w:r>
                  <w:r>
                    <w:rPr>
                      <w:color w:val="auto"/>
                      <w:sz w:val="21"/>
                      <w:szCs w:val="21"/>
                    </w:rPr>
                    <w:t>000</w:t>
                  </w:r>
                </w:p>
              </w:tc>
              <w:tc>
                <w:tcPr>
                  <w:tcW w:w="502" w:type="pct"/>
                  <w:noWrap w:val="0"/>
                  <w:vAlign w:val="center"/>
                </w:tcPr>
                <w:p w14:paraId="77CCDDD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w:t>
                  </w:r>
                </w:p>
              </w:tc>
              <w:tc>
                <w:tcPr>
                  <w:tcW w:w="515" w:type="pct"/>
                  <w:noWrap w:val="0"/>
                  <w:vAlign w:val="center"/>
                </w:tcPr>
                <w:p w14:paraId="6378461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color w:val="auto"/>
                      <w:sz w:val="21"/>
                      <w:szCs w:val="21"/>
                    </w:rPr>
                    <w:t>0.0</w:t>
                  </w:r>
                  <w:r>
                    <w:rPr>
                      <w:rFonts w:hint="eastAsia"/>
                      <w:color w:val="auto"/>
                      <w:sz w:val="21"/>
                      <w:szCs w:val="21"/>
                      <w:lang w:val="en-US" w:eastAsia="zh-CN"/>
                    </w:rPr>
                    <w:t>045</w:t>
                  </w:r>
                </w:p>
              </w:tc>
              <w:tc>
                <w:tcPr>
                  <w:tcW w:w="276" w:type="pct"/>
                  <w:noWrap w:val="0"/>
                  <w:vAlign w:val="center"/>
                </w:tcPr>
                <w:p w14:paraId="42E886E1">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油烟净化器</w:t>
                  </w:r>
                </w:p>
              </w:tc>
              <w:tc>
                <w:tcPr>
                  <w:tcW w:w="389" w:type="pct"/>
                  <w:noWrap w:val="0"/>
                  <w:vAlign w:val="center"/>
                </w:tcPr>
                <w:p w14:paraId="47D0D6B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 w:val="21"/>
                      <w:szCs w:val="21"/>
                      <w:lang w:val="en-US"/>
                    </w:rPr>
                  </w:pPr>
                  <w:r>
                    <w:rPr>
                      <w:rFonts w:hint="eastAsia"/>
                      <w:color w:val="auto"/>
                      <w:sz w:val="21"/>
                      <w:szCs w:val="21"/>
                      <w:lang w:val="en-US" w:eastAsia="zh-CN"/>
                    </w:rPr>
                    <w:t>75</w:t>
                  </w:r>
                </w:p>
              </w:tc>
              <w:tc>
                <w:tcPr>
                  <w:tcW w:w="502" w:type="pct"/>
                  <w:noWrap w:val="0"/>
                  <w:vAlign w:val="center"/>
                </w:tcPr>
                <w:p w14:paraId="4FB393F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0.5</w:t>
                  </w:r>
                </w:p>
              </w:tc>
              <w:tc>
                <w:tcPr>
                  <w:tcW w:w="515" w:type="pct"/>
                  <w:noWrap w:val="0"/>
                  <w:vAlign w:val="center"/>
                </w:tcPr>
                <w:p w14:paraId="142512D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color w:val="auto"/>
                      <w:sz w:val="21"/>
                      <w:szCs w:val="21"/>
                    </w:rPr>
                    <w:t>0.0</w:t>
                  </w:r>
                  <w:r>
                    <w:rPr>
                      <w:rFonts w:hint="eastAsia"/>
                      <w:color w:val="auto"/>
                      <w:sz w:val="21"/>
                      <w:szCs w:val="21"/>
                      <w:lang w:val="en-US" w:eastAsia="zh-CN"/>
                    </w:rPr>
                    <w:t>011</w:t>
                  </w:r>
                </w:p>
              </w:tc>
              <w:tc>
                <w:tcPr>
                  <w:tcW w:w="502" w:type="pct"/>
                  <w:noWrap w:val="0"/>
                  <w:vAlign w:val="center"/>
                </w:tcPr>
                <w:p w14:paraId="7EECC97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484" w:type="pct"/>
                  <w:noWrap w:val="0"/>
                  <w:vAlign w:val="center"/>
                </w:tcPr>
                <w:p w14:paraId="3232EE56">
                  <w:pPr>
                    <w:keepNext w:val="0"/>
                    <w:keepLines w:val="0"/>
                    <w:suppressLineNumbers w:val="0"/>
                    <w:adjustRightInd w:val="0"/>
                    <w:snapToGrid w:val="0"/>
                    <w:spacing w:before="0" w:beforeAutospacing="0" w:after="0" w:afterAutospacing="0" w:line="240" w:lineRule="auto"/>
                    <w:ind w:left="0" w:right="0" w:firstLine="0" w:firstLineChars="0"/>
                    <w:jc w:val="center"/>
                    <w:rPr>
                      <w:color w:val="auto"/>
                      <w:sz w:val="21"/>
                      <w:szCs w:val="21"/>
                    </w:rPr>
                  </w:pPr>
                  <w:r>
                    <w:rPr>
                      <w:color w:val="auto"/>
                      <w:sz w:val="21"/>
                      <w:szCs w:val="21"/>
                    </w:rPr>
                    <w:t>1</w:t>
                  </w:r>
                  <w:r>
                    <w:rPr>
                      <w:rFonts w:hint="eastAsia"/>
                      <w:color w:val="auto"/>
                      <w:sz w:val="21"/>
                      <w:szCs w:val="21"/>
                      <w:lang w:val="en-US" w:eastAsia="zh-CN"/>
                    </w:rPr>
                    <w:t>0</w:t>
                  </w:r>
                  <w:r>
                    <w:rPr>
                      <w:color w:val="auto"/>
                      <w:sz w:val="21"/>
                      <w:szCs w:val="21"/>
                    </w:rPr>
                    <w:t>/0.3</w:t>
                  </w:r>
                </w:p>
              </w:tc>
              <w:tc>
                <w:tcPr>
                  <w:tcW w:w="344" w:type="pct"/>
                  <w:noWrap w:val="0"/>
                  <w:vAlign w:val="center"/>
                </w:tcPr>
                <w:p w14:paraId="7552EC4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600</w:t>
                  </w:r>
                </w:p>
              </w:tc>
            </w:tr>
          </w:tbl>
          <w:p w14:paraId="55A2B1BB">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宋体" w:cs="宋体"/>
                <w:color w:val="auto"/>
                <w:sz w:val="24"/>
                <w:highlight w:val="none"/>
              </w:rPr>
            </w:pPr>
            <w:r>
              <w:rPr>
                <w:rFonts w:hint="eastAsia" w:hAnsi="宋体" w:eastAsia="宋体" w:cs="宋体"/>
                <w:color w:val="auto"/>
                <w:sz w:val="24"/>
                <w:highlight w:val="none"/>
              </w:rPr>
              <w:t>项目在设计过程中综合考虑了废气治理措施可行性、废气排放筒的距离、废气排放是否存在互相影响、废气风量、对周围环境的影响等因素，合理设置了排气筒的数量，以减少对周边环境的影响。</w:t>
            </w:r>
            <w:r>
              <w:rPr>
                <w:rFonts w:hint="eastAsia" w:hAnsi="宋体" w:eastAsia="宋体" w:cs="宋体"/>
                <w:bCs/>
                <w:color w:val="auto"/>
                <w:sz w:val="24"/>
                <w:szCs w:val="28"/>
                <w:highlight w:val="none"/>
              </w:rPr>
              <w:t>建设</w:t>
            </w:r>
            <w:r>
              <w:rPr>
                <w:rFonts w:hint="eastAsia" w:hAnsi="宋体" w:eastAsia="宋体" w:cs="宋体"/>
                <w:color w:val="auto"/>
                <w:sz w:val="24"/>
                <w:highlight w:val="none"/>
              </w:rPr>
              <w:t>项目共设置了</w:t>
            </w:r>
            <w:r>
              <w:rPr>
                <w:rFonts w:hint="eastAsia" w:eastAsia="宋体"/>
                <w:color w:val="auto"/>
                <w:sz w:val="24"/>
                <w:highlight w:val="none"/>
                <w:lang w:val="en-US" w:eastAsia="zh-CN"/>
              </w:rPr>
              <w:t>2</w:t>
            </w:r>
            <w:r>
              <w:rPr>
                <w:rFonts w:hint="eastAsia" w:hAnsi="宋体" w:eastAsia="宋体" w:cs="宋体"/>
                <w:color w:val="auto"/>
                <w:sz w:val="24"/>
                <w:highlight w:val="none"/>
              </w:rPr>
              <w:t>根排气筒，排气筒设置情况见</w:t>
            </w:r>
            <w:r>
              <w:rPr>
                <w:rFonts w:hint="eastAsia" w:hAnsi="宋体" w:eastAsia="宋体" w:cs="宋体"/>
                <w:color w:val="auto"/>
                <w:sz w:val="24"/>
                <w:highlight w:val="none"/>
                <w:lang w:val="en-US" w:eastAsia="zh-CN"/>
              </w:rPr>
              <w:t>下</w:t>
            </w:r>
            <w:r>
              <w:rPr>
                <w:rFonts w:hint="eastAsia" w:hAnsi="宋体" w:eastAsia="宋体" w:cs="宋体"/>
                <w:color w:val="auto"/>
                <w:sz w:val="24"/>
                <w:highlight w:val="none"/>
              </w:rPr>
              <w:t>表。</w:t>
            </w:r>
          </w:p>
          <w:p w14:paraId="78E49C09">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int="eastAsia" w:hAnsi="宋体" w:eastAsia="宋体" w:cs="宋体"/>
                <w:b/>
                <w:color w:val="auto"/>
                <w:sz w:val="24"/>
                <w:highlight w:val="none"/>
              </w:rPr>
              <w:t>表</w:t>
            </w:r>
            <w:r>
              <w:rPr>
                <w:rFonts w:eastAsia="宋体"/>
                <w:b/>
                <w:color w:val="auto"/>
                <w:sz w:val="24"/>
                <w:highlight w:val="none"/>
              </w:rPr>
              <w:t>4-</w:t>
            </w:r>
            <w:r>
              <w:rPr>
                <w:rFonts w:hint="eastAsia" w:eastAsia="宋体"/>
                <w:b/>
                <w:color w:val="auto"/>
                <w:sz w:val="24"/>
                <w:highlight w:val="none"/>
                <w:lang w:val="en-US" w:eastAsia="zh-CN"/>
              </w:rPr>
              <w:t>2</w:t>
            </w:r>
            <w:r>
              <w:rPr>
                <w:rFonts w:eastAsia="宋体"/>
                <w:b/>
                <w:color w:val="auto"/>
                <w:sz w:val="24"/>
                <w:highlight w:val="none"/>
              </w:rPr>
              <w:t xml:space="preserve">  </w:t>
            </w:r>
            <w:r>
              <w:rPr>
                <w:rFonts w:hint="eastAsia" w:hAnsi="宋体" w:eastAsia="宋体" w:cs="宋体"/>
                <w:b/>
                <w:color w:val="auto"/>
                <w:sz w:val="24"/>
                <w:highlight w:val="none"/>
              </w:rPr>
              <w:t>建设项目排气筒设置情况一览表</w:t>
            </w:r>
          </w:p>
          <w:tbl>
            <w:tblPr>
              <w:tblStyle w:val="88"/>
              <w:tblW w:w="0" w:type="auto"/>
              <w:tblInd w:w="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477"/>
              <w:gridCol w:w="813"/>
              <w:gridCol w:w="831"/>
              <w:gridCol w:w="1077"/>
              <w:gridCol w:w="850"/>
              <w:gridCol w:w="1009"/>
              <w:gridCol w:w="661"/>
              <w:gridCol w:w="935"/>
            </w:tblGrid>
            <w:tr w14:paraId="4ADF786B">
              <w:trPr>
                <w:trHeight w:val="340" w:hRule="atLeast"/>
              </w:trPr>
              <w:tc>
                <w:tcPr>
                  <w:tcW w:w="574" w:type="dxa"/>
                  <w:vMerge w:val="restart"/>
                  <w:tcBorders>
                    <w:tl2br w:val="nil"/>
                    <w:tr2bl w:val="nil"/>
                  </w:tcBorders>
                  <w:shd w:val="clear" w:color="auto" w:fill="auto"/>
                  <w:vAlign w:val="center"/>
                </w:tcPr>
                <w:p w14:paraId="203A54D4">
                  <w:pPr>
                    <w:keepNext w:val="0"/>
                    <w:keepLines w:val="0"/>
                    <w:suppressLineNumbers w:val="0"/>
                    <w:spacing w:before="0" w:beforeAutospacing="0" w:after="0" w:afterAutospacing="0"/>
                    <w:ind w:left="0" w:right="0"/>
                    <w:jc w:val="center"/>
                    <w:rPr>
                      <w:color w:val="auto"/>
                      <w:szCs w:val="21"/>
                      <w:highlight w:val="none"/>
                    </w:rPr>
                  </w:pPr>
                  <w:r>
                    <w:rPr>
                      <w:rFonts w:hint="eastAsia" w:hAnsi="宋体" w:eastAsia="宋体" w:cs="宋体"/>
                      <w:color w:val="auto"/>
                      <w:szCs w:val="21"/>
                      <w:highlight w:val="none"/>
                    </w:rPr>
                    <w:t>工段</w:t>
                  </w:r>
                </w:p>
              </w:tc>
              <w:tc>
                <w:tcPr>
                  <w:tcW w:w="1477" w:type="dxa"/>
                  <w:vMerge w:val="restart"/>
                  <w:tcBorders>
                    <w:tl2br w:val="nil"/>
                    <w:tr2bl w:val="nil"/>
                  </w:tcBorders>
                  <w:shd w:val="clear" w:color="auto" w:fill="auto"/>
                  <w:vAlign w:val="center"/>
                </w:tcPr>
                <w:p w14:paraId="414400D6">
                  <w:pPr>
                    <w:keepNext w:val="0"/>
                    <w:keepLines w:val="0"/>
                    <w:suppressLineNumbers w:val="0"/>
                    <w:spacing w:before="0" w:beforeAutospacing="0" w:after="0" w:afterAutospacing="0"/>
                    <w:ind w:left="0" w:right="0"/>
                    <w:jc w:val="center"/>
                    <w:rPr>
                      <w:color w:val="auto"/>
                      <w:szCs w:val="21"/>
                      <w:highlight w:val="none"/>
                    </w:rPr>
                  </w:pPr>
                  <w:r>
                    <w:rPr>
                      <w:rFonts w:hint="eastAsia" w:hAnsi="宋体" w:eastAsia="宋体" w:cs="宋体"/>
                      <w:color w:val="auto"/>
                      <w:szCs w:val="21"/>
                      <w:highlight w:val="none"/>
                    </w:rPr>
                    <w:t>污染物</w:t>
                  </w:r>
                </w:p>
              </w:tc>
              <w:tc>
                <w:tcPr>
                  <w:tcW w:w="1644" w:type="dxa"/>
                  <w:gridSpan w:val="2"/>
                  <w:tcBorders>
                    <w:tl2br w:val="nil"/>
                    <w:tr2bl w:val="nil"/>
                  </w:tcBorders>
                  <w:shd w:val="clear" w:color="auto" w:fill="auto"/>
                  <w:vAlign w:val="center"/>
                </w:tcPr>
                <w:p w14:paraId="2895BF71">
                  <w:pPr>
                    <w:keepNext w:val="0"/>
                    <w:keepLines w:val="0"/>
                    <w:suppressLineNumbers w:val="0"/>
                    <w:spacing w:before="0" w:beforeAutospacing="0" w:after="0" w:afterAutospacing="0"/>
                    <w:ind w:left="0" w:right="0"/>
                    <w:jc w:val="center"/>
                    <w:rPr>
                      <w:color w:val="auto"/>
                      <w:szCs w:val="21"/>
                      <w:highlight w:val="none"/>
                    </w:rPr>
                  </w:pPr>
                  <w:r>
                    <w:rPr>
                      <w:rFonts w:hint="eastAsia" w:hAnsi="宋体" w:eastAsia="宋体" w:cs="宋体"/>
                      <w:color w:val="auto"/>
                      <w:szCs w:val="21"/>
                      <w:highlight w:val="none"/>
                    </w:rPr>
                    <w:t>污染防治措施</w:t>
                  </w:r>
                </w:p>
              </w:tc>
              <w:tc>
                <w:tcPr>
                  <w:tcW w:w="2936" w:type="dxa"/>
                  <w:gridSpan w:val="3"/>
                  <w:tcBorders>
                    <w:tl2br w:val="nil"/>
                    <w:tr2bl w:val="nil"/>
                  </w:tcBorders>
                  <w:shd w:val="clear" w:color="auto" w:fill="auto"/>
                  <w:vAlign w:val="center"/>
                </w:tcPr>
                <w:p w14:paraId="5700D8F4">
                  <w:pPr>
                    <w:keepNext w:val="0"/>
                    <w:keepLines w:val="0"/>
                    <w:suppressLineNumbers w:val="0"/>
                    <w:spacing w:before="0" w:beforeAutospacing="0" w:after="0" w:afterAutospacing="0"/>
                    <w:ind w:left="0" w:right="0"/>
                    <w:jc w:val="center"/>
                    <w:rPr>
                      <w:color w:val="auto"/>
                      <w:szCs w:val="21"/>
                      <w:highlight w:val="none"/>
                    </w:rPr>
                  </w:pPr>
                  <w:r>
                    <w:rPr>
                      <w:rFonts w:hint="eastAsia" w:hAnsi="宋体" w:eastAsia="宋体" w:cs="宋体"/>
                      <w:color w:val="auto"/>
                      <w:szCs w:val="21"/>
                      <w:highlight w:val="none"/>
                    </w:rPr>
                    <w:t>参数</w:t>
                  </w:r>
                </w:p>
              </w:tc>
              <w:tc>
                <w:tcPr>
                  <w:tcW w:w="1596" w:type="dxa"/>
                  <w:gridSpan w:val="2"/>
                  <w:tcBorders>
                    <w:tl2br w:val="nil"/>
                    <w:tr2bl w:val="nil"/>
                  </w:tcBorders>
                  <w:shd w:val="clear" w:color="auto" w:fill="auto"/>
                  <w:vAlign w:val="center"/>
                </w:tcPr>
                <w:p w14:paraId="0D22DACE">
                  <w:pPr>
                    <w:keepNext w:val="0"/>
                    <w:keepLines w:val="0"/>
                    <w:suppressLineNumbers w:val="0"/>
                    <w:spacing w:before="0" w:beforeAutospacing="0" w:after="0" w:afterAutospacing="0"/>
                    <w:ind w:left="0" w:right="0"/>
                    <w:jc w:val="center"/>
                    <w:rPr>
                      <w:color w:val="auto"/>
                      <w:szCs w:val="21"/>
                      <w:highlight w:val="none"/>
                    </w:rPr>
                  </w:pPr>
                  <w:r>
                    <w:rPr>
                      <w:rFonts w:hint="eastAsia" w:hAnsi="宋体" w:eastAsia="宋体" w:cs="宋体"/>
                      <w:color w:val="auto"/>
                      <w:szCs w:val="21"/>
                      <w:highlight w:val="none"/>
                    </w:rPr>
                    <w:t>排气筒</w:t>
                  </w:r>
                </w:p>
              </w:tc>
            </w:tr>
            <w:tr w14:paraId="7E40BC45">
              <w:trPr>
                <w:trHeight w:val="340" w:hRule="atLeast"/>
              </w:trPr>
              <w:tc>
                <w:tcPr>
                  <w:tcW w:w="574" w:type="dxa"/>
                  <w:vMerge w:val="continue"/>
                  <w:tcBorders>
                    <w:tl2br w:val="nil"/>
                    <w:tr2bl w:val="nil"/>
                  </w:tcBorders>
                  <w:shd w:val="clear" w:color="auto" w:fill="auto"/>
                  <w:vAlign w:val="center"/>
                </w:tcPr>
                <w:p w14:paraId="049C2C14">
                  <w:pPr>
                    <w:keepNext w:val="0"/>
                    <w:keepLines w:val="0"/>
                    <w:suppressLineNumbers w:val="0"/>
                    <w:spacing w:before="0" w:beforeAutospacing="0" w:after="0" w:afterAutospacing="0"/>
                    <w:ind w:left="0" w:right="0"/>
                    <w:rPr>
                      <w:rFonts w:ascii="Calibri" w:hAnsi="Calibri" w:eastAsia="宋体"/>
                      <w:color w:val="auto"/>
                      <w:szCs w:val="22"/>
                      <w:highlight w:val="none"/>
                    </w:rPr>
                  </w:pPr>
                </w:p>
              </w:tc>
              <w:tc>
                <w:tcPr>
                  <w:tcW w:w="1477" w:type="dxa"/>
                  <w:vMerge w:val="continue"/>
                  <w:tcBorders>
                    <w:tl2br w:val="nil"/>
                    <w:tr2bl w:val="nil"/>
                  </w:tcBorders>
                  <w:shd w:val="clear" w:color="auto" w:fill="auto"/>
                  <w:vAlign w:val="center"/>
                </w:tcPr>
                <w:p w14:paraId="0C2D829C">
                  <w:pPr>
                    <w:keepNext w:val="0"/>
                    <w:keepLines w:val="0"/>
                    <w:suppressLineNumbers w:val="0"/>
                    <w:spacing w:before="0" w:beforeAutospacing="0" w:after="0" w:afterAutospacing="0"/>
                    <w:ind w:left="0" w:right="0"/>
                    <w:rPr>
                      <w:rFonts w:ascii="Calibri" w:hAnsi="Calibri" w:eastAsia="宋体"/>
                      <w:color w:val="auto"/>
                      <w:szCs w:val="22"/>
                      <w:highlight w:val="none"/>
                    </w:rPr>
                  </w:pPr>
                </w:p>
              </w:tc>
              <w:tc>
                <w:tcPr>
                  <w:tcW w:w="813" w:type="dxa"/>
                  <w:tcBorders>
                    <w:tl2br w:val="nil"/>
                    <w:tr2bl w:val="nil"/>
                  </w:tcBorders>
                  <w:shd w:val="clear" w:color="auto" w:fill="auto"/>
                  <w:vAlign w:val="center"/>
                </w:tcPr>
                <w:p w14:paraId="7CFC124C">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snapToGrid w:val="0"/>
                      <w:color w:val="auto"/>
                      <w:kern w:val="18"/>
                      <w:szCs w:val="21"/>
                      <w:highlight w:val="none"/>
                    </w:rPr>
                    <w:t>工艺</w:t>
                  </w:r>
                </w:p>
              </w:tc>
              <w:tc>
                <w:tcPr>
                  <w:tcW w:w="831" w:type="dxa"/>
                  <w:tcBorders>
                    <w:tl2br w:val="nil"/>
                    <w:tr2bl w:val="nil"/>
                  </w:tcBorders>
                  <w:shd w:val="clear" w:color="auto" w:fill="auto"/>
                  <w:vAlign w:val="center"/>
                </w:tcPr>
                <w:p w14:paraId="380AA4B6">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snapToGrid w:val="0"/>
                      <w:color w:val="auto"/>
                      <w:kern w:val="18"/>
                      <w:szCs w:val="21"/>
                      <w:highlight w:val="none"/>
                    </w:rPr>
                    <w:t>去除效率</w:t>
                  </w:r>
                  <w:r>
                    <w:rPr>
                      <w:rFonts w:eastAsia="宋体"/>
                      <w:snapToGrid w:val="0"/>
                      <w:color w:val="auto"/>
                      <w:kern w:val="18"/>
                      <w:szCs w:val="21"/>
                      <w:highlight w:val="none"/>
                    </w:rPr>
                    <w:t>%</w:t>
                  </w:r>
                </w:p>
              </w:tc>
              <w:tc>
                <w:tcPr>
                  <w:tcW w:w="1077" w:type="dxa"/>
                  <w:tcBorders>
                    <w:tl2br w:val="nil"/>
                    <w:tr2bl w:val="nil"/>
                  </w:tcBorders>
                  <w:shd w:val="clear" w:color="auto" w:fill="auto"/>
                  <w:vAlign w:val="center"/>
                </w:tcPr>
                <w:p w14:paraId="1DE7526A">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snapToGrid w:val="0"/>
                      <w:color w:val="auto"/>
                      <w:kern w:val="18"/>
                      <w:szCs w:val="21"/>
                      <w:highlight w:val="none"/>
                    </w:rPr>
                    <w:t>集气</w:t>
                  </w:r>
                </w:p>
                <w:p w14:paraId="748C903E">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snapToGrid w:val="0"/>
                      <w:color w:val="auto"/>
                      <w:kern w:val="18"/>
                      <w:szCs w:val="21"/>
                      <w:highlight w:val="none"/>
                    </w:rPr>
                    <w:t>方式</w:t>
                  </w:r>
                </w:p>
              </w:tc>
              <w:tc>
                <w:tcPr>
                  <w:tcW w:w="850" w:type="dxa"/>
                  <w:tcBorders>
                    <w:tl2br w:val="nil"/>
                    <w:tr2bl w:val="nil"/>
                  </w:tcBorders>
                  <w:shd w:val="clear" w:color="auto" w:fill="auto"/>
                  <w:vAlign w:val="center"/>
                </w:tcPr>
                <w:p w14:paraId="3117B401">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snapToGrid w:val="0"/>
                      <w:color w:val="auto"/>
                      <w:kern w:val="18"/>
                      <w:szCs w:val="21"/>
                      <w:highlight w:val="none"/>
                    </w:rPr>
                    <w:t>集气效率</w:t>
                  </w:r>
                  <w:r>
                    <w:rPr>
                      <w:rFonts w:eastAsia="宋体"/>
                      <w:snapToGrid w:val="0"/>
                      <w:color w:val="auto"/>
                      <w:kern w:val="18"/>
                      <w:szCs w:val="21"/>
                      <w:highlight w:val="none"/>
                    </w:rPr>
                    <w:t>%</w:t>
                  </w:r>
                </w:p>
              </w:tc>
              <w:tc>
                <w:tcPr>
                  <w:tcW w:w="1009" w:type="dxa"/>
                  <w:tcBorders>
                    <w:tl2br w:val="nil"/>
                    <w:tr2bl w:val="nil"/>
                  </w:tcBorders>
                  <w:shd w:val="clear" w:color="auto" w:fill="auto"/>
                  <w:vAlign w:val="center"/>
                </w:tcPr>
                <w:p w14:paraId="4479917A">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snapToGrid w:val="0"/>
                      <w:color w:val="auto"/>
                      <w:kern w:val="18"/>
                      <w:szCs w:val="21"/>
                      <w:highlight w:val="none"/>
                    </w:rPr>
                    <w:t>风机风量</w:t>
                  </w:r>
                  <w:r>
                    <w:rPr>
                      <w:rFonts w:eastAsia="宋体"/>
                      <w:snapToGrid w:val="0"/>
                      <w:color w:val="auto"/>
                      <w:kern w:val="18"/>
                      <w:szCs w:val="21"/>
                      <w:highlight w:val="none"/>
                    </w:rPr>
                    <w:t>m</w:t>
                  </w:r>
                  <w:r>
                    <w:rPr>
                      <w:rFonts w:eastAsia="宋体"/>
                      <w:snapToGrid w:val="0"/>
                      <w:color w:val="auto"/>
                      <w:kern w:val="18"/>
                      <w:szCs w:val="21"/>
                      <w:highlight w:val="none"/>
                      <w:vertAlign w:val="superscript"/>
                    </w:rPr>
                    <w:t>3</w:t>
                  </w:r>
                  <w:r>
                    <w:rPr>
                      <w:rFonts w:eastAsia="宋体"/>
                      <w:snapToGrid w:val="0"/>
                      <w:color w:val="auto"/>
                      <w:kern w:val="18"/>
                      <w:szCs w:val="21"/>
                      <w:highlight w:val="none"/>
                    </w:rPr>
                    <w:t>/h</w:t>
                  </w:r>
                </w:p>
              </w:tc>
              <w:tc>
                <w:tcPr>
                  <w:tcW w:w="661" w:type="dxa"/>
                  <w:tcBorders>
                    <w:tl2br w:val="nil"/>
                    <w:tr2bl w:val="nil"/>
                  </w:tcBorders>
                  <w:shd w:val="clear" w:color="auto" w:fill="auto"/>
                  <w:vAlign w:val="center"/>
                </w:tcPr>
                <w:p w14:paraId="73948D7C">
                  <w:pPr>
                    <w:keepNext w:val="0"/>
                    <w:keepLines w:val="0"/>
                    <w:suppressLineNumbers w:val="0"/>
                    <w:spacing w:before="0" w:beforeAutospacing="0" w:after="0" w:afterAutospacing="0"/>
                    <w:ind w:left="0" w:right="0"/>
                    <w:jc w:val="center"/>
                    <w:rPr>
                      <w:snapToGrid w:val="0"/>
                      <w:color w:val="auto"/>
                      <w:kern w:val="18"/>
                      <w:szCs w:val="21"/>
                      <w:highlight w:val="none"/>
                    </w:rPr>
                  </w:pPr>
                  <w:r>
                    <w:rPr>
                      <w:rFonts w:hint="eastAsia" w:hAnsi="宋体" w:eastAsia="宋体" w:cs="宋体"/>
                      <w:color w:val="auto"/>
                      <w:szCs w:val="21"/>
                      <w:highlight w:val="none"/>
                    </w:rPr>
                    <w:t>编号</w:t>
                  </w:r>
                </w:p>
              </w:tc>
              <w:tc>
                <w:tcPr>
                  <w:tcW w:w="935" w:type="dxa"/>
                  <w:tcBorders>
                    <w:tl2br w:val="nil"/>
                    <w:tr2bl w:val="nil"/>
                  </w:tcBorders>
                  <w:shd w:val="clear" w:color="auto" w:fill="auto"/>
                  <w:vAlign w:val="center"/>
                </w:tcPr>
                <w:p w14:paraId="5A2EA02B">
                  <w:pPr>
                    <w:keepNext w:val="0"/>
                    <w:keepLines w:val="0"/>
                    <w:suppressLineNumbers w:val="0"/>
                    <w:spacing w:before="0" w:beforeAutospacing="0" w:after="0" w:afterAutospacing="0"/>
                    <w:ind w:left="0" w:right="0"/>
                    <w:jc w:val="center"/>
                    <w:rPr>
                      <w:color w:val="auto"/>
                      <w:szCs w:val="21"/>
                      <w:highlight w:val="none"/>
                    </w:rPr>
                  </w:pPr>
                  <w:r>
                    <w:rPr>
                      <w:rFonts w:hint="eastAsia" w:hAnsi="宋体" w:eastAsia="宋体" w:cs="宋体"/>
                      <w:color w:val="auto"/>
                      <w:szCs w:val="21"/>
                      <w:highlight w:val="none"/>
                    </w:rPr>
                    <w:t>高度</w:t>
                  </w:r>
                  <w:r>
                    <w:rPr>
                      <w:rFonts w:eastAsia="宋体"/>
                      <w:color w:val="auto"/>
                      <w:szCs w:val="21"/>
                      <w:highlight w:val="none"/>
                    </w:rPr>
                    <w:t>m</w:t>
                  </w:r>
                </w:p>
              </w:tc>
            </w:tr>
            <w:tr w14:paraId="5F3A0E62">
              <w:trPr>
                <w:trHeight w:val="340" w:hRule="atLeast"/>
              </w:trPr>
              <w:tc>
                <w:tcPr>
                  <w:tcW w:w="574" w:type="dxa"/>
                  <w:tcBorders>
                    <w:tl2br w:val="nil"/>
                    <w:tr2bl w:val="nil"/>
                  </w:tcBorders>
                  <w:shd w:val="clear" w:color="auto" w:fill="auto"/>
                  <w:vAlign w:val="center"/>
                </w:tcPr>
                <w:p w14:paraId="4F8DB5E0">
                  <w:pPr>
                    <w:keepNext w:val="0"/>
                    <w:keepLines w:val="0"/>
                    <w:suppressLineNumbers w:val="0"/>
                    <w:spacing w:before="0" w:beforeAutospacing="0" w:after="0" w:afterAutospacing="0"/>
                    <w:ind w:left="0" w:right="0"/>
                    <w:rPr>
                      <w:rFonts w:hint="eastAsia" w:ascii="Calibri" w:hAnsi="Calibri" w:eastAsia="宋体"/>
                      <w:color w:val="auto"/>
                      <w:szCs w:val="22"/>
                      <w:highlight w:val="none"/>
                      <w:lang w:val="en-US" w:eastAsia="zh-CN"/>
                    </w:rPr>
                  </w:pPr>
                  <w:r>
                    <w:rPr>
                      <w:rFonts w:hint="eastAsia" w:ascii="Calibri" w:hAnsi="Calibri" w:eastAsia="宋体"/>
                      <w:color w:val="auto"/>
                      <w:szCs w:val="22"/>
                      <w:highlight w:val="none"/>
                      <w:lang w:val="en-US" w:eastAsia="zh-CN"/>
                    </w:rPr>
                    <w:t>喷塑</w:t>
                  </w:r>
                </w:p>
              </w:tc>
              <w:tc>
                <w:tcPr>
                  <w:tcW w:w="1477" w:type="dxa"/>
                  <w:tcBorders>
                    <w:tl2br w:val="nil"/>
                    <w:tr2bl w:val="nil"/>
                  </w:tcBorders>
                  <w:shd w:val="clear" w:color="auto" w:fill="auto"/>
                  <w:vAlign w:val="center"/>
                </w:tcPr>
                <w:p w14:paraId="4DE50B97">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hAnsi="宋体" w:eastAsia="宋体" w:cs="宋体"/>
                      <w:color w:val="auto"/>
                      <w:szCs w:val="21"/>
                      <w:highlight w:val="none"/>
                    </w:rPr>
                    <w:t>颗粒物</w:t>
                  </w:r>
                </w:p>
              </w:tc>
              <w:tc>
                <w:tcPr>
                  <w:tcW w:w="813" w:type="dxa"/>
                  <w:tcBorders>
                    <w:tl2br w:val="nil"/>
                    <w:tr2bl w:val="nil"/>
                  </w:tcBorders>
                  <w:shd w:val="clear" w:color="auto" w:fill="auto"/>
                  <w:vAlign w:val="center"/>
                </w:tcPr>
                <w:p w14:paraId="20A5872A">
                  <w:pPr>
                    <w:keepNext w:val="0"/>
                    <w:keepLines w:val="0"/>
                    <w:suppressLineNumbers w:val="0"/>
                    <w:spacing w:before="0" w:beforeAutospacing="0" w:after="0" w:afterAutospacing="0"/>
                    <w:ind w:left="0" w:right="0"/>
                    <w:jc w:val="center"/>
                    <w:rPr>
                      <w:rFonts w:ascii="Calibri" w:hAnsi="Calibri" w:eastAsia="宋体"/>
                      <w:color w:val="auto"/>
                      <w:szCs w:val="22"/>
                      <w:highlight w:val="none"/>
                    </w:rPr>
                  </w:pPr>
                  <w:r>
                    <w:rPr>
                      <w:rFonts w:hint="eastAsia" w:hAnsi="宋体"/>
                      <w:snapToGrid w:val="0"/>
                      <w:color w:val="auto"/>
                      <w:kern w:val="18"/>
                      <w:szCs w:val="21"/>
                      <w:highlight w:val="none"/>
                      <w:lang w:val="en-US" w:eastAsia="zh-CN"/>
                    </w:rPr>
                    <w:t>布袋除尘器</w:t>
                  </w:r>
                </w:p>
              </w:tc>
              <w:tc>
                <w:tcPr>
                  <w:tcW w:w="831" w:type="dxa"/>
                  <w:tcBorders>
                    <w:tl2br w:val="nil"/>
                    <w:tr2bl w:val="nil"/>
                  </w:tcBorders>
                  <w:shd w:val="clear" w:color="auto" w:fill="auto"/>
                  <w:vAlign w:val="center"/>
                </w:tcPr>
                <w:p w14:paraId="07CBBB5C">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snapToGrid w:val="0"/>
                      <w:color w:val="auto"/>
                      <w:kern w:val="18"/>
                      <w:sz w:val="21"/>
                      <w:szCs w:val="21"/>
                      <w:highlight w:val="none"/>
                      <w:lang w:val="en-US" w:eastAsia="zh-CN" w:bidi="ar-SA"/>
                    </w:rPr>
                  </w:pPr>
                  <w:r>
                    <w:rPr>
                      <w:rFonts w:hint="eastAsia" w:eastAsia="宋体"/>
                      <w:snapToGrid w:val="0"/>
                      <w:color w:val="auto"/>
                      <w:kern w:val="18"/>
                      <w:szCs w:val="21"/>
                      <w:highlight w:val="none"/>
                      <w:lang w:val="en-US" w:eastAsia="zh-CN"/>
                    </w:rPr>
                    <w:t>98</w:t>
                  </w:r>
                </w:p>
              </w:tc>
              <w:tc>
                <w:tcPr>
                  <w:tcW w:w="1077" w:type="dxa"/>
                  <w:tcBorders>
                    <w:tl2br w:val="nil"/>
                    <w:tr2bl w:val="nil"/>
                  </w:tcBorders>
                  <w:shd w:val="clear" w:color="auto" w:fill="auto"/>
                  <w:vAlign w:val="center"/>
                </w:tcPr>
                <w:p w14:paraId="1FB2E10C">
                  <w:pPr>
                    <w:keepNext w:val="0"/>
                    <w:keepLines w:val="0"/>
                    <w:suppressLineNumbers w:val="0"/>
                    <w:spacing w:before="0" w:beforeLines="10" w:beforeAutospacing="0" w:after="0" w:afterLines="1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半</w:t>
                  </w:r>
                  <w:r>
                    <w:rPr>
                      <w:rFonts w:hint="default" w:ascii="Times New Roman" w:hAnsi="Times New Roman" w:cs="Times New Roman" w:eastAsiaTheme="minorEastAsia"/>
                      <w:color w:val="auto"/>
                      <w:sz w:val="21"/>
                      <w:szCs w:val="21"/>
                      <w:highlight w:val="none"/>
                    </w:rPr>
                    <w:t>密闭</w:t>
                  </w:r>
                  <w:r>
                    <w:rPr>
                      <w:rFonts w:hint="default" w:ascii="Times New Roman" w:hAnsi="Times New Roman" w:cs="Times New Roman"/>
                      <w:bCs/>
                      <w:color w:val="auto"/>
                      <w:sz w:val="21"/>
                      <w:szCs w:val="21"/>
                      <w:highlight w:val="none"/>
                    </w:rPr>
                    <w:t>收集</w:t>
                  </w:r>
                </w:p>
              </w:tc>
              <w:tc>
                <w:tcPr>
                  <w:tcW w:w="850" w:type="dxa"/>
                  <w:tcBorders>
                    <w:tl2br w:val="nil"/>
                    <w:tr2bl w:val="nil"/>
                  </w:tcBorders>
                  <w:shd w:val="clear" w:color="auto" w:fill="auto"/>
                  <w:vAlign w:val="center"/>
                </w:tcPr>
                <w:p w14:paraId="6D90574F">
                  <w:pPr>
                    <w:keepNext w:val="0"/>
                    <w:keepLines w:val="0"/>
                    <w:suppressLineNumbers w:val="0"/>
                    <w:spacing w:before="0" w:beforeLines="10" w:beforeAutospacing="0" w:after="0" w:afterLines="1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95</w:t>
                  </w:r>
                </w:p>
              </w:tc>
              <w:tc>
                <w:tcPr>
                  <w:tcW w:w="1009" w:type="dxa"/>
                  <w:tcBorders>
                    <w:tl2br w:val="nil"/>
                    <w:tr2bl w:val="nil"/>
                  </w:tcBorders>
                  <w:shd w:val="clear" w:color="auto" w:fill="auto"/>
                  <w:vAlign w:val="center"/>
                </w:tcPr>
                <w:p w14:paraId="2E3504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12000</w:t>
                  </w:r>
                </w:p>
              </w:tc>
              <w:tc>
                <w:tcPr>
                  <w:tcW w:w="661" w:type="dxa"/>
                  <w:tcBorders>
                    <w:tl2br w:val="nil"/>
                    <w:tr2bl w:val="nil"/>
                  </w:tcBorders>
                  <w:shd w:val="clear" w:color="auto" w:fill="auto"/>
                  <w:vAlign w:val="center"/>
                </w:tcPr>
                <w:p w14:paraId="04C5C4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lang w:eastAsia="zh-CN"/>
                    </w:rPr>
                  </w:pPr>
                  <w:r>
                    <w:rPr>
                      <w:rFonts w:hint="default" w:ascii="Times New Roman" w:hAnsi="Times New Roman" w:eastAsia="宋体" w:cs="Times New Roman"/>
                      <w:color w:val="auto"/>
                      <w:szCs w:val="21"/>
                      <w:highlight w:val="none"/>
                    </w:rPr>
                    <w:t>DA00</w:t>
                  </w:r>
                  <w:r>
                    <w:rPr>
                      <w:rFonts w:hint="default" w:ascii="Times New Roman" w:hAnsi="Times New Roman" w:eastAsia="宋体" w:cs="Times New Roman"/>
                      <w:color w:val="auto"/>
                      <w:szCs w:val="21"/>
                      <w:highlight w:val="none"/>
                      <w:lang w:val="en-US" w:eastAsia="zh-CN"/>
                    </w:rPr>
                    <w:t>2</w:t>
                  </w:r>
                </w:p>
              </w:tc>
              <w:tc>
                <w:tcPr>
                  <w:tcW w:w="935" w:type="dxa"/>
                  <w:vMerge w:val="restart"/>
                  <w:tcBorders>
                    <w:tl2br w:val="nil"/>
                    <w:tr2bl w:val="nil"/>
                  </w:tcBorders>
                  <w:shd w:val="clear" w:color="auto" w:fill="auto"/>
                  <w:vAlign w:val="center"/>
                </w:tcPr>
                <w:p w14:paraId="302DD832">
                  <w:pPr>
                    <w:keepNext w:val="0"/>
                    <w:keepLines w:val="0"/>
                    <w:suppressLineNumbers w:val="0"/>
                    <w:spacing w:before="0" w:beforeAutospacing="0" w:after="0" w:afterAutospacing="0"/>
                    <w:ind w:left="0" w:right="0"/>
                    <w:jc w:val="center"/>
                    <w:rPr>
                      <w:rFonts w:ascii="Calibri" w:hAnsi="Calibri" w:eastAsia="宋体"/>
                      <w:color w:val="auto"/>
                      <w:szCs w:val="22"/>
                      <w:highlight w:val="none"/>
                    </w:rPr>
                  </w:pPr>
                  <w:r>
                    <w:rPr>
                      <w:rFonts w:eastAsia="宋体"/>
                      <w:color w:val="auto"/>
                      <w:szCs w:val="21"/>
                      <w:highlight w:val="none"/>
                    </w:rPr>
                    <w:t>15</w:t>
                  </w:r>
                </w:p>
              </w:tc>
            </w:tr>
            <w:tr w14:paraId="68812A87">
              <w:trPr>
                <w:trHeight w:val="510" w:hRule="atLeast"/>
              </w:trPr>
              <w:tc>
                <w:tcPr>
                  <w:tcW w:w="574" w:type="dxa"/>
                  <w:vMerge w:val="restart"/>
                  <w:tcBorders>
                    <w:tl2br w:val="nil"/>
                    <w:tr2bl w:val="nil"/>
                  </w:tcBorders>
                  <w:shd w:val="clear" w:color="auto" w:fill="auto"/>
                  <w:vAlign w:val="center"/>
                </w:tcPr>
                <w:p w14:paraId="5249F44F">
                  <w:pPr>
                    <w:keepNext w:val="0"/>
                    <w:keepLines w:val="0"/>
                    <w:suppressLineNumbers w:val="0"/>
                    <w:spacing w:before="0" w:beforeAutospacing="0" w:after="0" w:afterAutospacing="0"/>
                    <w:ind w:left="0" w:right="0"/>
                    <w:rPr>
                      <w:rFonts w:hint="eastAsia" w:ascii="Calibri" w:hAnsi="Calibri" w:eastAsia="宋体"/>
                      <w:color w:val="auto"/>
                      <w:szCs w:val="22"/>
                      <w:highlight w:val="none"/>
                      <w:lang w:val="en-US" w:eastAsia="zh-CN"/>
                    </w:rPr>
                  </w:pPr>
                  <w:r>
                    <w:rPr>
                      <w:rFonts w:hint="eastAsia" w:ascii="Calibri" w:hAnsi="Calibri" w:eastAsia="宋体"/>
                      <w:color w:val="auto"/>
                      <w:szCs w:val="22"/>
                      <w:highlight w:val="none"/>
                      <w:lang w:val="en-US" w:eastAsia="zh-CN"/>
                    </w:rPr>
                    <w:t>喷漆</w:t>
                  </w:r>
                </w:p>
              </w:tc>
              <w:tc>
                <w:tcPr>
                  <w:tcW w:w="1477" w:type="dxa"/>
                  <w:tcBorders>
                    <w:tl2br w:val="nil"/>
                    <w:tr2bl w:val="nil"/>
                  </w:tcBorders>
                  <w:shd w:val="clear" w:color="auto" w:fill="auto"/>
                  <w:vAlign w:val="center"/>
                </w:tcPr>
                <w:p w14:paraId="5C97C54B">
                  <w:pPr>
                    <w:keepNext w:val="0"/>
                    <w:keepLines w:val="0"/>
                    <w:suppressLineNumbers w:val="0"/>
                    <w:spacing w:before="0" w:beforeAutospacing="0" w:after="0" w:afterAutospacing="0"/>
                    <w:ind w:left="0" w:right="0"/>
                    <w:jc w:val="center"/>
                    <w:rPr>
                      <w:rFonts w:eastAsia="宋体"/>
                      <w:color w:val="auto"/>
                      <w:szCs w:val="21"/>
                      <w:highlight w:val="none"/>
                    </w:rPr>
                  </w:pPr>
                  <w:r>
                    <w:rPr>
                      <w:rFonts w:hint="eastAsia" w:hAnsi="宋体" w:eastAsia="宋体" w:cs="宋体"/>
                      <w:color w:val="auto"/>
                      <w:szCs w:val="21"/>
                      <w:highlight w:val="none"/>
                    </w:rPr>
                    <w:t>颗粒物</w:t>
                  </w:r>
                  <w:r>
                    <w:rPr>
                      <w:rFonts w:eastAsia="宋体"/>
                      <w:color w:val="auto"/>
                      <w:szCs w:val="21"/>
                      <w:highlight w:val="none"/>
                    </w:rPr>
                    <w:t xml:space="preserve"> </w:t>
                  </w:r>
                </w:p>
              </w:tc>
              <w:tc>
                <w:tcPr>
                  <w:tcW w:w="813" w:type="dxa"/>
                  <w:vMerge w:val="restart"/>
                  <w:tcBorders>
                    <w:tl2br w:val="nil"/>
                    <w:tr2bl w:val="nil"/>
                  </w:tcBorders>
                  <w:shd w:val="clear" w:color="auto" w:fill="auto"/>
                  <w:vAlign w:val="center"/>
                </w:tcPr>
                <w:p w14:paraId="26B63B97">
                  <w:pPr>
                    <w:keepNext w:val="0"/>
                    <w:keepLines w:val="0"/>
                    <w:suppressLineNumbers w:val="0"/>
                    <w:spacing w:before="0" w:beforeAutospacing="0" w:after="0" w:afterAutospacing="0"/>
                    <w:ind w:left="0" w:right="0"/>
                    <w:jc w:val="center"/>
                    <w:rPr>
                      <w:rFonts w:ascii="Calibri" w:hAnsi="Calibri" w:eastAsia="宋体"/>
                      <w:color w:val="auto"/>
                      <w:szCs w:val="22"/>
                      <w:highlight w:val="none"/>
                    </w:rPr>
                  </w:pPr>
                  <w:r>
                    <w:rPr>
                      <w:rFonts w:hint="eastAsia" w:hAnsi="宋体" w:eastAsia="宋体" w:cs="宋体"/>
                      <w:snapToGrid w:val="0"/>
                      <w:color w:val="auto"/>
                      <w:kern w:val="18"/>
                      <w:szCs w:val="21"/>
                      <w:highlight w:val="none"/>
                      <w:lang w:val="en-US" w:eastAsia="zh-CN"/>
                    </w:rPr>
                    <w:t>干式</w:t>
                  </w:r>
                  <w:r>
                    <w:rPr>
                      <w:rFonts w:hint="eastAsia" w:hAnsi="宋体" w:eastAsia="宋体" w:cs="宋体"/>
                      <w:snapToGrid w:val="0"/>
                      <w:color w:val="auto"/>
                      <w:kern w:val="18"/>
                      <w:szCs w:val="21"/>
                      <w:highlight w:val="none"/>
                    </w:rPr>
                    <w:t>过滤</w:t>
                  </w:r>
                  <w:r>
                    <w:rPr>
                      <w:rFonts w:eastAsia="宋体"/>
                      <w:snapToGrid w:val="0"/>
                      <w:color w:val="auto"/>
                      <w:kern w:val="18"/>
                      <w:szCs w:val="21"/>
                      <w:highlight w:val="none"/>
                    </w:rPr>
                    <w:t>+</w:t>
                  </w:r>
                  <w:r>
                    <w:rPr>
                      <w:rFonts w:hint="eastAsia" w:hAnsi="宋体" w:eastAsia="宋体" w:cs="宋体"/>
                      <w:snapToGrid w:val="0"/>
                      <w:color w:val="auto"/>
                      <w:kern w:val="18"/>
                      <w:szCs w:val="21"/>
                      <w:highlight w:val="none"/>
                    </w:rPr>
                    <w:t>二级活性炭吸附</w:t>
                  </w:r>
                </w:p>
              </w:tc>
              <w:tc>
                <w:tcPr>
                  <w:tcW w:w="831" w:type="dxa"/>
                  <w:vMerge w:val="restart"/>
                  <w:tcBorders>
                    <w:tl2br w:val="nil"/>
                    <w:tr2bl w:val="nil"/>
                  </w:tcBorders>
                  <w:shd w:val="clear" w:color="auto" w:fill="auto"/>
                  <w:vAlign w:val="center"/>
                </w:tcPr>
                <w:p w14:paraId="0771B3F4">
                  <w:pPr>
                    <w:keepNext w:val="0"/>
                    <w:keepLines w:val="0"/>
                    <w:suppressLineNumbers w:val="0"/>
                    <w:spacing w:before="0" w:beforeAutospacing="0" w:after="0" w:afterAutospacing="0"/>
                    <w:ind w:left="0" w:right="0"/>
                    <w:jc w:val="center"/>
                    <w:rPr>
                      <w:rFonts w:eastAsia="宋体"/>
                      <w:snapToGrid w:val="0"/>
                      <w:color w:val="auto"/>
                      <w:kern w:val="18"/>
                      <w:szCs w:val="21"/>
                      <w:highlight w:val="none"/>
                    </w:rPr>
                  </w:pPr>
                  <w:r>
                    <w:rPr>
                      <w:rFonts w:eastAsia="宋体"/>
                      <w:snapToGrid w:val="0"/>
                      <w:color w:val="auto"/>
                      <w:kern w:val="18"/>
                      <w:szCs w:val="21"/>
                      <w:highlight w:val="none"/>
                    </w:rPr>
                    <w:t>90</w:t>
                  </w:r>
                </w:p>
              </w:tc>
              <w:tc>
                <w:tcPr>
                  <w:tcW w:w="1077" w:type="dxa"/>
                  <w:vMerge w:val="restart"/>
                  <w:tcBorders>
                    <w:tl2br w:val="nil"/>
                    <w:tr2bl w:val="nil"/>
                  </w:tcBorders>
                  <w:shd w:val="clear" w:color="auto" w:fill="auto"/>
                  <w:vAlign w:val="center"/>
                </w:tcPr>
                <w:p w14:paraId="117038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color w:val="auto"/>
                      <w:sz w:val="21"/>
                      <w:szCs w:val="21"/>
                      <w:highlight w:val="none"/>
                    </w:rPr>
                    <w:t>密闭车间负压</w:t>
                  </w:r>
                  <w:r>
                    <w:rPr>
                      <w:rFonts w:hint="default" w:ascii="Times New Roman" w:hAnsi="Times New Roman" w:cs="Times New Roman"/>
                      <w:bCs/>
                      <w:color w:val="auto"/>
                      <w:sz w:val="21"/>
                      <w:szCs w:val="21"/>
                      <w:highlight w:val="none"/>
                    </w:rPr>
                    <w:t>收集</w:t>
                  </w:r>
                </w:p>
              </w:tc>
              <w:tc>
                <w:tcPr>
                  <w:tcW w:w="850" w:type="dxa"/>
                  <w:vMerge w:val="restart"/>
                  <w:tcBorders>
                    <w:tl2br w:val="nil"/>
                    <w:tr2bl w:val="nil"/>
                  </w:tcBorders>
                  <w:shd w:val="clear" w:color="auto" w:fill="auto"/>
                  <w:vAlign w:val="center"/>
                </w:tcPr>
                <w:p w14:paraId="4441F4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w:t>
                  </w:r>
                </w:p>
              </w:tc>
              <w:tc>
                <w:tcPr>
                  <w:tcW w:w="1009" w:type="dxa"/>
                  <w:vMerge w:val="restart"/>
                  <w:tcBorders>
                    <w:tl2br w:val="nil"/>
                    <w:tr2bl w:val="nil"/>
                  </w:tcBorders>
                  <w:shd w:val="clear" w:color="auto" w:fill="auto"/>
                  <w:vAlign w:val="center"/>
                </w:tcPr>
                <w:p w14:paraId="21D9D8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lang w:val="en-US" w:eastAsia="zh-CN"/>
                    </w:rPr>
                  </w:pPr>
                  <w:r>
                    <w:rPr>
                      <w:rFonts w:hint="eastAsia" w:eastAsia="宋体" w:cs="Times New Roman"/>
                      <w:color w:val="auto"/>
                      <w:szCs w:val="22"/>
                      <w:highlight w:val="none"/>
                      <w:lang w:val="en-US" w:eastAsia="zh-CN"/>
                    </w:rPr>
                    <w:t>24000</w:t>
                  </w:r>
                </w:p>
              </w:tc>
              <w:tc>
                <w:tcPr>
                  <w:tcW w:w="661" w:type="dxa"/>
                  <w:vMerge w:val="restart"/>
                  <w:tcBorders>
                    <w:tl2br w:val="nil"/>
                    <w:tr2bl w:val="nil"/>
                  </w:tcBorders>
                  <w:shd w:val="clear" w:color="auto" w:fill="auto"/>
                  <w:vAlign w:val="center"/>
                </w:tcPr>
                <w:p w14:paraId="4AB6B0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lang w:eastAsia="zh-CN"/>
                    </w:rPr>
                  </w:pPr>
                  <w:r>
                    <w:rPr>
                      <w:rFonts w:hint="default" w:ascii="Times New Roman" w:hAnsi="Times New Roman" w:eastAsia="宋体" w:cs="Times New Roman"/>
                      <w:color w:val="auto"/>
                      <w:szCs w:val="21"/>
                      <w:highlight w:val="none"/>
                    </w:rPr>
                    <w:t>DA00</w:t>
                  </w:r>
                  <w:r>
                    <w:rPr>
                      <w:rFonts w:hint="eastAsia"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vertAlign w:val="superscript"/>
                      <w:lang w:val="en-US" w:eastAsia="zh-CN"/>
                    </w:rPr>
                    <w:t>②</w:t>
                  </w:r>
                </w:p>
              </w:tc>
              <w:tc>
                <w:tcPr>
                  <w:tcW w:w="935" w:type="dxa"/>
                  <w:vMerge w:val="continue"/>
                  <w:tcBorders>
                    <w:tl2br w:val="nil"/>
                    <w:tr2bl w:val="nil"/>
                  </w:tcBorders>
                  <w:shd w:val="clear" w:color="auto" w:fill="auto"/>
                  <w:vAlign w:val="center"/>
                </w:tcPr>
                <w:p w14:paraId="2D879155">
                  <w:pPr>
                    <w:keepNext w:val="0"/>
                    <w:keepLines w:val="0"/>
                    <w:suppressLineNumbers w:val="0"/>
                    <w:spacing w:before="0" w:beforeAutospacing="0" w:after="0" w:afterAutospacing="0"/>
                    <w:ind w:left="0" w:right="0"/>
                    <w:jc w:val="center"/>
                    <w:rPr>
                      <w:rFonts w:ascii="Calibri" w:hAnsi="Calibri" w:eastAsia="宋体"/>
                      <w:color w:val="auto"/>
                      <w:szCs w:val="22"/>
                      <w:highlight w:val="none"/>
                    </w:rPr>
                  </w:pPr>
                </w:p>
              </w:tc>
            </w:tr>
            <w:tr w14:paraId="22C731CB">
              <w:trPr>
                <w:trHeight w:val="454" w:hRule="atLeast"/>
              </w:trPr>
              <w:tc>
                <w:tcPr>
                  <w:tcW w:w="574" w:type="dxa"/>
                  <w:vMerge w:val="continue"/>
                  <w:tcBorders>
                    <w:tl2br w:val="nil"/>
                    <w:tr2bl w:val="nil"/>
                  </w:tcBorders>
                  <w:shd w:val="clear" w:color="auto" w:fill="auto"/>
                  <w:vAlign w:val="center"/>
                </w:tcPr>
                <w:p w14:paraId="16A05041">
                  <w:pPr>
                    <w:keepNext w:val="0"/>
                    <w:keepLines w:val="0"/>
                    <w:suppressLineNumbers w:val="0"/>
                    <w:spacing w:before="0" w:beforeAutospacing="0" w:after="0" w:afterAutospacing="0"/>
                    <w:ind w:left="0" w:right="0"/>
                    <w:jc w:val="center"/>
                    <w:rPr>
                      <w:color w:val="auto"/>
                      <w:highlight w:val="none"/>
                    </w:rPr>
                  </w:pPr>
                </w:p>
              </w:tc>
              <w:tc>
                <w:tcPr>
                  <w:tcW w:w="1477" w:type="dxa"/>
                  <w:tcBorders>
                    <w:tl2br w:val="nil"/>
                    <w:tr2bl w:val="nil"/>
                  </w:tcBorders>
                  <w:shd w:val="clear" w:color="auto" w:fill="auto"/>
                  <w:vAlign w:val="center"/>
                </w:tcPr>
                <w:p w14:paraId="7E3949ED">
                  <w:pPr>
                    <w:keepNext w:val="0"/>
                    <w:keepLines w:val="0"/>
                    <w:suppressLineNumbers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NMHC</w:t>
                  </w:r>
                </w:p>
              </w:tc>
              <w:tc>
                <w:tcPr>
                  <w:tcW w:w="813" w:type="dxa"/>
                  <w:vMerge w:val="continue"/>
                  <w:tcBorders>
                    <w:tl2br w:val="nil"/>
                    <w:tr2bl w:val="nil"/>
                  </w:tcBorders>
                  <w:shd w:val="clear" w:color="auto" w:fill="auto"/>
                  <w:vAlign w:val="center"/>
                </w:tcPr>
                <w:p w14:paraId="7C051746">
                  <w:pPr>
                    <w:keepNext w:val="0"/>
                    <w:keepLines w:val="0"/>
                    <w:suppressLineNumbers w:val="0"/>
                    <w:spacing w:before="0" w:beforeAutospacing="0" w:after="0" w:afterAutospacing="0"/>
                    <w:ind w:left="0" w:right="0"/>
                    <w:jc w:val="center"/>
                    <w:rPr>
                      <w:rFonts w:eastAsia="宋体"/>
                      <w:color w:val="auto"/>
                      <w:szCs w:val="21"/>
                      <w:highlight w:val="none"/>
                    </w:rPr>
                  </w:pPr>
                </w:p>
              </w:tc>
              <w:tc>
                <w:tcPr>
                  <w:tcW w:w="831" w:type="dxa"/>
                  <w:vMerge w:val="continue"/>
                  <w:tcBorders>
                    <w:tl2br w:val="nil"/>
                    <w:tr2bl w:val="nil"/>
                  </w:tcBorders>
                  <w:shd w:val="clear" w:color="auto" w:fill="auto"/>
                  <w:vAlign w:val="center"/>
                </w:tcPr>
                <w:p w14:paraId="5D6E365D">
                  <w:pPr>
                    <w:keepNext w:val="0"/>
                    <w:keepLines w:val="0"/>
                    <w:suppressLineNumbers w:val="0"/>
                    <w:spacing w:before="0" w:beforeAutospacing="0" w:after="0" w:afterAutospacing="0"/>
                    <w:ind w:left="0" w:right="0"/>
                    <w:jc w:val="center"/>
                    <w:rPr>
                      <w:rFonts w:eastAsia="宋体"/>
                      <w:color w:val="auto"/>
                      <w:szCs w:val="21"/>
                      <w:highlight w:val="none"/>
                    </w:rPr>
                  </w:pPr>
                </w:p>
              </w:tc>
              <w:tc>
                <w:tcPr>
                  <w:tcW w:w="1077" w:type="dxa"/>
                  <w:vMerge w:val="continue"/>
                  <w:tcBorders>
                    <w:tl2br w:val="nil"/>
                    <w:tr2bl w:val="nil"/>
                  </w:tcBorders>
                  <w:shd w:val="clear" w:color="auto" w:fill="auto"/>
                  <w:vAlign w:val="center"/>
                </w:tcPr>
                <w:p w14:paraId="7CEC13B9">
                  <w:pPr>
                    <w:keepNext w:val="0"/>
                    <w:keepLines w:val="0"/>
                    <w:suppressLineNumbers w:val="0"/>
                    <w:spacing w:before="0" w:beforeAutospacing="0" w:after="0" w:afterAutospacing="0"/>
                    <w:ind w:left="0" w:right="0"/>
                    <w:jc w:val="center"/>
                    <w:rPr>
                      <w:rFonts w:eastAsia="宋体"/>
                      <w:color w:val="auto"/>
                      <w:szCs w:val="21"/>
                      <w:highlight w:val="none"/>
                    </w:rPr>
                  </w:pPr>
                </w:p>
              </w:tc>
              <w:tc>
                <w:tcPr>
                  <w:tcW w:w="850" w:type="dxa"/>
                  <w:vMerge w:val="continue"/>
                  <w:tcBorders>
                    <w:tl2br w:val="nil"/>
                    <w:tr2bl w:val="nil"/>
                  </w:tcBorders>
                  <w:shd w:val="clear" w:color="auto" w:fill="auto"/>
                  <w:vAlign w:val="center"/>
                </w:tcPr>
                <w:p w14:paraId="0CACFBF3">
                  <w:pPr>
                    <w:keepNext w:val="0"/>
                    <w:keepLines w:val="0"/>
                    <w:suppressLineNumbers w:val="0"/>
                    <w:spacing w:before="0" w:beforeAutospacing="0" w:after="0" w:afterAutospacing="0"/>
                    <w:ind w:left="0" w:right="0"/>
                    <w:jc w:val="center"/>
                    <w:rPr>
                      <w:rFonts w:eastAsia="宋体"/>
                      <w:color w:val="auto"/>
                      <w:szCs w:val="21"/>
                      <w:highlight w:val="none"/>
                    </w:rPr>
                  </w:pPr>
                </w:p>
              </w:tc>
              <w:tc>
                <w:tcPr>
                  <w:tcW w:w="1009" w:type="dxa"/>
                  <w:vMerge w:val="continue"/>
                  <w:tcBorders>
                    <w:tl2br w:val="nil"/>
                    <w:tr2bl w:val="nil"/>
                  </w:tcBorders>
                  <w:shd w:val="clear" w:color="auto" w:fill="auto"/>
                  <w:vAlign w:val="center"/>
                </w:tcPr>
                <w:p w14:paraId="70909801">
                  <w:pPr>
                    <w:keepNext w:val="0"/>
                    <w:keepLines w:val="0"/>
                    <w:suppressLineNumbers w:val="0"/>
                    <w:spacing w:before="0" w:beforeAutospacing="0" w:after="0" w:afterAutospacing="0"/>
                    <w:ind w:left="0" w:right="0"/>
                    <w:jc w:val="center"/>
                    <w:rPr>
                      <w:rFonts w:eastAsia="宋体"/>
                      <w:color w:val="auto"/>
                      <w:szCs w:val="21"/>
                      <w:highlight w:val="none"/>
                    </w:rPr>
                  </w:pPr>
                </w:p>
              </w:tc>
              <w:tc>
                <w:tcPr>
                  <w:tcW w:w="661" w:type="dxa"/>
                  <w:vMerge w:val="continue"/>
                  <w:tcBorders>
                    <w:tl2br w:val="nil"/>
                    <w:tr2bl w:val="nil"/>
                  </w:tcBorders>
                  <w:shd w:val="clear" w:color="auto" w:fill="auto"/>
                  <w:vAlign w:val="center"/>
                </w:tcPr>
                <w:p w14:paraId="1C191ECF">
                  <w:pPr>
                    <w:keepNext w:val="0"/>
                    <w:keepLines w:val="0"/>
                    <w:suppressLineNumbers w:val="0"/>
                    <w:spacing w:before="0" w:beforeAutospacing="0" w:after="0" w:afterAutospacing="0"/>
                    <w:ind w:left="0" w:right="0"/>
                    <w:jc w:val="center"/>
                    <w:rPr>
                      <w:rFonts w:eastAsia="宋体"/>
                      <w:color w:val="auto"/>
                      <w:szCs w:val="21"/>
                      <w:highlight w:val="none"/>
                    </w:rPr>
                  </w:pPr>
                </w:p>
              </w:tc>
              <w:tc>
                <w:tcPr>
                  <w:tcW w:w="935" w:type="dxa"/>
                  <w:vMerge w:val="continue"/>
                  <w:tcBorders>
                    <w:tl2br w:val="nil"/>
                    <w:tr2bl w:val="nil"/>
                  </w:tcBorders>
                  <w:shd w:val="clear" w:color="auto" w:fill="auto"/>
                  <w:vAlign w:val="center"/>
                </w:tcPr>
                <w:p w14:paraId="40A19A0B">
                  <w:pPr>
                    <w:keepNext w:val="0"/>
                    <w:keepLines w:val="0"/>
                    <w:suppressLineNumbers w:val="0"/>
                    <w:spacing w:before="0" w:beforeAutospacing="0" w:after="0" w:afterAutospacing="0"/>
                    <w:ind w:left="0" w:right="0"/>
                    <w:jc w:val="center"/>
                    <w:rPr>
                      <w:rFonts w:eastAsia="宋体"/>
                      <w:color w:val="auto"/>
                      <w:szCs w:val="21"/>
                      <w:highlight w:val="none"/>
                    </w:rPr>
                  </w:pPr>
                </w:p>
              </w:tc>
            </w:tr>
            <w:tr w14:paraId="0CC33A4E">
              <w:trPr>
                <w:trHeight w:val="340" w:hRule="atLeast"/>
              </w:trPr>
              <w:tc>
                <w:tcPr>
                  <w:tcW w:w="574" w:type="dxa"/>
                  <w:tcBorders>
                    <w:tl2br w:val="nil"/>
                    <w:tr2bl w:val="nil"/>
                  </w:tcBorders>
                  <w:shd w:val="clear" w:color="auto" w:fill="auto"/>
                  <w:vAlign w:val="center"/>
                </w:tcPr>
                <w:p w14:paraId="7943A407">
                  <w:pPr>
                    <w:keepNext w:val="0"/>
                    <w:keepLines w:val="0"/>
                    <w:suppressLineNumbers w:val="0"/>
                    <w:spacing w:before="0" w:beforeAutospacing="0" w:after="0" w:afterAutospacing="0"/>
                    <w:ind w:left="0" w:right="0"/>
                    <w:rPr>
                      <w:rFonts w:hint="eastAsia" w:ascii="Calibri" w:hAnsi="Calibri" w:eastAsia="宋体"/>
                      <w:color w:val="auto"/>
                      <w:szCs w:val="22"/>
                      <w:highlight w:val="none"/>
                      <w:lang w:val="en-US" w:eastAsia="zh-CN"/>
                    </w:rPr>
                  </w:pPr>
                  <w:r>
                    <w:rPr>
                      <w:rFonts w:hint="eastAsia" w:ascii="Calibri" w:hAnsi="Calibri" w:eastAsia="宋体"/>
                      <w:color w:val="auto"/>
                      <w:szCs w:val="22"/>
                      <w:highlight w:val="none"/>
                      <w:lang w:val="en-US" w:eastAsia="zh-CN"/>
                    </w:rPr>
                    <w:t>烘干</w:t>
                  </w:r>
                </w:p>
              </w:tc>
              <w:tc>
                <w:tcPr>
                  <w:tcW w:w="1477" w:type="dxa"/>
                  <w:tcBorders>
                    <w:tl2br w:val="nil"/>
                    <w:tr2bl w:val="nil"/>
                  </w:tcBorders>
                  <w:shd w:val="clear" w:color="auto" w:fill="auto"/>
                  <w:vAlign w:val="center"/>
                </w:tcPr>
                <w:p w14:paraId="2EDC01DF">
                  <w:pPr>
                    <w:keepNext w:val="0"/>
                    <w:keepLines w:val="0"/>
                    <w:suppressLineNumbers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 xml:space="preserve">NMHC </w:t>
                  </w:r>
                </w:p>
              </w:tc>
              <w:tc>
                <w:tcPr>
                  <w:tcW w:w="813" w:type="dxa"/>
                  <w:vMerge w:val="continue"/>
                  <w:tcBorders>
                    <w:tl2br w:val="nil"/>
                    <w:tr2bl w:val="nil"/>
                  </w:tcBorders>
                  <w:shd w:val="clear" w:color="auto" w:fill="auto"/>
                  <w:vAlign w:val="center"/>
                </w:tcPr>
                <w:p w14:paraId="31AC3F63">
                  <w:pPr>
                    <w:keepNext w:val="0"/>
                    <w:keepLines w:val="0"/>
                    <w:suppressLineNumbers w:val="0"/>
                    <w:spacing w:before="0" w:beforeAutospacing="0" w:after="0" w:afterAutospacing="0"/>
                    <w:ind w:left="0" w:right="0"/>
                    <w:rPr>
                      <w:rFonts w:ascii="Calibri" w:hAnsi="Calibri" w:eastAsia="宋体"/>
                      <w:color w:val="auto"/>
                      <w:szCs w:val="22"/>
                      <w:highlight w:val="none"/>
                    </w:rPr>
                  </w:pPr>
                </w:p>
              </w:tc>
              <w:tc>
                <w:tcPr>
                  <w:tcW w:w="831" w:type="dxa"/>
                  <w:vMerge w:val="continue"/>
                  <w:tcBorders>
                    <w:tl2br w:val="nil"/>
                    <w:tr2bl w:val="nil"/>
                  </w:tcBorders>
                  <w:shd w:val="clear" w:color="auto" w:fill="auto"/>
                  <w:vAlign w:val="center"/>
                </w:tcPr>
                <w:p w14:paraId="153357E2">
                  <w:pPr>
                    <w:keepNext w:val="0"/>
                    <w:keepLines w:val="0"/>
                    <w:suppressLineNumbers w:val="0"/>
                    <w:spacing w:before="0" w:beforeAutospacing="0" w:after="0" w:afterAutospacing="0"/>
                    <w:ind w:left="0" w:right="0"/>
                    <w:jc w:val="center"/>
                    <w:rPr>
                      <w:rFonts w:eastAsia="宋体"/>
                      <w:snapToGrid w:val="0"/>
                      <w:color w:val="auto"/>
                      <w:kern w:val="18"/>
                      <w:szCs w:val="21"/>
                      <w:highlight w:val="none"/>
                    </w:rPr>
                  </w:pPr>
                </w:p>
              </w:tc>
              <w:tc>
                <w:tcPr>
                  <w:tcW w:w="1077" w:type="dxa"/>
                  <w:vMerge w:val="continue"/>
                  <w:tcBorders>
                    <w:tl2br w:val="nil"/>
                    <w:tr2bl w:val="nil"/>
                  </w:tcBorders>
                  <w:shd w:val="clear" w:color="auto" w:fill="auto"/>
                  <w:vAlign w:val="center"/>
                </w:tcPr>
                <w:p w14:paraId="02AD3B8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850" w:type="dxa"/>
                  <w:vMerge w:val="continue"/>
                  <w:tcBorders>
                    <w:tl2br w:val="nil"/>
                    <w:tr2bl w:val="nil"/>
                  </w:tcBorders>
                  <w:shd w:val="clear" w:color="auto" w:fill="auto"/>
                  <w:vAlign w:val="center"/>
                </w:tcPr>
                <w:p w14:paraId="060FB2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1009" w:type="dxa"/>
                  <w:vMerge w:val="continue"/>
                  <w:tcBorders>
                    <w:tl2br w:val="nil"/>
                    <w:tr2bl w:val="nil"/>
                  </w:tcBorders>
                  <w:shd w:val="clear" w:color="auto" w:fill="auto"/>
                  <w:vAlign w:val="center"/>
                </w:tcPr>
                <w:p w14:paraId="05C19F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lang w:val="en-US" w:eastAsia="zh-CN"/>
                    </w:rPr>
                  </w:pPr>
                </w:p>
              </w:tc>
              <w:tc>
                <w:tcPr>
                  <w:tcW w:w="661" w:type="dxa"/>
                  <w:vMerge w:val="continue"/>
                  <w:tcBorders>
                    <w:tl2br w:val="nil"/>
                    <w:tr2bl w:val="nil"/>
                  </w:tcBorders>
                  <w:shd w:val="clear" w:color="auto" w:fill="auto"/>
                  <w:vAlign w:val="center"/>
                </w:tcPr>
                <w:p w14:paraId="2F03F2A0">
                  <w:pPr>
                    <w:keepNext w:val="0"/>
                    <w:keepLines w:val="0"/>
                    <w:suppressLineNumbers w:val="0"/>
                    <w:spacing w:before="0" w:beforeAutospacing="0" w:after="0" w:afterAutospacing="0"/>
                    <w:ind w:left="0" w:right="0"/>
                    <w:rPr>
                      <w:rFonts w:ascii="Calibri" w:hAnsi="Calibri" w:eastAsia="宋体"/>
                      <w:color w:val="auto"/>
                      <w:szCs w:val="22"/>
                      <w:highlight w:val="none"/>
                    </w:rPr>
                  </w:pPr>
                </w:p>
              </w:tc>
              <w:tc>
                <w:tcPr>
                  <w:tcW w:w="935" w:type="dxa"/>
                  <w:vMerge w:val="continue"/>
                  <w:tcBorders>
                    <w:tl2br w:val="nil"/>
                    <w:tr2bl w:val="nil"/>
                  </w:tcBorders>
                  <w:shd w:val="clear" w:color="auto" w:fill="auto"/>
                  <w:vAlign w:val="center"/>
                </w:tcPr>
                <w:p w14:paraId="3CFE3D7D">
                  <w:pPr>
                    <w:keepNext w:val="0"/>
                    <w:keepLines w:val="0"/>
                    <w:suppressLineNumbers w:val="0"/>
                    <w:spacing w:before="0" w:beforeAutospacing="0" w:after="0" w:afterAutospacing="0"/>
                    <w:ind w:left="0" w:right="0"/>
                    <w:rPr>
                      <w:rFonts w:ascii="Calibri" w:hAnsi="Calibri" w:eastAsia="宋体"/>
                      <w:color w:val="auto"/>
                      <w:szCs w:val="22"/>
                      <w:highlight w:val="none"/>
                    </w:rPr>
                  </w:pPr>
                </w:p>
              </w:tc>
            </w:tr>
            <w:tr w14:paraId="6B02427B">
              <w:trPr>
                <w:trHeight w:val="340" w:hRule="atLeast"/>
              </w:trPr>
              <w:tc>
                <w:tcPr>
                  <w:tcW w:w="574" w:type="dxa"/>
                  <w:tcBorders>
                    <w:tl2br w:val="nil"/>
                    <w:tr2bl w:val="nil"/>
                  </w:tcBorders>
                  <w:shd w:val="clear" w:color="auto" w:fill="auto"/>
                  <w:vAlign w:val="center"/>
                </w:tcPr>
                <w:p w14:paraId="4200A9C4">
                  <w:pPr>
                    <w:keepNext w:val="0"/>
                    <w:keepLines w:val="0"/>
                    <w:suppressLineNumbers w:val="0"/>
                    <w:spacing w:before="0" w:beforeAutospacing="0" w:after="0" w:afterAutospacing="0"/>
                    <w:ind w:left="0" w:right="0"/>
                    <w:rPr>
                      <w:rFonts w:hint="eastAsia" w:ascii="Calibri" w:hAnsi="Calibri" w:eastAsia="宋体"/>
                      <w:color w:val="auto"/>
                      <w:szCs w:val="22"/>
                      <w:highlight w:val="none"/>
                      <w:lang w:val="en-US" w:eastAsia="zh-CN"/>
                    </w:rPr>
                  </w:pPr>
                  <w:r>
                    <w:rPr>
                      <w:rFonts w:hint="eastAsia" w:ascii="Calibri" w:hAnsi="Calibri" w:eastAsia="宋体"/>
                      <w:color w:val="auto"/>
                      <w:szCs w:val="22"/>
                      <w:highlight w:val="none"/>
                      <w:lang w:val="en-US" w:eastAsia="zh-CN"/>
                    </w:rPr>
                    <w:t>固化</w:t>
                  </w:r>
                </w:p>
              </w:tc>
              <w:tc>
                <w:tcPr>
                  <w:tcW w:w="1477" w:type="dxa"/>
                  <w:tcBorders>
                    <w:tl2br w:val="nil"/>
                    <w:tr2bl w:val="nil"/>
                  </w:tcBorders>
                  <w:shd w:val="clear" w:color="auto" w:fill="auto"/>
                  <w:vAlign w:val="center"/>
                </w:tcPr>
                <w:p w14:paraId="1159EDBC">
                  <w:pPr>
                    <w:keepNext w:val="0"/>
                    <w:keepLines w:val="0"/>
                    <w:suppressLineNumbers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 xml:space="preserve">NMHC </w:t>
                  </w:r>
                </w:p>
              </w:tc>
              <w:tc>
                <w:tcPr>
                  <w:tcW w:w="813" w:type="dxa"/>
                  <w:vMerge w:val="continue"/>
                  <w:tcBorders>
                    <w:tl2br w:val="nil"/>
                    <w:tr2bl w:val="nil"/>
                  </w:tcBorders>
                  <w:shd w:val="clear" w:color="auto" w:fill="auto"/>
                  <w:vAlign w:val="center"/>
                </w:tcPr>
                <w:p w14:paraId="25AD1235">
                  <w:pPr>
                    <w:keepNext w:val="0"/>
                    <w:keepLines w:val="0"/>
                    <w:suppressLineNumbers w:val="0"/>
                    <w:spacing w:before="0" w:beforeAutospacing="0" w:after="0" w:afterAutospacing="0"/>
                    <w:ind w:left="0" w:right="0"/>
                    <w:rPr>
                      <w:rFonts w:ascii="Calibri" w:hAnsi="Calibri" w:eastAsia="宋体"/>
                      <w:color w:val="auto"/>
                      <w:szCs w:val="22"/>
                      <w:highlight w:val="none"/>
                    </w:rPr>
                  </w:pPr>
                </w:p>
              </w:tc>
              <w:tc>
                <w:tcPr>
                  <w:tcW w:w="831" w:type="dxa"/>
                  <w:vMerge w:val="continue"/>
                  <w:tcBorders>
                    <w:tl2br w:val="nil"/>
                    <w:tr2bl w:val="nil"/>
                  </w:tcBorders>
                  <w:shd w:val="clear" w:color="auto" w:fill="auto"/>
                  <w:vAlign w:val="center"/>
                </w:tcPr>
                <w:p w14:paraId="0A8C835C">
                  <w:pPr>
                    <w:keepNext w:val="0"/>
                    <w:keepLines w:val="0"/>
                    <w:suppressLineNumbers w:val="0"/>
                    <w:spacing w:before="0" w:beforeAutospacing="0" w:after="0" w:afterAutospacing="0"/>
                    <w:ind w:left="0" w:right="0"/>
                    <w:jc w:val="center"/>
                    <w:rPr>
                      <w:rFonts w:eastAsia="宋体"/>
                      <w:snapToGrid w:val="0"/>
                      <w:color w:val="auto"/>
                      <w:kern w:val="18"/>
                      <w:szCs w:val="21"/>
                      <w:highlight w:val="none"/>
                    </w:rPr>
                  </w:pPr>
                </w:p>
              </w:tc>
              <w:tc>
                <w:tcPr>
                  <w:tcW w:w="1077" w:type="dxa"/>
                  <w:vMerge w:val="continue"/>
                  <w:tcBorders>
                    <w:tl2br w:val="nil"/>
                    <w:tr2bl w:val="nil"/>
                  </w:tcBorders>
                  <w:shd w:val="clear" w:color="auto" w:fill="auto"/>
                  <w:vAlign w:val="center"/>
                </w:tcPr>
                <w:p w14:paraId="16F3BD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850" w:type="dxa"/>
                  <w:vMerge w:val="continue"/>
                  <w:tcBorders>
                    <w:tl2br w:val="nil"/>
                    <w:tr2bl w:val="nil"/>
                  </w:tcBorders>
                  <w:shd w:val="clear" w:color="auto" w:fill="auto"/>
                  <w:vAlign w:val="center"/>
                </w:tcPr>
                <w:p w14:paraId="1C797E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1009" w:type="dxa"/>
                  <w:vMerge w:val="continue"/>
                  <w:tcBorders>
                    <w:tl2br w:val="nil"/>
                    <w:tr2bl w:val="nil"/>
                  </w:tcBorders>
                  <w:shd w:val="clear" w:color="auto" w:fill="auto"/>
                  <w:vAlign w:val="center"/>
                </w:tcPr>
                <w:p w14:paraId="4A0104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lang w:val="en-US" w:eastAsia="zh-CN"/>
                    </w:rPr>
                  </w:pPr>
                </w:p>
              </w:tc>
              <w:tc>
                <w:tcPr>
                  <w:tcW w:w="661" w:type="dxa"/>
                  <w:vMerge w:val="continue"/>
                  <w:tcBorders>
                    <w:tl2br w:val="nil"/>
                    <w:tr2bl w:val="nil"/>
                  </w:tcBorders>
                  <w:shd w:val="clear" w:color="auto" w:fill="auto"/>
                  <w:vAlign w:val="center"/>
                </w:tcPr>
                <w:p w14:paraId="78B9EE29">
                  <w:pPr>
                    <w:keepNext w:val="0"/>
                    <w:keepLines w:val="0"/>
                    <w:suppressLineNumbers w:val="0"/>
                    <w:spacing w:before="0" w:beforeAutospacing="0" w:after="0" w:afterAutospacing="0"/>
                    <w:ind w:left="0" w:right="0"/>
                    <w:rPr>
                      <w:rFonts w:ascii="Calibri" w:hAnsi="Calibri" w:eastAsia="宋体"/>
                      <w:color w:val="auto"/>
                      <w:szCs w:val="22"/>
                      <w:highlight w:val="none"/>
                    </w:rPr>
                  </w:pPr>
                </w:p>
              </w:tc>
              <w:tc>
                <w:tcPr>
                  <w:tcW w:w="935" w:type="dxa"/>
                  <w:vMerge w:val="continue"/>
                  <w:tcBorders>
                    <w:tl2br w:val="nil"/>
                    <w:tr2bl w:val="nil"/>
                  </w:tcBorders>
                  <w:shd w:val="clear" w:color="auto" w:fill="auto"/>
                  <w:vAlign w:val="center"/>
                </w:tcPr>
                <w:p w14:paraId="22252586">
                  <w:pPr>
                    <w:keepNext w:val="0"/>
                    <w:keepLines w:val="0"/>
                    <w:suppressLineNumbers w:val="0"/>
                    <w:spacing w:before="0" w:beforeAutospacing="0" w:after="0" w:afterAutospacing="0"/>
                    <w:ind w:left="0" w:right="0"/>
                    <w:rPr>
                      <w:rFonts w:ascii="Calibri" w:hAnsi="Calibri" w:eastAsia="宋体"/>
                      <w:color w:val="auto"/>
                      <w:szCs w:val="22"/>
                      <w:highlight w:val="none"/>
                    </w:rPr>
                  </w:pPr>
                </w:p>
              </w:tc>
            </w:tr>
          </w:tbl>
          <w:p w14:paraId="0EBA92BB">
            <w:pPr>
              <w:pStyle w:val="9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注：</w:t>
            </w:r>
            <w:r>
              <w:rPr>
                <w:rFonts w:hint="default" w:ascii="Times New Roman" w:hAnsi="Times New Roman" w:cs="Times New Roman"/>
                <w:color w:val="auto"/>
                <w:sz w:val="18"/>
                <w:szCs w:val="18"/>
                <w:highlight w:val="none"/>
                <w:lang w:val="en-US" w:eastAsia="zh-CN"/>
              </w:rPr>
              <w:t>①</w:t>
            </w:r>
            <w:r>
              <w:rPr>
                <w:rFonts w:hint="eastAsia"/>
                <w:color w:val="auto"/>
                <w:sz w:val="18"/>
                <w:szCs w:val="18"/>
                <w:highlight w:val="none"/>
                <w:lang w:val="en-US" w:eastAsia="zh-CN"/>
              </w:rPr>
              <w:t>喷漆、烘干和固化工序废气共同通过一个排气筒DA001排放，总风量为24000m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/h，其中喷漆工序分配风机风量为15000m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/h，烘干工序分配风机风量为6000m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/h，固化工序分配风机风量为3000m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/h。</w:t>
            </w:r>
          </w:p>
          <w:p w14:paraId="32048CBB">
            <w:pPr>
              <w:pStyle w:val="99"/>
              <w:keepNext w:val="0"/>
              <w:keepLines w:val="0"/>
              <w:suppressLineNumbers w:val="0"/>
              <w:spacing w:before="0" w:beforeAutospacing="0" w:after="0" w:afterAutospacing="0"/>
              <w:ind w:left="0" w:right="0"/>
              <w:rPr>
                <w:color w:val="auto"/>
                <w:highlight w:val="none"/>
              </w:rPr>
            </w:pPr>
          </w:p>
        </w:tc>
      </w:tr>
    </w:tbl>
    <w:p w14:paraId="1C0B53C1">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229"/>
      </w:tblGrid>
      <w:tr w14:paraId="420705A3">
        <w:trPr>
          <w:trHeight w:val="8347" w:hRule="atLeast"/>
        </w:trPr>
        <w:tc>
          <w:tcPr>
            <w:tcW w:w="13229" w:type="dxa"/>
          </w:tcPr>
          <w:p w14:paraId="2ACC24A1">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项目废气排放源、污染物及污染防治措施情况见表</w:t>
            </w:r>
            <w:r>
              <w:rPr>
                <w:color w:val="auto"/>
                <w:kern w:val="0"/>
                <w:sz w:val="24"/>
                <w:highlight w:val="none"/>
                <w:lang w:val="zh-CN"/>
              </w:rPr>
              <w:t>4-</w:t>
            </w:r>
            <w:r>
              <w:rPr>
                <w:rFonts w:hint="eastAsia"/>
                <w:color w:val="auto"/>
                <w:kern w:val="0"/>
                <w:sz w:val="24"/>
                <w:highlight w:val="none"/>
                <w:lang w:val="en-US" w:eastAsia="zh-CN"/>
              </w:rPr>
              <w:t>3</w:t>
            </w:r>
            <w:r>
              <w:rPr>
                <w:rFonts w:hAnsi="宋体"/>
                <w:color w:val="auto"/>
                <w:kern w:val="0"/>
                <w:sz w:val="24"/>
                <w:highlight w:val="none"/>
                <w:lang w:val="zh-CN"/>
              </w:rPr>
              <w:t>、</w:t>
            </w:r>
            <w:r>
              <w:rPr>
                <w:color w:val="auto"/>
                <w:kern w:val="0"/>
                <w:sz w:val="24"/>
                <w:highlight w:val="none"/>
                <w:lang w:val="zh-CN"/>
              </w:rPr>
              <w:t>4-</w:t>
            </w:r>
            <w:r>
              <w:rPr>
                <w:rFonts w:hint="eastAsia"/>
                <w:color w:val="auto"/>
                <w:kern w:val="0"/>
                <w:sz w:val="24"/>
                <w:highlight w:val="none"/>
                <w:lang w:val="en-US" w:eastAsia="zh-CN"/>
              </w:rPr>
              <w:t>4</w:t>
            </w:r>
            <w:r>
              <w:rPr>
                <w:rFonts w:hAnsi="宋体"/>
                <w:color w:val="auto"/>
                <w:kern w:val="0"/>
                <w:sz w:val="24"/>
                <w:highlight w:val="none"/>
                <w:lang w:val="zh-CN"/>
              </w:rPr>
              <w:t>、</w:t>
            </w:r>
            <w:r>
              <w:rPr>
                <w:color w:val="auto"/>
                <w:kern w:val="0"/>
                <w:sz w:val="24"/>
                <w:highlight w:val="none"/>
                <w:lang w:val="zh-CN"/>
              </w:rPr>
              <w:t>4-</w:t>
            </w:r>
            <w:r>
              <w:rPr>
                <w:rFonts w:hint="eastAsia"/>
                <w:color w:val="auto"/>
                <w:kern w:val="0"/>
                <w:sz w:val="24"/>
                <w:highlight w:val="none"/>
                <w:lang w:val="en-US" w:eastAsia="zh-CN"/>
              </w:rPr>
              <w:t>5</w:t>
            </w:r>
            <w:r>
              <w:rPr>
                <w:rFonts w:hAnsi="宋体"/>
                <w:color w:val="auto"/>
                <w:kern w:val="0"/>
                <w:sz w:val="24"/>
                <w:highlight w:val="none"/>
                <w:lang w:val="zh-CN"/>
              </w:rPr>
              <w:t>。项目废气排放口基本信息见表</w:t>
            </w:r>
            <w:r>
              <w:rPr>
                <w:color w:val="auto"/>
                <w:kern w:val="0"/>
                <w:sz w:val="24"/>
                <w:highlight w:val="none"/>
                <w:lang w:val="zh-CN"/>
              </w:rPr>
              <w:t>4-</w:t>
            </w:r>
            <w:r>
              <w:rPr>
                <w:rFonts w:hint="eastAsia"/>
                <w:color w:val="auto"/>
                <w:kern w:val="0"/>
                <w:sz w:val="24"/>
                <w:highlight w:val="none"/>
                <w:lang w:val="en-US" w:eastAsia="zh-CN"/>
              </w:rPr>
              <w:t>6</w:t>
            </w:r>
            <w:r>
              <w:rPr>
                <w:rFonts w:hAnsi="宋体"/>
                <w:color w:val="auto"/>
                <w:kern w:val="0"/>
                <w:sz w:val="24"/>
                <w:highlight w:val="none"/>
                <w:lang w:val="zh-CN"/>
              </w:rPr>
              <w:t>。</w:t>
            </w:r>
          </w:p>
          <w:p w14:paraId="45B155E5">
            <w:pPr>
              <w:keepNext w:val="0"/>
              <w:keepLines w:val="0"/>
              <w:suppressLineNumbers w:val="0"/>
              <w:adjustRightInd w:val="0"/>
              <w:snapToGrid w:val="0"/>
              <w:spacing w:before="0" w:beforeAutospacing="0" w:after="0" w:afterAutospacing="0"/>
              <w:ind w:left="0" w:right="0"/>
              <w:contextualSpacing/>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3</w:t>
            </w:r>
            <w:r>
              <w:rPr>
                <w:b/>
                <w:color w:val="auto"/>
                <w:sz w:val="24"/>
                <w:highlight w:val="none"/>
              </w:rPr>
              <w:t xml:space="preserve">  </w:t>
            </w:r>
            <w:r>
              <w:rPr>
                <w:rFonts w:hAnsi="宋体"/>
                <w:b/>
                <w:color w:val="auto"/>
                <w:sz w:val="24"/>
                <w:highlight w:val="none"/>
              </w:rPr>
              <w:t>项目废气排放源、污染物及污染防治措施信息表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7"/>
              <w:gridCol w:w="951"/>
              <w:gridCol w:w="704"/>
              <w:gridCol w:w="831"/>
              <w:gridCol w:w="914"/>
              <w:gridCol w:w="886"/>
              <w:gridCol w:w="656"/>
              <w:gridCol w:w="898"/>
              <w:gridCol w:w="453"/>
              <w:gridCol w:w="677"/>
              <w:gridCol w:w="630"/>
              <w:gridCol w:w="513"/>
              <w:gridCol w:w="711"/>
              <w:gridCol w:w="898"/>
              <w:gridCol w:w="968"/>
              <w:gridCol w:w="534"/>
              <w:gridCol w:w="630"/>
              <w:gridCol w:w="622"/>
            </w:tblGrid>
            <w:tr w14:paraId="0C2DCA3C">
              <w:trPr>
                <w:trHeight w:val="340" w:hRule="atLeast"/>
                <w:jc w:val="center"/>
              </w:trPr>
              <w:tc>
                <w:tcPr>
                  <w:tcW w:w="206" w:type="pct"/>
                  <w:vMerge w:val="restart"/>
                  <w:vAlign w:val="center"/>
                </w:tcPr>
                <w:p w14:paraId="2C50133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产污环节</w:t>
                  </w:r>
                </w:p>
              </w:tc>
              <w:tc>
                <w:tcPr>
                  <w:tcW w:w="365" w:type="pct"/>
                  <w:vMerge w:val="restart"/>
                  <w:vAlign w:val="center"/>
                </w:tcPr>
                <w:p w14:paraId="41AED27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污染物名称</w:t>
                  </w:r>
                </w:p>
              </w:tc>
              <w:tc>
                <w:tcPr>
                  <w:tcW w:w="270" w:type="pct"/>
                  <w:vMerge w:val="restart"/>
                  <w:vAlign w:val="center"/>
                </w:tcPr>
                <w:p w14:paraId="07816CB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排放形式</w:t>
                  </w:r>
                </w:p>
              </w:tc>
              <w:tc>
                <w:tcPr>
                  <w:tcW w:w="1010" w:type="pct"/>
                  <w:gridSpan w:val="3"/>
                  <w:vAlign w:val="center"/>
                </w:tcPr>
                <w:p w14:paraId="3FDF058F">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污染物产生情况</w:t>
                  </w:r>
                </w:p>
              </w:tc>
              <w:tc>
                <w:tcPr>
                  <w:tcW w:w="1470" w:type="pct"/>
                  <w:gridSpan w:val="6"/>
                  <w:vAlign w:val="center"/>
                </w:tcPr>
                <w:p w14:paraId="024A4F6F">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污染治理设施情况</w:t>
                  </w:r>
                </w:p>
              </w:tc>
              <w:tc>
                <w:tcPr>
                  <w:tcW w:w="990" w:type="pct"/>
                  <w:gridSpan w:val="3"/>
                  <w:vAlign w:val="center"/>
                </w:tcPr>
                <w:p w14:paraId="4C6BBFE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污染物排放情况</w:t>
                  </w:r>
                </w:p>
              </w:tc>
              <w:tc>
                <w:tcPr>
                  <w:tcW w:w="205" w:type="pct"/>
                  <w:vMerge w:val="restart"/>
                  <w:vAlign w:val="center"/>
                </w:tcPr>
                <w:p w14:paraId="3826A2F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排放口编号</w:t>
                  </w:r>
                </w:p>
              </w:tc>
              <w:tc>
                <w:tcPr>
                  <w:tcW w:w="481" w:type="pct"/>
                  <w:gridSpan w:val="2"/>
                  <w:vAlign w:val="center"/>
                </w:tcPr>
                <w:p w14:paraId="735E502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执行标准</w:t>
                  </w:r>
                </w:p>
              </w:tc>
            </w:tr>
            <w:tr w14:paraId="435DEF4C">
              <w:trPr>
                <w:trHeight w:val="340" w:hRule="atLeast"/>
                <w:jc w:val="center"/>
              </w:trPr>
              <w:tc>
                <w:tcPr>
                  <w:tcW w:w="206" w:type="pct"/>
                  <w:vMerge w:val="continue"/>
                  <w:vAlign w:val="center"/>
                </w:tcPr>
                <w:p w14:paraId="1E956B7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365" w:type="pct"/>
                  <w:vMerge w:val="continue"/>
                  <w:vAlign w:val="center"/>
                </w:tcPr>
                <w:p w14:paraId="05BCD07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70" w:type="pct"/>
                  <w:vMerge w:val="continue"/>
                  <w:vAlign w:val="center"/>
                </w:tcPr>
                <w:p w14:paraId="0263A31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319" w:type="pct"/>
                  <w:vAlign w:val="center"/>
                </w:tcPr>
                <w:p w14:paraId="2C4DE1BE">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产生浓度</w:t>
                  </w:r>
                </w:p>
                <w:p w14:paraId="1D1A14BB">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c>
                <w:tcPr>
                  <w:tcW w:w="351" w:type="pct"/>
                  <w:vAlign w:val="center"/>
                </w:tcPr>
                <w:p w14:paraId="6720B6DD">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产生</w:t>
                  </w:r>
                </w:p>
                <w:p w14:paraId="1EC4141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速率</w:t>
                  </w:r>
                </w:p>
                <w:p w14:paraId="1E34D12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kg/h</w:t>
                  </w:r>
                </w:p>
              </w:tc>
              <w:tc>
                <w:tcPr>
                  <w:tcW w:w="340" w:type="pct"/>
                  <w:vAlign w:val="center"/>
                </w:tcPr>
                <w:p w14:paraId="60F8D73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产生量</w:t>
                  </w:r>
                </w:p>
                <w:p w14:paraId="3970284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t/a</w:t>
                  </w:r>
                </w:p>
              </w:tc>
              <w:tc>
                <w:tcPr>
                  <w:tcW w:w="252" w:type="pct"/>
                  <w:vAlign w:val="center"/>
                </w:tcPr>
                <w:p w14:paraId="1F3A9D90">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污染治理设施编号</w:t>
                  </w:r>
                </w:p>
              </w:tc>
              <w:tc>
                <w:tcPr>
                  <w:tcW w:w="345" w:type="pct"/>
                  <w:vAlign w:val="center"/>
                </w:tcPr>
                <w:p w14:paraId="2EA999DD">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污染治理设施工艺</w:t>
                  </w:r>
                </w:p>
              </w:tc>
              <w:tc>
                <w:tcPr>
                  <w:tcW w:w="174" w:type="pct"/>
                  <w:vAlign w:val="center"/>
                </w:tcPr>
                <w:p w14:paraId="2B549B8C">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处理</w:t>
                  </w:r>
                </w:p>
                <w:p w14:paraId="6295AC44">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能力</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3</w:t>
                  </w:r>
                  <w:r>
                    <w:rPr>
                      <w:rFonts w:hint="default" w:ascii="Times New Roman" w:hAnsi="Times New Roman" w:eastAsia="宋体" w:cs="Times New Roman"/>
                      <w:color w:val="auto"/>
                      <w:kern w:val="0"/>
                      <w:szCs w:val="21"/>
                      <w:highlight w:val="none"/>
                    </w:rPr>
                    <w:t>/h</w:t>
                  </w:r>
                </w:p>
              </w:tc>
              <w:tc>
                <w:tcPr>
                  <w:tcW w:w="260" w:type="pct"/>
                  <w:vAlign w:val="center"/>
                </w:tcPr>
                <w:p w14:paraId="7BCC589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捕集</w:t>
                  </w:r>
                </w:p>
                <w:p w14:paraId="478C0426">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效率</w:t>
                  </w:r>
                </w:p>
                <w:p w14:paraId="36F5F1E3">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242" w:type="pct"/>
                  <w:vAlign w:val="center"/>
                </w:tcPr>
                <w:p w14:paraId="261EB40B">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处理</w:t>
                  </w:r>
                </w:p>
                <w:p w14:paraId="2FCD2C9D">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效率</w:t>
                  </w:r>
                </w:p>
                <w:p w14:paraId="502BA1B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197" w:type="pct"/>
                  <w:vAlign w:val="center"/>
                </w:tcPr>
                <w:p w14:paraId="264D8C41">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zh-CN"/>
                    </w:rPr>
                    <w:t>是否为可行技术</w:t>
                  </w:r>
                </w:p>
              </w:tc>
              <w:tc>
                <w:tcPr>
                  <w:tcW w:w="273" w:type="pct"/>
                  <w:vAlign w:val="center"/>
                </w:tcPr>
                <w:p w14:paraId="38A230FF">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4FF98F2A">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浓度</w:t>
                  </w:r>
                </w:p>
                <w:p w14:paraId="6CAE1C2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c>
                <w:tcPr>
                  <w:tcW w:w="345" w:type="pct"/>
                  <w:vAlign w:val="center"/>
                </w:tcPr>
                <w:p w14:paraId="44850740">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1E18070A">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速率</w:t>
                  </w:r>
                </w:p>
                <w:p w14:paraId="548F761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kg/h</w:t>
                  </w:r>
                </w:p>
              </w:tc>
              <w:tc>
                <w:tcPr>
                  <w:tcW w:w="371" w:type="pct"/>
                  <w:vAlign w:val="center"/>
                </w:tcPr>
                <w:p w14:paraId="02CCE45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排放量</w:t>
                  </w:r>
                </w:p>
                <w:p w14:paraId="4B89E45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t/a</w:t>
                  </w:r>
                </w:p>
              </w:tc>
              <w:tc>
                <w:tcPr>
                  <w:tcW w:w="205" w:type="pct"/>
                  <w:vMerge w:val="continue"/>
                  <w:vAlign w:val="center"/>
                </w:tcPr>
                <w:p w14:paraId="33ACEAC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Align w:val="center"/>
                </w:tcPr>
                <w:p w14:paraId="2E2A120F">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4E310D6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速率</w:t>
                  </w:r>
                </w:p>
                <w:p w14:paraId="298AB67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kg/h</w:t>
                  </w:r>
                </w:p>
              </w:tc>
              <w:tc>
                <w:tcPr>
                  <w:tcW w:w="238" w:type="pct"/>
                  <w:vAlign w:val="center"/>
                </w:tcPr>
                <w:p w14:paraId="0F92659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1ED0DDF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浓度</w:t>
                  </w:r>
                </w:p>
                <w:p w14:paraId="3689577D">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r>
            <w:tr w14:paraId="306DE463">
              <w:trPr>
                <w:trHeight w:val="397" w:hRule="atLeast"/>
                <w:jc w:val="center"/>
              </w:trPr>
              <w:tc>
                <w:tcPr>
                  <w:tcW w:w="206" w:type="pct"/>
                  <w:vMerge w:val="restart"/>
                  <w:shd w:val="clear" w:color="auto" w:fill="auto"/>
                  <w:vAlign w:val="center"/>
                </w:tcPr>
                <w:p w14:paraId="49F282B8">
                  <w:pPr>
                    <w:keepNext w:val="0"/>
                    <w:keepLines w:val="0"/>
                    <w:suppressLineNumbers w:val="0"/>
                    <w:spacing w:before="0" w:beforeAutospacing="0" w:after="0" w:afterAutospacing="0"/>
                    <w:ind w:left="0" w:leftChars="0" w:right="0" w:rightChars="0"/>
                    <w:rPr>
                      <w:rFonts w:hint="default"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喷塑</w:t>
                  </w:r>
                </w:p>
              </w:tc>
              <w:tc>
                <w:tcPr>
                  <w:tcW w:w="365" w:type="pct"/>
                  <w:vMerge w:val="restart"/>
                  <w:shd w:val="clear" w:color="auto" w:fill="auto"/>
                  <w:vAlign w:val="center"/>
                </w:tcPr>
                <w:p w14:paraId="7EEA1FC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270" w:type="pct"/>
                  <w:shd w:val="clear" w:color="auto" w:fill="auto"/>
                  <w:vAlign w:val="center"/>
                </w:tcPr>
                <w:p w14:paraId="30423F1A">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lang w:val="zh-CN"/>
                    </w:rPr>
                    <w:t>有组织</w:t>
                  </w:r>
                </w:p>
              </w:tc>
              <w:tc>
                <w:tcPr>
                  <w:tcW w:w="319" w:type="pct"/>
                  <w:shd w:val="clear" w:color="auto" w:fill="auto"/>
                  <w:vAlign w:val="center"/>
                </w:tcPr>
                <w:p w14:paraId="601789F6">
                  <w:pPr>
                    <w:keepNext w:val="0"/>
                    <w:keepLines w:val="0"/>
                    <w:suppressLineNumbers w:val="0"/>
                    <w:spacing w:before="0" w:beforeAutospacing="0" w:after="0" w:afterAutospacing="0"/>
                    <w:ind w:left="0" w:leftChars="0" w:right="0" w:rightChars="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99</w:t>
                  </w:r>
                </w:p>
              </w:tc>
              <w:tc>
                <w:tcPr>
                  <w:tcW w:w="351" w:type="pct"/>
                  <w:vAlign w:val="center"/>
                </w:tcPr>
                <w:p w14:paraId="7E90FB8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1.188</w:t>
                  </w:r>
                </w:p>
              </w:tc>
              <w:tc>
                <w:tcPr>
                  <w:tcW w:w="340" w:type="pct"/>
                  <w:vAlign w:val="center"/>
                </w:tcPr>
                <w:p w14:paraId="7DED77A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1.425</w:t>
                  </w:r>
                </w:p>
              </w:tc>
              <w:tc>
                <w:tcPr>
                  <w:tcW w:w="252" w:type="pct"/>
                  <w:shd w:val="clear" w:color="auto" w:fill="auto"/>
                  <w:vAlign w:val="center"/>
                </w:tcPr>
                <w:p w14:paraId="78FBA80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1</w:t>
                  </w:r>
                </w:p>
              </w:tc>
              <w:tc>
                <w:tcPr>
                  <w:tcW w:w="345" w:type="pct"/>
                  <w:shd w:val="clear" w:color="auto" w:fill="auto"/>
                  <w:vAlign w:val="center"/>
                </w:tcPr>
                <w:p w14:paraId="15F22B6A">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布袋除尘器</w:t>
                  </w:r>
                </w:p>
              </w:tc>
              <w:tc>
                <w:tcPr>
                  <w:tcW w:w="174" w:type="pct"/>
                  <w:shd w:val="clear" w:color="auto" w:fill="auto"/>
                  <w:vAlign w:val="center"/>
                </w:tcPr>
                <w:p w14:paraId="1B1ABBBD">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12</w:t>
                  </w:r>
                  <w:r>
                    <w:rPr>
                      <w:color w:val="auto"/>
                      <w:kern w:val="0"/>
                      <w:szCs w:val="21"/>
                      <w:highlight w:val="none"/>
                    </w:rPr>
                    <w:t>000</w:t>
                  </w:r>
                </w:p>
              </w:tc>
              <w:tc>
                <w:tcPr>
                  <w:tcW w:w="260" w:type="pct"/>
                  <w:shd w:val="clear" w:color="auto" w:fill="auto"/>
                  <w:vAlign w:val="center"/>
                </w:tcPr>
                <w:p w14:paraId="6033B980">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5</w:t>
                  </w:r>
                </w:p>
              </w:tc>
              <w:tc>
                <w:tcPr>
                  <w:tcW w:w="242" w:type="pct"/>
                  <w:shd w:val="clear" w:color="auto" w:fill="auto"/>
                  <w:vAlign w:val="center"/>
                </w:tcPr>
                <w:p w14:paraId="38F99FF6">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8</w:t>
                  </w:r>
                </w:p>
              </w:tc>
              <w:tc>
                <w:tcPr>
                  <w:tcW w:w="197" w:type="pct"/>
                  <w:shd w:val="clear" w:color="auto" w:fill="auto"/>
                  <w:vAlign w:val="center"/>
                </w:tcPr>
                <w:p w14:paraId="4F29A1C4">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是</w:t>
                  </w:r>
                </w:p>
              </w:tc>
              <w:tc>
                <w:tcPr>
                  <w:tcW w:w="273" w:type="pct"/>
                  <w:shd w:val="clear" w:color="auto" w:fill="auto"/>
                  <w:vAlign w:val="center"/>
                </w:tcPr>
                <w:p w14:paraId="2F679759">
                  <w:pPr>
                    <w:keepNext w:val="0"/>
                    <w:keepLines w:val="0"/>
                    <w:suppressLineNumbers w:val="0"/>
                    <w:spacing w:before="0" w:beforeAutospacing="0" w:after="0" w:afterAutospacing="0"/>
                    <w:ind w:left="0" w:leftChars="0" w:right="0" w:rightChars="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1.98</w:t>
                  </w:r>
                </w:p>
              </w:tc>
              <w:tc>
                <w:tcPr>
                  <w:tcW w:w="345" w:type="pct"/>
                  <w:shd w:val="clear" w:color="auto" w:fill="auto"/>
                  <w:vAlign w:val="center"/>
                </w:tcPr>
                <w:p w14:paraId="1D9A6E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238</w:t>
                  </w:r>
                </w:p>
              </w:tc>
              <w:tc>
                <w:tcPr>
                  <w:tcW w:w="371" w:type="pct"/>
                  <w:shd w:val="clear" w:color="auto" w:fill="auto"/>
                  <w:vAlign w:val="center"/>
                </w:tcPr>
                <w:p w14:paraId="4A965C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285</w:t>
                  </w:r>
                </w:p>
              </w:tc>
              <w:tc>
                <w:tcPr>
                  <w:tcW w:w="205" w:type="pct"/>
                  <w:tcBorders>
                    <w:right w:val="single" w:color="auto" w:sz="4" w:space="0"/>
                  </w:tcBorders>
                  <w:shd w:val="clear" w:color="auto" w:fill="auto"/>
                  <w:vAlign w:val="center"/>
                </w:tcPr>
                <w:p w14:paraId="20157B39">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DA00</w:t>
                  </w:r>
                  <w:r>
                    <w:rPr>
                      <w:rFonts w:hint="eastAsia"/>
                      <w:color w:val="auto"/>
                      <w:kern w:val="0"/>
                      <w:szCs w:val="21"/>
                      <w:highlight w:val="none"/>
                      <w:lang w:val="en-US" w:eastAsia="zh-CN"/>
                    </w:rPr>
                    <w:t>2</w:t>
                  </w:r>
                </w:p>
              </w:tc>
              <w:tc>
                <w:tcPr>
                  <w:tcW w:w="242" w:type="pct"/>
                  <w:tcBorders>
                    <w:top w:val="single" w:color="auto" w:sz="4" w:space="0"/>
                    <w:left w:val="single" w:color="auto" w:sz="4" w:space="0"/>
                    <w:bottom w:val="single" w:color="auto" w:sz="4" w:space="0"/>
                  </w:tcBorders>
                  <w:shd w:val="clear" w:color="auto" w:fill="auto"/>
                  <w:vAlign w:val="center"/>
                </w:tcPr>
                <w:p w14:paraId="64E390E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0.6</w:t>
                  </w:r>
                </w:p>
              </w:tc>
              <w:tc>
                <w:tcPr>
                  <w:tcW w:w="238" w:type="pct"/>
                  <w:tcBorders>
                    <w:top w:val="single" w:color="auto" w:sz="4" w:space="0"/>
                    <w:bottom w:val="single" w:color="auto" w:sz="4" w:space="0"/>
                    <w:right w:val="single" w:color="auto" w:sz="4" w:space="0"/>
                  </w:tcBorders>
                  <w:shd w:val="clear" w:color="auto" w:fill="auto"/>
                  <w:vAlign w:val="center"/>
                </w:tcPr>
                <w:p w14:paraId="7FA381E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10</w:t>
                  </w:r>
                </w:p>
              </w:tc>
            </w:tr>
            <w:tr w14:paraId="530A408C">
              <w:trPr>
                <w:trHeight w:val="397" w:hRule="atLeast"/>
                <w:jc w:val="center"/>
              </w:trPr>
              <w:tc>
                <w:tcPr>
                  <w:tcW w:w="206" w:type="pct"/>
                  <w:vMerge w:val="continue"/>
                  <w:vAlign w:val="center"/>
                </w:tcPr>
                <w:p w14:paraId="321EF148">
                  <w:pPr>
                    <w:keepNext w:val="0"/>
                    <w:keepLines w:val="0"/>
                    <w:suppressLineNumbers w:val="0"/>
                    <w:adjustRightInd w:val="0"/>
                    <w:snapToGrid w:val="0"/>
                    <w:spacing w:before="0" w:beforeAutospacing="0" w:after="0" w:afterAutospacing="0"/>
                    <w:ind w:left="-105" w:leftChars="-50" w:right="-105" w:rightChars="-50"/>
                    <w:jc w:val="center"/>
                    <w:rPr>
                      <w:color w:val="auto"/>
                      <w:szCs w:val="21"/>
                      <w:highlight w:val="none"/>
                    </w:rPr>
                  </w:pPr>
                </w:p>
              </w:tc>
              <w:tc>
                <w:tcPr>
                  <w:tcW w:w="365" w:type="pct"/>
                  <w:vMerge w:val="continue"/>
                  <w:shd w:val="clear" w:color="auto" w:fill="auto"/>
                  <w:vAlign w:val="center"/>
                </w:tcPr>
                <w:p w14:paraId="19238575">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rPr>
                  </w:pPr>
                </w:p>
              </w:tc>
              <w:tc>
                <w:tcPr>
                  <w:tcW w:w="270" w:type="pct"/>
                  <w:shd w:val="clear" w:color="auto" w:fill="auto"/>
                  <w:vAlign w:val="center"/>
                </w:tcPr>
                <w:p w14:paraId="2923CEB2">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shd w:val="clear" w:color="auto" w:fill="auto"/>
                  <w:vAlign w:val="center"/>
                </w:tcPr>
                <w:p w14:paraId="02185F5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51" w:type="pct"/>
                  <w:shd w:val="clear" w:color="auto" w:fill="auto"/>
                  <w:vAlign w:val="center"/>
                </w:tcPr>
                <w:p w14:paraId="56398AF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062</w:t>
                  </w:r>
                  <w:r>
                    <w:rPr>
                      <w:rFonts w:hint="default" w:ascii="Times New Roman" w:hAnsi="Times New Roman" w:cs="Times New Roman"/>
                      <w:color w:val="auto"/>
                      <w:sz w:val="21"/>
                      <w:szCs w:val="21"/>
                      <w:highlight w:val="none"/>
                    </w:rPr>
                    <w:t>5</w:t>
                  </w:r>
                </w:p>
              </w:tc>
              <w:tc>
                <w:tcPr>
                  <w:tcW w:w="340" w:type="pct"/>
                  <w:shd w:val="clear" w:color="auto" w:fill="auto"/>
                  <w:vAlign w:val="center"/>
                </w:tcPr>
                <w:p w14:paraId="50ABEF7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075</w:t>
                  </w:r>
                </w:p>
              </w:tc>
              <w:tc>
                <w:tcPr>
                  <w:tcW w:w="252" w:type="pct"/>
                  <w:shd w:val="clear" w:color="auto" w:fill="auto"/>
                  <w:vAlign w:val="center"/>
                </w:tcPr>
                <w:p w14:paraId="13FCBA2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735DC649">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74" w:type="pct"/>
                  <w:shd w:val="clear" w:color="auto" w:fill="auto"/>
                  <w:vAlign w:val="center"/>
                </w:tcPr>
                <w:p w14:paraId="1719ABE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60" w:type="pct"/>
                  <w:shd w:val="clear" w:color="auto" w:fill="auto"/>
                  <w:vAlign w:val="center"/>
                </w:tcPr>
                <w:p w14:paraId="02FFDDAD">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045070FD">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97" w:type="pct"/>
                  <w:shd w:val="clear" w:color="auto" w:fill="auto"/>
                  <w:vAlign w:val="center"/>
                </w:tcPr>
                <w:p w14:paraId="23619187">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73" w:type="pct"/>
                  <w:shd w:val="clear" w:color="auto" w:fill="auto"/>
                  <w:vAlign w:val="center"/>
                </w:tcPr>
                <w:p w14:paraId="72E2EEC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40D71B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062</w:t>
                  </w:r>
                  <w:r>
                    <w:rPr>
                      <w:rFonts w:hint="default" w:ascii="Times New Roman" w:hAnsi="Times New Roman" w:cs="Times New Roman"/>
                      <w:color w:val="auto"/>
                      <w:sz w:val="21"/>
                      <w:szCs w:val="21"/>
                      <w:highlight w:val="none"/>
                    </w:rPr>
                    <w:t>5</w:t>
                  </w:r>
                </w:p>
              </w:tc>
              <w:tc>
                <w:tcPr>
                  <w:tcW w:w="371" w:type="pct"/>
                  <w:shd w:val="clear" w:color="auto" w:fill="auto"/>
                  <w:vAlign w:val="center"/>
                </w:tcPr>
                <w:p w14:paraId="2D0B7C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075</w:t>
                  </w:r>
                </w:p>
              </w:tc>
              <w:tc>
                <w:tcPr>
                  <w:tcW w:w="205" w:type="pct"/>
                  <w:tcBorders>
                    <w:right w:val="single" w:color="auto" w:sz="4" w:space="0"/>
                  </w:tcBorders>
                  <w:shd w:val="clear" w:color="auto" w:fill="auto"/>
                  <w:vAlign w:val="center"/>
                </w:tcPr>
                <w:p w14:paraId="5381963B">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242" w:type="pct"/>
                  <w:tcBorders>
                    <w:top w:val="single" w:color="auto" w:sz="4" w:space="0"/>
                    <w:left w:val="single" w:color="auto" w:sz="4" w:space="0"/>
                    <w:bottom w:val="single" w:color="auto" w:sz="4" w:space="0"/>
                  </w:tcBorders>
                  <w:shd w:val="clear" w:color="auto" w:fill="auto"/>
                  <w:vAlign w:val="center"/>
                </w:tcPr>
                <w:p w14:paraId="32334B0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tcBorders>
                    <w:top w:val="single" w:color="auto" w:sz="4" w:space="0"/>
                    <w:bottom w:val="single" w:color="auto" w:sz="4" w:space="0"/>
                    <w:right w:val="single" w:color="auto" w:sz="4" w:space="0"/>
                  </w:tcBorders>
                  <w:shd w:val="clear" w:color="auto" w:fill="auto"/>
                  <w:vAlign w:val="center"/>
                </w:tcPr>
                <w:p w14:paraId="25935C6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0.5</w:t>
                  </w:r>
                </w:p>
              </w:tc>
            </w:tr>
            <w:tr w14:paraId="060E35FE">
              <w:trPr>
                <w:trHeight w:val="397" w:hRule="atLeast"/>
                <w:jc w:val="center"/>
              </w:trPr>
              <w:tc>
                <w:tcPr>
                  <w:tcW w:w="206" w:type="pct"/>
                  <w:vMerge w:val="restart"/>
                  <w:shd w:val="clear" w:color="auto" w:fill="auto"/>
                  <w:vAlign w:val="center"/>
                </w:tcPr>
                <w:p w14:paraId="754D0FE9">
                  <w:pPr>
                    <w:keepNext w:val="0"/>
                    <w:keepLines w:val="0"/>
                    <w:suppressLineNumbers w:val="0"/>
                    <w:spacing w:before="0" w:beforeAutospacing="0" w:after="0" w:afterAutospacing="0"/>
                    <w:ind w:left="0" w:leftChars="0" w:right="0" w:rightChars="0"/>
                    <w:rPr>
                      <w:rFonts w:hint="eastAsia"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喷漆</w:t>
                  </w:r>
                </w:p>
              </w:tc>
              <w:tc>
                <w:tcPr>
                  <w:tcW w:w="365" w:type="pct"/>
                  <w:vMerge w:val="restart"/>
                  <w:vAlign w:val="center"/>
                </w:tcPr>
                <w:p w14:paraId="15FB68DF">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color w:val="auto"/>
                      <w:szCs w:val="21"/>
                      <w:highlight w:val="none"/>
                    </w:rPr>
                    <w:t>NMHC</w:t>
                  </w:r>
                </w:p>
              </w:tc>
              <w:tc>
                <w:tcPr>
                  <w:tcW w:w="270" w:type="pct"/>
                  <w:vAlign w:val="center"/>
                </w:tcPr>
                <w:p w14:paraId="7690BCB0">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有组织</w:t>
                  </w:r>
                </w:p>
              </w:tc>
              <w:tc>
                <w:tcPr>
                  <w:tcW w:w="319" w:type="pct"/>
                  <w:vAlign w:val="center"/>
                </w:tcPr>
                <w:p w14:paraId="64E62F6B">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46</w:t>
                  </w:r>
                </w:p>
              </w:tc>
              <w:tc>
                <w:tcPr>
                  <w:tcW w:w="351" w:type="pct"/>
                  <w:vAlign w:val="center"/>
                </w:tcPr>
                <w:p w14:paraId="4DAC5585">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lang w:val="en-US" w:eastAsia="zh-CN"/>
                    </w:rPr>
                    <w:t>0.6925</w:t>
                  </w:r>
                </w:p>
              </w:tc>
              <w:tc>
                <w:tcPr>
                  <w:tcW w:w="340" w:type="pct"/>
                  <w:vAlign w:val="center"/>
                </w:tcPr>
                <w:p w14:paraId="41174D75">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lang w:val="en-US" w:eastAsia="zh-CN"/>
                    </w:rPr>
                    <w:t>0.831</w:t>
                  </w:r>
                </w:p>
              </w:tc>
              <w:tc>
                <w:tcPr>
                  <w:tcW w:w="252" w:type="pct"/>
                  <w:shd w:val="clear" w:color="auto" w:fill="auto"/>
                  <w:vAlign w:val="center"/>
                </w:tcPr>
                <w:p w14:paraId="3F5B8D2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2</w:t>
                  </w:r>
                </w:p>
              </w:tc>
              <w:tc>
                <w:tcPr>
                  <w:tcW w:w="345" w:type="pct"/>
                  <w:shd w:val="clear" w:color="auto" w:fill="auto"/>
                  <w:vAlign w:val="center"/>
                </w:tcPr>
                <w:p w14:paraId="12F505F4">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干式</w:t>
                  </w:r>
                  <w:r>
                    <w:rPr>
                      <w:rFonts w:hint="eastAsia" w:hAnsi="宋体"/>
                      <w:color w:val="auto"/>
                      <w:szCs w:val="21"/>
                      <w:highlight w:val="none"/>
                    </w:rPr>
                    <w:t>过滤+二</w:t>
                  </w:r>
                  <w:r>
                    <w:rPr>
                      <w:rFonts w:hAnsi="宋体"/>
                      <w:color w:val="auto"/>
                      <w:szCs w:val="21"/>
                      <w:highlight w:val="none"/>
                    </w:rPr>
                    <w:t>级活性炭吸附</w:t>
                  </w:r>
                </w:p>
              </w:tc>
              <w:tc>
                <w:tcPr>
                  <w:tcW w:w="174" w:type="pct"/>
                  <w:vAlign w:val="center"/>
                </w:tcPr>
                <w:p w14:paraId="20728D88">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15000</w:t>
                  </w:r>
                </w:p>
              </w:tc>
              <w:tc>
                <w:tcPr>
                  <w:tcW w:w="260" w:type="pct"/>
                  <w:shd w:val="clear" w:color="auto" w:fill="auto"/>
                  <w:vAlign w:val="center"/>
                </w:tcPr>
                <w:p w14:paraId="57035D16">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5</w:t>
                  </w:r>
                </w:p>
              </w:tc>
              <w:tc>
                <w:tcPr>
                  <w:tcW w:w="242" w:type="pct"/>
                  <w:shd w:val="clear" w:color="auto" w:fill="auto"/>
                  <w:vAlign w:val="center"/>
                </w:tcPr>
                <w:p w14:paraId="2FBD9E8F">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0</w:t>
                  </w:r>
                </w:p>
              </w:tc>
              <w:tc>
                <w:tcPr>
                  <w:tcW w:w="197" w:type="pct"/>
                  <w:vAlign w:val="center"/>
                </w:tcPr>
                <w:p w14:paraId="767EE7E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int="eastAsia"/>
                      <w:color w:val="auto"/>
                      <w:kern w:val="0"/>
                      <w:szCs w:val="21"/>
                      <w:highlight w:val="none"/>
                    </w:rPr>
                    <w:t>是</w:t>
                  </w:r>
                </w:p>
              </w:tc>
              <w:tc>
                <w:tcPr>
                  <w:tcW w:w="273" w:type="pct"/>
                  <w:vAlign w:val="center"/>
                </w:tcPr>
                <w:p w14:paraId="41688289">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4.6</w:t>
                  </w:r>
                </w:p>
              </w:tc>
              <w:tc>
                <w:tcPr>
                  <w:tcW w:w="345" w:type="pct"/>
                  <w:vAlign w:val="center"/>
                </w:tcPr>
                <w:p w14:paraId="239633B0">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lang w:val="en-US" w:eastAsia="zh-CN"/>
                    </w:rPr>
                    <w:t>0.0693</w:t>
                  </w:r>
                </w:p>
              </w:tc>
              <w:tc>
                <w:tcPr>
                  <w:tcW w:w="371" w:type="pct"/>
                  <w:vAlign w:val="center"/>
                </w:tcPr>
                <w:p w14:paraId="39F1C46C">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bCs/>
                      <w:color w:val="auto"/>
                      <w:sz w:val="21"/>
                      <w:szCs w:val="21"/>
                      <w:highlight w:val="none"/>
                    </w:rPr>
                    <w:t>0.</w:t>
                  </w:r>
                  <w:r>
                    <w:rPr>
                      <w:rFonts w:hint="eastAsia"/>
                      <w:bCs/>
                      <w:color w:val="auto"/>
                      <w:sz w:val="21"/>
                      <w:szCs w:val="21"/>
                      <w:highlight w:val="none"/>
                      <w:lang w:val="en-US" w:eastAsia="zh-CN"/>
                    </w:rPr>
                    <w:t>0831</w:t>
                  </w:r>
                </w:p>
              </w:tc>
              <w:tc>
                <w:tcPr>
                  <w:tcW w:w="205" w:type="pct"/>
                  <w:vAlign w:val="center"/>
                </w:tcPr>
                <w:p w14:paraId="67FE9220">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eastAsia="zh-CN"/>
                    </w:rPr>
                  </w:pPr>
                  <w:r>
                    <w:rPr>
                      <w:color w:val="auto"/>
                      <w:kern w:val="0"/>
                      <w:szCs w:val="21"/>
                      <w:highlight w:val="none"/>
                    </w:rPr>
                    <w:t>DA00</w:t>
                  </w:r>
                  <w:r>
                    <w:rPr>
                      <w:rFonts w:hint="eastAsia"/>
                      <w:color w:val="auto"/>
                      <w:kern w:val="0"/>
                      <w:szCs w:val="21"/>
                      <w:highlight w:val="none"/>
                      <w:lang w:val="en-US" w:eastAsia="zh-CN"/>
                    </w:rPr>
                    <w:t>1</w:t>
                  </w:r>
                </w:p>
              </w:tc>
              <w:tc>
                <w:tcPr>
                  <w:tcW w:w="242" w:type="pct"/>
                  <w:tcBorders>
                    <w:top w:val="single" w:color="auto" w:sz="4" w:space="0"/>
                  </w:tcBorders>
                  <w:shd w:val="clear" w:color="auto" w:fill="auto"/>
                  <w:vAlign w:val="center"/>
                </w:tcPr>
                <w:p w14:paraId="566E61D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1.8</w:t>
                  </w:r>
                </w:p>
              </w:tc>
              <w:tc>
                <w:tcPr>
                  <w:tcW w:w="238" w:type="pct"/>
                  <w:tcBorders>
                    <w:top w:val="single" w:color="auto" w:sz="4" w:space="0"/>
                  </w:tcBorders>
                  <w:shd w:val="clear" w:color="auto" w:fill="auto"/>
                  <w:vAlign w:val="center"/>
                </w:tcPr>
                <w:p w14:paraId="7DCD406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50</w:t>
                  </w:r>
                </w:p>
              </w:tc>
            </w:tr>
            <w:tr w14:paraId="389C4F8F">
              <w:trPr>
                <w:trHeight w:val="397" w:hRule="atLeast"/>
                <w:jc w:val="center"/>
              </w:trPr>
              <w:tc>
                <w:tcPr>
                  <w:tcW w:w="206" w:type="pct"/>
                  <w:vMerge w:val="continue"/>
                  <w:shd w:val="clear" w:color="auto" w:fill="auto"/>
                  <w:vAlign w:val="center"/>
                </w:tcPr>
                <w:p w14:paraId="416679EC">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vMerge w:val="continue"/>
                  <w:vAlign w:val="center"/>
                </w:tcPr>
                <w:p w14:paraId="4D0C646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70" w:type="pct"/>
                  <w:vAlign w:val="center"/>
                </w:tcPr>
                <w:p w14:paraId="76C227D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rPr>
                    <w:t>无组织</w:t>
                  </w:r>
                </w:p>
              </w:tc>
              <w:tc>
                <w:tcPr>
                  <w:tcW w:w="319" w:type="pct"/>
                  <w:shd w:val="clear" w:color="auto" w:fill="auto"/>
                  <w:vAlign w:val="center"/>
                </w:tcPr>
                <w:p w14:paraId="5D36D52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w:t>
                  </w:r>
                </w:p>
              </w:tc>
              <w:tc>
                <w:tcPr>
                  <w:tcW w:w="351" w:type="pct"/>
                  <w:shd w:val="clear" w:color="auto" w:fill="auto"/>
                  <w:vAlign w:val="center"/>
                </w:tcPr>
                <w:p w14:paraId="74AEBB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bCs/>
                      <w:color w:val="auto"/>
                      <w:sz w:val="21"/>
                      <w:szCs w:val="21"/>
                      <w:highlight w:val="none"/>
                    </w:rPr>
                    <w:t>0.0</w:t>
                  </w:r>
                  <w:r>
                    <w:rPr>
                      <w:rFonts w:hint="eastAsia"/>
                      <w:bCs/>
                      <w:color w:val="auto"/>
                      <w:sz w:val="21"/>
                      <w:szCs w:val="21"/>
                      <w:highlight w:val="none"/>
                      <w:lang w:val="en-US" w:eastAsia="zh-CN"/>
                    </w:rPr>
                    <w:t>366</w:t>
                  </w:r>
                </w:p>
              </w:tc>
              <w:tc>
                <w:tcPr>
                  <w:tcW w:w="340" w:type="pct"/>
                  <w:shd w:val="clear" w:color="auto" w:fill="auto"/>
                  <w:vAlign w:val="center"/>
                </w:tcPr>
                <w:p w14:paraId="57748C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rPr>
                    <w:t>0.0</w:t>
                  </w:r>
                  <w:r>
                    <w:rPr>
                      <w:rFonts w:hint="eastAsia"/>
                      <w:bCs/>
                      <w:color w:val="auto"/>
                      <w:sz w:val="21"/>
                      <w:szCs w:val="21"/>
                      <w:highlight w:val="none"/>
                      <w:lang w:val="en-US" w:eastAsia="zh-CN"/>
                    </w:rPr>
                    <w:t>44</w:t>
                  </w:r>
                </w:p>
              </w:tc>
              <w:tc>
                <w:tcPr>
                  <w:tcW w:w="252" w:type="pct"/>
                  <w:vAlign w:val="center"/>
                </w:tcPr>
                <w:p w14:paraId="520DD548">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45" w:type="pct"/>
                  <w:vAlign w:val="center"/>
                </w:tcPr>
                <w:p w14:paraId="33E86B29">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174" w:type="pct"/>
                  <w:vAlign w:val="center"/>
                </w:tcPr>
                <w:p w14:paraId="48357B92">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260" w:type="pct"/>
                  <w:vAlign w:val="center"/>
                </w:tcPr>
                <w:p w14:paraId="6D8DEE5C">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242" w:type="pct"/>
                  <w:vAlign w:val="center"/>
                </w:tcPr>
                <w:p w14:paraId="5A9420A4">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197" w:type="pct"/>
                  <w:vAlign w:val="center"/>
                </w:tcPr>
                <w:p w14:paraId="5ABA259D">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273" w:type="pct"/>
                  <w:vAlign w:val="center"/>
                </w:tcPr>
                <w:p w14:paraId="291B05AD">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45" w:type="pct"/>
                  <w:shd w:val="clear" w:color="auto" w:fill="auto"/>
                  <w:vAlign w:val="center"/>
                </w:tcPr>
                <w:p w14:paraId="70176D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bCs/>
                      <w:color w:val="auto"/>
                      <w:sz w:val="21"/>
                      <w:szCs w:val="21"/>
                      <w:highlight w:val="none"/>
                    </w:rPr>
                    <w:t>0.0</w:t>
                  </w:r>
                  <w:r>
                    <w:rPr>
                      <w:rFonts w:hint="eastAsia"/>
                      <w:bCs/>
                      <w:color w:val="auto"/>
                      <w:sz w:val="21"/>
                      <w:szCs w:val="21"/>
                      <w:highlight w:val="none"/>
                      <w:lang w:val="en-US" w:eastAsia="zh-CN"/>
                    </w:rPr>
                    <w:t>366</w:t>
                  </w:r>
                </w:p>
              </w:tc>
              <w:tc>
                <w:tcPr>
                  <w:tcW w:w="371" w:type="pct"/>
                  <w:shd w:val="clear" w:color="auto" w:fill="auto"/>
                  <w:vAlign w:val="center"/>
                </w:tcPr>
                <w:p w14:paraId="7E94C8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rPr>
                    <w:t>0.0</w:t>
                  </w:r>
                  <w:r>
                    <w:rPr>
                      <w:rFonts w:hint="eastAsia"/>
                      <w:bCs/>
                      <w:color w:val="auto"/>
                      <w:sz w:val="21"/>
                      <w:szCs w:val="21"/>
                      <w:highlight w:val="none"/>
                      <w:lang w:val="en-US" w:eastAsia="zh-CN"/>
                    </w:rPr>
                    <w:t>44</w:t>
                  </w:r>
                </w:p>
              </w:tc>
              <w:tc>
                <w:tcPr>
                  <w:tcW w:w="205" w:type="pct"/>
                  <w:vAlign w:val="center"/>
                </w:tcPr>
                <w:p w14:paraId="140EDD8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242" w:type="pct"/>
                  <w:shd w:val="clear" w:color="auto" w:fill="auto"/>
                  <w:vAlign w:val="center"/>
                </w:tcPr>
                <w:p w14:paraId="310FC34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w:t>
                  </w:r>
                </w:p>
              </w:tc>
              <w:tc>
                <w:tcPr>
                  <w:tcW w:w="238" w:type="pct"/>
                  <w:shd w:val="clear" w:color="auto" w:fill="auto"/>
                  <w:vAlign w:val="center"/>
                </w:tcPr>
                <w:p w14:paraId="1532E43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4</w:t>
                  </w:r>
                </w:p>
              </w:tc>
            </w:tr>
            <w:tr w14:paraId="1F797F6B">
              <w:trPr>
                <w:trHeight w:val="397" w:hRule="atLeast"/>
                <w:jc w:val="center"/>
              </w:trPr>
              <w:tc>
                <w:tcPr>
                  <w:tcW w:w="206" w:type="pct"/>
                  <w:vMerge w:val="continue"/>
                  <w:shd w:val="clear" w:color="auto" w:fill="auto"/>
                  <w:vAlign w:val="center"/>
                </w:tcPr>
                <w:p w14:paraId="3E929649">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vMerge w:val="restart"/>
                  <w:vAlign w:val="center"/>
                </w:tcPr>
                <w:p w14:paraId="0F5D3D1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颗粒物</w:t>
                  </w:r>
                </w:p>
              </w:tc>
              <w:tc>
                <w:tcPr>
                  <w:tcW w:w="270" w:type="pct"/>
                  <w:shd w:val="clear" w:color="auto" w:fill="auto"/>
                  <w:vAlign w:val="center"/>
                </w:tcPr>
                <w:p w14:paraId="2C8E8224">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lang w:val="zh-CN"/>
                    </w:rPr>
                    <w:t>有组织</w:t>
                  </w:r>
                </w:p>
              </w:tc>
              <w:tc>
                <w:tcPr>
                  <w:tcW w:w="319" w:type="pct"/>
                  <w:shd w:val="clear" w:color="auto" w:fill="auto"/>
                  <w:vAlign w:val="center"/>
                </w:tcPr>
                <w:p w14:paraId="139B0C29">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83</w:t>
                  </w:r>
                </w:p>
              </w:tc>
              <w:tc>
                <w:tcPr>
                  <w:tcW w:w="351" w:type="pct"/>
                  <w:shd w:val="clear" w:color="auto" w:fill="auto"/>
                  <w:vAlign w:val="center"/>
                </w:tcPr>
                <w:p w14:paraId="752CE15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bCs/>
                      <w:color w:val="auto"/>
                      <w:sz w:val="21"/>
                      <w:szCs w:val="21"/>
                      <w:highlight w:val="none"/>
                      <w:lang w:val="en-US" w:eastAsia="zh-CN"/>
                    </w:rPr>
                    <w:t>1.247</w:t>
                  </w:r>
                </w:p>
              </w:tc>
              <w:tc>
                <w:tcPr>
                  <w:tcW w:w="340" w:type="pct"/>
                  <w:shd w:val="clear" w:color="auto" w:fill="auto"/>
                  <w:vAlign w:val="center"/>
                </w:tcPr>
                <w:p w14:paraId="41360C56">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bCs/>
                      <w:color w:val="auto"/>
                      <w:sz w:val="21"/>
                      <w:szCs w:val="21"/>
                      <w:highlight w:val="none"/>
                    </w:rPr>
                    <w:t>1.</w:t>
                  </w:r>
                  <w:r>
                    <w:rPr>
                      <w:rFonts w:hint="eastAsia"/>
                      <w:bCs/>
                      <w:color w:val="auto"/>
                      <w:sz w:val="21"/>
                      <w:szCs w:val="21"/>
                      <w:highlight w:val="none"/>
                      <w:lang w:val="en-US" w:eastAsia="zh-CN"/>
                    </w:rPr>
                    <w:t>496</w:t>
                  </w:r>
                </w:p>
              </w:tc>
              <w:tc>
                <w:tcPr>
                  <w:tcW w:w="252" w:type="pct"/>
                  <w:shd w:val="clear" w:color="auto" w:fill="auto"/>
                  <w:vAlign w:val="center"/>
                </w:tcPr>
                <w:p w14:paraId="1BAD1D0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2</w:t>
                  </w:r>
                </w:p>
              </w:tc>
              <w:tc>
                <w:tcPr>
                  <w:tcW w:w="345" w:type="pct"/>
                  <w:shd w:val="clear" w:color="auto" w:fill="auto"/>
                  <w:vAlign w:val="center"/>
                </w:tcPr>
                <w:p w14:paraId="026153B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干式</w:t>
                  </w:r>
                  <w:r>
                    <w:rPr>
                      <w:rFonts w:hint="eastAsia" w:hAnsi="宋体"/>
                      <w:color w:val="auto"/>
                      <w:szCs w:val="21"/>
                      <w:highlight w:val="none"/>
                    </w:rPr>
                    <w:t>过滤+二</w:t>
                  </w:r>
                  <w:r>
                    <w:rPr>
                      <w:rFonts w:hAnsi="宋体"/>
                      <w:color w:val="auto"/>
                      <w:szCs w:val="21"/>
                      <w:highlight w:val="none"/>
                    </w:rPr>
                    <w:t>级活性炭吸附</w:t>
                  </w:r>
                </w:p>
              </w:tc>
              <w:tc>
                <w:tcPr>
                  <w:tcW w:w="174" w:type="pct"/>
                  <w:shd w:val="clear" w:color="auto" w:fill="auto"/>
                  <w:vAlign w:val="center"/>
                </w:tcPr>
                <w:p w14:paraId="7ADE6BC3">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15000</w:t>
                  </w:r>
                </w:p>
              </w:tc>
              <w:tc>
                <w:tcPr>
                  <w:tcW w:w="260" w:type="pct"/>
                  <w:shd w:val="clear" w:color="auto" w:fill="auto"/>
                  <w:vAlign w:val="center"/>
                </w:tcPr>
                <w:p w14:paraId="52F69817">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5</w:t>
                  </w:r>
                </w:p>
              </w:tc>
              <w:tc>
                <w:tcPr>
                  <w:tcW w:w="242" w:type="pct"/>
                  <w:shd w:val="clear" w:color="auto" w:fill="auto"/>
                  <w:vAlign w:val="center"/>
                </w:tcPr>
                <w:p w14:paraId="774CE19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0</w:t>
                  </w:r>
                </w:p>
              </w:tc>
              <w:tc>
                <w:tcPr>
                  <w:tcW w:w="197" w:type="pct"/>
                  <w:shd w:val="clear" w:color="auto" w:fill="auto"/>
                  <w:vAlign w:val="center"/>
                </w:tcPr>
                <w:p w14:paraId="5050D4EC">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是</w:t>
                  </w:r>
                </w:p>
              </w:tc>
              <w:tc>
                <w:tcPr>
                  <w:tcW w:w="273" w:type="pct"/>
                  <w:shd w:val="clear" w:color="auto" w:fill="auto"/>
                  <w:vAlign w:val="center"/>
                </w:tcPr>
                <w:p w14:paraId="66456C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8.3</w:t>
                  </w:r>
                </w:p>
              </w:tc>
              <w:tc>
                <w:tcPr>
                  <w:tcW w:w="345" w:type="pct"/>
                  <w:vAlign w:val="center"/>
                </w:tcPr>
                <w:p w14:paraId="367B13FF">
                  <w:pPr>
                    <w:keepNext w:val="0"/>
                    <w:keepLines w:val="0"/>
                    <w:suppressLineNumbers w:val="0"/>
                    <w:spacing w:before="0" w:beforeAutospacing="0" w:after="0" w:afterAutospacing="0"/>
                    <w:ind w:left="0" w:right="0"/>
                    <w:jc w:val="center"/>
                    <w:rPr>
                      <w:rFonts w:hint="eastAsia"/>
                      <w:color w:val="auto"/>
                      <w:sz w:val="21"/>
                      <w:szCs w:val="21"/>
                      <w:highlight w:val="none"/>
                      <w:lang w:val="en-US" w:eastAsia="zh-CN"/>
                    </w:rPr>
                  </w:pPr>
                  <w:r>
                    <w:rPr>
                      <w:bCs/>
                      <w:color w:val="auto"/>
                      <w:sz w:val="21"/>
                      <w:szCs w:val="21"/>
                      <w:highlight w:val="none"/>
                    </w:rPr>
                    <w:t>0.</w:t>
                  </w:r>
                  <w:r>
                    <w:rPr>
                      <w:rFonts w:hint="eastAsia"/>
                      <w:bCs/>
                      <w:color w:val="auto"/>
                      <w:sz w:val="21"/>
                      <w:szCs w:val="21"/>
                      <w:highlight w:val="none"/>
                      <w:lang w:val="en-US" w:eastAsia="zh-CN"/>
                    </w:rPr>
                    <w:t>1247</w:t>
                  </w:r>
                </w:p>
              </w:tc>
              <w:tc>
                <w:tcPr>
                  <w:tcW w:w="371" w:type="pct"/>
                  <w:vAlign w:val="center"/>
                </w:tcPr>
                <w:p w14:paraId="14DD7556">
                  <w:pPr>
                    <w:keepNext w:val="0"/>
                    <w:keepLines w:val="0"/>
                    <w:suppressLineNumbers w:val="0"/>
                    <w:spacing w:before="0" w:beforeAutospacing="0" w:after="0" w:afterAutospacing="0"/>
                    <w:ind w:left="0" w:right="0"/>
                    <w:jc w:val="center"/>
                    <w:rPr>
                      <w:rFonts w:hint="eastAsia"/>
                      <w:color w:val="auto"/>
                      <w:sz w:val="21"/>
                      <w:szCs w:val="21"/>
                      <w:highlight w:val="none"/>
                      <w:lang w:val="en-US" w:eastAsia="zh-CN"/>
                    </w:rPr>
                  </w:pPr>
                  <w:r>
                    <w:rPr>
                      <w:bCs/>
                      <w:color w:val="auto"/>
                      <w:sz w:val="21"/>
                      <w:szCs w:val="21"/>
                      <w:highlight w:val="none"/>
                    </w:rPr>
                    <w:t>0.</w:t>
                  </w:r>
                  <w:r>
                    <w:rPr>
                      <w:rFonts w:hint="eastAsia"/>
                      <w:bCs/>
                      <w:color w:val="auto"/>
                      <w:sz w:val="21"/>
                      <w:szCs w:val="21"/>
                      <w:highlight w:val="none"/>
                    </w:rPr>
                    <w:t>1</w:t>
                  </w:r>
                  <w:r>
                    <w:rPr>
                      <w:rFonts w:hint="eastAsia"/>
                      <w:bCs/>
                      <w:color w:val="auto"/>
                      <w:sz w:val="21"/>
                      <w:szCs w:val="21"/>
                      <w:highlight w:val="none"/>
                      <w:lang w:val="en-US" w:eastAsia="zh-CN"/>
                    </w:rPr>
                    <w:t>496</w:t>
                  </w:r>
                </w:p>
              </w:tc>
              <w:tc>
                <w:tcPr>
                  <w:tcW w:w="205" w:type="pct"/>
                  <w:vAlign w:val="center"/>
                </w:tcPr>
                <w:p w14:paraId="3AF59916">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color w:val="auto"/>
                      <w:kern w:val="0"/>
                      <w:szCs w:val="21"/>
                      <w:highlight w:val="none"/>
                      <w:lang w:val="en-US" w:eastAsia="zh-CN"/>
                    </w:rPr>
                  </w:pPr>
                  <w:r>
                    <w:rPr>
                      <w:color w:val="auto"/>
                      <w:kern w:val="0"/>
                      <w:szCs w:val="21"/>
                      <w:highlight w:val="none"/>
                    </w:rPr>
                    <w:t>DA00</w:t>
                  </w:r>
                  <w:r>
                    <w:rPr>
                      <w:rFonts w:hint="eastAsia"/>
                      <w:color w:val="auto"/>
                      <w:kern w:val="0"/>
                      <w:szCs w:val="21"/>
                      <w:highlight w:val="none"/>
                      <w:lang w:val="en-US" w:eastAsia="zh-CN"/>
                    </w:rPr>
                    <w:t>1</w:t>
                  </w:r>
                </w:p>
              </w:tc>
              <w:tc>
                <w:tcPr>
                  <w:tcW w:w="242" w:type="pct"/>
                  <w:shd w:val="clear" w:color="auto" w:fill="auto"/>
                  <w:vAlign w:val="center"/>
                </w:tcPr>
                <w:p w14:paraId="22AD550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0.6</w:t>
                  </w:r>
                </w:p>
              </w:tc>
              <w:tc>
                <w:tcPr>
                  <w:tcW w:w="238" w:type="pct"/>
                  <w:shd w:val="clear" w:color="auto" w:fill="auto"/>
                  <w:vAlign w:val="center"/>
                </w:tcPr>
                <w:p w14:paraId="7B6842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10</w:t>
                  </w:r>
                </w:p>
              </w:tc>
            </w:tr>
            <w:tr w14:paraId="475A3931">
              <w:trPr>
                <w:trHeight w:val="390" w:hRule="atLeast"/>
                <w:jc w:val="center"/>
              </w:trPr>
              <w:tc>
                <w:tcPr>
                  <w:tcW w:w="206" w:type="pct"/>
                  <w:vMerge w:val="continue"/>
                  <w:shd w:val="clear" w:color="auto" w:fill="auto"/>
                  <w:vAlign w:val="center"/>
                </w:tcPr>
                <w:p w14:paraId="0CF3E8A6">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vMerge w:val="continue"/>
                  <w:vAlign w:val="center"/>
                </w:tcPr>
                <w:p w14:paraId="6D1DBF2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70" w:type="pct"/>
                  <w:shd w:val="clear" w:color="auto" w:fill="auto"/>
                  <w:vAlign w:val="center"/>
                </w:tcPr>
                <w:p w14:paraId="249CD56B">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shd w:val="clear" w:color="auto" w:fill="auto"/>
                  <w:vAlign w:val="center"/>
                </w:tcPr>
                <w:p w14:paraId="2DAC6C4C">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51" w:type="pct"/>
                  <w:shd w:val="clear" w:color="auto" w:fill="auto"/>
                  <w:vAlign w:val="center"/>
                </w:tcPr>
                <w:p w14:paraId="41FFAB5A">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bCs/>
                      <w:color w:val="auto"/>
                      <w:sz w:val="21"/>
                      <w:szCs w:val="21"/>
                      <w:highlight w:val="none"/>
                    </w:rPr>
                    <w:t>0.0</w:t>
                  </w:r>
                  <w:r>
                    <w:rPr>
                      <w:rFonts w:hint="eastAsia"/>
                      <w:bCs/>
                      <w:color w:val="auto"/>
                      <w:sz w:val="21"/>
                      <w:szCs w:val="21"/>
                      <w:highlight w:val="none"/>
                      <w:lang w:val="en-US" w:eastAsia="zh-CN"/>
                    </w:rPr>
                    <w:t>65</w:t>
                  </w:r>
                  <w:r>
                    <w:rPr>
                      <w:rFonts w:hint="eastAsia"/>
                      <w:bCs/>
                      <w:color w:val="auto"/>
                      <w:sz w:val="21"/>
                      <w:szCs w:val="21"/>
                      <w:highlight w:val="none"/>
                    </w:rPr>
                    <w:t>6</w:t>
                  </w:r>
                </w:p>
              </w:tc>
              <w:tc>
                <w:tcPr>
                  <w:tcW w:w="340" w:type="pct"/>
                  <w:shd w:val="clear" w:color="auto" w:fill="auto"/>
                  <w:vAlign w:val="center"/>
                </w:tcPr>
                <w:p w14:paraId="1B3ACCBD">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bCs/>
                      <w:color w:val="auto"/>
                      <w:sz w:val="21"/>
                      <w:szCs w:val="21"/>
                      <w:highlight w:val="none"/>
                    </w:rPr>
                    <w:t>0.0</w:t>
                  </w:r>
                  <w:r>
                    <w:rPr>
                      <w:rFonts w:hint="eastAsia"/>
                      <w:bCs/>
                      <w:color w:val="auto"/>
                      <w:sz w:val="21"/>
                      <w:szCs w:val="21"/>
                      <w:highlight w:val="none"/>
                      <w:lang w:val="en-US" w:eastAsia="zh-CN"/>
                    </w:rPr>
                    <w:t>788</w:t>
                  </w:r>
                </w:p>
              </w:tc>
              <w:tc>
                <w:tcPr>
                  <w:tcW w:w="252" w:type="pct"/>
                  <w:shd w:val="clear" w:color="auto" w:fill="auto"/>
                  <w:vAlign w:val="center"/>
                </w:tcPr>
                <w:p w14:paraId="541AA80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5733DD2D">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74" w:type="pct"/>
                  <w:shd w:val="clear" w:color="auto" w:fill="auto"/>
                  <w:vAlign w:val="center"/>
                </w:tcPr>
                <w:p w14:paraId="56C449A0">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60" w:type="pct"/>
                  <w:shd w:val="clear" w:color="auto" w:fill="auto"/>
                  <w:vAlign w:val="center"/>
                </w:tcPr>
                <w:p w14:paraId="68E75CDF">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07F34DB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97" w:type="pct"/>
                  <w:shd w:val="clear" w:color="auto" w:fill="auto"/>
                  <w:vAlign w:val="center"/>
                </w:tcPr>
                <w:p w14:paraId="3519E979">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73" w:type="pct"/>
                  <w:shd w:val="clear" w:color="auto" w:fill="auto"/>
                  <w:vAlign w:val="center"/>
                </w:tcPr>
                <w:p w14:paraId="4A8E284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5B22BFE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bCs/>
                      <w:color w:val="auto"/>
                      <w:sz w:val="21"/>
                      <w:szCs w:val="21"/>
                      <w:highlight w:val="none"/>
                    </w:rPr>
                    <w:t>0.0</w:t>
                  </w:r>
                  <w:r>
                    <w:rPr>
                      <w:rFonts w:hint="eastAsia"/>
                      <w:bCs/>
                      <w:color w:val="auto"/>
                      <w:sz w:val="21"/>
                      <w:szCs w:val="21"/>
                      <w:highlight w:val="none"/>
                      <w:lang w:val="en-US" w:eastAsia="zh-CN"/>
                    </w:rPr>
                    <w:t>65</w:t>
                  </w:r>
                  <w:r>
                    <w:rPr>
                      <w:rFonts w:hint="eastAsia"/>
                      <w:bCs/>
                      <w:color w:val="auto"/>
                      <w:sz w:val="21"/>
                      <w:szCs w:val="21"/>
                      <w:highlight w:val="none"/>
                    </w:rPr>
                    <w:t>6</w:t>
                  </w:r>
                </w:p>
              </w:tc>
              <w:tc>
                <w:tcPr>
                  <w:tcW w:w="371" w:type="pct"/>
                  <w:shd w:val="clear" w:color="auto" w:fill="auto"/>
                  <w:vAlign w:val="center"/>
                </w:tcPr>
                <w:p w14:paraId="3D219A2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rPr>
                    <w:t>0.0</w:t>
                  </w:r>
                  <w:r>
                    <w:rPr>
                      <w:rFonts w:hint="eastAsia"/>
                      <w:bCs/>
                      <w:color w:val="auto"/>
                      <w:sz w:val="21"/>
                      <w:szCs w:val="21"/>
                      <w:highlight w:val="none"/>
                      <w:lang w:val="en-US" w:eastAsia="zh-CN"/>
                    </w:rPr>
                    <w:t>788</w:t>
                  </w:r>
                </w:p>
              </w:tc>
              <w:tc>
                <w:tcPr>
                  <w:tcW w:w="205" w:type="pct"/>
                  <w:vAlign w:val="center"/>
                </w:tcPr>
                <w:p w14:paraId="7E85ECC6">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color w:val="auto"/>
                      <w:kern w:val="0"/>
                      <w:szCs w:val="21"/>
                      <w:highlight w:val="none"/>
                      <w:lang w:val="en-US" w:eastAsia="zh-CN"/>
                    </w:rPr>
                  </w:pPr>
                  <w:r>
                    <w:rPr>
                      <w:rFonts w:hint="eastAsia"/>
                      <w:color w:val="auto"/>
                      <w:kern w:val="0"/>
                      <w:szCs w:val="21"/>
                      <w:highlight w:val="none"/>
                      <w:lang w:val="en-US" w:eastAsia="zh-CN"/>
                    </w:rPr>
                    <w:t>/</w:t>
                  </w:r>
                </w:p>
              </w:tc>
              <w:tc>
                <w:tcPr>
                  <w:tcW w:w="242" w:type="pct"/>
                  <w:shd w:val="clear" w:color="auto" w:fill="auto"/>
                  <w:vAlign w:val="center"/>
                </w:tcPr>
                <w:p w14:paraId="724F0CF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shd w:val="clear" w:color="auto" w:fill="auto"/>
                  <w:vAlign w:val="center"/>
                </w:tcPr>
                <w:p w14:paraId="470DA27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0.5</w:t>
                  </w:r>
                </w:p>
              </w:tc>
            </w:tr>
            <w:tr w14:paraId="51A5C918">
              <w:trPr>
                <w:trHeight w:val="397" w:hRule="atLeast"/>
                <w:jc w:val="center"/>
              </w:trPr>
              <w:tc>
                <w:tcPr>
                  <w:tcW w:w="206" w:type="pct"/>
                  <w:vMerge w:val="restart"/>
                  <w:shd w:val="clear" w:color="auto" w:fill="auto"/>
                  <w:vAlign w:val="center"/>
                </w:tcPr>
                <w:p w14:paraId="03259F5C">
                  <w:pPr>
                    <w:keepNext w:val="0"/>
                    <w:keepLines w:val="0"/>
                    <w:suppressLineNumbers w:val="0"/>
                    <w:spacing w:before="0" w:beforeAutospacing="0" w:after="0" w:afterAutospacing="0"/>
                    <w:ind w:left="0" w:leftChars="0" w:right="0" w:rightChars="0"/>
                    <w:rPr>
                      <w:rFonts w:hint="eastAsia"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烘干</w:t>
                  </w:r>
                </w:p>
              </w:tc>
              <w:tc>
                <w:tcPr>
                  <w:tcW w:w="365" w:type="pct"/>
                  <w:vMerge w:val="restart"/>
                  <w:vAlign w:val="center"/>
                </w:tcPr>
                <w:p w14:paraId="2D23F42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color w:val="auto"/>
                      <w:szCs w:val="21"/>
                      <w:highlight w:val="none"/>
                    </w:rPr>
                    <w:t>NMHC</w:t>
                  </w:r>
                </w:p>
              </w:tc>
              <w:tc>
                <w:tcPr>
                  <w:tcW w:w="270" w:type="pct"/>
                  <w:shd w:val="clear" w:color="auto" w:fill="auto"/>
                  <w:vAlign w:val="center"/>
                </w:tcPr>
                <w:p w14:paraId="308F90AE">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lang w:val="zh-CN"/>
                    </w:rPr>
                    <w:t>有组织</w:t>
                  </w:r>
                </w:p>
              </w:tc>
              <w:tc>
                <w:tcPr>
                  <w:tcW w:w="319" w:type="pct"/>
                  <w:vAlign w:val="center"/>
                </w:tcPr>
                <w:p w14:paraId="67C399DB">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49</w:t>
                  </w:r>
                </w:p>
              </w:tc>
              <w:tc>
                <w:tcPr>
                  <w:tcW w:w="351" w:type="pct"/>
                  <w:vAlign w:val="center"/>
                </w:tcPr>
                <w:p w14:paraId="49BC5A26">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lang w:val="en-US" w:eastAsia="zh-CN"/>
                    </w:rPr>
                    <w:t>0.2967</w:t>
                  </w:r>
                </w:p>
              </w:tc>
              <w:tc>
                <w:tcPr>
                  <w:tcW w:w="340" w:type="pct"/>
                  <w:vAlign w:val="center"/>
                </w:tcPr>
                <w:p w14:paraId="12EC4021">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lang w:val="en-US" w:eastAsia="zh-CN"/>
                    </w:rPr>
                    <w:t>0.356</w:t>
                  </w:r>
                </w:p>
              </w:tc>
              <w:tc>
                <w:tcPr>
                  <w:tcW w:w="252" w:type="pct"/>
                  <w:shd w:val="clear" w:color="auto" w:fill="auto"/>
                  <w:vAlign w:val="center"/>
                </w:tcPr>
                <w:p w14:paraId="17638D2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2</w:t>
                  </w:r>
                </w:p>
              </w:tc>
              <w:tc>
                <w:tcPr>
                  <w:tcW w:w="345" w:type="pct"/>
                  <w:shd w:val="clear" w:color="auto" w:fill="auto"/>
                  <w:vAlign w:val="center"/>
                </w:tcPr>
                <w:p w14:paraId="617E7C38">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干式</w:t>
                  </w:r>
                  <w:r>
                    <w:rPr>
                      <w:rFonts w:hint="eastAsia" w:hAnsi="宋体"/>
                      <w:color w:val="auto"/>
                      <w:szCs w:val="21"/>
                      <w:highlight w:val="none"/>
                    </w:rPr>
                    <w:t>过滤+二</w:t>
                  </w:r>
                  <w:r>
                    <w:rPr>
                      <w:rFonts w:hAnsi="宋体"/>
                      <w:color w:val="auto"/>
                      <w:szCs w:val="21"/>
                      <w:highlight w:val="none"/>
                    </w:rPr>
                    <w:t>级活性炭吸附</w:t>
                  </w:r>
                </w:p>
              </w:tc>
              <w:tc>
                <w:tcPr>
                  <w:tcW w:w="174" w:type="pct"/>
                  <w:vAlign w:val="center"/>
                </w:tcPr>
                <w:p w14:paraId="003D094F">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6000</w:t>
                  </w:r>
                </w:p>
              </w:tc>
              <w:tc>
                <w:tcPr>
                  <w:tcW w:w="260" w:type="pct"/>
                  <w:shd w:val="clear" w:color="auto" w:fill="auto"/>
                  <w:vAlign w:val="center"/>
                </w:tcPr>
                <w:p w14:paraId="69D3B1A6">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5</w:t>
                  </w:r>
                </w:p>
              </w:tc>
              <w:tc>
                <w:tcPr>
                  <w:tcW w:w="242" w:type="pct"/>
                  <w:shd w:val="clear" w:color="auto" w:fill="auto"/>
                  <w:vAlign w:val="center"/>
                </w:tcPr>
                <w:p w14:paraId="7B7E0C56">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w:t>
                  </w:r>
                </w:p>
              </w:tc>
              <w:tc>
                <w:tcPr>
                  <w:tcW w:w="197" w:type="pct"/>
                  <w:shd w:val="clear" w:color="auto" w:fill="auto"/>
                  <w:vAlign w:val="center"/>
                </w:tcPr>
                <w:p w14:paraId="081E32E1">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是</w:t>
                  </w:r>
                </w:p>
              </w:tc>
              <w:tc>
                <w:tcPr>
                  <w:tcW w:w="273" w:type="pct"/>
                  <w:vAlign w:val="center"/>
                </w:tcPr>
                <w:p w14:paraId="1863C09E">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5.0</w:t>
                  </w:r>
                </w:p>
              </w:tc>
              <w:tc>
                <w:tcPr>
                  <w:tcW w:w="345" w:type="pct"/>
                  <w:vAlign w:val="center"/>
                </w:tcPr>
                <w:p w14:paraId="0FF27F95">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bCs/>
                      <w:color w:val="auto"/>
                      <w:sz w:val="21"/>
                      <w:szCs w:val="21"/>
                      <w:highlight w:val="none"/>
                    </w:rPr>
                    <w:t>0.</w:t>
                  </w:r>
                  <w:r>
                    <w:rPr>
                      <w:rFonts w:hint="eastAsia"/>
                      <w:bCs/>
                      <w:color w:val="auto"/>
                      <w:sz w:val="21"/>
                      <w:szCs w:val="21"/>
                      <w:highlight w:val="none"/>
                    </w:rPr>
                    <w:t>0</w:t>
                  </w:r>
                  <w:r>
                    <w:rPr>
                      <w:rFonts w:hint="eastAsia"/>
                      <w:bCs/>
                      <w:color w:val="auto"/>
                      <w:sz w:val="21"/>
                      <w:szCs w:val="21"/>
                      <w:highlight w:val="none"/>
                      <w:lang w:val="en-US" w:eastAsia="zh-CN"/>
                    </w:rPr>
                    <w:t>297</w:t>
                  </w:r>
                </w:p>
              </w:tc>
              <w:tc>
                <w:tcPr>
                  <w:tcW w:w="371" w:type="pct"/>
                  <w:vAlign w:val="center"/>
                </w:tcPr>
                <w:p w14:paraId="7B7E9E1E">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lang w:val="en-US" w:eastAsia="zh-CN"/>
                    </w:rPr>
                    <w:t>0.0356</w:t>
                  </w:r>
                </w:p>
              </w:tc>
              <w:tc>
                <w:tcPr>
                  <w:tcW w:w="205" w:type="pct"/>
                  <w:shd w:val="clear" w:color="auto" w:fill="auto"/>
                  <w:vAlign w:val="center"/>
                </w:tcPr>
                <w:p w14:paraId="4727FCAE">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DA00</w:t>
                  </w:r>
                  <w:r>
                    <w:rPr>
                      <w:rFonts w:hint="eastAsia"/>
                      <w:color w:val="auto"/>
                      <w:kern w:val="0"/>
                      <w:szCs w:val="21"/>
                      <w:highlight w:val="none"/>
                      <w:lang w:val="en-US" w:eastAsia="zh-CN"/>
                    </w:rPr>
                    <w:t>1</w:t>
                  </w:r>
                </w:p>
              </w:tc>
              <w:tc>
                <w:tcPr>
                  <w:tcW w:w="242" w:type="pct"/>
                  <w:shd w:val="clear" w:color="auto" w:fill="auto"/>
                  <w:vAlign w:val="center"/>
                </w:tcPr>
                <w:p w14:paraId="2A92734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1.8</w:t>
                  </w:r>
                </w:p>
              </w:tc>
              <w:tc>
                <w:tcPr>
                  <w:tcW w:w="238" w:type="pct"/>
                  <w:shd w:val="clear" w:color="auto" w:fill="auto"/>
                  <w:vAlign w:val="center"/>
                </w:tcPr>
                <w:p w14:paraId="044FA91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50</w:t>
                  </w:r>
                </w:p>
              </w:tc>
            </w:tr>
            <w:tr w14:paraId="776D75CD">
              <w:trPr>
                <w:trHeight w:val="397" w:hRule="atLeast"/>
                <w:jc w:val="center"/>
              </w:trPr>
              <w:tc>
                <w:tcPr>
                  <w:tcW w:w="206" w:type="pct"/>
                  <w:vMerge w:val="continue"/>
                  <w:shd w:val="clear" w:color="auto" w:fill="auto"/>
                  <w:vAlign w:val="center"/>
                </w:tcPr>
                <w:p w14:paraId="202042CF">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vMerge w:val="continue"/>
                  <w:vAlign w:val="center"/>
                </w:tcPr>
                <w:p w14:paraId="1748A49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70" w:type="pct"/>
                  <w:shd w:val="clear" w:color="auto" w:fill="auto"/>
                  <w:vAlign w:val="center"/>
                </w:tcPr>
                <w:p w14:paraId="09961AD9">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vAlign w:val="center"/>
                </w:tcPr>
                <w:p w14:paraId="1D23C866">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51" w:type="pct"/>
                  <w:vAlign w:val="center"/>
                </w:tcPr>
                <w:p w14:paraId="6D7C084B">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0.0158</w:t>
                  </w:r>
                </w:p>
              </w:tc>
              <w:tc>
                <w:tcPr>
                  <w:tcW w:w="340" w:type="pct"/>
                  <w:vAlign w:val="center"/>
                </w:tcPr>
                <w:p w14:paraId="183F658E">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bCs/>
                      <w:color w:val="auto"/>
                      <w:sz w:val="21"/>
                      <w:szCs w:val="21"/>
                      <w:highlight w:val="none"/>
                    </w:rPr>
                    <w:t>0.0</w:t>
                  </w:r>
                  <w:r>
                    <w:rPr>
                      <w:rFonts w:hint="eastAsia"/>
                      <w:bCs/>
                      <w:color w:val="auto"/>
                      <w:sz w:val="21"/>
                      <w:szCs w:val="21"/>
                      <w:highlight w:val="none"/>
                      <w:lang w:val="en-US" w:eastAsia="zh-CN"/>
                    </w:rPr>
                    <w:t>19</w:t>
                  </w:r>
                </w:p>
              </w:tc>
              <w:tc>
                <w:tcPr>
                  <w:tcW w:w="252" w:type="pct"/>
                  <w:shd w:val="clear" w:color="auto" w:fill="auto"/>
                  <w:vAlign w:val="center"/>
                </w:tcPr>
                <w:p w14:paraId="1E0465F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4AA2169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74" w:type="pct"/>
                  <w:shd w:val="clear" w:color="auto" w:fill="auto"/>
                  <w:vAlign w:val="center"/>
                </w:tcPr>
                <w:p w14:paraId="70653728">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60" w:type="pct"/>
                  <w:shd w:val="clear" w:color="auto" w:fill="auto"/>
                  <w:vAlign w:val="center"/>
                </w:tcPr>
                <w:p w14:paraId="4805F3C6">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4595A92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97" w:type="pct"/>
                  <w:shd w:val="clear" w:color="auto" w:fill="auto"/>
                  <w:vAlign w:val="center"/>
                </w:tcPr>
                <w:p w14:paraId="0FBE76F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73" w:type="pct"/>
                  <w:shd w:val="clear" w:color="auto" w:fill="auto"/>
                  <w:vAlign w:val="center"/>
                </w:tcPr>
                <w:p w14:paraId="7832FFA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77A8823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0.0158</w:t>
                  </w:r>
                </w:p>
              </w:tc>
              <w:tc>
                <w:tcPr>
                  <w:tcW w:w="371" w:type="pct"/>
                  <w:shd w:val="clear" w:color="auto" w:fill="auto"/>
                  <w:vAlign w:val="center"/>
                </w:tcPr>
                <w:p w14:paraId="6D2DCCF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rPr>
                    <w:t>0.0</w:t>
                  </w:r>
                  <w:r>
                    <w:rPr>
                      <w:rFonts w:hint="eastAsia"/>
                      <w:bCs/>
                      <w:color w:val="auto"/>
                      <w:sz w:val="21"/>
                      <w:szCs w:val="21"/>
                      <w:highlight w:val="none"/>
                      <w:lang w:val="en-US" w:eastAsia="zh-CN"/>
                    </w:rPr>
                    <w:t>19</w:t>
                  </w:r>
                </w:p>
              </w:tc>
              <w:tc>
                <w:tcPr>
                  <w:tcW w:w="205" w:type="pct"/>
                  <w:shd w:val="clear" w:color="auto" w:fill="auto"/>
                  <w:vAlign w:val="center"/>
                </w:tcPr>
                <w:p w14:paraId="76A0115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3E48E05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w:t>
                  </w:r>
                </w:p>
              </w:tc>
              <w:tc>
                <w:tcPr>
                  <w:tcW w:w="238" w:type="pct"/>
                  <w:shd w:val="clear" w:color="auto" w:fill="auto"/>
                  <w:vAlign w:val="center"/>
                </w:tcPr>
                <w:p w14:paraId="0685307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4</w:t>
                  </w:r>
                </w:p>
              </w:tc>
            </w:tr>
            <w:tr w14:paraId="2FBD1F73">
              <w:trPr>
                <w:trHeight w:val="397" w:hRule="atLeast"/>
                <w:jc w:val="center"/>
              </w:trPr>
              <w:tc>
                <w:tcPr>
                  <w:tcW w:w="206" w:type="pct"/>
                  <w:vMerge w:val="restart"/>
                  <w:shd w:val="clear" w:color="auto" w:fill="auto"/>
                  <w:vAlign w:val="center"/>
                </w:tcPr>
                <w:p w14:paraId="50B6F416">
                  <w:pPr>
                    <w:keepNext w:val="0"/>
                    <w:keepLines w:val="0"/>
                    <w:suppressLineNumbers w:val="0"/>
                    <w:spacing w:before="0" w:beforeAutospacing="0" w:after="0" w:afterAutospacing="0"/>
                    <w:ind w:left="0" w:leftChars="0" w:right="0" w:rightChars="0"/>
                    <w:rPr>
                      <w:rFonts w:hint="eastAsia"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固化</w:t>
                  </w:r>
                </w:p>
              </w:tc>
              <w:tc>
                <w:tcPr>
                  <w:tcW w:w="365" w:type="pct"/>
                  <w:vMerge w:val="restart"/>
                  <w:vAlign w:val="center"/>
                </w:tcPr>
                <w:p w14:paraId="7C6C771C">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color w:val="auto"/>
                      <w:szCs w:val="21"/>
                      <w:highlight w:val="none"/>
                    </w:rPr>
                    <w:t>NMHC</w:t>
                  </w:r>
                </w:p>
              </w:tc>
              <w:tc>
                <w:tcPr>
                  <w:tcW w:w="270" w:type="pct"/>
                  <w:shd w:val="clear" w:color="auto" w:fill="auto"/>
                  <w:vAlign w:val="center"/>
                </w:tcPr>
                <w:p w14:paraId="7CDA9A7F">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lang w:val="zh-CN"/>
                    </w:rPr>
                    <w:t>有组织</w:t>
                  </w:r>
                </w:p>
              </w:tc>
              <w:tc>
                <w:tcPr>
                  <w:tcW w:w="319" w:type="pct"/>
                  <w:vAlign w:val="center"/>
                </w:tcPr>
                <w:p w14:paraId="7A9ADB94">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1.6</w:t>
                  </w:r>
                </w:p>
              </w:tc>
              <w:tc>
                <w:tcPr>
                  <w:tcW w:w="351" w:type="pct"/>
                  <w:vAlign w:val="center"/>
                </w:tcPr>
                <w:p w14:paraId="6BD7C2DB">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48</w:t>
                  </w:r>
                </w:p>
              </w:tc>
              <w:tc>
                <w:tcPr>
                  <w:tcW w:w="340" w:type="pct"/>
                  <w:vAlign w:val="center"/>
                </w:tcPr>
                <w:p w14:paraId="0053B9C0">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057</w:t>
                  </w:r>
                </w:p>
              </w:tc>
              <w:tc>
                <w:tcPr>
                  <w:tcW w:w="252" w:type="pct"/>
                  <w:shd w:val="clear" w:color="auto" w:fill="auto"/>
                  <w:vAlign w:val="center"/>
                </w:tcPr>
                <w:p w14:paraId="6EAF022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2</w:t>
                  </w:r>
                </w:p>
              </w:tc>
              <w:tc>
                <w:tcPr>
                  <w:tcW w:w="345" w:type="pct"/>
                  <w:shd w:val="clear" w:color="auto" w:fill="auto"/>
                  <w:vAlign w:val="center"/>
                </w:tcPr>
                <w:p w14:paraId="168445E1">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干式</w:t>
                  </w:r>
                  <w:r>
                    <w:rPr>
                      <w:rFonts w:hint="eastAsia" w:hAnsi="宋体"/>
                      <w:color w:val="auto"/>
                      <w:szCs w:val="21"/>
                      <w:highlight w:val="none"/>
                    </w:rPr>
                    <w:t>过滤+二</w:t>
                  </w:r>
                  <w:r>
                    <w:rPr>
                      <w:rFonts w:hAnsi="宋体"/>
                      <w:color w:val="auto"/>
                      <w:szCs w:val="21"/>
                      <w:highlight w:val="none"/>
                    </w:rPr>
                    <w:t>级活性炭吸附</w:t>
                  </w:r>
                </w:p>
              </w:tc>
              <w:tc>
                <w:tcPr>
                  <w:tcW w:w="174" w:type="pct"/>
                  <w:vAlign w:val="center"/>
                </w:tcPr>
                <w:p w14:paraId="310B978E">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3000</w:t>
                  </w:r>
                </w:p>
              </w:tc>
              <w:tc>
                <w:tcPr>
                  <w:tcW w:w="260" w:type="pct"/>
                  <w:shd w:val="clear" w:color="auto" w:fill="auto"/>
                  <w:vAlign w:val="center"/>
                </w:tcPr>
                <w:p w14:paraId="3228DA12">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w:t>
                  </w:r>
                  <w:r>
                    <w:rPr>
                      <w:rFonts w:hint="eastAsia"/>
                      <w:color w:val="auto"/>
                      <w:kern w:val="0"/>
                      <w:szCs w:val="21"/>
                      <w:highlight w:val="none"/>
                      <w:lang w:val="en-US" w:eastAsia="zh-CN"/>
                    </w:rPr>
                    <w:t>5</w:t>
                  </w:r>
                </w:p>
              </w:tc>
              <w:tc>
                <w:tcPr>
                  <w:tcW w:w="242" w:type="pct"/>
                  <w:shd w:val="clear" w:color="auto" w:fill="auto"/>
                  <w:vAlign w:val="center"/>
                </w:tcPr>
                <w:p w14:paraId="7B3FB020">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w:t>
                  </w:r>
                </w:p>
              </w:tc>
              <w:tc>
                <w:tcPr>
                  <w:tcW w:w="197" w:type="pct"/>
                  <w:shd w:val="clear" w:color="auto" w:fill="auto"/>
                  <w:vAlign w:val="center"/>
                </w:tcPr>
                <w:p w14:paraId="0DA6CE22">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是</w:t>
                  </w:r>
                </w:p>
              </w:tc>
              <w:tc>
                <w:tcPr>
                  <w:tcW w:w="273" w:type="pct"/>
                  <w:vAlign w:val="center"/>
                </w:tcPr>
                <w:p w14:paraId="019A5C21">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0.16</w:t>
                  </w:r>
                </w:p>
              </w:tc>
              <w:tc>
                <w:tcPr>
                  <w:tcW w:w="345" w:type="pct"/>
                  <w:vAlign w:val="center"/>
                </w:tcPr>
                <w:p w14:paraId="64BC8FB0">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5</w:t>
                  </w:r>
                </w:p>
              </w:tc>
              <w:tc>
                <w:tcPr>
                  <w:tcW w:w="371" w:type="pct"/>
                  <w:vAlign w:val="center"/>
                </w:tcPr>
                <w:p w14:paraId="504A0F71">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06</w:t>
                  </w:r>
                </w:p>
              </w:tc>
              <w:tc>
                <w:tcPr>
                  <w:tcW w:w="205" w:type="pct"/>
                  <w:shd w:val="clear" w:color="auto" w:fill="auto"/>
                  <w:vAlign w:val="center"/>
                </w:tcPr>
                <w:p w14:paraId="04E353D5">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DA00</w:t>
                  </w:r>
                  <w:r>
                    <w:rPr>
                      <w:rFonts w:hint="eastAsia"/>
                      <w:color w:val="auto"/>
                      <w:kern w:val="0"/>
                      <w:szCs w:val="21"/>
                      <w:highlight w:val="none"/>
                      <w:lang w:val="en-US" w:eastAsia="zh-CN"/>
                    </w:rPr>
                    <w:t>1</w:t>
                  </w:r>
                </w:p>
              </w:tc>
              <w:tc>
                <w:tcPr>
                  <w:tcW w:w="242" w:type="pct"/>
                  <w:shd w:val="clear" w:color="auto" w:fill="auto"/>
                  <w:vAlign w:val="center"/>
                </w:tcPr>
                <w:p w14:paraId="4B69BD6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1.8</w:t>
                  </w:r>
                </w:p>
              </w:tc>
              <w:tc>
                <w:tcPr>
                  <w:tcW w:w="238" w:type="pct"/>
                  <w:shd w:val="clear" w:color="auto" w:fill="auto"/>
                  <w:vAlign w:val="center"/>
                </w:tcPr>
                <w:p w14:paraId="3BD25DA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50</w:t>
                  </w:r>
                </w:p>
              </w:tc>
            </w:tr>
            <w:tr w14:paraId="4E5B6FD7">
              <w:trPr>
                <w:trHeight w:val="397" w:hRule="atLeast"/>
                <w:jc w:val="center"/>
              </w:trPr>
              <w:tc>
                <w:tcPr>
                  <w:tcW w:w="206" w:type="pct"/>
                  <w:vMerge w:val="continue"/>
                  <w:shd w:val="clear" w:color="auto" w:fill="auto"/>
                  <w:vAlign w:val="center"/>
                </w:tcPr>
                <w:p w14:paraId="7445FE9A">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vMerge w:val="continue"/>
                  <w:vAlign w:val="center"/>
                </w:tcPr>
                <w:p w14:paraId="3BB7015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70" w:type="pct"/>
                  <w:shd w:val="clear" w:color="auto" w:fill="auto"/>
                  <w:vAlign w:val="center"/>
                </w:tcPr>
                <w:p w14:paraId="62CE08EF">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vAlign w:val="center"/>
                </w:tcPr>
                <w:p w14:paraId="70D074F6">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51" w:type="pct"/>
                  <w:vAlign w:val="center"/>
                </w:tcPr>
                <w:p w14:paraId="6122FB5B">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0.00025</w:t>
                  </w:r>
                </w:p>
              </w:tc>
              <w:tc>
                <w:tcPr>
                  <w:tcW w:w="340" w:type="pct"/>
                  <w:vAlign w:val="center"/>
                </w:tcPr>
                <w:p w14:paraId="1B75277D">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03</w:t>
                  </w:r>
                </w:p>
              </w:tc>
              <w:tc>
                <w:tcPr>
                  <w:tcW w:w="252" w:type="pct"/>
                  <w:shd w:val="clear" w:color="auto" w:fill="auto"/>
                  <w:vAlign w:val="center"/>
                </w:tcPr>
                <w:p w14:paraId="322828B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3AE19C8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74" w:type="pct"/>
                  <w:shd w:val="clear" w:color="auto" w:fill="auto"/>
                  <w:vAlign w:val="center"/>
                </w:tcPr>
                <w:p w14:paraId="4BC91F6B">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60" w:type="pct"/>
                  <w:shd w:val="clear" w:color="auto" w:fill="auto"/>
                  <w:vAlign w:val="center"/>
                </w:tcPr>
                <w:p w14:paraId="20FCC7C4">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01FFB3B8">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197" w:type="pct"/>
                  <w:shd w:val="clear" w:color="auto" w:fill="auto"/>
                  <w:vAlign w:val="center"/>
                </w:tcPr>
                <w:p w14:paraId="24DC5AB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73" w:type="pct"/>
                  <w:shd w:val="clear" w:color="auto" w:fill="auto"/>
                  <w:vAlign w:val="center"/>
                </w:tcPr>
                <w:p w14:paraId="027B2CB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6A83934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0.00025</w:t>
                  </w:r>
                </w:p>
              </w:tc>
              <w:tc>
                <w:tcPr>
                  <w:tcW w:w="371" w:type="pct"/>
                  <w:shd w:val="clear" w:color="auto" w:fill="auto"/>
                  <w:vAlign w:val="center"/>
                </w:tcPr>
                <w:p w14:paraId="3284806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03</w:t>
                  </w:r>
                </w:p>
              </w:tc>
              <w:tc>
                <w:tcPr>
                  <w:tcW w:w="205" w:type="pct"/>
                  <w:shd w:val="clear" w:color="auto" w:fill="auto"/>
                  <w:vAlign w:val="center"/>
                </w:tcPr>
                <w:p w14:paraId="39A5A36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11DFF10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w:t>
                  </w:r>
                </w:p>
              </w:tc>
              <w:tc>
                <w:tcPr>
                  <w:tcW w:w="238" w:type="pct"/>
                  <w:shd w:val="clear" w:color="auto" w:fill="auto"/>
                  <w:vAlign w:val="center"/>
                </w:tcPr>
                <w:p w14:paraId="7ACCD1E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4</w:t>
                  </w:r>
                </w:p>
              </w:tc>
            </w:tr>
            <w:tr w14:paraId="1188C1C2">
              <w:trPr>
                <w:trHeight w:val="397" w:hRule="atLeast"/>
                <w:jc w:val="center"/>
              </w:trPr>
              <w:tc>
                <w:tcPr>
                  <w:tcW w:w="206" w:type="pct"/>
                  <w:shd w:val="clear" w:color="auto" w:fill="auto"/>
                  <w:vAlign w:val="center"/>
                </w:tcPr>
                <w:p w14:paraId="2558B1CB">
                  <w:pPr>
                    <w:keepNext w:val="0"/>
                    <w:keepLines w:val="0"/>
                    <w:suppressLineNumbers w:val="0"/>
                    <w:spacing w:before="0" w:beforeAutospacing="0" w:after="0" w:afterAutospacing="0"/>
                    <w:ind w:left="0" w:leftChars="0" w:right="0" w:rightChars="0"/>
                    <w:rPr>
                      <w:rFonts w:hint="eastAsia"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焊接</w:t>
                  </w:r>
                </w:p>
              </w:tc>
              <w:tc>
                <w:tcPr>
                  <w:tcW w:w="365" w:type="pct"/>
                  <w:vAlign w:val="center"/>
                </w:tcPr>
                <w:p w14:paraId="7CB08BB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颗粒物</w:t>
                  </w:r>
                </w:p>
              </w:tc>
              <w:tc>
                <w:tcPr>
                  <w:tcW w:w="270" w:type="pct"/>
                  <w:shd w:val="clear" w:color="auto" w:fill="auto"/>
                  <w:vAlign w:val="center"/>
                </w:tcPr>
                <w:p w14:paraId="377C5C26">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shd w:val="clear" w:color="auto" w:fill="auto"/>
                  <w:vAlign w:val="center"/>
                </w:tcPr>
                <w:p w14:paraId="60F977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51" w:type="pct"/>
                  <w:shd w:val="clear" w:color="auto" w:fill="auto"/>
                  <w:vAlign w:val="center"/>
                </w:tcPr>
                <w:p w14:paraId="24B0F09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0.0117</w:t>
                  </w:r>
                </w:p>
              </w:tc>
              <w:tc>
                <w:tcPr>
                  <w:tcW w:w="340" w:type="pct"/>
                  <w:shd w:val="clear" w:color="auto" w:fill="auto"/>
                  <w:vAlign w:val="center"/>
                </w:tcPr>
                <w:p w14:paraId="52BDB2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0.028</w:t>
                  </w:r>
                </w:p>
              </w:tc>
              <w:tc>
                <w:tcPr>
                  <w:tcW w:w="252" w:type="pct"/>
                  <w:shd w:val="clear" w:color="auto" w:fill="auto"/>
                  <w:vAlign w:val="center"/>
                </w:tcPr>
                <w:p w14:paraId="1983916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3</w:t>
                  </w:r>
                </w:p>
              </w:tc>
              <w:tc>
                <w:tcPr>
                  <w:tcW w:w="345" w:type="pct"/>
                  <w:shd w:val="clear" w:color="auto" w:fill="auto"/>
                  <w:vAlign w:val="center"/>
                </w:tcPr>
                <w:p w14:paraId="276A4683">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szCs w:val="21"/>
                      <w:highlight w:val="none"/>
                    </w:rPr>
                    <w:t>移动式焊烟净化器</w:t>
                  </w:r>
                </w:p>
              </w:tc>
              <w:tc>
                <w:tcPr>
                  <w:tcW w:w="174" w:type="pct"/>
                  <w:shd w:val="clear" w:color="auto" w:fill="auto"/>
                  <w:vAlign w:val="center"/>
                </w:tcPr>
                <w:p w14:paraId="7FE66CFA">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2000</w:t>
                  </w:r>
                </w:p>
              </w:tc>
              <w:tc>
                <w:tcPr>
                  <w:tcW w:w="260" w:type="pct"/>
                  <w:shd w:val="clear" w:color="auto" w:fill="auto"/>
                  <w:vAlign w:val="center"/>
                </w:tcPr>
                <w:p w14:paraId="3DCB40EE">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80</w:t>
                  </w:r>
                </w:p>
              </w:tc>
              <w:tc>
                <w:tcPr>
                  <w:tcW w:w="242" w:type="pct"/>
                  <w:shd w:val="clear" w:color="auto" w:fill="auto"/>
                  <w:vAlign w:val="center"/>
                </w:tcPr>
                <w:p w14:paraId="6A1E66D9">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8</w:t>
                  </w:r>
                  <w:r>
                    <w:rPr>
                      <w:rFonts w:hint="eastAsia" w:eastAsiaTheme="minorEastAsia"/>
                      <w:color w:val="auto"/>
                      <w:kern w:val="0"/>
                      <w:szCs w:val="21"/>
                      <w:highlight w:val="none"/>
                    </w:rPr>
                    <w:t>0</w:t>
                  </w:r>
                </w:p>
              </w:tc>
              <w:tc>
                <w:tcPr>
                  <w:tcW w:w="197" w:type="pct"/>
                  <w:shd w:val="clear" w:color="auto" w:fill="auto"/>
                  <w:vAlign w:val="center"/>
                </w:tcPr>
                <w:p w14:paraId="7717BD98">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eastAsiaTheme="minorEastAsia"/>
                      <w:color w:val="auto"/>
                      <w:kern w:val="0"/>
                      <w:szCs w:val="21"/>
                      <w:highlight w:val="none"/>
                    </w:rPr>
                    <w:t>是</w:t>
                  </w:r>
                </w:p>
              </w:tc>
              <w:tc>
                <w:tcPr>
                  <w:tcW w:w="273" w:type="pct"/>
                  <w:shd w:val="clear" w:color="auto" w:fill="auto"/>
                  <w:vAlign w:val="center"/>
                </w:tcPr>
                <w:p w14:paraId="49434EB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345" w:type="pct"/>
                  <w:shd w:val="clear" w:color="auto" w:fill="auto"/>
                  <w:vAlign w:val="center"/>
                </w:tcPr>
                <w:p w14:paraId="335087E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0.0042</w:t>
                  </w:r>
                </w:p>
              </w:tc>
              <w:tc>
                <w:tcPr>
                  <w:tcW w:w="371" w:type="pct"/>
                  <w:shd w:val="clear" w:color="auto" w:fill="auto"/>
                  <w:vAlign w:val="center"/>
                </w:tcPr>
                <w:p w14:paraId="2B04D20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0.0101</w:t>
                  </w:r>
                </w:p>
              </w:tc>
              <w:tc>
                <w:tcPr>
                  <w:tcW w:w="205" w:type="pct"/>
                  <w:shd w:val="clear" w:color="auto" w:fill="auto"/>
                  <w:vAlign w:val="center"/>
                </w:tcPr>
                <w:p w14:paraId="5222EF0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shd w:val="clear" w:color="auto" w:fill="auto"/>
                  <w:vAlign w:val="center"/>
                </w:tcPr>
                <w:p w14:paraId="39CBD50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shd w:val="clear" w:color="auto" w:fill="auto"/>
                  <w:vAlign w:val="center"/>
                </w:tcPr>
                <w:p w14:paraId="002D3E3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0.5</w:t>
                  </w:r>
                </w:p>
              </w:tc>
            </w:tr>
            <w:tr w14:paraId="56D23C44">
              <w:trPr>
                <w:trHeight w:val="397" w:hRule="atLeast"/>
                <w:jc w:val="center"/>
              </w:trPr>
              <w:tc>
                <w:tcPr>
                  <w:tcW w:w="206" w:type="pct"/>
                  <w:shd w:val="clear" w:color="auto" w:fill="auto"/>
                  <w:vAlign w:val="center"/>
                </w:tcPr>
                <w:p w14:paraId="2DE2CA45">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下料</w:t>
                  </w:r>
                </w:p>
              </w:tc>
              <w:tc>
                <w:tcPr>
                  <w:tcW w:w="365" w:type="pct"/>
                  <w:shd w:val="clear" w:color="auto" w:fill="auto"/>
                  <w:vAlign w:val="center"/>
                </w:tcPr>
                <w:p w14:paraId="4A3D811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270" w:type="pct"/>
                  <w:shd w:val="clear" w:color="auto" w:fill="auto"/>
                  <w:vAlign w:val="center"/>
                </w:tcPr>
                <w:p w14:paraId="0980B79F">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shd w:val="clear" w:color="auto" w:fill="auto"/>
                  <w:vAlign w:val="center"/>
                </w:tcPr>
                <w:p w14:paraId="684C016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w:t>
                  </w:r>
                </w:p>
              </w:tc>
              <w:tc>
                <w:tcPr>
                  <w:tcW w:w="351" w:type="pct"/>
                  <w:shd w:val="clear" w:color="auto" w:fill="auto"/>
                  <w:vAlign w:val="center"/>
                </w:tcPr>
                <w:p w14:paraId="098C6C3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0.0458</w:t>
                  </w:r>
                </w:p>
              </w:tc>
              <w:tc>
                <w:tcPr>
                  <w:tcW w:w="340" w:type="pct"/>
                  <w:shd w:val="clear" w:color="auto" w:fill="auto"/>
                  <w:vAlign w:val="center"/>
                </w:tcPr>
                <w:p w14:paraId="04D8B8B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0.11</w:t>
                  </w:r>
                </w:p>
              </w:tc>
              <w:tc>
                <w:tcPr>
                  <w:tcW w:w="252" w:type="pct"/>
                  <w:vMerge w:val="restart"/>
                  <w:shd w:val="clear" w:color="auto" w:fill="auto"/>
                  <w:vAlign w:val="center"/>
                </w:tcPr>
                <w:p w14:paraId="1C1B067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4</w:t>
                  </w:r>
                </w:p>
              </w:tc>
              <w:tc>
                <w:tcPr>
                  <w:tcW w:w="345" w:type="pct"/>
                  <w:vMerge w:val="restart"/>
                  <w:shd w:val="clear" w:color="auto" w:fill="auto"/>
                  <w:vAlign w:val="center"/>
                </w:tcPr>
                <w:p w14:paraId="0ABD4AA5">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szCs w:val="21"/>
                      <w:highlight w:val="none"/>
                      <w:lang w:val="en-US" w:eastAsia="zh-CN"/>
                    </w:rPr>
                    <w:t>移动式布袋除尘器</w:t>
                  </w:r>
                </w:p>
              </w:tc>
              <w:tc>
                <w:tcPr>
                  <w:tcW w:w="174" w:type="pct"/>
                  <w:vMerge w:val="restart"/>
                  <w:shd w:val="clear" w:color="auto" w:fill="auto"/>
                  <w:vAlign w:val="center"/>
                </w:tcPr>
                <w:p w14:paraId="280DC016">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3000</w:t>
                  </w:r>
                </w:p>
              </w:tc>
              <w:tc>
                <w:tcPr>
                  <w:tcW w:w="260" w:type="pct"/>
                  <w:vMerge w:val="restart"/>
                  <w:shd w:val="clear" w:color="auto" w:fill="auto"/>
                  <w:vAlign w:val="center"/>
                </w:tcPr>
                <w:p w14:paraId="537A51CB">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80</w:t>
                  </w:r>
                </w:p>
              </w:tc>
              <w:tc>
                <w:tcPr>
                  <w:tcW w:w="242" w:type="pct"/>
                  <w:vMerge w:val="restart"/>
                  <w:shd w:val="clear" w:color="auto" w:fill="auto"/>
                  <w:vAlign w:val="center"/>
                </w:tcPr>
                <w:p w14:paraId="41837BC8">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80</w:t>
                  </w:r>
                </w:p>
              </w:tc>
              <w:tc>
                <w:tcPr>
                  <w:tcW w:w="197" w:type="pct"/>
                  <w:vMerge w:val="restart"/>
                  <w:shd w:val="clear" w:color="auto" w:fill="auto"/>
                  <w:vAlign w:val="center"/>
                </w:tcPr>
                <w:p w14:paraId="5C621455">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eastAsiaTheme="minorEastAsia"/>
                      <w:color w:val="auto"/>
                      <w:kern w:val="0"/>
                      <w:szCs w:val="21"/>
                      <w:highlight w:val="none"/>
                    </w:rPr>
                    <w:t>是</w:t>
                  </w:r>
                </w:p>
              </w:tc>
              <w:tc>
                <w:tcPr>
                  <w:tcW w:w="273" w:type="pct"/>
                  <w:shd w:val="clear" w:color="auto" w:fill="auto"/>
                  <w:vAlign w:val="center"/>
                </w:tcPr>
                <w:p w14:paraId="3533518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w:t>
                  </w:r>
                </w:p>
              </w:tc>
              <w:tc>
                <w:tcPr>
                  <w:tcW w:w="345" w:type="pct"/>
                  <w:shd w:val="clear" w:color="auto" w:fill="auto"/>
                  <w:vAlign w:val="center"/>
                </w:tcPr>
                <w:p w14:paraId="35B3B14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0.0165</w:t>
                  </w:r>
                </w:p>
              </w:tc>
              <w:tc>
                <w:tcPr>
                  <w:tcW w:w="371" w:type="pct"/>
                  <w:shd w:val="clear" w:color="auto" w:fill="auto"/>
                  <w:vAlign w:val="center"/>
                </w:tcPr>
                <w:p w14:paraId="432247B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0.0396</w:t>
                  </w:r>
                </w:p>
              </w:tc>
              <w:tc>
                <w:tcPr>
                  <w:tcW w:w="205" w:type="pct"/>
                  <w:shd w:val="clear" w:color="auto" w:fill="auto"/>
                  <w:vAlign w:val="center"/>
                </w:tcPr>
                <w:p w14:paraId="3937035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w:t>
                  </w:r>
                </w:p>
              </w:tc>
              <w:tc>
                <w:tcPr>
                  <w:tcW w:w="242" w:type="pct"/>
                  <w:shd w:val="clear" w:color="auto" w:fill="auto"/>
                  <w:vAlign w:val="center"/>
                </w:tcPr>
                <w:p w14:paraId="1E6BB65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shd w:val="clear" w:color="auto" w:fill="auto"/>
                  <w:vAlign w:val="center"/>
                </w:tcPr>
                <w:p w14:paraId="610707B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0.5</w:t>
                  </w:r>
                </w:p>
              </w:tc>
            </w:tr>
            <w:tr w14:paraId="7F011576">
              <w:trPr>
                <w:trHeight w:val="397" w:hRule="atLeast"/>
                <w:jc w:val="center"/>
              </w:trPr>
              <w:tc>
                <w:tcPr>
                  <w:tcW w:w="206" w:type="pct"/>
                  <w:shd w:val="clear" w:color="auto" w:fill="auto"/>
                  <w:vAlign w:val="center"/>
                </w:tcPr>
                <w:p w14:paraId="1C71A07A">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打磨</w:t>
                  </w:r>
                </w:p>
              </w:tc>
              <w:tc>
                <w:tcPr>
                  <w:tcW w:w="365" w:type="pct"/>
                  <w:shd w:val="clear" w:color="auto" w:fill="auto"/>
                  <w:vAlign w:val="center"/>
                </w:tcPr>
                <w:p w14:paraId="5C4C5B5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270" w:type="pct"/>
                  <w:shd w:val="clear" w:color="auto" w:fill="auto"/>
                  <w:vAlign w:val="center"/>
                </w:tcPr>
                <w:p w14:paraId="44CB8CE8">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w:t>
                  </w:r>
                  <w:r>
                    <w:rPr>
                      <w:rFonts w:hAnsi="宋体"/>
                      <w:color w:val="auto"/>
                      <w:kern w:val="0"/>
                      <w:szCs w:val="21"/>
                      <w:highlight w:val="none"/>
                      <w:lang w:val="zh-CN"/>
                    </w:rPr>
                    <w:t>组织</w:t>
                  </w:r>
                </w:p>
              </w:tc>
              <w:tc>
                <w:tcPr>
                  <w:tcW w:w="319" w:type="pct"/>
                  <w:shd w:val="clear" w:color="auto" w:fill="auto"/>
                  <w:vAlign w:val="center"/>
                </w:tcPr>
                <w:p w14:paraId="1949B0F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w:t>
                  </w:r>
                </w:p>
              </w:tc>
              <w:tc>
                <w:tcPr>
                  <w:tcW w:w="351" w:type="pct"/>
                  <w:shd w:val="clear" w:color="auto" w:fill="auto"/>
                  <w:vAlign w:val="center"/>
                </w:tcPr>
                <w:p w14:paraId="10B03F8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0.0913</w:t>
                  </w:r>
                </w:p>
              </w:tc>
              <w:tc>
                <w:tcPr>
                  <w:tcW w:w="340" w:type="pct"/>
                  <w:shd w:val="clear" w:color="auto" w:fill="auto"/>
                  <w:vAlign w:val="center"/>
                </w:tcPr>
                <w:p w14:paraId="441F55A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0.219</w:t>
                  </w:r>
                </w:p>
              </w:tc>
              <w:tc>
                <w:tcPr>
                  <w:tcW w:w="252" w:type="pct"/>
                  <w:vMerge w:val="continue"/>
                  <w:shd w:val="clear" w:color="auto" w:fill="auto"/>
                  <w:vAlign w:val="center"/>
                </w:tcPr>
                <w:p w14:paraId="3E9533B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c>
                <w:tcPr>
                  <w:tcW w:w="345" w:type="pct"/>
                  <w:vMerge w:val="continue"/>
                  <w:shd w:val="clear" w:color="auto" w:fill="auto"/>
                  <w:vAlign w:val="center"/>
                </w:tcPr>
                <w:p w14:paraId="135B922F">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p>
              </w:tc>
              <w:tc>
                <w:tcPr>
                  <w:tcW w:w="174" w:type="pct"/>
                  <w:vMerge w:val="continue"/>
                  <w:shd w:val="clear" w:color="auto" w:fill="auto"/>
                  <w:vAlign w:val="center"/>
                </w:tcPr>
                <w:p w14:paraId="4FC61100">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p>
              </w:tc>
              <w:tc>
                <w:tcPr>
                  <w:tcW w:w="260" w:type="pct"/>
                  <w:vMerge w:val="continue"/>
                  <w:shd w:val="clear" w:color="auto" w:fill="auto"/>
                  <w:vAlign w:val="center"/>
                </w:tcPr>
                <w:p w14:paraId="4D27AFB3">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p>
              </w:tc>
              <w:tc>
                <w:tcPr>
                  <w:tcW w:w="242" w:type="pct"/>
                  <w:vMerge w:val="continue"/>
                  <w:shd w:val="clear" w:color="auto" w:fill="auto"/>
                  <w:vAlign w:val="center"/>
                </w:tcPr>
                <w:p w14:paraId="7313182E">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p>
              </w:tc>
              <w:tc>
                <w:tcPr>
                  <w:tcW w:w="197" w:type="pct"/>
                  <w:vMerge w:val="continue"/>
                  <w:shd w:val="clear" w:color="auto" w:fill="auto"/>
                  <w:vAlign w:val="center"/>
                </w:tcPr>
                <w:p w14:paraId="3D06C948">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p>
              </w:tc>
              <w:tc>
                <w:tcPr>
                  <w:tcW w:w="273" w:type="pct"/>
                  <w:shd w:val="clear" w:color="auto" w:fill="auto"/>
                  <w:vAlign w:val="center"/>
                </w:tcPr>
                <w:p w14:paraId="2A43434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w:t>
                  </w:r>
                </w:p>
              </w:tc>
              <w:tc>
                <w:tcPr>
                  <w:tcW w:w="345" w:type="pct"/>
                  <w:shd w:val="clear" w:color="auto" w:fill="auto"/>
                  <w:vAlign w:val="center"/>
                </w:tcPr>
                <w:p w14:paraId="062F89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0.0328</w:t>
                  </w:r>
                </w:p>
              </w:tc>
              <w:tc>
                <w:tcPr>
                  <w:tcW w:w="371" w:type="pct"/>
                  <w:shd w:val="clear" w:color="auto" w:fill="auto"/>
                  <w:vAlign w:val="center"/>
                </w:tcPr>
                <w:p w14:paraId="2CDDFF3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0.0788</w:t>
                  </w:r>
                </w:p>
              </w:tc>
              <w:tc>
                <w:tcPr>
                  <w:tcW w:w="205" w:type="pct"/>
                  <w:shd w:val="clear" w:color="auto" w:fill="auto"/>
                  <w:vAlign w:val="center"/>
                </w:tcPr>
                <w:p w14:paraId="1FEC500C">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w:t>
                  </w:r>
                </w:p>
              </w:tc>
              <w:tc>
                <w:tcPr>
                  <w:tcW w:w="242" w:type="pct"/>
                  <w:shd w:val="clear" w:color="auto" w:fill="auto"/>
                  <w:vAlign w:val="center"/>
                </w:tcPr>
                <w:p w14:paraId="0A34A90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shd w:val="clear" w:color="auto" w:fill="auto"/>
                  <w:vAlign w:val="center"/>
                </w:tcPr>
                <w:p w14:paraId="213721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0.5</w:t>
                  </w:r>
                </w:p>
              </w:tc>
            </w:tr>
          </w:tbl>
          <w:p w14:paraId="6790AEC5">
            <w:pPr>
              <w:keepNext w:val="0"/>
              <w:keepLines w:val="0"/>
              <w:suppressLineNumbers w:val="0"/>
              <w:spacing w:before="0" w:beforeLines="50" w:beforeAutospacing="0" w:after="0" w:afterAutospacing="0"/>
              <w:ind w:left="0" w:right="0"/>
              <w:jc w:val="center"/>
              <w:rPr>
                <w:b/>
                <w:color w:val="auto"/>
                <w:sz w:val="24"/>
                <w:szCs w:val="22"/>
                <w:highlight w:val="none"/>
              </w:rPr>
            </w:pPr>
            <w:r>
              <w:rPr>
                <w:rFonts w:hAnsi="宋体"/>
                <w:b/>
                <w:color w:val="auto"/>
                <w:sz w:val="24"/>
                <w:szCs w:val="22"/>
                <w:highlight w:val="none"/>
              </w:rPr>
              <w:t>表</w:t>
            </w:r>
            <w:r>
              <w:rPr>
                <w:b/>
                <w:color w:val="auto"/>
                <w:sz w:val="24"/>
                <w:szCs w:val="22"/>
                <w:highlight w:val="none"/>
              </w:rPr>
              <w:t>4-</w:t>
            </w:r>
            <w:r>
              <w:rPr>
                <w:rFonts w:hint="eastAsia"/>
                <w:b/>
                <w:color w:val="auto"/>
                <w:sz w:val="24"/>
                <w:szCs w:val="22"/>
                <w:highlight w:val="none"/>
                <w:lang w:val="en-US" w:eastAsia="zh-CN"/>
              </w:rPr>
              <w:t>4</w:t>
            </w:r>
            <w:r>
              <w:rPr>
                <w:b/>
                <w:color w:val="auto"/>
                <w:sz w:val="24"/>
                <w:szCs w:val="22"/>
                <w:highlight w:val="none"/>
              </w:rPr>
              <w:t xml:space="preserve">  </w:t>
            </w:r>
            <w:r>
              <w:rPr>
                <w:rFonts w:hAnsi="宋体"/>
                <w:b/>
                <w:color w:val="auto"/>
                <w:sz w:val="24"/>
                <w:szCs w:val="22"/>
                <w:highlight w:val="none"/>
              </w:rPr>
              <w:t>项目有组织废气污染源源强合并结果及相关参数一览表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9"/>
              <w:gridCol w:w="925"/>
              <w:gridCol w:w="524"/>
              <w:gridCol w:w="732"/>
              <w:gridCol w:w="1058"/>
              <w:gridCol w:w="1005"/>
              <w:gridCol w:w="703"/>
              <w:gridCol w:w="846"/>
              <w:gridCol w:w="453"/>
              <w:gridCol w:w="677"/>
              <w:gridCol w:w="630"/>
              <w:gridCol w:w="518"/>
              <w:gridCol w:w="711"/>
              <w:gridCol w:w="898"/>
              <w:gridCol w:w="968"/>
              <w:gridCol w:w="534"/>
              <w:gridCol w:w="630"/>
              <w:gridCol w:w="622"/>
            </w:tblGrid>
            <w:tr w14:paraId="47B9C668">
              <w:trPr>
                <w:trHeight w:val="454" w:hRule="atLeast"/>
                <w:jc w:val="center"/>
              </w:trPr>
              <w:tc>
                <w:tcPr>
                  <w:tcW w:w="222" w:type="pct"/>
                  <w:vMerge w:val="restart"/>
                  <w:vAlign w:val="center"/>
                </w:tcPr>
                <w:p w14:paraId="1CA612F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产污环节</w:t>
                  </w:r>
                </w:p>
              </w:tc>
              <w:tc>
                <w:tcPr>
                  <w:tcW w:w="355" w:type="pct"/>
                  <w:vMerge w:val="restart"/>
                  <w:vAlign w:val="center"/>
                </w:tcPr>
                <w:p w14:paraId="7BD3A2C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污染物名称</w:t>
                  </w:r>
                </w:p>
              </w:tc>
              <w:tc>
                <w:tcPr>
                  <w:tcW w:w="201" w:type="pct"/>
                  <w:vMerge w:val="restart"/>
                  <w:vAlign w:val="center"/>
                </w:tcPr>
                <w:p w14:paraId="1A455C5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排放形式</w:t>
                  </w:r>
                </w:p>
              </w:tc>
              <w:tc>
                <w:tcPr>
                  <w:tcW w:w="1073" w:type="pct"/>
                  <w:gridSpan w:val="3"/>
                  <w:vAlign w:val="center"/>
                </w:tcPr>
                <w:p w14:paraId="3D415ED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污染物产生情况</w:t>
                  </w:r>
                </w:p>
              </w:tc>
              <w:tc>
                <w:tcPr>
                  <w:tcW w:w="1470" w:type="pct"/>
                  <w:gridSpan w:val="6"/>
                  <w:vAlign w:val="center"/>
                </w:tcPr>
                <w:p w14:paraId="7048E12E">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污染治理设施情况</w:t>
                  </w:r>
                </w:p>
              </w:tc>
              <w:tc>
                <w:tcPr>
                  <w:tcW w:w="990" w:type="pct"/>
                  <w:gridSpan w:val="3"/>
                  <w:vAlign w:val="center"/>
                </w:tcPr>
                <w:p w14:paraId="6CEFC81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污染物排放情况</w:t>
                  </w:r>
                </w:p>
              </w:tc>
              <w:tc>
                <w:tcPr>
                  <w:tcW w:w="205" w:type="pct"/>
                  <w:vMerge w:val="restart"/>
                  <w:vAlign w:val="center"/>
                </w:tcPr>
                <w:p w14:paraId="61721FFA">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排放口编号</w:t>
                  </w:r>
                </w:p>
              </w:tc>
              <w:tc>
                <w:tcPr>
                  <w:tcW w:w="481" w:type="pct"/>
                  <w:gridSpan w:val="2"/>
                  <w:vAlign w:val="center"/>
                </w:tcPr>
                <w:p w14:paraId="7106FAE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执行标准</w:t>
                  </w:r>
                </w:p>
              </w:tc>
            </w:tr>
            <w:tr w14:paraId="7AD6CDC2">
              <w:trPr>
                <w:trHeight w:val="454" w:hRule="atLeast"/>
                <w:jc w:val="center"/>
              </w:trPr>
              <w:tc>
                <w:tcPr>
                  <w:tcW w:w="222" w:type="pct"/>
                  <w:vMerge w:val="continue"/>
                  <w:vAlign w:val="center"/>
                </w:tcPr>
                <w:p w14:paraId="389AEDF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355" w:type="pct"/>
                  <w:vMerge w:val="continue"/>
                  <w:vAlign w:val="center"/>
                </w:tcPr>
                <w:p w14:paraId="0A49D94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01" w:type="pct"/>
                  <w:vMerge w:val="continue"/>
                  <w:vAlign w:val="center"/>
                </w:tcPr>
                <w:p w14:paraId="4C686C5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81" w:type="pct"/>
                  <w:vAlign w:val="center"/>
                </w:tcPr>
                <w:p w14:paraId="15FDE1E9">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产生</w:t>
                  </w:r>
                </w:p>
                <w:p w14:paraId="2D35C73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浓度</w:t>
                  </w:r>
                </w:p>
                <w:p w14:paraId="1757676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c>
                <w:tcPr>
                  <w:tcW w:w="406" w:type="pct"/>
                  <w:vAlign w:val="center"/>
                </w:tcPr>
                <w:p w14:paraId="4D38B30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产生速率</w:t>
                  </w:r>
                </w:p>
                <w:p w14:paraId="755CE000">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kg/h</w:t>
                  </w:r>
                </w:p>
              </w:tc>
              <w:tc>
                <w:tcPr>
                  <w:tcW w:w="386" w:type="pct"/>
                  <w:vAlign w:val="center"/>
                </w:tcPr>
                <w:p w14:paraId="2D11AF4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产生量</w:t>
                  </w:r>
                </w:p>
                <w:p w14:paraId="7B31EBE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t/a</w:t>
                  </w:r>
                </w:p>
              </w:tc>
              <w:tc>
                <w:tcPr>
                  <w:tcW w:w="270" w:type="pct"/>
                  <w:vAlign w:val="center"/>
                </w:tcPr>
                <w:p w14:paraId="12B4258F">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污染治理设施编号</w:t>
                  </w:r>
                </w:p>
              </w:tc>
              <w:tc>
                <w:tcPr>
                  <w:tcW w:w="325" w:type="pct"/>
                  <w:vAlign w:val="center"/>
                </w:tcPr>
                <w:p w14:paraId="4419A170">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污染治理设施工艺</w:t>
                  </w:r>
                </w:p>
              </w:tc>
              <w:tc>
                <w:tcPr>
                  <w:tcW w:w="174" w:type="pct"/>
                  <w:vAlign w:val="center"/>
                </w:tcPr>
                <w:p w14:paraId="2E40207D">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处理</w:t>
                  </w:r>
                </w:p>
                <w:p w14:paraId="419B404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能力</w:t>
                  </w:r>
                  <w:r>
                    <w:rPr>
                      <w:color w:val="auto"/>
                      <w:kern w:val="0"/>
                      <w:szCs w:val="21"/>
                      <w:highlight w:val="none"/>
                    </w:rPr>
                    <w:t>m</w:t>
                  </w:r>
                  <w:r>
                    <w:rPr>
                      <w:color w:val="auto"/>
                      <w:kern w:val="0"/>
                      <w:szCs w:val="21"/>
                      <w:highlight w:val="none"/>
                      <w:vertAlign w:val="superscript"/>
                    </w:rPr>
                    <w:t>3</w:t>
                  </w:r>
                  <w:r>
                    <w:rPr>
                      <w:color w:val="auto"/>
                      <w:kern w:val="0"/>
                      <w:szCs w:val="21"/>
                      <w:highlight w:val="none"/>
                    </w:rPr>
                    <w:t>/h</w:t>
                  </w:r>
                </w:p>
              </w:tc>
              <w:tc>
                <w:tcPr>
                  <w:tcW w:w="260" w:type="pct"/>
                  <w:vAlign w:val="center"/>
                </w:tcPr>
                <w:p w14:paraId="219362D0">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捕集</w:t>
                  </w:r>
                </w:p>
                <w:p w14:paraId="0C0D637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效率</w:t>
                  </w:r>
                </w:p>
                <w:p w14:paraId="4B477E1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w:t>
                  </w:r>
                </w:p>
              </w:tc>
              <w:tc>
                <w:tcPr>
                  <w:tcW w:w="242" w:type="pct"/>
                  <w:vAlign w:val="center"/>
                </w:tcPr>
                <w:p w14:paraId="4CC1142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处理</w:t>
                  </w:r>
                </w:p>
                <w:p w14:paraId="1E5C7BF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效率</w:t>
                  </w:r>
                </w:p>
                <w:p w14:paraId="4A8B1A0B">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w:t>
                  </w:r>
                </w:p>
              </w:tc>
              <w:tc>
                <w:tcPr>
                  <w:tcW w:w="199" w:type="pct"/>
                  <w:vAlign w:val="center"/>
                </w:tcPr>
                <w:p w14:paraId="456B345A">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是否为可行技术</w:t>
                  </w:r>
                </w:p>
              </w:tc>
              <w:tc>
                <w:tcPr>
                  <w:tcW w:w="273" w:type="pct"/>
                  <w:vAlign w:val="center"/>
                </w:tcPr>
                <w:p w14:paraId="343C3C2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76D5658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浓度</w:t>
                  </w:r>
                </w:p>
                <w:p w14:paraId="152A1B3B">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c>
                <w:tcPr>
                  <w:tcW w:w="345" w:type="pct"/>
                  <w:vAlign w:val="center"/>
                </w:tcPr>
                <w:p w14:paraId="73EFAD4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4BF24582">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速率</w:t>
                  </w:r>
                </w:p>
                <w:p w14:paraId="208741EE">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kg/h</w:t>
                  </w:r>
                </w:p>
              </w:tc>
              <w:tc>
                <w:tcPr>
                  <w:tcW w:w="371" w:type="pct"/>
                  <w:vAlign w:val="center"/>
                </w:tcPr>
                <w:p w14:paraId="5A960BA9">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排放量</w:t>
                  </w:r>
                </w:p>
                <w:p w14:paraId="3CD46A6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t/a</w:t>
                  </w:r>
                </w:p>
              </w:tc>
              <w:tc>
                <w:tcPr>
                  <w:tcW w:w="205" w:type="pct"/>
                  <w:vMerge w:val="continue"/>
                  <w:vAlign w:val="center"/>
                </w:tcPr>
                <w:p w14:paraId="1553023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Align w:val="center"/>
                </w:tcPr>
                <w:p w14:paraId="1833105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44AFBD9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速率</w:t>
                  </w:r>
                </w:p>
                <w:p w14:paraId="6F2AD478">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kg/h</w:t>
                  </w:r>
                </w:p>
              </w:tc>
              <w:tc>
                <w:tcPr>
                  <w:tcW w:w="238" w:type="pct"/>
                  <w:vAlign w:val="center"/>
                </w:tcPr>
                <w:p w14:paraId="7956C14B">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排放</w:t>
                  </w:r>
                </w:p>
                <w:p w14:paraId="3B4F6DFA">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Ansi="宋体"/>
                      <w:color w:val="auto"/>
                      <w:kern w:val="0"/>
                      <w:szCs w:val="21"/>
                      <w:highlight w:val="none"/>
                      <w:lang w:val="zh-CN"/>
                    </w:rPr>
                    <w:t>浓度</w:t>
                  </w:r>
                </w:p>
                <w:p w14:paraId="1918897D">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mg/m</w:t>
                  </w:r>
                  <w:r>
                    <w:rPr>
                      <w:color w:val="auto"/>
                      <w:kern w:val="0"/>
                      <w:szCs w:val="21"/>
                      <w:highlight w:val="none"/>
                      <w:vertAlign w:val="superscript"/>
                    </w:rPr>
                    <w:t>3</w:t>
                  </w:r>
                </w:p>
              </w:tc>
            </w:tr>
            <w:tr w14:paraId="7F89EE07">
              <w:trPr>
                <w:trHeight w:val="454" w:hRule="atLeast"/>
                <w:jc w:val="center"/>
              </w:trPr>
              <w:tc>
                <w:tcPr>
                  <w:tcW w:w="222" w:type="pct"/>
                  <w:shd w:val="clear" w:color="auto" w:fill="auto"/>
                  <w:vAlign w:val="center"/>
                </w:tcPr>
                <w:p w14:paraId="642A84C8">
                  <w:pPr>
                    <w:keepNext w:val="0"/>
                    <w:keepLines w:val="0"/>
                    <w:suppressLineNumbers w:val="0"/>
                    <w:adjustRightInd w:val="0"/>
                    <w:snapToGrid w:val="0"/>
                    <w:spacing w:before="0" w:beforeAutospacing="0" w:after="0" w:afterAutospacing="0"/>
                    <w:ind w:left="0" w:leftChars="0" w:right="-105" w:rightChars="-5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喷塑</w:t>
                  </w:r>
                </w:p>
              </w:tc>
              <w:tc>
                <w:tcPr>
                  <w:tcW w:w="355" w:type="pct"/>
                  <w:shd w:val="clear" w:color="auto" w:fill="auto"/>
                  <w:vAlign w:val="center"/>
                </w:tcPr>
                <w:p w14:paraId="5492715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201" w:type="pct"/>
                  <w:vMerge w:val="continue"/>
                  <w:vAlign w:val="center"/>
                </w:tcPr>
                <w:p w14:paraId="2FD3942E">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shd w:val="clear" w:color="auto" w:fill="auto"/>
                  <w:vAlign w:val="center"/>
                </w:tcPr>
                <w:p w14:paraId="49D0B0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99</w:t>
                  </w:r>
                </w:p>
              </w:tc>
              <w:tc>
                <w:tcPr>
                  <w:tcW w:w="406" w:type="pct"/>
                  <w:shd w:val="clear" w:color="auto" w:fill="auto"/>
                  <w:vAlign w:val="center"/>
                </w:tcPr>
                <w:p w14:paraId="6E36AA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1.188</w:t>
                  </w:r>
                </w:p>
              </w:tc>
              <w:tc>
                <w:tcPr>
                  <w:tcW w:w="386" w:type="pct"/>
                  <w:shd w:val="clear" w:color="auto" w:fill="auto"/>
                  <w:vAlign w:val="center"/>
                </w:tcPr>
                <w:p w14:paraId="0F359A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1.425</w:t>
                  </w:r>
                </w:p>
              </w:tc>
              <w:tc>
                <w:tcPr>
                  <w:tcW w:w="270" w:type="pct"/>
                  <w:shd w:val="clear" w:color="auto" w:fill="auto"/>
                  <w:vAlign w:val="center"/>
                </w:tcPr>
                <w:p w14:paraId="7692638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1</w:t>
                  </w:r>
                </w:p>
              </w:tc>
              <w:tc>
                <w:tcPr>
                  <w:tcW w:w="325" w:type="pct"/>
                  <w:shd w:val="clear" w:color="auto" w:fill="auto"/>
                  <w:vAlign w:val="center"/>
                </w:tcPr>
                <w:p w14:paraId="5FD76CA9">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布袋除尘器</w:t>
                  </w:r>
                </w:p>
              </w:tc>
              <w:tc>
                <w:tcPr>
                  <w:tcW w:w="174" w:type="pct"/>
                  <w:shd w:val="clear" w:color="auto" w:fill="auto"/>
                  <w:vAlign w:val="center"/>
                </w:tcPr>
                <w:p w14:paraId="0DEC9159">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12000</w:t>
                  </w:r>
                </w:p>
              </w:tc>
              <w:tc>
                <w:tcPr>
                  <w:tcW w:w="260" w:type="pct"/>
                  <w:vAlign w:val="center"/>
                </w:tcPr>
                <w:p w14:paraId="3B4A846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95</w:t>
                  </w:r>
                </w:p>
              </w:tc>
              <w:tc>
                <w:tcPr>
                  <w:tcW w:w="242" w:type="pct"/>
                  <w:vAlign w:val="center"/>
                </w:tcPr>
                <w:p w14:paraId="7ADE2D3D">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98</w:t>
                  </w:r>
                </w:p>
              </w:tc>
              <w:tc>
                <w:tcPr>
                  <w:tcW w:w="199" w:type="pct"/>
                  <w:vMerge w:val="restart"/>
                  <w:vAlign w:val="center"/>
                </w:tcPr>
                <w:p w14:paraId="66900862">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r>
                    <w:rPr>
                      <w:rFonts w:hAnsi="宋体"/>
                      <w:color w:val="auto"/>
                      <w:kern w:val="0"/>
                      <w:szCs w:val="21"/>
                      <w:highlight w:val="none"/>
                      <w:lang w:val="zh-CN"/>
                    </w:rPr>
                    <w:t>是</w:t>
                  </w:r>
                </w:p>
              </w:tc>
              <w:tc>
                <w:tcPr>
                  <w:tcW w:w="273" w:type="pct"/>
                  <w:shd w:val="clear" w:color="auto" w:fill="auto"/>
                  <w:vAlign w:val="center"/>
                </w:tcPr>
                <w:p w14:paraId="0789F0F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1.98</w:t>
                  </w:r>
                </w:p>
              </w:tc>
              <w:tc>
                <w:tcPr>
                  <w:tcW w:w="345" w:type="pct"/>
                  <w:shd w:val="clear" w:color="auto" w:fill="auto"/>
                  <w:vAlign w:val="center"/>
                </w:tcPr>
                <w:p w14:paraId="142663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238</w:t>
                  </w:r>
                </w:p>
              </w:tc>
              <w:tc>
                <w:tcPr>
                  <w:tcW w:w="371" w:type="pct"/>
                  <w:shd w:val="clear" w:color="auto" w:fill="auto"/>
                  <w:vAlign w:val="center"/>
                </w:tcPr>
                <w:p w14:paraId="240AB3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285</w:t>
                  </w:r>
                </w:p>
              </w:tc>
              <w:tc>
                <w:tcPr>
                  <w:tcW w:w="205" w:type="pct"/>
                  <w:vAlign w:val="center"/>
                </w:tcPr>
                <w:p w14:paraId="03CC238B">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eastAsia="zh-CN"/>
                    </w:rPr>
                  </w:pPr>
                  <w:r>
                    <w:rPr>
                      <w:color w:val="auto"/>
                      <w:kern w:val="0"/>
                      <w:szCs w:val="21"/>
                      <w:highlight w:val="none"/>
                    </w:rPr>
                    <w:t>DA00</w:t>
                  </w:r>
                  <w:r>
                    <w:rPr>
                      <w:rFonts w:hint="eastAsia"/>
                      <w:color w:val="auto"/>
                      <w:kern w:val="0"/>
                      <w:szCs w:val="21"/>
                      <w:highlight w:val="none"/>
                      <w:lang w:val="en-US" w:eastAsia="zh-CN"/>
                    </w:rPr>
                    <w:t>2</w:t>
                  </w:r>
                </w:p>
              </w:tc>
              <w:tc>
                <w:tcPr>
                  <w:tcW w:w="242" w:type="pct"/>
                  <w:shd w:val="clear" w:color="auto" w:fill="auto"/>
                  <w:vAlign w:val="center"/>
                </w:tcPr>
                <w:p w14:paraId="5DB6A65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0.6</w:t>
                  </w:r>
                </w:p>
              </w:tc>
              <w:tc>
                <w:tcPr>
                  <w:tcW w:w="238" w:type="pct"/>
                  <w:shd w:val="clear" w:color="auto" w:fill="auto"/>
                  <w:vAlign w:val="center"/>
                </w:tcPr>
                <w:p w14:paraId="5B92BF4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10</w:t>
                  </w:r>
                </w:p>
              </w:tc>
            </w:tr>
            <w:tr w14:paraId="48B97842">
              <w:trPr>
                <w:trHeight w:val="454" w:hRule="atLeast"/>
                <w:jc w:val="center"/>
              </w:trPr>
              <w:tc>
                <w:tcPr>
                  <w:tcW w:w="222" w:type="pct"/>
                  <w:vMerge w:val="restart"/>
                  <w:shd w:val="clear" w:color="auto" w:fill="auto"/>
                  <w:vAlign w:val="center"/>
                </w:tcPr>
                <w:p w14:paraId="406CF6C0">
                  <w:pPr>
                    <w:keepNext w:val="0"/>
                    <w:keepLines w:val="0"/>
                    <w:suppressLineNumbers w:val="0"/>
                    <w:adjustRightInd w:val="0"/>
                    <w:snapToGrid w:val="0"/>
                    <w:spacing w:before="0" w:beforeAutospacing="0" w:after="0" w:afterAutospacing="0"/>
                    <w:ind w:left="0" w:leftChars="0" w:right="-105" w:rightChars="-5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喷漆</w:t>
                  </w:r>
                </w:p>
              </w:tc>
              <w:tc>
                <w:tcPr>
                  <w:tcW w:w="355" w:type="pct"/>
                  <w:shd w:val="clear" w:color="auto" w:fill="auto"/>
                  <w:vAlign w:val="center"/>
                </w:tcPr>
                <w:p w14:paraId="07A86306">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rPr>
                  </w:pPr>
                  <w:r>
                    <w:rPr>
                      <w:rFonts w:hint="eastAsia"/>
                      <w:color w:val="auto"/>
                      <w:szCs w:val="21"/>
                      <w:highlight w:val="none"/>
                    </w:rPr>
                    <w:t>颗粒物</w:t>
                  </w:r>
                </w:p>
              </w:tc>
              <w:tc>
                <w:tcPr>
                  <w:tcW w:w="201" w:type="pct"/>
                  <w:vMerge w:val="continue"/>
                  <w:vAlign w:val="center"/>
                </w:tcPr>
                <w:p w14:paraId="1979AFDF">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shd w:val="clear" w:color="auto" w:fill="auto"/>
                  <w:vAlign w:val="center"/>
                </w:tcPr>
                <w:p w14:paraId="46CAED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52</w:t>
                  </w:r>
                </w:p>
              </w:tc>
              <w:tc>
                <w:tcPr>
                  <w:tcW w:w="406" w:type="pct"/>
                  <w:shd w:val="clear" w:color="auto" w:fill="auto"/>
                  <w:vAlign w:val="center"/>
                </w:tcPr>
                <w:p w14:paraId="3D9B1F2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lang w:val="en-US" w:eastAsia="zh-CN"/>
                    </w:rPr>
                    <w:t>1.247</w:t>
                  </w:r>
                </w:p>
              </w:tc>
              <w:tc>
                <w:tcPr>
                  <w:tcW w:w="386" w:type="pct"/>
                  <w:shd w:val="clear" w:color="auto" w:fill="auto"/>
                  <w:vAlign w:val="center"/>
                </w:tcPr>
                <w:p w14:paraId="703CFE4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rPr>
                    <w:t>1.</w:t>
                  </w:r>
                  <w:r>
                    <w:rPr>
                      <w:rFonts w:hint="eastAsia"/>
                      <w:bCs/>
                      <w:color w:val="auto"/>
                      <w:sz w:val="21"/>
                      <w:szCs w:val="21"/>
                      <w:highlight w:val="none"/>
                      <w:lang w:val="en-US" w:eastAsia="zh-CN"/>
                    </w:rPr>
                    <w:t>496</w:t>
                  </w:r>
                </w:p>
              </w:tc>
              <w:tc>
                <w:tcPr>
                  <w:tcW w:w="270" w:type="pct"/>
                  <w:vMerge w:val="restart"/>
                  <w:vAlign w:val="center"/>
                </w:tcPr>
                <w:p w14:paraId="639DDA2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TA00</w:t>
                  </w:r>
                  <w:r>
                    <w:rPr>
                      <w:rFonts w:hint="eastAsia"/>
                      <w:color w:val="auto"/>
                      <w:szCs w:val="21"/>
                      <w:highlight w:val="none"/>
                      <w:lang w:val="en-US" w:eastAsia="zh-CN"/>
                    </w:rPr>
                    <w:t>2</w:t>
                  </w:r>
                </w:p>
              </w:tc>
              <w:tc>
                <w:tcPr>
                  <w:tcW w:w="325" w:type="pct"/>
                  <w:vMerge w:val="restart"/>
                  <w:vAlign w:val="center"/>
                </w:tcPr>
                <w:p w14:paraId="470FF3C4">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干式</w:t>
                  </w:r>
                  <w:r>
                    <w:rPr>
                      <w:rFonts w:hint="eastAsia" w:hAnsi="宋体"/>
                      <w:color w:val="auto"/>
                      <w:szCs w:val="21"/>
                      <w:highlight w:val="none"/>
                    </w:rPr>
                    <w:t>过滤+二</w:t>
                  </w:r>
                  <w:r>
                    <w:rPr>
                      <w:rFonts w:hAnsi="宋体"/>
                      <w:color w:val="auto"/>
                      <w:szCs w:val="21"/>
                      <w:highlight w:val="none"/>
                    </w:rPr>
                    <w:t>级活性炭吸附</w:t>
                  </w:r>
                </w:p>
              </w:tc>
              <w:tc>
                <w:tcPr>
                  <w:tcW w:w="174" w:type="pct"/>
                  <w:vMerge w:val="restart"/>
                  <w:shd w:val="clear" w:color="auto" w:fill="auto"/>
                  <w:vAlign w:val="center"/>
                </w:tcPr>
                <w:p w14:paraId="0D9E040A">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24000</w:t>
                  </w:r>
                </w:p>
              </w:tc>
              <w:tc>
                <w:tcPr>
                  <w:tcW w:w="260" w:type="pct"/>
                  <w:vMerge w:val="restart"/>
                  <w:vAlign w:val="center"/>
                </w:tcPr>
                <w:p w14:paraId="0F015A5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int="eastAsia"/>
                      <w:color w:val="auto"/>
                      <w:kern w:val="0"/>
                      <w:szCs w:val="21"/>
                      <w:highlight w:val="none"/>
                    </w:rPr>
                    <w:t>9</w:t>
                  </w:r>
                  <w:r>
                    <w:rPr>
                      <w:rFonts w:hint="eastAsia"/>
                      <w:color w:val="auto"/>
                      <w:kern w:val="0"/>
                      <w:szCs w:val="21"/>
                      <w:highlight w:val="none"/>
                      <w:lang w:val="en-US" w:eastAsia="zh-CN"/>
                    </w:rPr>
                    <w:t>5</w:t>
                  </w:r>
                </w:p>
              </w:tc>
              <w:tc>
                <w:tcPr>
                  <w:tcW w:w="242" w:type="pct"/>
                  <w:vMerge w:val="restart"/>
                  <w:vAlign w:val="center"/>
                </w:tcPr>
                <w:p w14:paraId="23BB5C2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int="eastAsia"/>
                      <w:color w:val="auto"/>
                      <w:kern w:val="0"/>
                      <w:szCs w:val="21"/>
                      <w:highlight w:val="none"/>
                      <w:lang w:val="en-US" w:eastAsia="zh-CN"/>
                    </w:rPr>
                    <w:t>9</w:t>
                  </w:r>
                  <w:r>
                    <w:rPr>
                      <w:rFonts w:hint="eastAsia"/>
                      <w:color w:val="auto"/>
                      <w:kern w:val="0"/>
                      <w:szCs w:val="21"/>
                      <w:highlight w:val="none"/>
                    </w:rPr>
                    <w:t>0</w:t>
                  </w:r>
                </w:p>
              </w:tc>
              <w:tc>
                <w:tcPr>
                  <w:tcW w:w="199" w:type="pct"/>
                  <w:vMerge w:val="continue"/>
                  <w:vAlign w:val="center"/>
                </w:tcPr>
                <w:p w14:paraId="4578F13D">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shd w:val="clear" w:color="auto" w:fill="auto"/>
                  <w:vAlign w:val="center"/>
                </w:tcPr>
                <w:p w14:paraId="5C1E19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5.2</w:t>
                  </w:r>
                </w:p>
              </w:tc>
              <w:tc>
                <w:tcPr>
                  <w:tcW w:w="345" w:type="pct"/>
                  <w:shd w:val="clear" w:color="auto" w:fill="auto"/>
                  <w:vAlign w:val="center"/>
                </w:tcPr>
                <w:p w14:paraId="0A32DB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bCs/>
                      <w:color w:val="auto"/>
                      <w:sz w:val="21"/>
                      <w:szCs w:val="21"/>
                      <w:highlight w:val="none"/>
                    </w:rPr>
                    <w:t>0.</w:t>
                  </w:r>
                  <w:r>
                    <w:rPr>
                      <w:rFonts w:hint="eastAsia"/>
                      <w:bCs/>
                      <w:color w:val="auto"/>
                      <w:sz w:val="21"/>
                      <w:szCs w:val="21"/>
                      <w:highlight w:val="none"/>
                      <w:lang w:val="en-US" w:eastAsia="zh-CN"/>
                    </w:rPr>
                    <w:t>1247</w:t>
                  </w:r>
                </w:p>
              </w:tc>
              <w:tc>
                <w:tcPr>
                  <w:tcW w:w="371" w:type="pct"/>
                  <w:shd w:val="clear" w:color="auto" w:fill="auto"/>
                  <w:vAlign w:val="center"/>
                </w:tcPr>
                <w:p w14:paraId="3FE605C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bCs/>
                      <w:color w:val="auto"/>
                      <w:sz w:val="21"/>
                      <w:szCs w:val="21"/>
                      <w:highlight w:val="none"/>
                    </w:rPr>
                    <w:t>0.</w:t>
                  </w:r>
                  <w:r>
                    <w:rPr>
                      <w:rFonts w:hint="eastAsia"/>
                      <w:bCs/>
                      <w:color w:val="auto"/>
                      <w:sz w:val="21"/>
                      <w:szCs w:val="21"/>
                      <w:highlight w:val="none"/>
                    </w:rPr>
                    <w:t>1</w:t>
                  </w:r>
                  <w:r>
                    <w:rPr>
                      <w:rFonts w:hint="eastAsia"/>
                      <w:bCs/>
                      <w:color w:val="auto"/>
                      <w:sz w:val="21"/>
                      <w:szCs w:val="21"/>
                      <w:highlight w:val="none"/>
                      <w:lang w:val="en-US" w:eastAsia="zh-CN"/>
                    </w:rPr>
                    <w:t>496</w:t>
                  </w:r>
                </w:p>
              </w:tc>
              <w:tc>
                <w:tcPr>
                  <w:tcW w:w="205" w:type="pct"/>
                  <w:vMerge w:val="restart"/>
                  <w:vAlign w:val="center"/>
                </w:tcPr>
                <w:p w14:paraId="78D6A1D7">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color w:val="auto"/>
                      <w:kern w:val="0"/>
                      <w:szCs w:val="21"/>
                      <w:highlight w:val="none"/>
                    </w:rPr>
                    <w:t>DA00</w:t>
                  </w:r>
                  <w:r>
                    <w:rPr>
                      <w:rFonts w:hint="eastAsia"/>
                      <w:color w:val="auto"/>
                      <w:kern w:val="0"/>
                      <w:szCs w:val="21"/>
                      <w:highlight w:val="none"/>
                      <w:lang w:val="en-US" w:eastAsia="zh-CN"/>
                    </w:rPr>
                    <w:t>1</w:t>
                  </w:r>
                </w:p>
              </w:tc>
              <w:tc>
                <w:tcPr>
                  <w:tcW w:w="242" w:type="pct"/>
                  <w:shd w:val="clear" w:color="auto" w:fill="auto"/>
                  <w:vAlign w:val="center"/>
                </w:tcPr>
                <w:p w14:paraId="3C480882">
                  <w:pPr>
                    <w:keepNext w:val="0"/>
                    <w:keepLines w:val="0"/>
                    <w:suppressLineNumbers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0.6</w:t>
                  </w:r>
                </w:p>
              </w:tc>
              <w:tc>
                <w:tcPr>
                  <w:tcW w:w="238" w:type="pct"/>
                  <w:shd w:val="clear" w:color="auto" w:fill="auto"/>
                  <w:vAlign w:val="center"/>
                </w:tcPr>
                <w:p w14:paraId="376C2975">
                  <w:pPr>
                    <w:keepNext w:val="0"/>
                    <w:keepLines w:val="0"/>
                    <w:suppressLineNumbers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10</w:t>
                  </w:r>
                </w:p>
              </w:tc>
            </w:tr>
            <w:tr w14:paraId="079A6E4D">
              <w:trPr>
                <w:trHeight w:val="454" w:hRule="atLeast"/>
                <w:jc w:val="center"/>
              </w:trPr>
              <w:tc>
                <w:tcPr>
                  <w:tcW w:w="222" w:type="pct"/>
                  <w:vMerge w:val="continue"/>
                  <w:shd w:val="clear" w:color="auto" w:fill="auto"/>
                  <w:vAlign w:val="center"/>
                </w:tcPr>
                <w:p w14:paraId="6ACE008E">
                  <w:pPr>
                    <w:keepNext w:val="0"/>
                    <w:keepLines w:val="0"/>
                    <w:suppressLineNumbers w:val="0"/>
                    <w:adjustRightInd w:val="0"/>
                    <w:snapToGrid w:val="0"/>
                    <w:spacing w:before="0" w:beforeAutospacing="0" w:after="0" w:afterAutospacing="0"/>
                    <w:ind w:left="0" w:leftChars="0" w:right="-105" w:rightChars="-50"/>
                    <w:jc w:val="center"/>
                    <w:rPr>
                      <w:rFonts w:hint="default" w:ascii="Times New Roman" w:hAnsi="Times New Roman" w:cs="Times New Roman" w:eastAsiaTheme="minorEastAsia"/>
                      <w:color w:val="auto"/>
                      <w:kern w:val="2"/>
                      <w:sz w:val="21"/>
                      <w:szCs w:val="21"/>
                      <w:highlight w:val="none"/>
                      <w:lang w:val="en-US" w:eastAsia="zh-CN" w:bidi="ar-SA"/>
                    </w:rPr>
                  </w:pPr>
                </w:p>
              </w:tc>
              <w:tc>
                <w:tcPr>
                  <w:tcW w:w="355" w:type="pct"/>
                  <w:vAlign w:val="center"/>
                </w:tcPr>
                <w:p w14:paraId="0FCDFF3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201" w:type="pct"/>
                  <w:vMerge w:val="continue"/>
                  <w:vAlign w:val="center"/>
                </w:tcPr>
                <w:p w14:paraId="2427C007">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shd w:val="clear" w:color="auto" w:fill="auto"/>
                  <w:vAlign w:val="center"/>
                </w:tcPr>
                <w:p w14:paraId="48D330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406" w:type="pct"/>
                  <w:shd w:val="clear" w:color="auto" w:fill="auto"/>
                  <w:vAlign w:val="center"/>
                </w:tcPr>
                <w:p w14:paraId="2547BD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lang w:val="en-US" w:eastAsia="zh-CN"/>
                    </w:rPr>
                    <w:t>0.6925</w:t>
                  </w:r>
                </w:p>
              </w:tc>
              <w:tc>
                <w:tcPr>
                  <w:tcW w:w="386" w:type="pct"/>
                  <w:shd w:val="clear" w:color="auto" w:fill="auto"/>
                  <w:vAlign w:val="center"/>
                </w:tcPr>
                <w:p w14:paraId="29066E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lang w:val="en-US" w:eastAsia="zh-CN"/>
                    </w:rPr>
                    <w:t>0.831</w:t>
                  </w:r>
                </w:p>
              </w:tc>
              <w:tc>
                <w:tcPr>
                  <w:tcW w:w="270" w:type="pct"/>
                  <w:vMerge w:val="continue"/>
                  <w:vAlign w:val="center"/>
                </w:tcPr>
                <w:p w14:paraId="5C57541B">
                  <w:pPr>
                    <w:keepNext w:val="0"/>
                    <w:keepLines w:val="0"/>
                    <w:suppressLineNumbers w:val="0"/>
                    <w:spacing w:before="0" w:beforeAutospacing="0" w:after="0" w:afterAutospacing="0"/>
                    <w:ind w:left="0" w:right="0"/>
                    <w:jc w:val="center"/>
                    <w:rPr>
                      <w:color w:val="auto"/>
                      <w:szCs w:val="21"/>
                      <w:highlight w:val="none"/>
                    </w:rPr>
                  </w:pPr>
                </w:p>
              </w:tc>
              <w:tc>
                <w:tcPr>
                  <w:tcW w:w="325" w:type="pct"/>
                  <w:vMerge w:val="continue"/>
                  <w:vAlign w:val="center"/>
                </w:tcPr>
                <w:p w14:paraId="650C1848">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szCs w:val="21"/>
                      <w:highlight w:val="none"/>
                    </w:rPr>
                  </w:pPr>
                </w:p>
              </w:tc>
              <w:tc>
                <w:tcPr>
                  <w:tcW w:w="174" w:type="pct"/>
                  <w:vMerge w:val="continue"/>
                  <w:shd w:val="clear" w:color="auto" w:fill="auto"/>
                  <w:vAlign w:val="center"/>
                </w:tcPr>
                <w:p w14:paraId="5046D1DC">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p>
              </w:tc>
              <w:tc>
                <w:tcPr>
                  <w:tcW w:w="260" w:type="pct"/>
                  <w:vMerge w:val="continue"/>
                  <w:vAlign w:val="center"/>
                </w:tcPr>
                <w:p w14:paraId="1F44E359">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vAlign w:val="center"/>
                </w:tcPr>
                <w:p w14:paraId="39936B1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9" w:type="pct"/>
                  <w:vMerge w:val="continue"/>
                  <w:vAlign w:val="center"/>
                </w:tcPr>
                <w:p w14:paraId="7079A755">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vMerge w:val="restart"/>
                  <w:vAlign w:val="center"/>
                </w:tcPr>
                <w:p w14:paraId="3195DDB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4.1</w:t>
                  </w:r>
                </w:p>
              </w:tc>
              <w:tc>
                <w:tcPr>
                  <w:tcW w:w="345" w:type="pct"/>
                  <w:vMerge w:val="restart"/>
                  <w:vAlign w:val="center"/>
                </w:tcPr>
                <w:p w14:paraId="047BB35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0.0995</w:t>
                  </w:r>
                </w:p>
              </w:tc>
              <w:tc>
                <w:tcPr>
                  <w:tcW w:w="371" w:type="pct"/>
                  <w:vMerge w:val="restart"/>
                  <w:vAlign w:val="center"/>
                </w:tcPr>
                <w:p w14:paraId="5896D18C">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0.1193</w:t>
                  </w:r>
                </w:p>
              </w:tc>
              <w:tc>
                <w:tcPr>
                  <w:tcW w:w="205" w:type="pct"/>
                  <w:vMerge w:val="continue"/>
                  <w:vAlign w:val="center"/>
                </w:tcPr>
                <w:p w14:paraId="3CAEF8E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restart"/>
                  <w:vAlign w:val="center"/>
                </w:tcPr>
                <w:p w14:paraId="0471BD9A">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1.8</w:t>
                  </w:r>
                </w:p>
              </w:tc>
              <w:tc>
                <w:tcPr>
                  <w:tcW w:w="238" w:type="pct"/>
                  <w:vMerge w:val="restart"/>
                  <w:vAlign w:val="center"/>
                </w:tcPr>
                <w:p w14:paraId="1BF91306">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50</w:t>
                  </w:r>
                </w:p>
              </w:tc>
            </w:tr>
            <w:tr w14:paraId="45522322">
              <w:trPr>
                <w:trHeight w:val="454" w:hRule="atLeast"/>
                <w:jc w:val="center"/>
              </w:trPr>
              <w:tc>
                <w:tcPr>
                  <w:tcW w:w="222" w:type="pct"/>
                  <w:shd w:val="clear" w:color="auto" w:fill="auto"/>
                  <w:vAlign w:val="center"/>
                </w:tcPr>
                <w:p w14:paraId="62BAEC9C">
                  <w:pPr>
                    <w:keepNext w:val="0"/>
                    <w:keepLines w:val="0"/>
                    <w:suppressLineNumbers w:val="0"/>
                    <w:adjustRightInd w:val="0"/>
                    <w:snapToGrid w:val="0"/>
                    <w:spacing w:before="0" w:beforeAutospacing="0" w:after="0" w:afterAutospacing="0"/>
                    <w:ind w:left="0" w:leftChars="0" w:right="-105" w:rightChars="-50"/>
                    <w:jc w:val="both"/>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烘干</w:t>
                  </w:r>
                </w:p>
              </w:tc>
              <w:tc>
                <w:tcPr>
                  <w:tcW w:w="355" w:type="pct"/>
                  <w:vAlign w:val="center"/>
                </w:tcPr>
                <w:p w14:paraId="344721C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201" w:type="pct"/>
                  <w:vMerge w:val="continue"/>
                  <w:vAlign w:val="center"/>
                </w:tcPr>
                <w:p w14:paraId="3E0488BD">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shd w:val="clear" w:color="auto" w:fill="auto"/>
                  <w:vAlign w:val="center"/>
                </w:tcPr>
                <w:p w14:paraId="447A9D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49</w:t>
                  </w:r>
                </w:p>
              </w:tc>
              <w:tc>
                <w:tcPr>
                  <w:tcW w:w="406" w:type="pct"/>
                  <w:shd w:val="clear" w:color="auto" w:fill="auto"/>
                  <w:vAlign w:val="center"/>
                </w:tcPr>
                <w:p w14:paraId="4A6FA06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lang w:val="en-US" w:eastAsia="zh-CN"/>
                    </w:rPr>
                    <w:t>0.2967</w:t>
                  </w:r>
                </w:p>
              </w:tc>
              <w:tc>
                <w:tcPr>
                  <w:tcW w:w="386" w:type="pct"/>
                  <w:shd w:val="clear" w:color="auto" w:fill="auto"/>
                  <w:vAlign w:val="center"/>
                </w:tcPr>
                <w:p w14:paraId="2AB7800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bCs/>
                      <w:color w:val="auto"/>
                      <w:sz w:val="21"/>
                      <w:szCs w:val="21"/>
                      <w:highlight w:val="none"/>
                      <w:lang w:val="en-US" w:eastAsia="zh-CN"/>
                    </w:rPr>
                    <w:t>0.356</w:t>
                  </w:r>
                </w:p>
              </w:tc>
              <w:tc>
                <w:tcPr>
                  <w:tcW w:w="270" w:type="pct"/>
                  <w:vMerge w:val="continue"/>
                  <w:vAlign w:val="center"/>
                </w:tcPr>
                <w:p w14:paraId="076262FE">
                  <w:pPr>
                    <w:keepNext w:val="0"/>
                    <w:keepLines w:val="0"/>
                    <w:suppressLineNumbers w:val="0"/>
                    <w:spacing w:before="0" w:beforeAutospacing="0" w:after="0" w:afterAutospacing="0"/>
                    <w:ind w:left="0" w:right="0"/>
                    <w:jc w:val="center"/>
                    <w:rPr>
                      <w:color w:val="auto"/>
                      <w:szCs w:val="21"/>
                      <w:highlight w:val="none"/>
                    </w:rPr>
                  </w:pPr>
                </w:p>
              </w:tc>
              <w:tc>
                <w:tcPr>
                  <w:tcW w:w="325" w:type="pct"/>
                  <w:vMerge w:val="continue"/>
                  <w:vAlign w:val="center"/>
                </w:tcPr>
                <w:p w14:paraId="5A80E93F">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szCs w:val="21"/>
                      <w:highlight w:val="none"/>
                    </w:rPr>
                  </w:pPr>
                </w:p>
              </w:tc>
              <w:tc>
                <w:tcPr>
                  <w:tcW w:w="174" w:type="pct"/>
                  <w:vMerge w:val="continue"/>
                  <w:shd w:val="clear" w:color="auto" w:fill="auto"/>
                  <w:vAlign w:val="center"/>
                </w:tcPr>
                <w:p w14:paraId="20316978">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p>
              </w:tc>
              <w:tc>
                <w:tcPr>
                  <w:tcW w:w="260" w:type="pct"/>
                  <w:vMerge w:val="continue"/>
                  <w:vAlign w:val="center"/>
                </w:tcPr>
                <w:p w14:paraId="6DA8332B">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vAlign w:val="center"/>
                </w:tcPr>
                <w:p w14:paraId="75E0CA8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9" w:type="pct"/>
                  <w:vMerge w:val="continue"/>
                  <w:vAlign w:val="center"/>
                </w:tcPr>
                <w:p w14:paraId="3CD547B6">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vMerge w:val="continue"/>
                  <w:vAlign w:val="center"/>
                </w:tcPr>
                <w:p w14:paraId="1B3D1B6C">
                  <w:pPr>
                    <w:keepNext w:val="0"/>
                    <w:keepLines w:val="0"/>
                    <w:suppressLineNumbers w:val="0"/>
                    <w:spacing w:before="0" w:beforeAutospacing="0" w:after="0" w:afterAutospacing="0"/>
                    <w:ind w:left="0" w:right="0"/>
                    <w:jc w:val="center"/>
                    <w:rPr>
                      <w:color w:val="auto"/>
                      <w:szCs w:val="21"/>
                      <w:highlight w:val="none"/>
                    </w:rPr>
                  </w:pPr>
                </w:p>
              </w:tc>
              <w:tc>
                <w:tcPr>
                  <w:tcW w:w="345" w:type="pct"/>
                  <w:vMerge w:val="continue"/>
                  <w:vAlign w:val="center"/>
                </w:tcPr>
                <w:p w14:paraId="0B25E5E8">
                  <w:pPr>
                    <w:keepNext w:val="0"/>
                    <w:keepLines w:val="0"/>
                    <w:suppressLineNumbers w:val="0"/>
                    <w:spacing w:before="0" w:beforeAutospacing="0" w:after="0" w:afterAutospacing="0"/>
                    <w:ind w:left="0" w:right="0"/>
                    <w:jc w:val="center"/>
                    <w:rPr>
                      <w:color w:val="auto"/>
                      <w:szCs w:val="21"/>
                      <w:highlight w:val="none"/>
                    </w:rPr>
                  </w:pPr>
                </w:p>
              </w:tc>
              <w:tc>
                <w:tcPr>
                  <w:tcW w:w="371" w:type="pct"/>
                  <w:vMerge w:val="continue"/>
                  <w:vAlign w:val="center"/>
                </w:tcPr>
                <w:p w14:paraId="05AFF089">
                  <w:pPr>
                    <w:keepNext w:val="0"/>
                    <w:keepLines w:val="0"/>
                    <w:suppressLineNumbers w:val="0"/>
                    <w:spacing w:before="0" w:beforeAutospacing="0" w:after="0" w:afterAutospacing="0"/>
                    <w:ind w:left="0" w:right="0"/>
                    <w:jc w:val="center"/>
                    <w:rPr>
                      <w:color w:val="auto"/>
                      <w:szCs w:val="21"/>
                      <w:highlight w:val="none"/>
                    </w:rPr>
                  </w:pPr>
                </w:p>
              </w:tc>
              <w:tc>
                <w:tcPr>
                  <w:tcW w:w="205" w:type="pct"/>
                  <w:vMerge w:val="continue"/>
                  <w:vAlign w:val="center"/>
                </w:tcPr>
                <w:p w14:paraId="4EF325D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vAlign w:val="center"/>
                </w:tcPr>
                <w:p w14:paraId="4577996C">
                  <w:pPr>
                    <w:keepNext w:val="0"/>
                    <w:keepLines w:val="0"/>
                    <w:suppressLineNumbers w:val="0"/>
                    <w:spacing w:before="0" w:beforeAutospacing="0" w:after="0" w:afterAutospacing="0"/>
                    <w:ind w:left="0" w:right="0"/>
                    <w:jc w:val="center"/>
                    <w:rPr>
                      <w:color w:val="auto"/>
                      <w:szCs w:val="21"/>
                      <w:highlight w:val="none"/>
                    </w:rPr>
                  </w:pPr>
                </w:p>
              </w:tc>
              <w:tc>
                <w:tcPr>
                  <w:tcW w:w="238" w:type="pct"/>
                  <w:vMerge w:val="continue"/>
                  <w:vAlign w:val="center"/>
                </w:tcPr>
                <w:p w14:paraId="0F42A3EE">
                  <w:pPr>
                    <w:keepNext w:val="0"/>
                    <w:keepLines w:val="0"/>
                    <w:suppressLineNumbers w:val="0"/>
                    <w:spacing w:before="0" w:beforeAutospacing="0" w:after="0" w:afterAutospacing="0"/>
                    <w:ind w:left="0" w:right="0"/>
                    <w:jc w:val="center"/>
                    <w:rPr>
                      <w:color w:val="auto"/>
                      <w:szCs w:val="21"/>
                      <w:highlight w:val="none"/>
                    </w:rPr>
                  </w:pPr>
                </w:p>
              </w:tc>
            </w:tr>
            <w:tr w14:paraId="1FB03774">
              <w:trPr>
                <w:trHeight w:val="454" w:hRule="atLeast"/>
                <w:jc w:val="center"/>
              </w:trPr>
              <w:tc>
                <w:tcPr>
                  <w:tcW w:w="222" w:type="pct"/>
                  <w:vAlign w:val="center"/>
                </w:tcPr>
                <w:p w14:paraId="6F138770">
                  <w:pPr>
                    <w:keepNext w:val="0"/>
                    <w:keepLines w:val="0"/>
                    <w:suppressLineNumbers w:val="0"/>
                    <w:adjustRightInd w:val="0"/>
                    <w:snapToGrid w:val="0"/>
                    <w:spacing w:before="0" w:beforeAutospacing="0" w:after="0" w:afterAutospacing="0"/>
                    <w:ind w:left="-105" w:leftChars="-50" w:right="-105" w:rightChars="-5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固化</w:t>
                  </w:r>
                </w:p>
              </w:tc>
              <w:tc>
                <w:tcPr>
                  <w:tcW w:w="355" w:type="pct"/>
                  <w:vAlign w:val="center"/>
                </w:tcPr>
                <w:p w14:paraId="5C430E6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201" w:type="pct"/>
                  <w:vMerge w:val="continue"/>
                  <w:vAlign w:val="center"/>
                </w:tcPr>
                <w:p w14:paraId="703C87AC">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shd w:val="clear" w:color="auto" w:fill="auto"/>
                  <w:vAlign w:val="center"/>
                </w:tcPr>
                <w:p w14:paraId="2848BF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1.6</w:t>
                  </w:r>
                </w:p>
              </w:tc>
              <w:tc>
                <w:tcPr>
                  <w:tcW w:w="406" w:type="pct"/>
                  <w:shd w:val="clear" w:color="auto" w:fill="auto"/>
                  <w:vAlign w:val="center"/>
                </w:tcPr>
                <w:p w14:paraId="44699C5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48</w:t>
                  </w:r>
                </w:p>
              </w:tc>
              <w:tc>
                <w:tcPr>
                  <w:tcW w:w="386" w:type="pct"/>
                  <w:shd w:val="clear" w:color="auto" w:fill="auto"/>
                  <w:vAlign w:val="center"/>
                </w:tcPr>
                <w:p w14:paraId="7FF5CF7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057</w:t>
                  </w:r>
                </w:p>
              </w:tc>
              <w:tc>
                <w:tcPr>
                  <w:tcW w:w="270" w:type="pct"/>
                  <w:vMerge w:val="continue"/>
                  <w:shd w:val="clear" w:color="auto" w:fill="auto"/>
                  <w:vAlign w:val="center"/>
                </w:tcPr>
                <w:p w14:paraId="144EF57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c>
                <w:tcPr>
                  <w:tcW w:w="325" w:type="pct"/>
                  <w:vMerge w:val="continue"/>
                  <w:shd w:val="clear" w:color="auto" w:fill="auto"/>
                  <w:vAlign w:val="center"/>
                </w:tcPr>
                <w:p w14:paraId="071C3C6C">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p>
              </w:tc>
              <w:tc>
                <w:tcPr>
                  <w:tcW w:w="174" w:type="pct"/>
                  <w:vMerge w:val="continue"/>
                  <w:vAlign w:val="center"/>
                </w:tcPr>
                <w:p w14:paraId="365C341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p>
              </w:tc>
              <w:tc>
                <w:tcPr>
                  <w:tcW w:w="260" w:type="pct"/>
                  <w:vMerge w:val="continue"/>
                  <w:vAlign w:val="center"/>
                </w:tcPr>
                <w:p w14:paraId="439B6A1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vAlign w:val="center"/>
                </w:tcPr>
                <w:p w14:paraId="5D2A736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9" w:type="pct"/>
                  <w:vMerge w:val="continue"/>
                  <w:vAlign w:val="center"/>
                </w:tcPr>
                <w:p w14:paraId="7ABE27C8">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vMerge w:val="continue"/>
                  <w:vAlign w:val="center"/>
                </w:tcPr>
                <w:p w14:paraId="5F520CC8">
                  <w:pPr>
                    <w:keepNext w:val="0"/>
                    <w:keepLines w:val="0"/>
                    <w:suppressLineNumbers w:val="0"/>
                    <w:spacing w:before="0" w:beforeAutospacing="0" w:after="0" w:afterAutospacing="0"/>
                    <w:ind w:left="0" w:right="0"/>
                    <w:jc w:val="center"/>
                    <w:rPr>
                      <w:rFonts w:hint="eastAsia"/>
                      <w:color w:val="auto"/>
                      <w:szCs w:val="21"/>
                      <w:highlight w:val="none"/>
                    </w:rPr>
                  </w:pPr>
                </w:p>
              </w:tc>
              <w:tc>
                <w:tcPr>
                  <w:tcW w:w="345" w:type="pct"/>
                  <w:vMerge w:val="continue"/>
                  <w:vAlign w:val="center"/>
                </w:tcPr>
                <w:p w14:paraId="14604444">
                  <w:pPr>
                    <w:keepNext w:val="0"/>
                    <w:keepLines w:val="0"/>
                    <w:suppressLineNumbers w:val="0"/>
                    <w:spacing w:before="0" w:beforeAutospacing="0" w:after="0" w:afterAutospacing="0"/>
                    <w:ind w:left="0" w:right="0"/>
                    <w:jc w:val="center"/>
                    <w:rPr>
                      <w:rFonts w:hint="eastAsia"/>
                      <w:color w:val="auto"/>
                      <w:szCs w:val="21"/>
                      <w:highlight w:val="none"/>
                    </w:rPr>
                  </w:pPr>
                </w:p>
              </w:tc>
              <w:tc>
                <w:tcPr>
                  <w:tcW w:w="371" w:type="pct"/>
                  <w:vMerge w:val="continue"/>
                  <w:vAlign w:val="center"/>
                </w:tcPr>
                <w:p w14:paraId="61F2ED54">
                  <w:pPr>
                    <w:keepNext w:val="0"/>
                    <w:keepLines w:val="0"/>
                    <w:suppressLineNumbers w:val="0"/>
                    <w:spacing w:before="0" w:beforeAutospacing="0" w:after="0" w:afterAutospacing="0"/>
                    <w:ind w:left="0" w:right="0"/>
                    <w:jc w:val="center"/>
                    <w:rPr>
                      <w:rFonts w:hint="eastAsia"/>
                      <w:color w:val="auto"/>
                      <w:szCs w:val="21"/>
                      <w:highlight w:val="none"/>
                    </w:rPr>
                  </w:pPr>
                </w:p>
              </w:tc>
              <w:tc>
                <w:tcPr>
                  <w:tcW w:w="205" w:type="pct"/>
                  <w:vMerge w:val="continue"/>
                  <w:vAlign w:val="center"/>
                </w:tcPr>
                <w:p w14:paraId="18B541D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vAlign w:val="center"/>
                </w:tcPr>
                <w:p w14:paraId="22DCE430">
                  <w:pPr>
                    <w:keepNext w:val="0"/>
                    <w:keepLines w:val="0"/>
                    <w:suppressLineNumbers w:val="0"/>
                    <w:spacing w:before="0" w:beforeAutospacing="0" w:after="0" w:afterAutospacing="0"/>
                    <w:ind w:left="0" w:right="0"/>
                    <w:jc w:val="center"/>
                    <w:rPr>
                      <w:color w:val="auto"/>
                      <w:szCs w:val="21"/>
                      <w:highlight w:val="none"/>
                    </w:rPr>
                  </w:pPr>
                </w:p>
              </w:tc>
              <w:tc>
                <w:tcPr>
                  <w:tcW w:w="238" w:type="pct"/>
                  <w:vMerge w:val="continue"/>
                  <w:vAlign w:val="center"/>
                </w:tcPr>
                <w:p w14:paraId="2DE4AA27">
                  <w:pPr>
                    <w:keepNext w:val="0"/>
                    <w:keepLines w:val="0"/>
                    <w:suppressLineNumbers w:val="0"/>
                    <w:spacing w:before="0" w:beforeAutospacing="0" w:after="0" w:afterAutospacing="0"/>
                    <w:ind w:left="0" w:right="0"/>
                    <w:jc w:val="center"/>
                    <w:rPr>
                      <w:color w:val="auto"/>
                      <w:szCs w:val="21"/>
                      <w:highlight w:val="none"/>
                    </w:rPr>
                  </w:pPr>
                </w:p>
              </w:tc>
            </w:tr>
          </w:tbl>
          <w:p w14:paraId="54A14847">
            <w:pPr>
              <w:keepNext w:val="0"/>
              <w:keepLines w:val="0"/>
              <w:suppressLineNumbers w:val="0"/>
              <w:spacing w:before="0" w:beforeLines="50" w:beforeAutospacing="0" w:after="0" w:afterAutospacing="0"/>
              <w:ind w:left="0" w:right="0"/>
              <w:jc w:val="center"/>
              <w:rPr>
                <w:b/>
                <w:color w:val="auto"/>
                <w:sz w:val="24"/>
                <w:szCs w:val="22"/>
                <w:highlight w:val="none"/>
              </w:rPr>
            </w:pPr>
            <w:r>
              <w:rPr>
                <w:rFonts w:hAnsi="宋体"/>
                <w:b/>
                <w:color w:val="auto"/>
                <w:sz w:val="24"/>
                <w:szCs w:val="22"/>
                <w:highlight w:val="none"/>
              </w:rPr>
              <w:t>表</w:t>
            </w:r>
            <w:r>
              <w:rPr>
                <w:b/>
                <w:color w:val="auto"/>
                <w:sz w:val="24"/>
                <w:szCs w:val="22"/>
                <w:highlight w:val="none"/>
              </w:rPr>
              <w:t>4-</w:t>
            </w:r>
            <w:r>
              <w:rPr>
                <w:rFonts w:hint="eastAsia"/>
                <w:b/>
                <w:color w:val="auto"/>
                <w:sz w:val="24"/>
                <w:szCs w:val="22"/>
                <w:highlight w:val="none"/>
                <w:lang w:val="en-US" w:eastAsia="zh-CN"/>
              </w:rPr>
              <w:t>5</w:t>
            </w:r>
            <w:r>
              <w:rPr>
                <w:b/>
                <w:color w:val="auto"/>
                <w:sz w:val="24"/>
                <w:szCs w:val="22"/>
                <w:highlight w:val="none"/>
              </w:rPr>
              <w:t xml:space="preserve">  </w:t>
            </w:r>
            <w:r>
              <w:rPr>
                <w:rFonts w:hAnsi="宋体"/>
                <w:b/>
                <w:color w:val="auto"/>
                <w:sz w:val="24"/>
                <w:szCs w:val="22"/>
                <w:highlight w:val="none"/>
              </w:rPr>
              <w:t>项目无组织废气污染源源强合并结果及相关参数一览表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22"/>
              <w:gridCol w:w="2039"/>
              <w:gridCol w:w="1633"/>
              <w:gridCol w:w="1222"/>
              <w:gridCol w:w="1224"/>
              <w:gridCol w:w="1495"/>
              <w:gridCol w:w="1450"/>
              <w:gridCol w:w="1346"/>
              <w:gridCol w:w="1182"/>
            </w:tblGrid>
            <w:tr w14:paraId="261494FE">
              <w:trPr>
                <w:trHeight w:val="336" w:hRule="atLeast"/>
                <w:jc w:val="center"/>
              </w:trPr>
              <w:tc>
                <w:tcPr>
                  <w:tcW w:w="546" w:type="pct"/>
                  <w:vMerge w:val="restart"/>
                  <w:vAlign w:val="center"/>
                </w:tcPr>
                <w:p w14:paraId="612536D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污染源位置</w:t>
                  </w:r>
                </w:p>
              </w:tc>
              <w:tc>
                <w:tcPr>
                  <w:tcW w:w="783" w:type="pct"/>
                  <w:vMerge w:val="restart"/>
                  <w:vAlign w:val="center"/>
                </w:tcPr>
                <w:p w14:paraId="0B7A3FF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污染物名称</w:t>
                  </w:r>
                </w:p>
              </w:tc>
              <w:tc>
                <w:tcPr>
                  <w:tcW w:w="627" w:type="pct"/>
                  <w:vMerge w:val="restart"/>
                  <w:vAlign w:val="center"/>
                </w:tcPr>
                <w:p w14:paraId="1F530C2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核算方法</w:t>
                  </w:r>
                </w:p>
              </w:tc>
              <w:tc>
                <w:tcPr>
                  <w:tcW w:w="939" w:type="pct"/>
                  <w:gridSpan w:val="2"/>
                  <w:vAlign w:val="center"/>
                </w:tcPr>
                <w:p w14:paraId="5D8606D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排放源强</w:t>
                  </w:r>
                </w:p>
              </w:tc>
              <w:tc>
                <w:tcPr>
                  <w:tcW w:w="574" w:type="pct"/>
                  <w:vMerge w:val="restart"/>
                  <w:vAlign w:val="center"/>
                </w:tcPr>
                <w:p w14:paraId="289C555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面源长度</w:t>
                  </w:r>
                </w:p>
                <w:p w14:paraId="52DC331B">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eastAsia="zh-CN"/>
                    </w:rPr>
                    <w:t>(</w:t>
                  </w:r>
                  <w:r>
                    <w:rPr>
                      <w:color w:val="auto"/>
                      <w:szCs w:val="21"/>
                      <w:highlight w:val="none"/>
                    </w:rPr>
                    <w:t>m</w:t>
                  </w:r>
                  <w:r>
                    <w:rPr>
                      <w:rFonts w:hint="eastAsia"/>
                      <w:color w:val="auto"/>
                      <w:szCs w:val="21"/>
                      <w:highlight w:val="none"/>
                      <w:lang w:eastAsia="zh-CN"/>
                    </w:rPr>
                    <w:t>)</w:t>
                  </w:r>
                </w:p>
              </w:tc>
              <w:tc>
                <w:tcPr>
                  <w:tcW w:w="557" w:type="pct"/>
                  <w:vMerge w:val="restart"/>
                  <w:vAlign w:val="center"/>
                </w:tcPr>
                <w:p w14:paraId="7571CE03">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面源宽度</w:t>
                  </w:r>
                </w:p>
                <w:p w14:paraId="3DBAC36A">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eastAsia="zh-CN"/>
                    </w:rPr>
                    <w:t>(</w:t>
                  </w:r>
                  <w:r>
                    <w:rPr>
                      <w:color w:val="auto"/>
                      <w:szCs w:val="21"/>
                      <w:highlight w:val="none"/>
                    </w:rPr>
                    <w:t>m</w:t>
                  </w:r>
                  <w:r>
                    <w:rPr>
                      <w:rFonts w:hint="eastAsia"/>
                      <w:color w:val="auto"/>
                      <w:szCs w:val="21"/>
                      <w:highlight w:val="none"/>
                      <w:lang w:eastAsia="zh-CN"/>
                    </w:rPr>
                    <w:t>)</w:t>
                  </w:r>
                </w:p>
              </w:tc>
              <w:tc>
                <w:tcPr>
                  <w:tcW w:w="517" w:type="pct"/>
                  <w:vMerge w:val="restart"/>
                  <w:vAlign w:val="center"/>
                </w:tcPr>
                <w:p w14:paraId="45CD0DD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面源高度</w:t>
                  </w:r>
                </w:p>
                <w:p w14:paraId="783C6685">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eastAsia="zh-CN"/>
                    </w:rPr>
                    <w:t>(</w:t>
                  </w:r>
                  <w:r>
                    <w:rPr>
                      <w:color w:val="auto"/>
                      <w:szCs w:val="21"/>
                      <w:highlight w:val="none"/>
                    </w:rPr>
                    <w:t>m</w:t>
                  </w:r>
                  <w:r>
                    <w:rPr>
                      <w:rFonts w:hint="eastAsia"/>
                      <w:color w:val="auto"/>
                      <w:szCs w:val="21"/>
                      <w:highlight w:val="none"/>
                      <w:lang w:eastAsia="zh-CN"/>
                    </w:rPr>
                    <w:t>)</w:t>
                  </w:r>
                </w:p>
              </w:tc>
              <w:tc>
                <w:tcPr>
                  <w:tcW w:w="454" w:type="pct"/>
                  <w:vMerge w:val="restart"/>
                  <w:vAlign w:val="center"/>
                </w:tcPr>
                <w:p w14:paraId="4D09D3B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排放时间</w:t>
                  </w:r>
                </w:p>
                <w:p w14:paraId="05011F0B">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eastAsia="zh-CN"/>
                    </w:rPr>
                    <w:t>(</w:t>
                  </w:r>
                  <w:r>
                    <w:rPr>
                      <w:color w:val="auto"/>
                      <w:szCs w:val="21"/>
                      <w:highlight w:val="none"/>
                    </w:rPr>
                    <w:t>h</w:t>
                  </w:r>
                  <w:r>
                    <w:rPr>
                      <w:rFonts w:hint="eastAsia"/>
                      <w:color w:val="auto"/>
                      <w:szCs w:val="21"/>
                      <w:highlight w:val="none"/>
                      <w:lang w:eastAsia="zh-CN"/>
                    </w:rPr>
                    <w:t>)</w:t>
                  </w:r>
                </w:p>
              </w:tc>
            </w:tr>
            <w:tr w14:paraId="6D4F025B">
              <w:trPr>
                <w:trHeight w:val="336" w:hRule="atLeast"/>
                <w:jc w:val="center"/>
              </w:trPr>
              <w:tc>
                <w:tcPr>
                  <w:tcW w:w="546" w:type="pct"/>
                  <w:vMerge w:val="continue"/>
                  <w:vAlign w:val="center"/>
                </w:tcPr>
                <w:p w14:paraId="401DBB75">
                  <w:pPr>
                    <w:keepNext w:val="0"/>
                    <w:keepLines w:val="0"/>
                    <w:suppressLineNumbers w:val="0"/>
                    <w:spacing w:before="0" w:beforeAutospacing="0" w:after="0" w:afterAutospacing="0"/>
                    <w:ind w:left="0" w:right="0"/>
                    <w:jc w:val="center"/>
                    <w:rPr>
                      <w:b/>
                      <w:color w:val="auto"/>
                      <w:szCs w:val="21"/>
                      <w:highlight w:val="none"/>
                    </w:rPr>
                  </w:pPr>
                </w:p>
              </w:tc>
              <w:tc>
                <w:tcPr>
                  <w:tcW w:w="783" w:type="pct"/>
                  <w:vMerge w:val="continue"/>
                  <w:vAlign w:val="center"/>
                </w:tcPr>
                <w:p w14:paraId="49C6BA76">
                  <w:pPr>
                    <w:keepNext w:val="0"/>
                    <w:keepLines w:val="0"/>
                    <w:suppressLineNumbers w:val="0"/>
                    <w:spacing w:before="0" w:beforeAutospacing="0" w:after="0" w:afterAutospacing="0"/>
                    <w:ind w:left="0" w:right="0"/>
                    <w:jc w:val="center"/>
                    <w:rPr>
                      <w:b/>
                      <w:color w:val="auto"/>
                      <w:szCs w:val="21"/>
                      <w:highlight w:val="none"/>
                    </w:rPr>
                  </w:pPr>
                </w:p>
              </w:tc>
              <w:tc>
                <w:tcPr>
                  <w:tcW w:w="627" w:type="pct"/>
                  <w:vMerge w:val="continue"/>
                  <w:vAlign w:val="center"/>
                </w:tcPr>
                <w:p w14:paraId="0ACA0AB2">
                  <w:pPr>
                    <w:keepNext w:val="0"/>
                    <w:keepLines w:val="0"/>
                    <w:suppressLineNumbers w:val="0"/>
                    <w:spacing w:before="0" w:beforeAutospacing="0" w:after="0" w:afterAutospacing="0"/>
                    <w:ind w:left="0" w:right="0"/>
                    <w:jc w:val="center"/>
                    <w:rPr>
                      <w:b/>
                      <w:color w:val="auto"/>
                      <w:szCs w:val="21"/>
                      <w:highlight w:val="none"/>
                    </w:rPr>
                  </w:pPr>
                </w:p>
              </w:tc>
              <w:tc>
                <w:tcPr>
                  <w:tcW w:w="469" w:type="pct"/>
                  <w:vAlign w:val="center"/>
                </w:tcPr>
                <w:p w14:paraId="73F518D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kg/h</w:t>
                  </w:r>
                </w:p>
              </w:tc>
              <w:tc>
                <w:tcPr>
                  <w:tcW w:w="470" w:type="pct"/>
                  <w:vAlign w:val="center"/>
                </w:tcPr>
                <w:p w14:paraId="1D75B81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t/a</w:t>
                  </w:r>
                </w:p>
              </w:tc>
              <w:tc>
                <w:tcPr>
                  <w:tcW w:w="574" w:type="pct"/>
                  <w:vMerge w:val="continue"/>
                  <w:vAlign w:val="center"/>
                </w:tcPr>
                <w:p w14:paraId="656B6108">
                  <w:pPr>
                    <w:keepNext w:val="0"/>
                    <w:keepLines w:val="0"/>
                    <w:suppressLineNumbers w:val="0"/>
                    <w:spacing w:before="0" w:beforeAutospacing="0" w:after="0" w:afterAutospacing="0"/>
                    <w:ind w:left="0" w:right="0"/>
                    <w:jc w:val="center"/>
                    <w:rPr>
                      <w:color w:val="auto"/>
                      <w:szCs w:val="21"/>
                      <w:highlight w:val="none"/>
                    </w:rPr>
                  </w:pPr>
                </w:p>
              </w:tc>
              <w:tc>
                <w:tcPr>
                  <w:tcW w:w="557" w:type="pct"/>
                  <w:vMerge w:val="continue"/>
                  <w:vAlign w:val="center"/>
                </w:tcPr>
                <w:p w14:paraId="487682A8">
                  <w:pPr>
                    <w:keepNext w:val="0"/>
                    <w:keepLines w:val="0"/>
                    <w:suppressLineNumbers w:val="0"/>
                    <w:spacing w:before="0" w:beforeAutospacing="0" w:after="0" w:afterAutospacing="0"/>
                    <w:ind w:left="0" w:right="0"/>
                    <w:jc w:val="center"/>
                    <w:rPr>
                      <w:color w:val="auto"/>
                      <w:szCs w:val="21"/>
                      <w:highlight w:val="none"/>
                    </w:rPr>
                  </w:pPr>
                </w:p>
              </w:tc>
              <w:tc>
                <w:tcPr>
                  <w:tcW w:w="517" w:type="pct"/>
                  <w:vMerge w:val="continue"/>
                  <w:vAlign w:val="center"/>
                </w:tcPr>
                <w:p w14:paraId="5567352C">
                  <w:pPr>
                    <w:keepNext w:val="0"/>
                    <w:keepLines w:val="0"/>
                    <w:suppressLineNumbers w:val="0"/>
                    <w:spacing w:before="0" w:beforeAutospacing="0" w:after="0" w:afterAutospacing="0"/>
                    <w:ind w:left="0" w:right="0"/>
                    <w:jc w:val="center"/>
                    <w:rPr>
                      <w:color w:val="auto"/>
                      <w:szCs w:val="21"/>
                      <w:highlight w:val="none"/>
                    </w:rPr>
                  </w:pPr>
                </w:p>
              </w:tc>
              <w:tc>
                <w:tcPr>
                  <w:tcW w:w="454" w:type="pct"/>
                  <w:vMerge w:val="continue"/>
                  <w:vAlign w:val="center"/>
                </w:tcPr>
                <w:p w14:paraId="6EB9913B">
                  <w:pPr>
                    <w:keepNext w:val="0"/>
                    <w:keepLines w:val="0"/>
                    <w:suppressLineNumbers w:val="0"/>
                    <w:spacing w:before="0" w:beforeAutospacing="0" w:after="0" w:afterAutospacing="0"/>
                    <w:ind w:left="0" w:right="0"/>
                    <w:jc w:val="center"/>
                    <w:rPr>
                      <w:color w:val="auto"/>
                      <w:szCs w:val="21"/>
                      <w:highlight w:val="none"/>
                    </w:rPr>
                  </w:pPr>
                </w:p>
              </w:tc>
            </w:tr>
            <w:tr w14:paraId="6FCAEFA7">
              <w:trPr>
                <w:trHeight w:val="454" w:hRule="atLeast"/>
                <w:jc w:val="center"/>
              </w:trPr>
              <w:tc>
                <w:tcPr>
                  <w:tcW w:w="546" w:type="pct"/>
                  <w:vMerge w:val="restart"/>
                  <w:vAlign w:val="center"/>
                </w:tcPr>
                <w:p w14:paraId="1627DF8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3#厂房</w:t>
                  </w:r>
                </w:p>
              </w:tc>
              <w:tc>
                <w:tcPr>
                  <w:tcW w:w="783" w:type="pct"/>
                  <w:vAlign w:val="center"/>
                </w:tcPr>
                <w:p w14:paraId="2A550E4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627" w:type="pct"/>
                  <w:vMerge w:val="restart"/>
                  <w:vAlign w:val="center"/>
                </w:tcPr>
                <w:p w14:paraId="0F1D287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物料衡算法</w:t>
                  </w:r>
                </w:p>
              </w:tc>
              <w:tc>
                <w:tcPr>
                  <w:tcW w:w="469" w:type="pct"/>
                  <w:vAlign w:val="center"/>
                </w:tcPr>
                <w:p w14:paraId="1C74870A">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0.05265</w:t>
                  </w:r>
                </w:p>
              </w:tc>
              <w:tc>
                <w:tcPr>
                  <w:tcW w:w="470" w:type="pct"/>
                  <w:tcBorders>
                    <w:top w:val="single" w:color="auto" w:sz="4" w:space="0"/>
                  </w:tcBorders>
                  <w:vAlign w:val="center"/>
                </w:tcPr>
                <w:p w14:paraId="143E7B68">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0.0633</w:t>
                  </w:r>
                </w:p>
              </w:tc>
              <w:tc>
                <w:tcPr>
                  <w:tcW w:w="574" w:type="pct"/>
                  <w:vMerge w:val="restart"/>
                  <w:tcBorders>
                    <w:top w:val="single" w:color="auto" w:sz="4" w:space="0"/>
                  </w:tcBorders>
                  <w:vAlign w:val="center"/>
                </w:tcPr>
                <w:p w14:paraId="45FF56A7">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95</w:t>
                  </w:r>
                </w:p>
              </w:tc>
              <w:tc>
                <w:tcPr>
                  <w:tcW w:w="557" w:type="pct"/>
                  <w:vMerge w:val="restart"/>
                  <w:tcBorders>
                    <w:top w:val="single" w:color="auto" w:sz="4" w:space="0"/>
                  </w:tcBorders>
                  <w:vAlign w:val="center"/>
                </w:tcPr>
                <w:p w14:paraId="32064325">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45</w:t>
                  </w:r>
                </w:p>
              </w:tc>
              <w:tc>
                <w:tcPr>
                  <w:tcW w:w="517" w:type="pct"/>
                  <w:vMerge w:val="restart"/>
                  <w:tcBorders>
                    <w:top w:val="single" w:color="auto" w:sz="4" w:space="0"/>
                  </w:tcBorders>
                  <w:vAlign w:val="center"/>
                </w:tcPr>
                <w:p w14:paraId="303A4A9A">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6</w:t>
                  </w:r>
                </w:p>
              </w:tc>
              <w:tc>
                <w:tcPr>
                  <w:tcW w:w="454" w:type="pct"/>
                  <w:vMerge w:val="restart"/>
                  <w:tcBorders>
                    <w:top w:val="single" w:color="auto" w:sz="4" w:space="0"/>
                  </w:tcBorders>
                  <w:vAlign w:val="center"/>
                </w:tcPr>
                <w:p w14:paraId="74124425">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24</w:t>
                  </w:r>
                  <w:r>
                    <w:rPr>
                      <w:color w:val="auto"/>
                      <w:szCs w:val="21"/>
                      <w:highlight w:val="none"/>
                    </w:rPr>
                    <w:t>00</w:t>
                  </w:r>
                </w:p>
              </w:tc>
            </w:tr>
            <w:tr w14:paraId="1726FCBB">
              <w:trPr>
                <w:trHeight w:val="454" w:hRule="atLeast"/>
                <w:jc w:val="center"/>
              </w:trPr>
              <w:tc>
                <w:tcPr>
                  <w:tcW w:w="546" w:type="pct"/>
                  <w:vMerge w:val="continue"/>
                  <w:vAlign w:val="center"/>
                </w:tcPr>
                <w:p w14:paraId="09CE0152">
                  <w:pPr>
                    <w:keepNext w:val="0"/>
                    <w:keepLines w:val="0"/>
                    <w:suppressLineNumbers w:val="0"/>
                    <w:spacing w:before="0" w:beforeAutospacing="0" w:after="0" w:afterAutospacing="0"/>
                    <w:ind w:left="0" w:right="0"/>
                    <w:jc w:val="center"/>
                    <w:rPr>
                      <w:color w:val="auto"/>
                      <w:szCs w:val="21"/>
                      <w:highlight w:val="none"/>
                    </w:rPr>
                  </w:pPr>
                </w:p>
              </w:tc>
              <w:tc>
                <w:tcPr>
                  <w:tcW w:w="783" w:type="pct"/>
                  <w:vAlign w:val="center"/>
                </w:tcPr>
                <w:p w14:paraId="18DD36C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颗粒物</w:t>
                  </w:r>
                </w:p>
              </w:tc>
              <w:tc>
                <w:tcPr>
                  <w:tcW w:w="627" w:type="pct"/>
                  <w:vMerge w:val="continue"/>
                  <w:vAlign w:val="center"/>
                </w:tcPr>
                <w:p w14:paraId="70376B7E">
                  <w:pPr>
                    <w:keepNext w:val="0"/>
                    <w:keepLines w:val="0"/>
                    <w:suppressLineNumbers w:val="0"/>
                    <w:spacing w:before="0" w:beforeAutospacing="0" w:after="0" w:afterAutospacing="0"/>
                    <w:ind w:left="0" w:right="0"/>
                    <w:jc w:val="center"/>
                    <w:rPr>
                      <w:color w:val="auto"/>
                      <w:szCs w:val="21"/>
                      <w:highlight w:val="none"/>
                    </w:rPr>
                  </w:pPr>
                </w:p>
              </w:tc>
              <w:tc>
                <w:tcPr>
                  <w:tcW w:w="469" w:type="pct"/>
                  <w:shd w:val="clear" w:color="auto" w:fill="auto"/>
                  <w:vAlign w:val="center"/>
                </w:tcPr>
                <w:p w14:paraId="1BB864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0.1816</w:t>
                  </w:r>
                </w:p>
              </w:tc>
              <w:tc>
                <w:tcPr>
                  <w:tcW w:w="470" w:type="pct"/>
                  <w:tcBorders>
                    <w:top w:val="single" w:color="auto" w:sz="4" w:space="0"/>
                  </w:tcBorders>
                  <w:shd w:val="clear" w:color="auto" w:fill="auto"/>
                  <w:vAlign w:val="center"/>
                </w:tcPr>
                <w:p w14:paraId="5BA1F37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0.2823</w:t>
                  </w:r>
                </w:p>
              </w:tc>
              <w:tc>
                <w:tcPr>
                  <w:tcW w:w="574" w:type="pct"/>
                  <w:vMerge w:val="continue"/>
                  <w:tcBorders>
                    <w:top w:val="single" w:color="auto" w:sz="4" w:space="0"/>
                  </w:tcBorders>
                  <w:vAlign w:val="center"/>
                </w:tcPr>
                <w:p w14:paraId="21B41F1F">
                  <w:pPr>
                    <w:keepNext w:val="0"/>
                    <w:keepLines w:val="0"/>
                    <w:suppressLineNumbers w:val="0"/>
                    <w:spacing w:before="0" w:beforeAutospacing="0" w:after="0" w:afterAutospacing="0"/>
                    <w:ind w:left="0" w:right="0"/>
                    <w:jc w:val="center"/>
                    <w:rPr>
                      <w:color w:val="auto"/>
                      <w:szCs w:val="21"/>
                      <w:highlight w:val="none"/>
                    </w:rPr>
                  </w:pPr>
                </w:p>
              </w:tc>
              <w:tc>
                <w:tcPr>
                  <w:tcW w:w="557" w:type="pct"/>
                  <w:vMerge w:val="continue"/>
                  <w:tcBorders>
                    <w:top w:val="single" w:color="auto" w:sz="4" w:space="0"/>
                  </w:tcBorders>
                  <w:vAlign w:val="center"/>
                </w:tcPr>
                <w:p w14:paraId="1511F7E3">
                  <w:pPr>
                    <w:keepNext w:val="0"/>
                    <w:keepLines w:val="0"/>
                    <w:suppressLineNumbers w:val="0"/>
                    <w:spacing w:before="0" w:beforeAutospacing="0" w:after="0" w:afterAutospacing="0"/>
                    <w:ind w:left="0" w:right="0"/>
                    <w:jc w:val="center"/>
                    <w:rPr>
                      <w:color w:val="auto"/>
                      <w:szCs w:val="21"/>
                      <w:highlight w:val="none"/>
                    </w:rPr>
                  </w:pPr>
                </w:p>
              </w:tc>
              <w:tc>
                <w:tcPr>
                  <w:tcW w:w="517" w:type="pct"/>
                  <w:vMerge w:val="continue"/>
                  <w:tcBorders>
                    <w:top w:val="single" w:color="auto" w:sz="4" w:space="0"/>
                  </w:tcBorders>
                  <w:vAlign w:val="center"/>
                </w:tcPr>
                <w:p w14:paraId="5C31A966">
                  <w:pPr>
                    <w:keepNext w:val="0"/>
                    <w:keepLines w:val="0"/>
                    <w:suppressLineNumbers w:val="0"/>
                    <w:spacing w:before="0" w:beforeAutospacing="0" w:after="0" w:afterAutospacing="0"/>
                    <w:ind w:left="0" w:right="0"/>
                    <w:jc w:val="center"/>
                    <w:rPr>
                      <w:color w:val="auto"/>
                      <w:szCs w:val="21"/>
                      <w:highlight w:val="none"/>
                    </w:rPr>
                  </w:pPr>
                </w:p>
              </w:tc>
              <w:tc>
                <w:tcPr>
                  <w:tcW w:w="454" w:type="pct"/>
                  <w:vMerge w:val="continue"/>
                  <w:tcBorders>
                    <w:top w:val="single" w:color="auto" w:sz="4" w:space="0"/>
                  </w:tcBorders>
                  <w:vAlign w:val="center"/>
                </w:tcPr>
                <w:p w14:paraId="4AA0E6CF">
                  <w:pPr>
                    <w:keepNext w:val="0"/>
                    <w:keepLines w:val="0"/>
                    <w:suppressLineNumbers w:val="0"/>
                    <w:spacing w:before="0" w:beforeAutospacing="0" w:after="0" w:afterAutospacing="0"/>
                    <w:ind w:left="0" w:right="0"/>
                    <w:jc w:val="center"/>
                    <w:rPr>
                      <w:color w:val="auto"/>
                      <w:szCs w:val="21"/>
                      <w:highlight w:val="none"/>
                    </w:rPr>
                  </w:pPr>
                </w:p>
              </w:tc>
            </w:tr>
          </w:tbl>
          <w:p w14:paraId="18FE4E1A">
            <w:pPr>
              <w:keepNext w:val="0"/>
              <w:keepLines w:val="0"/>
              <w:suppressLineNumbers w:val="0"/>
              <w:adjustRightInd w:val="0"/>
              <w:snapToGrid w:val="0"/>
              <w:spacing w:before="0" w:beforeLines="50" w:beforeAutospacing="0" w:after="0" w:afterAutospacing="0"/>
              <w:ind w:left="0" w:right="0"/>
              <w:jc w:val="center"/>
              <w:rPr>
                <w:rFonts w:hAnsi="宋体"/>
                <w:b/>
                <w:color w:val="auto"/>
                <w:sz w:val="24"/>
                <w:highlight w:val="none"/>
              </w:rPr>
            </w:pPr>
          </w:p>
          <w:p w14:paraId="52570505">
            <w:pPr>
              <w:keepNext w:val="0"/>
              <w:keepLines w:val="0"/>
              <w:suppressLineNumbers w:val="0"/>
              <w:adjustRightInd w:val="0"/>
              <w:snapToGrid w:val="0"/>
              <w:spacing w:before="0" w:beforeLines="50" w:beforeAutospacing="0" w:after="0" w:afterAutospacing="0"/>
              <w:ind w:left="0" w:right="0"/>
              <w:jc w:val="center"/>
              <w:rPr>
                <w:rFonts w:hAnsi="宋体"/>
                <w:b/>
                <w:color w:val="auto"/>
                <w:sz w:val="24"/>
                <w:highlight w:val="none"/>
              </w:rPr>
            </w:pPr>
          </w:p>
          <w:p w14:paraId="63E4D264">
            <w:pPr>
              <w:keepNext w:val="0"/>
              <w:keepLines w:val="0"/>
              <w:suppressLineNumbers w:val="0"/>
              <w:adjustRightInd w:val="0"/>
              <w:snapToGrid w:val="0"/>
              <w:spacing w:before="0" w:beforeLines="50" w:beforeAutospacing="0" w:after="0" w:afterAutospacing="0"/>
              <w:ind w:left="0" w:right="0"/>
              <w:jc w:val="center"/>
              <w:rPr>
                <w:b/>
                <w:color w:val="auto"/>
                <w:kern w:val="0"/>
                <w:sz w:val="28"/>
                <w:szCs w:val="28"/>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6</w:t>
            </w:r>
            <w:r>
              <w:rPr>
                <w:b/>
                <w:color w:val="auto"/>
                <w:sz w:val="24"/>
                <w:highlight w:val="none"/>
              </w:rPr>
              <w:t xml:space="preserve">  </w:t>
            </w:r>
            <w:r>
              <w:rPr>
                <w:rFonts w:hAnsi="宋体"/>
                <w:b/>
                <w:color w:val="auto"/>
                <w:sz w:val="24"/>
                <w:highlight w:val="none"/>
              </w:rPr>
              <w:t>项目废气排放口基本信息表</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4"/>
              <w:gridCol w:w="987"/>
              <w:gridCol w:w="1323"/>
              <w:gridCol w:w="1701"/>
              <w:gridCol w:w="1422"/>
              <w:gridCol w:w="1276"/>
              <w:gridCol w:w="992"/>
              <w:gridCol w:w="1134"/>
              <w:gridCol w:w="1030"/>
              <w:gridCol w:w="1180"/>
              <w:gridCol w:w="1154"/>
            </w:tblGrid>
            <w:tr w14:paraId="2CBFC8CD">
              <w:trPr>
                <w:trHeight w:val="397" w:hRule="atLeast"/>
              </w:trPr>
              <w:tc>
                <w:tcPr>
                  <w:tcW w:w="804" w:type="dxa"/>
                  <w:vMerge w:val="restart"/>
                  <w:vAlign w:val="center"/>
                </w:tcPr>
                <w:p w14:paraId="66381F2E">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序号</w:t>
                  </w:r>
                </w:p>
              </w:tc>
              <w:tc>
                <w:tcPr>
                  <w:tcW w:w="987" w:type="dxa"/>
                  <w:vMerge w:val="restart"/>
                  <w:vAlign w:val="center"/>
                </w:tcPr>
                <w:p w14:paraId="40488A10">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排放口</w:t>
                  </w:r>
                </w:p>
                <w:p w14:paraId="00E1EE41">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编号</w:t>
                  </w:r>
                </w:p>
              </w:tc>
              <w:tc>
                <w:tcPr>
                  <w:tcW w:w="1323" w:type="dxa"/>
                  <w:vMerge w:val="restart"/>
                  <w:vAlign w:val="center"/>
                </w:tcPr>
                <w:p w14:paraId="1FB46F37">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排放口名称</w:t>
                  </w:r>
                </w:p>
              </w:tc>
              <w:tc>
                <w:tcPr>
                  <w:tcW w:w="1701" w:type="dxa"/>
                  <w:vMerge w:val="restart"/>
                  <w:vAlign w:val="center"/>
                </w:tcPr>
                <w:p w14:paraId="30975B2C">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污染物种类</w:t>
                  </w:r>
                </w:p>
              </w:tc>
              <w:tc>
                <w:tcPr>
                  <w:tcW w:w="2698" w:type="dxa"/>
                  <w:gridSpan w:val="2"/>
                  <w:vAlign w:val="center"/>
                </w:tcPr>
                <w:p w14:paraId="4F5B43C6">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排放口地理坐标</w:t>
                  </w:r>
                </w:p>
              </w:tc>
              <w:tc>
                <w:tcPr>
                  <w:tcW w:w="3156" w:type="dxa"/>
                  <w:gridSpan w:val="3"/>
                  <w:vAlign w:val="center"/>
                </w:tcPr>
                <w:p w14:paraId="20529524">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排气筒参数</w:t>
                  </w:r>
                </w:p>
              </w:tc>
              <w:tc>
                <w:tcPr>
                  <w:tcW w:w="1180" w:type="dxa"/>
                  <w:vMerge w:val="restart"/>
                  <w:vAlign w:val="center"/>
                </w:tcPr>
                <w:p w14:paraId="32D4ECA1">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排放口</w:t>
                  </w:r>
                </w:p>
                <w:p w14:paraId="13A974C0">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类型</w:t>
                  </w:r>
                </w:p>
              </w:tc>
              <w:tc>
                <w:tcPr>
                  <w:tcW w:w="1154" w:type="dxa"/>
                  <w:vMerge w:val="restart"/>
                  <w:vAlign w:val="center"/>
                </w:tcPr>
                <w:p w14:paraId="458D41DF">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其他信息</w:t>
                  </w:r>
                </w:p>
              </w:tc>
            </w:tr>
            <w:tr w14:paraId="139C6BEE">
              <w:tc>
                <w:tcPr>
                  <w:tcW w:w="804" w:type="dxa"/>
                  <w:vMerge w:val="continue"/>
                  <w:vAlign w:val="center"/>
                </w:tcPr>
                <w:p w14:paraId="25F30C95">
                  <w:pPr>
                    <w:keepNext w:val="0"/>
                    <w:keepLines w:val="0"/>
                    <w:suppressLineNumbers w:val="0"/>
                    <w:adjustRightInd w:val="0"/>
                    <w:snapToGrid w:val="0"/>
                    <w:spacing w:before="0" w:beforeAutospacing="0" w:after="0" w:afterAutospacing="0"/>
                    <w:ind w:left="0" w:right="0"/>
                    <w:contextualSpacing/>
                    <w:jc w:val="center"/>
                    <w:rPr>
                      <w:b/>
                      <w:color w:val="auto"/>
                      <w:kern w:val="0"/>
                      <w:szCs w:val="21"/>
                      <w:highlight w:val="none"/>
                    </w:rPr>
                  </w:pPr>
                </w:p>
              </w:tc>
              <w:tc>
                <w:tcPr>
                  <w:tcW w:w="987" w:type="dxa"/>
                  <w:vMerge w:val="continue"/>
                  <w:vAlign w:val="center"/>
                </w:tcPr>
                <w:p w14:paraId="6F1DF40E">
                  <w:pPr>
                    <w:keepNext w:val="0"/>
                    <w:keepLines w:val="0"/>
                    <w:suppressLineNumbers w:val="0"/>
                    <w:adjustRightInd w:val="0"/>
                    <w:snapToGrid w:val="0"/>
                    <w:spacing w:before="0" w:beforeAutospacing="0" w:after="0" w:afterAutospacing="0"/>
                    <w:ind w:left="0" w:right="0"/>
                    <w:contextualSpacing/>
                    <w:jc w:val="center"/>
                    <w:rPr>
                      <w:b/>
                      <w:color w:val="auto"/>
                      <w:kern w:val="0"/>
                      <w:szCs w:val="21"/>
                      <w:highlight w:val="none"/>
                    </w:rPr>
                  </w:pPr>
                </w:p>
              </w:tc>
              <w:tc>
                <w:tcPr>
                  <w:tcW w:w="1323" w:type="dxa"/>
                  <w:vMerge w:val="continue"/>
                  <w:vAlign w:val="center"/>
                </w:tcPr>
                <w:p w14:paraId="02CDD75A">
                  <w:pPr>
                    <w:keepNext w:val="0"/>
                    <w:keepLines w:val="0"/>
                    <w:suppressLineNumbers w:val="0"/>
                    <w:adjustRightInd w:val="0"/>
                    <w:snapToGrid w:val="0"/>
                    <w:spacing w:before="0" w:beforeAutospacing="0" w:after="0" w:afterAutospacing="0"/>
                    <w:ind w:left="0" w:right="0"/>
                    <w:contextualSpacing/>
                    <w:jc w:val="center"/>
                    <w:rPr>
                      <w:b/>
                      <w:color w:val="auto"/>
                      <w:kern w:val="0"/>
                      <w:szCs w:val="21"/>
                      <w:highlight w:val="none"/>
                    </w:rPr>
                  </w:pPr>
                </w:p>
              </w:tc>
              <w:tc>
                <w:tcPr>
                  <w:tcW w:w="1701" w:type="dxa"/>
                  <w:vMerge w:val="continue"/>
                  <w:vAlign w:val="center"/>
                </w:tcPr>
                <w:p w14:paraId="0F455880">
                  <w:pPr>
                    <w:keepNext w:val="0"/>
                    <w:keepLines w:val="0"/>
                    <w:suppressLineNumbers w:val="0"/>
                    <w:adjustRightInd w:val="0"/>
                    <w:snapToGrid w:val="0"/>
                    <w:spacing w:before="0" w:beforeAutospacing="0" w:after="0" w:afterAutospacing="0"/>
                    <w:ind w:left="0" w:right="0"/>
                    <w:contextualSpacing/>
                    <w:jc w:val="center"/>
                    <w:rPr>
                      <w:b/>
                      <w:color w:val="auto"/>
                      <w:kern w:val="0"/>
                      <w:szCs w:val="21"/>
                      <w:highlight w:val="none"/>
                    </w:rPr>
                  </w:pPr>
                </w:p>
              </w:tc>
              <w:tc>
                <w:tcPr>
                  <w:tcW w:w="1422" w:type="dxa"/>
                  <w:vAlign w:val="center"/>
                </w:tcPr>
                <w:p w14:paraId="33015F19">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经度</w:t>
                  </w:r>
                </w:p>
              </w:tc>
              <w:tc>
                <w:tcPr>
                  <w:tcW w:w="1276" w:type="dxa"/>
                  <w:vAlign w:val="center"/>
                </w:tcPr>
                <w:p w14:paraId="42A57BF4">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纬度</w:t>
                  </w:r>
                </w:p>
              </w:tc>
              <w:tc>
                <w:tcPr>
                  <w:tcW w:w="992" w:type="dxa"/>
                  <w:vAlign w:val="center"/>
                </w:tcPr>
                <w:p w14:paraId="4D2849EA">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排气筒高度</w:t>
                  </w:r>
                  <w:r>
                    <w:rPr>
                      <w:color w:val="auto"/>
                      <w:kern w:val="0"/>
                      <w:szCs w:val="21"/>
                      <w:highlight w:val="none"/>
                    </w:rPr>
                    <w:t>m</w:t>
                  </w:r>
                </w:p>
              </w:tc>
              <w:tc>
                <w:tcPr>
                  <w:tcW w:w="1134" w:type="dxa"/>
                  <w:vAlign w:val="center"/>
                </w:tcPr>
                <w:p w14:paraId="5EA0730E">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排气筒出口内径</w:t>
                  </w:r>
                  <w:r>
                    <w:rPr>
                      <w:color w:val="auto"/>
                      <w:kern w:val="0"/>
                      <w:szCs w:val="21"/>
                      <w:highlight w:val="none"/>
                    </w:rPr>
                    <w:t>m</w:t>
                  </w:r>
                </w:p>
              </w:tc>
              <w:tc>
                <w:tcPr>
                  <w:tcW w:w="1030" w:type="dxa"/>
                  <w:vAlign w:val="center"/>
                </w:tcPr>
                <w:p w14:paraId="4BF6B857">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排气温度</w:t>
                  </w:r>
                </w:p>
                <w:p w14:paraId="27AEC396">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ascii="宋体" w:hAnsi="宋体"/>
                      <w:color w:val="auto"/>
                      <w:kern w:val="0"/>
                      <w:szCs w:val="21"/>
                      <w:highlight w:val="none"/>
                    </w:rPr>
                    <w:t>℃</w:t>
                  </w:r>
                </w:p>
              </w:tc>
              <w:tc>
                <w:tcPr>
                  <w:tcW w:w="1180" w:type="dxa"/>
                  <w:vMerge w:val="continue"/>
                  <w:vAlign w:val="center"/>
                </w:tcPr>
                <w:p w14:paraId="1F1FE51D">
                  <w:pPr>
                    <w:keepNext w:val="0"/>
                    <w:keepLines w:val="0"/>
                    <w:suppressLineNumbers w:val="0"/>
                    <w:adjustRightInd w:val="0"/>
                    <w:snapToGrid w:val="0"/>
                    <w:spacing w:before="0" w:beforeAutospacing="0" w:after="0" w:afterAutospacing="0"/>
                    <w:ind w:left="0" w:right="0"/>
                    <w:contextualSpacing/>
                    <w:jc w:val="center"/>
                    <w:rPr>
                      <w:b/>
                      <w:color w:val="auto"/>
                      <w:kern w:val="0"/>
                      <w:szCs w:val="21"/>
                      <w:highlight w:val="none"/>
                    </w:rPr>
                  </w:pPr>
                </w:p>
              </w:tc>
              <w:tc>
                <w:tcPr>
                  <w:tcW w:w="1154" w:type="dxa"/>
                  <w:vMerge w:val="continue"/>
                  <w:vAlign w:val="center"/>
                </w:tcPr>
                <w:p w14:paraId="3726611E">
                  <w:pPr>
                    <w:keepNext w:val="0"/>
                    <w:keepLines w:val="0"/>
                    <w:suppressLineNumbers w:val="0"/>
                    <w:adjustRightInd w:val="0"/>
                    <w:snapToGrid w:val="0"/>
                    <w:spacing w:before="0" w:beforeAutospacing="0" w:after="0" w:afterAutospacing="0"/>
                    <w:ind w:left="0" w:right="0"/>
                    <w:contextualSpacing/>
                    <w:jc w:val="center"/>
                    <w:rPr>
                      <w:b/>
                      <w:color w:val="auto"/>
                      <w:kern w:val="0"/>
                      <w:szCs w:val="21"/>
                      <w:highlight w:val="none"/>
                    </w:rPr>
                  </w:pPr>
                </w:p>
              </w:tc>
            </w:tr>
            <w:tr w14:paraId="4E1682E3">
              <w:trPr>
                <w:trHeight w:val="397" w:hRule="atLeast"/>
              </w:trPr>
              <w:tc>
                <w:tcPr>
                  <w:tcW w:w="804" w:type="dxa"/>
                  <w:vAlign w:val="center"/>
                </w:tcPr>
                <w:p w14:paraId="00D8D60A">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color w:val="auto"/>
                      <w:kern w:val="0"/>
                      <w:szCs w:val="21"/>
                      <w:highlight w:val="none"/>
                    </w:rPr>
                    <w:t>1</w:t>
                  </w:r>
                </w:p>
              </w:tc>
              <w:tc>
                <w:tcPr>
                  <w:tcW w:w="987" w:type="dxa"/>
                  <w:vAlign w:val="center"/>
                </w:tcPr>
                <w:p w14:paraId="613F12AC">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color w:val="auto"/>
                      <w:kern w:val="0"/>
                      <w:szCs w:val="21"/>
                      <w:highlight w:val="none"/>
                    </w:rPr>
                    <w:t>DA001</w:t>
                  </w:r>
                </w:p>
              </w:tc>
              <w:tc>
                <w:tcPr>
                  <w:tcW w:w="1323" w:type="dxa"/>
                  <w:vAlign w:val="center"/>
                </w:tcPr>
                <w:p w14:paraId="6BA19209">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color w:val="auto"/>
                      <w:kern w:val="0"/>
                      <w:szCs w:val="21"/>
                      <w:highlight w:val="none"/>
                    </w:rPr>
                    <w:t>1#</w:t>
                  </w:r>
                  <w:r>
                    <w:rPr>
                      <w:rFonts w:hAnsi="宋体"/>
                      <w:color w:val="auto"/>
                      <w:kern w:val="0"/>
                      <w:szCs w:val="21"/>
                      <w:highlight w:val="none"/>
                    </w:rPr>
                    <w:t>排气筒</w:t>
                  </w:r>
                </w:p>
              </w:tc>
              <w:tc>
                <w:tcPr>
                  <w:tcW w:w="1701" w:type="dxa"/>
                  <w:shd w:val="clear" w:color="auto" w:fill="auto"/>
                  <w:vAlign w:val="center"/>
                </w:tcPr>
                <w:p w14:paraId="66F58112">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r>
                    <w:rPr>
                      <w:rFonts w:hint="eastAsia"/>
                      <w:color w:val="auto"/>
                      <w:szCs w:val="21"/>
                      <w:highlight w:val="none"/>
                    </w:rPr>
                    <w:t>、</w:t>
                  </w:r>
                  <w:r>
                    <w:rPr>
                      <w:rFonts w:hint="eastAsia" w:hAnsi="宋体"/>
                      <w:color w:val="auto"/>
                      <w:szCs w:val="21"/>
                      <w:highlight w:val="none"/>
                    </w:rPr>
                    <w:t>颗粒物</w:t>
                  </w:r>
                </w:p>
              </w:tc>
              <w:tc>
                <w:tcPr>
                  <w:tcW w:w="1422" w:type="dxa"/>
                  <w:shd w:val="clear" w:color="auto" w:fill="auto"/>
                  <w:vAlign w:val="center"/>
                </w:tcPr>
                <w:p w14:paraId="520E4D71">
                  <w:pPr>
                    <w:keepNext w:val="0"/>
                    <w:keepLines w:val="0"/>
                    <w:suppressLineNumbers w:val="0"/>
                    <w:adjustRightInd w:val="0"/>
                    <w:snapToGrid w:val="0"/>
                    <w:spacing w:before="0" w:beforeAutospacing="0" w:after="0" w:afterAutospacing="0"/>
                    <w:ind w:left="0" w:leftChars="0" w:right="0" w:rightChars="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119.</w:t>
                  </w:r>
                  <w:r>
                    <w:rPr>
                      <w:rFonts w:hint="eastAsia"/>
                      <w:color w:val="auto"/>
                      <w:kern w:val="0"/>
                      <w:szCs w:val="21"/>
                      <w:highlight w:val="none"/>
                      <w:lang w:val="en-US" w:eastAsia="zh-CN"/>
                    </w:rPr>
                    <w:t>253242</w:t>
                  </w:r>
                </w:p>
              </w:tc>
              <w:tc>
                <w:tcPr>
                  <w:tcW w:w="1276" w:type="dxa"/>
                  <w:shd w:val="clear" w:color="auto" w:fill="auto"/>
                  <w:vAlign w:val="center"/>
                </w:tcPr>
                <w:p w14:paraId="1E60FA82">
                  <w:pPr>
                    <w:keepNext w:val="0"/>
                    <w:keepLines w:val="0"/>
                    <w:suppressLineNumbers w:val="0"/>
                    <w:adjustRightInd w:val="0"/>
                    <w:snapToGrid w:val="0"/>
                    <w:spacing w:before="0" w:beforeAutospacing="0" w:after="0" w:afterAutospacing="0"/>
                    <w:ind w:left="0" w:leftChars="0" w:right="0" w:rightChars="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33.</w:t>
                  </w:r>
                  <w:r>
                    <w:rPr>
                      <w:rFonts w:hint="eastAsia"/>
                      <w:color w:val="auto"/>
                      <w:kern w:val="0"/>
                      <w:szCs w:val="21"/>
                      <w:highlight w:val="none"/>
                      <w:lang w:val="en-US" w:eastAsia="zh-CN"/>
                    </w:rPr>
                    <w:t>818356</w:t>
                  </w:r>
                </w:p>
              </w:tc>
              <w:tc>
                <w:tcPr>
                  <w:tcW w:w="992" w:type="dxa"/>
                  <w:shd w:val="clear" w:color="auto" w:fill="auto"/>
                  <w:vAlign w:val="center"/>
                </w:tcPr>
                <w:p w14:paraId="5F2AABDB">
                  <w:pPr>
                    <w:keepNext w:val="0"/>
                    <w:keepLines w:val="0"/>
                    <w:suppressLineNumbers w:val="0"/>
                    <w:adjustRightInd w:val="0"/>
                    <w:snapToGrid w:val="0"/>
                    <w:spacing w:before="0" w:beforeAutospacing="0" w:after="0" w:afterAutospacing="0"/>
                    <w:ind w:left="0" w:leftChars="0" w:right="0" w:rightChars="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15</w:t>
                  </w:r>
                </w:p>
              </w:tc>
              <w:tc>
                <w:tcPr>
                  <w:tcW w:w="1134" w:type="dxa"/>
                  <w:shd w:val="clear" w:color="auto" w:fill="auto"/>
                  <w:vAlign w:val="center"/>
                </w:tcPr>
                <w:p w14:paraId="3F93B2C8">
                  <w:pPr>
                    <w:keepNext w:val="0"/>
                    <w:keepLines w:val="0"/>
                    <w:suppressLineNumbers w:val="0"/>
                    <w:adjustRightInd w:val="0"/>
                    <w:snapToGrid w:val="0"/>
                    <w:spacing w:before="0" w:beforeAutospacing="0" w:after="0" w:afterAutospacing="0"/>
                    <w:ind w:left="0" w:leftChars="0" w:right="0" w:rightChars="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0.</w:t>
                  </w:r>
                  <w:r>
                    <w:rPr>
                      <w:rFonts w:hint="eastAsia"/>
                      <w:color w:val="auto"/>
                      <w:kern w:val="0"/>
                      <w:szCs w:val="21"/>
                      <w:highlight w:val="none"/>
                      <w:lang w:val="en-US" w:eastAsia="zh-CN"/>
                    </w:rPr>
                    <w:t>4</w:t>
                  </w:r>
                </w:p>
              </w:tc>
              <w:tc>
                <w:tcPr>
                  <w:tcW w:w="1030" w:type="dxa"/>
                  <w:shd w:val="clear" w:color="auto" w:fill="auto"/>
                  <w:vAlign w:val="center"/>
                </w:tcPr>
                <w:p w14:paraId="4DED6998">
                  <w:pPr>
                    <w:keepNext w:val="0"/>
                    <w:keepLines w:val="0"/>
                    <w:suppressLineNumbers w:val="0"/>
                    <w:adjustRightInd w:val="0"/>
                    <w:snapToGrid w:val="0"/>
                    <w:spacing w:before="0" w:beforeAutospacing="0" w:after="0" w:afterAutospacing="0"/>
                    <w:ind w:left="0" w:leftChars="0" w:right="0" w:rightChars="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25</w:t>
                  </w:r>
                </w:p>
              </w:tc>
              <w:tc>
                <w:tcPr>
                  <w:tcW w:w="1180" w:type="dxa"/>
                  <w:shd w:val="clear" w:color="auto" w:fill="auto"/>
                  <w:vAlign w:val="center"/>
                </w:tcPr>
                <w:p w14:paraId="2632DC31">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一般</w:t>
                  </w:r>
                </w:p>
                <w:p w14:paraId="5E1D48F8">
                  <w:pPr>
                    <w:keepNext w:val="0"/>
                    <w:keepLines w:val="0"/>
                    <w:suppressLineNumbers w:val="0"/>
                    <w:adjustRightInd w:val="0"/>
                    <w:snapToGrid w:val="0"/>
                    <w:spacing w:before="0" w:beforeAutospacing="0" w:after="0" w:afterAutospacing="0"/>
                    <w:ind w:left="0" w:leftChars="0" w:right="0" w:rightChars="0"/>
                    <w:contextualSpacing/>
                    <w:jc w:val="center"/>
                    <w:rPr>
                      <w:rFonts w:ascii="Times New Roman" w:hAnsi="宋体" w:cs="Times New Roman" w:eastAsiaTheme="minorEastAsia"/>
                      <w:color w:val="auto"/>
                      <w:kern w:val="0"/>
                      <w:sz w:val="21"/>
                      <w:szCs w:val="21"/>
                      <w:highlight w:val="none"/>
                      <w:lang w:val="en-US" w:eastAsia="zh-CN" w:bidi="ar-SA"/>
                    </w:rPr>
                  </w:pPr>
                  <w:r>
                    <w:rPr>
                      <w:rFonts w:hAnsi="宋体"/>
                      <w:color w:val="auto"/>
                      <w:kern w:val="0"/>
                      <w:szCs w:val="21"/>
                      <w:highlight w:val="none"/>
                    </w:rPr>
                    <w:t>排放口</w:t>
                  </w:r>
                </w:p>
              </w:tc>
              <w:tc>
                <w:tcPr>
                  <w:tcW w:w="1154" w:type="dxa"/>
                  <w:vAlign w:val="center"/>
                </w:tcPr>
                <w:p w14:paraId="38D0D277">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color w:val="auto"/>
                      <w:kern w:val="0"/>
                      <w:szCs w:val="21"/>
                      <w:highlight w:val="none"/>
                    </w:rPr>
                    <w:t>/</w:t>
                  </w:r>
                </w:p>
              </w:tc>
            </w:tr>
            <w:tr w14:paraId="2327C688">
              <w:trPr>
                <w:trHeight w:val="397" w:hRule="atLeast"/>
              </w:trPr>
              <w:tc>
                <w:tcPr>
                  <w:tcW w:w="804" w:type="dxa"/>
                  <w:vAlign w:val="center"/>
                </w:tcPr>
                <w:p w14:paraId="22D887AE">
                  <w:pPr>
                    <w:keepNext w:val="0"/>
                    <w:keepLines w:val="0"/>
                    <w:suppressLineNumbers w:val="0"/>
                    <w:adjustRightInd w:val="0"/>
                    <w:snapToGrid w:val="0"/>
                    <w:spacing w:before="0" w:beforeAutospacing="0" w:after="0" w:afterAutospacing="0"/>
                    <w:ind w:left="0" w:right="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2</w:t>
                  </w:r>
                </w:p>
              </w:tc>
              <w:tc>
                <w:tcPr>
                  <w:tcW w:w="987" w:type="dxa"/>
                  <w:vAlign w:val="center"/>
                </w:tcPr>
                <w:p w14:paraId="37E24CB2">
                  <w:pPr>
                    <w:keepNext w:val="0"/>
                    <w:keepLines w:val="0"/>
                    <w:suppressLineNumbers w:val="0"/>
                    <w:adjustRightInd w:val="0"/>
                    <w:snapToGrid w:val="0"/>
                    <w:spacing w:before="0" w:beforeAutospacing="0" w:after="0" w:afterAutospacing="0"/>
                    <w:ind w:left="0" w:right="0"/>
                    <w:contextualSpacing/>
                    <w:jc w:val="center"/>
                    <w:rPr>
                      <w:rFonts w:hint="eastAsia" w:eastAsiaTheme="minorEastAsia"/>
                      <w:color w:val="auto"/>
                      <w:kern w:val="0"/>
                      <w:szCs w:val="21"/>
                      <w:highlight w:val="none"/>
                      <w:lang w:eastAsia="zh-CN"/>
                    </w:rPr>
                  </w:pPr>
                  <w:r>
                    <w:rPr>
                      <w:color w:val="auto"/>
                      <w:kern w:val="0"/>
                      <w:szCs w:val="21"/>
                      <w:highlight w:val="none"/>
                    </w:rPr>
                    <w:t>DA00</w:t>
                  </w:r>
                  <w:r>
                    <w:rPr>
                      <w:rFonts w:hint="eastAsia"/>
                      <w:color w:val="auto"/>
                      <w:kern w:val="0"/>
                      <w:szCs w:val="21"/>
                      <w:highlight w:val="none"/>
                      <w:lang w:val="en-US" w:eastAsia="zh-CN"/>
                    </w:rPr>
                    <w:t>2</w:t>
                  </w:r>
                </w:p>
              </w:tc>
              <w:tc>
                <w:tcPr>
                  <w:tcW w:w="1323" w:type="dxa"/>
                  <w:vAlign w:val="center"/>
                </w:tcPr>
                <w:p w14:paraId="236390DB">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int="eastAsia"/>
                      <w:color w:val="auto"/>
                      <w:kern w:val="0"/>
                      <w:szCs w:val="21"/>
                      <w:highlight w:val="none"/>
                      <w:lang w:val="en-US" w:eastAsia="zh-CN"/>
                    </w:rPr>
                    <w:t>2</w:t>
                  </w:r>
                  <w:r>
                    <w:rPr>
                      <w:color w:val="auto"/>
                      <w:kern w:val="0"/>
                      <w:szCs w:val="21"/>
                      <w:highlight w:val="none"/>
                    </w:rPr>
                    <w:t>#</w:t>
                  </w:r>
                  <w:r>
                    <w:rPr>
                      <w:rFonts w:hAnsi="宋体"/>
                      <w:color w:val="auto"/>
                      <w:kern w:val="0"/>
                      <w:szCs w:val="21"/>
                      <w:highlight w:val="none"/>
                    </w:rPr>
                    <w:t>排气筒</w:t>
                  </w:r>
                </w:p>
              </w:tc>
              <w:tc>
                <w:tcPr>
                  <w:tcW w:w="1701" w:type="dxa"/>
                  <w:vAlign w:val="center"/>
                </w:tcPr>
                <w:p w14:paraId="7437C852">
                  <w:pPr>
                    <w:keepNext w:val="0"/>
                    <w:keepLines w:val="0"/>
                    <w:suppressLineNumbers w:val="0"/>
                    <w:adjustRightInd w:val="0"/>
                    <w:snapToGrid w:val="0"/>
                    <w:spacing w:before="0" w:beforeAutospacing="0" w:after="0" w:afterAutospacing="0"/>
                    <w:ind w:left="-105" w:leftChars="-50" w:right="-105" w:rightChars="-50"/>
                    <w:contextualSpacing/>
                    <w:jc w:val="center"/>
                    <w:rPr>
                      <w:color w:val="auto"/>
                      <w:szCs w:val="21"/>
                      <w:highlight w:val="none"/>
                    </w:rPr>
                  </w:pPr>
                  <w:r>
                    <w:rPr>
                      <w:rFonts w:hint="eastAsia" w:hAnsi="宋体"/>
                      <w:color w:val="auto"/>
                      <w:szCs w:val="21"/>
                      <w:highlight w:val="none"/>
                    </w:rPr>
                    <w:t>颗粒物</w:t>
                  </w:r>
                </w:p>
              </w:tc>
              <w:tc>
                <w:tcPr>
                  <w:tcW w:w="1422" w:type="dxa"/>
                  <w:shd w:val="clear" w:color="auto" w:fill="auto"/>
                  <w:vAlign w:val="center"/>
                </w:tcPr>
                <w:p w14:paraId="612C01D7">
                  <w:pPr>
                    <w:keepNext w:val="0"/>
                    <w:keepLines w:val="0"/>
                    <w:suppressLineNumbers w:val="0"/>
                    <w:adjustRightInd w:val="0"/>
                    <w:snapToGrid w:val="0"/>
                    <w:spacing w:before="0" w:beforeAutospacing="0" w:after="0" w:afterAutospacing="0"/>
                    <w:ind w:left="0" w:leftChars="0" w:right="0" w:rightChars="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119.</w:t>
                  </w:r>
                  <w:r>
                    <w:rPr>
                      <w:rFonts w:hint="eastAsia"/>
                      <w:color w:val="auto"/>
                      <w:kern w:val="0"/>
                      <w:szCs w:val="21"/>
                      <w:highlight w:val="none"/>
                      <w:lang w:val="en-US" w:eastAsia="zh-CN"/>
                    </w:rPr>
                    <w:t>253221</w:t>
                  </w:r>
                </w:p>
              </w:tc>
              <w:tc>
                <w:tcPr>
                  <w:tcW w:w="1276" w:type="dxa"/>
                  <w:shd w:val="clear" w:color="auto" w:fill="auto"/>
                  <w:vAlign w:val="center"/>
                </w:tcPr>
                <w:p w14:paraId="409E7BE7">
                  <w:pPr>
                    <w:keepNext w:val="0"/>
                    <w:keepLines w:val="0"/>
                    <w:suppressLineNumbers w:val="0"/>
                    <w:adjustRightInd w:val="0"/>
                    <w:snapToGrid w:val="0"/>
                    <w:spacing w:before="0" w:beforeAutospacing="0" w:after="0" w:afterAutospacing="0"/>
                    <w:ind w:left="0" w:leftChars="0" w:right="0" w:rightChars="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33.</w:t>
                  </w:r>
                  <w:r>
                    <w:rPr>
                      <w:rFonts w:hint="eastAsia"/>
                      <w:color w:val="auto"/>
                      <w:kern w:val="0"/>
                      <w:szCs w:val="21"/>
                      <w:highlight w:val="none"/>
                      <w:lang w:val="en-US" w:eastAsia="zh-CN"/>
                    </w:rPr>
                    <w:t>818347</w:t>
                  </w:r>
                </w:p>
              </w:tc>
              <w:tc>
                <w:tcPr>
                  <w:tcW w:w="992" w:type="dxa"/>
                  <w:shd w:val="clear" w:color="auto" w:fill="auto"/>
                  <w:vAlign w:val="center"/>
                </w:tcPr>
                <w:p w14:paraId="580488D1">
                  <w:pPr>
                    <w:keepNext w:val="0"/>
                    <w:keepLines w:val="0"/>
                    <w:suppressLineNumbers w:val="0"/>
                    <w:adjustRightInd w:val="0"/>
                    <w:snapToGrid w:val="0"/>
                    <w:spacing w:before="0" w:beforeAutospacing="0" w:after="0" w:afterAutospacing="0"/>
                    <w:ind w:left="0" w:leftChars="0" w:right="0" w:rightChars="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15</w:t>
                  </w:r>
                </w:p>
              </w:tc>
              <w:tc>
                <w:tcPr>
                  <w:tcW w:w="1134" w:type="dxa"/>
                  <w:shd w:val="clear" w:color="auto" w:fill="auto"/>
                  <w:vAlign w:val="center"/>
                </w:tcPr>
                <w:p w14:paraId="4F35BB65">
                  <w:pPr>
                    <w:keepNext w:val="0"/>
                    <w:keepLines w:val="0"/>
                    <w:suppressLineNumbers w:val="0"/>
                    <w:adjustRightInd w:val="0"/>
                    <w:snapToGrid w:val="0"/>
                    <w:spacing w:before="0" w:beforeAutospacing="0" w:after="0" w:afterAutospacing="0"/>
                    <w:ind w:left="0" w:leftChars="0" w:right="0" w:rightChars="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0.</w:t>
                  </w:r>
                  <w:r>
                    <w:rPr>
                      <w:rFonts w:hint="eastAsia"/>
                      <w:color w:val="auto"/>
                      <w:kern w:val="0"/>
                      <w:szCs w:val="21"/>
                      <w:highlight w:val="none"/>
                      <w:lang w:val="en-US" w:eastAsia="zh-CN"/>
                    </w:rPr>
                    <w:t>6</w:t>
                  </w:r>
                </w:p>
              </w:tc>
              <w:tc>
                <w:tcPr>
                  <w:tcW w:w="1030" w:type="dxa"/>
                  <w:shd w:val="clear" w:color="auto" w:fill="auto"/>
                  <w:vAlign w:val="center"/>
                </w:tcPr>
                <w:p w14:paraId="4F64202C">
                  <w:pPr>
                    <w:keepNext w:val="0"/>
                    <w:keepLines w:val="0"/>
                    <w:suppressLineNumbers w:val="0"/>
                    <w:adjustRightInd w:val="0"/>
                    <w:snapToGrid w:val="0"/>
                    <w:spacing w:before="0" w:beforeAutospacing="0" w:after="0" w:afterAutospacing="0"/>
                    <w:ind w:left="0" w:leftChars="0" w:right="0" w:rightChars="0"/>
                    <w:contextualSpacing/>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25</w:t>
                  </w:r>
                </w:p>
              </w:tc>
              <w:tc>
                <w:tcPr>
                  <w:tcW w:w="1180" w:type="dxa"/>
                  <w:vAlign w:val="center"/>
                </w:tcPr>
                <w:p w14:paraId="7407BA61">
                  <w:pPr>
                    <w:keepNext w:val="0"/>
                    <w:keepLines w:val="0"/>
                    <w:suppressLineNumbers w:val="0"/>
                    <w:adjustRightInd w:val="0"/>
                    <w:snapToGrid w:val="0"/>
                    <w:spacing w:before="0" w:beforeAutospacing="0" w:after="0" w:afterAutospacing="0"/>
                    <w:ind w:left="0" w:right="0"/>
                    <w:contextualSpacing/>
                    <w:jc w:val="center"/>
                    <w:rPr>
                      <w:color w:val="auto"/>
                      <w:kern w:val="0"/>
                      <w:szCs w:val="21"/>
                      <w:highlight w:val="none"/>
                    </w:rPr>
                  </w:pPr>
                  <w:r>
                    <w:rPr>
                      <w:rFonts w:hAnsi="宋体"/>
                      <w:color w:val="auto"/>
                      <w:kern w:val="0"/>
                      <w:szCs w:val="21"/>
                      <w:highlight w:val="none"/>
                    </w:rPr>
                    <w:t>一般</w:t>
                  </w:r>
                </w:p>
                <w:p w14:paraId="784FB17F">
                  <w:pPr>
                    <w:keepNext w:val="0"/>
                    <w:keepLines w:val="0"/>
                    <w:suppressLineNumbers w:val="0"/>
                    <w:adjustRightInd w:val="0"/>
                    <w:snapToGrid w:val="0"/>
                    <w:spacing w:before="0" w:beforeAutospacing="0" w:after="0" w:afterAutospacing="0"/>
                    <w:ind w:left="0" w:right="0"/>
                    <w:contextualSpacing/>
                    <w:jc w:val="center"/>
                    <w:rPr>
                      <w:rFonts w:hAnsi="宋体"/>
                      <w:color w:val="auto"/>
                      <w:kern w:val="0"/>
                      <w:szCs w:val="21"/>
                      <w:highlight w:val="none"/>
                    </w:rPr>
                  </w:pPr>
                  <w:r>
                    <w:rPr>
                      <w:rFonts w:hAnsi="宋体"/>
                      <w:color w:val="auto"/>
                      <w:kern w:val="0"/>
                      <w:szCs w:val="21"/>
                      <w:highlight w:val="none"/>
                    </w:rPr>
                    <w:t>排放口</w:t>
                  </w:r>
                </w:p>
              </w:tc>
              <w:tc>
                <w:tcPr>
                  <w:tcW w:w="1154" w:type="dxa"/>
                  <w:vAlign w:val="center"/>
                </w:tcPr>
                <w:p w14:paraId="133F6B23">
                  <w:pPr>
                    <w:keepNext w:val="0"/>
                    <w:keepLines w:val="0"/>
                    <w:suppressLineNumbers w:val="0"/>
                    <w:adjustRightInd w:val="0"/>
                    <w:snapToGrid w:val="0"/>
                    <w:spacing w:before="0" w:beforeAutospacing="0" w:after="0" w:afterAutospacing="0"/>
                    <w:ind w:left="0" w:right="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r>
          </w:tbl>
          <w:p w14:paraId="510256B6">
            <w:pPr>
              <w:keepNext w:val="0"/>
              <w:keepLines w:val="0"/>
              <w:suppressLineNumbers w:val="0"/>
              <w:adjustRightInd w:val="0"/>
              <w:snapToGrid w:val="0"/>
              <w:spacing w:before="0" w:beforeAutospacing="0" w:after="0" w:afterAutospacing="0" w:line="360" w:lineRule="auto"/>
              <w:ind w:left="0" w:right="0"/>
              <w:rPr>
                <w:color w:val="auto"/>
                <w:kern w:val="0"/>
                <w:sz w:val="24"/>
                <w:highlight w:val="none"/>
              </w:rPr>
            </w:pPr>
          </w:p>
        </w:tc>
      </w:tr>
    </w:tbl>
    <w:p w14:paraId="7C09688D">
      <w:pPr>
        <w:adjustRightInd w:val="0"/>
        <w:snapToGrid w:val="0"/>
        <w:spacing w:line="360" w:lineRule="auto"/>
        <w:rPr>
          <w:b/>
          <w:color w:val="auto"/>
          <w:kern w:val="0"/>
          <w:sz w:val="28"/>
          <w:szCs w:val="28"/>
          <w:highlight w:val="none"/>
        </w:rPr>
      </w:pPr>
    </w:p>
    <w:p w14:paraId="30276EDC">
      <w:pPr>
        <w:adjustRightInd w:val="0"/>
        <w:snapToGrid w:val="0"/>
        <w:spacing w:line="360" w:lineRule="auto"/>
        <w:rPr>
          <w:b/>
          <w:color w:val="auto"/>
          <w:kern w:val="0"/>
          <w:sz w:val="28"/>
          <w:szCs w:val="28"/>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88"/>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8497"/>
      </w:tblGrid>
      <w:tr w14:paraId="7FB4DC40">
        <w:trPr>
          <w:trHeight w:val="5613" w:hRule="atLeast"/>
          <w:jc w:val="center"/>
        </w:trPr>
        <w:tc>
          <w:tcPr>
            <w:tcW w:w="483" w:type="dxa"/>
            <w:tcMar>
              <w:left w:w="28" w:type="dxa"/>
              <w:right w:w="28" w:type="dxa"/>
            </w:tcMar>
            <w:vAlign w:val="center"/>
          </w:tcPr>
          <w:p w14:paraId="39C84BDE">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642CFA0B">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4B964957">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7FE0A538">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1EA3FB7D">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4D96218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 w:val="24"/>
                <w:highlight w:val="none"/>
              </w:rPr>
              <w:t>措施</w:t>
            </w:r>
          </w:p>
        </w:tc>
        <w:tc>
          <w:tcPr>
            <w:tcW w:w="8497" w:type="dxa"/>
            <w:vAlign w:val="center"/>
          </w:tcPr>
          <w:p w14:paraId="063BAA84">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根据项目污染物源强及治理措施情况，非正常工况主要考虑废气处理装置失效，导致废气处理效率</w:t>
            </w:r>
            <w:r>
              <w:rPr>
                <w:rFonts w:hint="eastAsia" w:hAnsi="宋体"/>
                <w:color w:val="auto"/>
                <w:sz w:val="24"/>
                <w:highlight w:val="none"/>
              </w:rPr>
              <w:t>为0</w:t>
            </w:r>
            <w:r>
              <w:rPr>
                <w:rFonts w:hAnsi="宋体"/>
                <w:color w:val="auto"/>
                <w:sz w:val="24"/>
                <w:highlight w:val="none"/>
              </w:rPr>
              <w:t>%，类比同类项目年发生频次小于1次/年，单次持续时间以</w:t>
            </w:r>
            <w:r>
              <w:rPr>
                <w:rFonts w:hint="eastAsia" w:hAnsi="宋体"/>
                <w:color w:val="auto"/>
                <w:sz w:val="24"/>
                <w:highlight w:val="none"/>
                <w:lang w:val="en-US" w:eastAsia="zh-CN"/>
              </w:rPr>
              <w:t>30</w:t>
            </w:r>
            <w:r>
              <w:rPr>
                <w:rFonts w:hAnsi="宋体"/>
                <w:color w:val="auto"/>
                <w:sz w:val="24"/>
                <w:highlight w:val="none"/>
              </w:rPr>
              <w:t>min计，非正常排放量核算见</w:t>
            </w:r>
            <w:r>
              <w:rPr>
                <w:color w:val="auto"/>
                <w:highlight w:val="none"/>
              </w:rPr>
              <w:fldChar w:fldCharType="begin"/>
            </w:r>
            <w:r>
              <w:rPr>
                <w:color w:val="auto"/>
                <w:highlight w:val="none"/>
              </w:rPr>
              <w:instrText xml:space="preserve"> HYPERLINK \l "_bookmark159" </w:instrText>
            </w:r>
            <w:r>
              <w:rPr>
                <w:color w:val="auto"/>
                <w:highlight w:val="none"/>
              </w:rPr>
              <w:fldChar w:fldCharType="separate"/>
            </w:r>
            <w:r>
              <w:rPr>
                <w:rFonts w:hAnsi="宋体"/>
                <w:color w:val="auto"/>
                <w:sz w:val="24"/>
                <w:highlight w:val="none"/>
              </w:rPr>
              <w:t>表</w:t>
            </w:r>
            <w:r>
              <w:rPr>
                <w:rFonts w:hAnsi="宋体"/>
                <w:color w:val="auto"/>
                <w:sz w:val="24"/>
                <w:highlight w:val="none"/>
              </w:rPr>
              <w:fldChar w:fldCharType="end"/>
            </w:r>
            <w:r>
              <w:rPr>
                <w:rFonts w:hAnsi="宋体"/>
                <w:color w:val="auto"/>
                <w:sz w:val="24"/>
                <w:highlight w:val="none"/>
              </w:rPr>
              <w:t>4-</w:t>
            </w:r>
            <w:r>
              <w:rPr>
                <w:rFonts w:hint="eastAsia"/>
                <w:color w:val="auto"/>
                <w:sz w:val="24"/>
                <w:highlight w:val="none"/>
                <w:lang w:val="en-US" w:eastAsia="zh-CN"/>
              </w:rPr>
              <w:t>7</w:t>
            </w:r>
            <w:r>
              <w:rPr>
                <w:rFonts w:hAnsi="宋体"/>
                <w:color w:val="auto"/>
                <w:sz w:val="24"/>
                <w:highlight w:val="none"/>
              </w:rPr>
              <w:t>。拟采取的防范措施如下：</w:t>
            </w:r>
          </w:p>
          <w:p w14:paraId="38672E3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A.平时注意废气处理设施的维护，及时检查废气处理装置的有效性和设备的运行情况，确保废气处理系统正常运行；开、停、检修要有预案，有严密周全的计划，降低非正常排放几率，或使影响最小。</w:t>
            </w:r>
          </w:p>
          <w:p w14:paraId="170B0BB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B.应设有备用电源和备用处理设备和零件，以备停电或设备出现故障时保障及时更换使废气全部做到达标排放。</w:t>
            </w:r>
          </w:p>
          <w:p w14:paraId="309718B6">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C.对员工进行岗位培训</w:t>
            </w:r>
            <w:r>
              <w:rPr>
                <w:rFonts w:hint="eastAsia" w:hAnsi="宋体"/>
                <w:color w:val="auto"/>
                <w:sz w:val="24"/>
                <w:highlight w:val="none"/>
                <w:lang w:eastAsia="zh-CN"/>
              </w:rPr>
              <w:t>，</w:t>
            </w:r>
            <w:r>
              <w:rPr>
                <w:rFonts w:hAnsi="宋体"/>
                <w:color w:val="auto"/>
                <w:sz w:val="24"/>
                <w:highlight w:val="none"/>
              </w:rPr>
              <w:t>做好值班记录，实行岗位责任制。</w:t>
            </w:r>
          </w:p>
          <w:p w14:paraId="20B7D351">
            <w:pPr>
              <w:keepNext w:val="0"/>
              <w:keepLines w:val="0"/>
              <w:suppressLineNumbers w:val="0"/>
              <w:adjustRightInd w:val="0"/>
              <w:snapToGrid w:val="0"/>
              <w:spacing w:before="0" w:beforeAutospacing="0" w:after="0" w:afterAutospacing="0"/>
              <w:ind w:left="0" w:right="0" w:firstLine="482" w:firstLineChars="200"/>
              <w:jc w:val="center"/>
              <w:rPr>
                <w:rFonts w:hAnsi="宋体"/>
                <w:b/>
                <w:bCs/>
                <w:color w:val="auto"/>
                <w:sz w:val="24"/>
                <w:highlight w:val="none"/>
              </w:rPr>
            </w:pPr>
            <w:r>
              <w:rPr>
                <w:rFonts w:hAnsi="宋体"/>
                <w:b/>
                <w:bCs/>
                <w:color w:val="auto"/>
                <w:sz w:val="24"/>
                <w:highlight w:val="none"/>
              </w:rPr>
              <w:t>表4-</w:t>
            </w:r>
            <w:r>
              <w:rPr>
                <w:rFonts w:hint="eastAsia" w:hAnsi="宋体"/>
                <w:b/>
                <w:bCs/>
                <w:color w:val="auto"/>
                <w:sz w:val="24"/>
                <w:highlight w:val="none"/>
                <w:lang w:val="en-US" w:eastAsia="zh-CN"/>
              </w:rPr>
              <w:t>7</w:t>
            </w:r>
            <w:r>
              <w:rPr>
                <w:rFonts w:hAnsi="宋体"/>
                <w:b/>
                <w:bCs/>
                <w:color w:val="auto"/>
                <w:sz w:val="24"/>
                <w:highlight w:val="none"/>
              </w:rPr>
              <w:t xml:space="preserve"> 污染源非正常排放量核算表</w:t>
            </w:r>
          </w:p>
          <w:tbl>
            <w:tblPr>
              <w:tblStyle w:val="88"/>
              <w:tblW w:w="4982"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5"/>
              <w:gridCol w:w="812"/>
              <w:gridCol w:w="1136"/>
              <w:gridCol w:w="932"/>
              <w:gridCol w:w="1010"/>
              <w:gridCol w:w="1195"/>
              <w:gridCol w:w="790"/>
              <w:gridCol w:w="920"/>
              <w:gridCol w:w="1011"/>
            </w:tblGrid>
            <w:tr w14:paraId="126FE4CB">
              <w:trPr>
                <w:trHeight w:val="340" w:hRule="atLeast"/>
              </w:trPr>
              <w:tc>
                <w:tcPr>
                  <w:tcW w:w="278" w:type="pct"/>
                  <w:shd w:val="clear" w:color="auto" w:fill="auto"/>
                  <w:vAlign w:val="center"/>
                </w:tcPr>
                <w:p w14:paraId="444B0D40">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编号</w:t>
                  </w:r>
                </w:p>
              </w:tc>
              <w:tc>
                <w:tcPr>
                  <w:tcW w:w="500" w:type="pct"/>
                  <w:shd w:val="clear" w:color="auto" w:fill="auto"/>
                  <w:vAlign w:val="center"/>
                </w:tcPr>
                <w:p w14:paraId="61CE0A4F">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非正常排放源</w:t>
                  </w:r>
                </w:p>
              </w:tc>
              <w:tc>
                <w:tcPr>
                  <w:tcW w:w="696" w:type="pct"/>
                  <w:shd w:val="clear" w:color="auto" w:fill="auto"/>
                  <w:vAlign w:val="center"/>
                </w:tcPr>
                <w:p w14:paraId="66FBCBE4">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非正常排放原因</w:t>
                  </w:r>
                </w:p>
              </w:tc>
              <w:tc>
                <w:tcPr>
                  <w:tcW w:w="573" w:type="pct"/>
                  <w:shd w:val="clear" w:color="auto" w:fill="auto"/>
                  <w:vAlign w:val="center"/>
                </w:tcPr>
                <w:p w14:paraId="1CC4D4E4">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污染物</w:t>
                  </w:r>
                </w:p>
              </w:tc>
              <w:tc>
                <w:tcPr>
                  <w:tcW w:w="594" w:type="pct"/>
                  <w:shd w:val="clear" w:color="auto" w:fill="auto"/>
                  <w:vAlign w:val="center"/>
                </w:tcPr>
                <w:p w14:paraId="119EA87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非正常排放速率</w:t>
                  </w:r>
                  <w:r>
                    <w:rPr>
                      <w:rFonts w:hint="eastAsia" w:hAnsi="宋体"/>
                      <w:color w:val="auto"/>
                      <w:szCs w:val="21"/>
                      <w:highlight w:val="none"/>
                      <w:lang w:eastAsia="zh-CN"/>
                    </w:rPr>
                    <w:t>（</w:t>
                  </w:r>
                  <w:r>
                    <w:rPr>
                      <w:rFonts w:hAnsi="宋体"/>
                      <w:color w:val="auto"/>
                      <w:szCs w:val="21"/>
                      <w:highlight w:val="none"/>
                    </w:rPr>
                    <w:t>kg/h</w:t>
                  </w:r>
                  <w:r>
                    <w:rPr>
                      <w:rFonts w:hint="eastAsia" w:hAnsi="宋体"/>
                      <w:color w:val="auto"/>
                      <w:szCs w:val="21"/>
                      <w:highlight w:val="none"/>
                      <w:lang w:eastAsia="zh-CN"/>
                    </w:rPr>
                    <w:t>）</w:t>
                  </w:r>
                </w:p>
              </w:tc>
              <w:tc>
                <w:tcPr>
                  <w:tcW w:w="682" w:type="pct"/>
                  <w:shd w:val="clear" w:color="auto" w:fill="auto"/>
                  <w:vAlign w:val="center"/>
                </w:tcPr>
                <w:p w14:paraId="4734EBF3">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r>
                    <w:rPr>
                      <w:rFonts w:hAnsi="宋体"/>
                      <w:color w:val="auto"/>
                      <w:szCs w:val="21"/>
                      <w:highlight w:val="none"/>
                    </w:rPr>
                    <w:t>非正常排放</w:t>
                  </w:r>
                  <w:r>
                    <w:rPr>
                      <w:rFonts w:hint="eastAsia" w:hAnsi="宋体"/>
                      <w:color w:val="auto"/>
                      <w:szCs w:val="21"/>
                      <w:highlight w:val="none"/>
                      <w:lang w:val="en-US" w:eastAsia="zh-CN"/>
                    </w:rPr>
                    <w:t>浓度（</w:t>
                  </w:r>
                  <w:r>
                    <w:rPr>
                      <w:rFonts w:hAnsi="宋体"/>
                      <w:color w:val="auto"/>
                      <w:szCs w:val="21"/>
                      <w:highlight w:val="none"/>
                    </w:rPr>
                    <w:t>mg/m</w:t>
                  </w:r>
                  <w:r>
                    <w:rPr>
                      <w:rFonts w:hAnsi="宋体"/>
                      <w:color w:val="auto"/>
                      <w:szCs w:val="21"/>
                      <w:highlight w:val="none"/>
                      <w:vertAlign w:val="superscript"/>
                    </w:rPr>
                    <w:t>3</w:t>
                  </w:r>
                  <w:r>
                    <w:rPr>
                      <w:rFonts w:hint="eastAsia" w:hAnsi="宋体"/>
                      <w:color w:val="auto"/>
                      <w:szCs w:val="21"/>
                      <w:highlight w:val="none"/>
                      <w:lang w:eastAsia="zh-CN"/>
                    </w:rPr>
                    <w:t>）</w:t>
                  </w:r>
                </w:p>
              </w:tc>
              <w:tc>
                <w:tcPr>
                  <w:tcW w:w="487" w:type="pct"/>
                  <w:shd w:val="clear" w:color="auto" w:fill="auto"/>
                  <w:vAlign w:val="center"/>
                </w:tcPr>
                <w:p w14:paraId="529D3043">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 xml:space="preserve">单次持续时间/h </w:t>
                  </w:r>
                </w:p>
              </w:tc>
              <w:tc>
                <w:tcPr>
                  <w:tcW w:w="565" w:type="pct"/>
                  <w:shd w:val="clear" w:color="auto" w:fill="auto"/>
                  <w:vAlign w:val="center"/>
                </w:tcPr>
                <w:p w14:paraId="22B54359">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年发生频次/次</w:t>
                  </w:r>
                </w:p>
              </w:tc>
              <w:tc>
                <w:tcPr>
                  <w:tcW w:w="620" w:type="pct"/>
                  <w:shd w:val="clear" w:color="auto" w:fill="auto"/>
                  <w:vAlign w:val="center"/>
                </w:tcPr>
                <w:p w14:paraId="652BA1FA">
                  <w:pPr>
                    <w:keepNext w:val="0"/>
                    <w:keepLines w:val="0"/>
                    <w:widowControl/>
                    <w:suppressLineNumbers w:val="0"/>
                    <w:spacing w:before="0" w:beforeAutospacing="0" w:after="0" w:afterAutospacing="0"/>
                    <w:ind w:left="-42" w:leftChars="-20" w:right="-42" w:rightChars="-20"/>
                    <w:jc w:val="center"/>
                    <w:rPr>
                      <w:bCs/>
                      <w:color w:val="auto"/>
                      <w:kern w:val="0"/>
                      <w:szCs w:val="21"/>
                      <w:highlight w:val="none"/>
                    </w:rPr>
                  </w:pPr>
                  <w:r>
                    <w:rPr>
                      <w:bCs/>
                      <w:color w:val="auto"/>
                      <w:kern w:val="0"/>
                      <w:szCs w:val="21"/>
                      <w:highlight w:val="none"/>
                    </w:rPr>
                    <w:t>整改</w:t>
                  </w:r>
                </w:p>
                <w:p w14:paraId="0541C09B">
                  <w:pPr>
                    <w:keepNext w:val="0"/>
                    <w:keepLines w:val="0"/>
                    <w:suppressLineNumbers w:val="0"/>
                    <w:spacing w:before="0" w:beforeAutospacing="0" w:after="0" w:afterAutospacing="0"/>
                    <w:ind w:left="-42" w:leftChars="-20" w:right="-42" w:rightChars="-20"/>
                    <w:jc w:val="center"/>
                    <w:rPr>
                      <w:rFonts w:hAnsi="宋体"/>
                      <w:color w:val="auto"/>
                      <w:szCs w:val="21"/>
                      <w:highlight w:val="none"/>
                    </w:rPr>
                  </w:pPr>
                  <w:r>
                    <w:rPr>
                      <w:bCs/>
                      <w:color w:val="auto"/>
                      <w:kern w:val="0"/>
                      <w:szCs w:val="21"/>
                      <w:highlight w:val="none"/>
                    </w:rPr>
                    <w:t>措施</w:t>
                  </w:r>
                </w:p>
              </w:tc>
            </w:tr>
            <w:tr w14:paraId="55F6DDEC">
              <w:trPr>
                <w:trHeight w:val="408" w:hRule="atLeast"/>
              </w:trPr>
              <w:tc>
                <w:tcPr>
                  <w:tcW w:w="278" w:type="pct"/>
                  <w:vMerge w:val="restart"/>
                  <w:shd w:val="clear" w:color="auto" w:fill="auto"/>
                  <w:vAlign w:val="center"/>
                </w:tcPr>
                <w:p w14:paraId="79C04D9C">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1</w:t>
                  </w:r>
                </w:p>
              </w:tc>
              <w:tc>
                <w:tcPr>
                  <w:tcW w:w="500" w:type="pct"/>
                  <w:vMerge w:val="restart"/>
                  <w:shd w:val="clear" w:color="auto" w:fill="auto"/>
                  <w:vAlign w:val="center"/>
                </w:tcPr>
                <w:p w14:paraId="3BB66F1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1#排气筒</w:t>
                  </w:r>
                </w:p>
              </w:tc>
              <w:tc>
                <w:tcPr>
                  <w:tcW w:w="696" w:type="pct"/>
                  <w:vMerge w:val="restart"/>
                  <w:shd w:val="clear" w:color="auto" w:fill="auto"/>
                  <w:vAlign w:val="center"/>
                </w:tcPr>
                <w:p w14:paraId="6C75D22A">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污染防治设施故障</w:t>
                  </w:r>
                </w:p>
              </w:tc>
              <w:tc>
                <w:tcPr>
                  <w:tcW w:w="573" w:type="pct"/>
                  <w:shd w:val="clear" w:color="auto" w:fill="auto"/>
                  <w:vAlign w:val="center"/>
                </w:tcPr>
                <w:p w14:paraId="0939800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594" w:type="pct"/>
                  <w:shd w:val="clear" w:color="auto" w:fill="auto"/>
                  <w:vAlign w:val="center"/>
                </w:tcPr>
                <w:p w14:paraId="2BD4FD65">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1.247</w:t>
                  </w:r>
                </w:p>
              </w:tc>
              <w:tc>
                <w:tcPr>
                  <w:tcW w:w="682" w:type="pct"/>
                  <w:shd w:val="clear" w:color="auto" w:fill="auto"/>
                  <w:vAlign w:val="center"/>
                </w:tcPr>
                <w:p w14:paraId="48BB6441">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52</w:t>
                  </w:r>
                </w:p>
              </w:tc>
              <w:tc>
                <w:tcPr>
                  <w:tcW w:w="487" w:type="pct"/>
                  <w:vMerge w:val="restart"/>
                  <w:shd w:val="clear" w:color="auto" w:fill="auto"/>
                  <w:vAlign w:val="center"/>
                </w:tcPr>
                <w:p w14:paraId="35D0D659">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0.5</w:t>
                  </w:r>
                </w:p>
              </w:tc>
              <w:tc>
                <w:tcPr>
                  <w:tcW w:w="565" w:type="pct"/>
                  <w:vMerge w:val="restart"/>
                  <w:shd w:val="clear" w:color="auto" w:fill="auto"/>
                  <w:vAlign w:val="center"/>
                </w:tcPr>
                <w:p w14:paraId="620ABA67">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1次/年</w:t>
                  </w:r>
                </w:p>
              </w:tc>
              <w:tc>
                <w:tcPr>
                  <w:tcW w:w="620" w:type="pct"/>
                  <w:vMerge w:val="restart"/>
                  <w:shd w:val="clear" w:color="auto" w:fill="auto"/>
                  <w:vAlign w:val="center"/>
                </w:tcPr>
                <w:p w14:paraId="16F236DF">
                  <w:pPr>
                    <w:keepNext w:val="0"/>
                    <w:keepLines w:val="0"/>
                    <w:suppressLineNumbers w:val="0"/>
                    <w:adjustRightInd w:val="0"/>
                    <w:snapToGrid w:val="0"/>
                    <w:spacing w:before="0" w:beforeAutospacing="0" w:after="0" w:afterAutospacing="0"/>
                    <w:ind w:left="-42" w:leftChars="-20" w:right="-42" w:rightChars="-20"/>
                    <w:contextualSpacing/>
                    <w:jc w:val="center"/>
                    <w:rPr>
                      <w:rFonts w:hAnsi="宋体"/>
                      <w:color w:val="auto"/>
                      <w:szCs w:val="21"/>
                      <w:highlight w:val="none"/>
                    </w:rPr>
                  </w:pPr>
                  <w:r>
                    <w:rPr>
                      <w:color w:val="auto"/>
                      <w:kern w:val="0"/>
                      <w:szCs w:val="21"/>
                      <w:highlight w:val="none"/>
                    </w:rPr>
                    <w:t>立刻停止生产并进行检修</w:t>
                  </w:r>
                </w:p>
              </w:tc>
            </w:tr>
            <w:tr w14:paraId="37F0252D">
              <w:trPr>
                <w:trHeight w:val="408" w:hRule="atLeast"/>
              </w:trPr>
              <w:tc>
                <w:tcPr>
                  <w:tcW w:w="278" w:type="pct"/>
                  <w:vMerge w:val="continue"/>
                  <w:shd w:val="clear" w:color="auto" w:fill="auto"/>
                  <w:vAlign w:val="center"/>
                </w:tcPr>
                <w:p w14:paraId="1C3A9022">
                  <w:pPr>
                    <w:keepNext w:val="0"/>
                    <w:keepLines w:val="0"/>
                    <w:suppressLineNumbers w:val="0"/>
                    <w:spacing w:before="0" w:beforeAutospacing="0" w:after="0" w:afterAutospacing="0"/>
                    <w:ind w:left="0" w:right="0"/>
                    <w:jc w:val="center"/>
                    <w:rPr>
                      <w:rFonts w:hAnsi="宋体"/>
                      <w:color w:val="auto"/>
                      <w:szCs w:val="21"/>
                      <w:highlight w:val="none"/>
                    </w:rPr>
                  </w:pPr>
                </w:p>
              </w:tc>
              <w:tc>
                <w:tcPr>
                  <w:tcW w:w="500" w:type="pct"/>
                  <w:vMerge w:val="continue"/>
                  <w:shd w:val="clear" w:color="auto" w:fill="auto"/>
                  <w:vAlign w:val="center"/>
                </w:tcPr>
                <w:p w14:paraId="519E6B95">
                  <w:pPr>
                    <w:keepNext w:val="0"/>
                    <w:keepLines w:val="0"/>
                    <w:suppressLineNumbers w:val="0"/>
                    <w:spacing w:before="0" w:beforeAutospacing="0" w:after="0" w:afterAutospacing="0"/>
                    <w:ind w:left="0" w:right="0"/>
                    <w:jc w:val="center"/>
                    <w:rPr>
                      <w:rFonts w:hAnsi="宋体"/>
                      <w:color w:val="auto"/>
                      <w:szCs w:val="21"/>
                      <w:highlight w:val="none"/>
                    </w:rPr>
                  </w:pPr>
                </w:p>
              </w:tc>
              <w:tc>
                <w:tcPr>
                  <w:tcW w:w="696" w:type="pct"/>
                  <w:vMerge w:val="continue"/>
                  <w:shd w:val="clear" w:color="auto" w:fill="auto"/>
                  <w:vAlign w:val="center"/>
                </w:tcPr>
                <w:p w14:paraId="317424C1">
                  <w:pPr>
                    <w:keepNext w:val="0"/>
                    <w:keepLines w:val="0"/>
                    <w:suppressLineNumbers w:val="0"/>
                    <w:spacing w:before="0" w:beforeAutospacing="0" w:after="0" w:afterAutospacing="0"/>
                    <w:ind w:left="0" w:right="0"/>
                    <w:jc w:val="center"/>
                    <w:rPr>
                      <w:rFonts w:hAnsi="宋体"/>
                      <w:color w:val="auto"/>
                      <w:szCs w:val="21"/>
                      <w:highlight w:val="none"/>
                    </w:rPr>
                  </w:pPr>
                </w:p>
              </w:tc>
              <w:tc>
                <w:tcPr>
                  <w:tcW w:w="573" w:type="pct"/>
                  <w:shd w:val="clear" w:color="auto" w:fill="auto"/>
                  <w:vAlign w:val="center"/>
                </w:tcPr>
                <w:p w14:paraId="696E9F0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594" w:type="pct"/>
                  <w:shd w:val="clear" w:color="auto" w:fill="auto"/>
                  <w:vAlign w:val="center"/>
                </w:tcPr>
                <w:p w14:paraId="0E466C48">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0.994</w:t>
                  </w:r>
                </w:p>
              </w:tc>
              <w:tc>
                <w:tcPr>
                  <w:tcW w:w="682" w:type="pct"/>
                  <w:shd w:val="clear" w:color="auto" w:fill="auto"/>
                  <w:vAlign w:val="center"/>
                </w:tcPr>
                <w:p w14:paraId="6F8508A5">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41</w:t>
                  </w:r>
                  <w:r>
                    <w:rPr>
                      <w:rFonts w:hint="eastAsia"/>
                      <w:color w:val="auto"/>
                      <w:lang w:val="en-US" w:eastAsia="zh-CN"/>
                    </w:rPr>
                    <w:t>.4</w:t>
                  </w:r>
                </w:p>
              </w:tc>
              <w:tc>
                <w:tcPr>
                  <w:tcW w:w="487" w:type="pct"/>
                  <w:vMerge w:val="continue"/>
                  <w:shd w:val="clear" w:color="auto" w:fill="auto"/>
                  <w:vAlign w:val="center"/>
                </w:tcPr>
                <w:p w14:paraId="7633C8F9">
                  <w:pPr>
                    <w:keepNext w:val="0"/>
                    <w:keepLines w:val="0"/>
                    <w:suppressLineNumbers w:val="0"/>
                    <w:spacing w:before="0" w:beforeAutospacing="0" w:after="0" w:afterAutospacing="0"/>
                    <w:ind w:left="0" w:right="0"/>
                    <w:jc w:val="center"/>
                    <w:rPr>
                      <w:rFonts w:hAnsi="宋体"/>
                      <w:color w:val="auto"/>
                      <w:szCs w:val="21"/>
                      <w:highlight w:val="none"/>
                    </w:rPr>
                  </w:pPr>
                </w:p>
              </w:tc>
              <w:tc>
                <w:tcPr>
                  <w:tcW w:w="565" w:type="pct"/>
                  <w:vMerge w:val="continue"/>
                  <w:shd w:val="clear" w:color="auto" w:fill="auto"/>
                  <w:vAlign w:val="center"/>
                </w:tcPr>
                <w:p w14:paraId="19336789">
                  <w:pPr>
                    <w:keepNext w:val="0"/>
                    <w:keepLines w:val="0"/>
                    <w:suppressLineNumbers w:val="0"/>
                    <w:spacing w:before="0" w:beforeAutospacing="0" w:after="0" w:afterAutospacing="0"/>
                    <w:ind w:left="0" w:right="0"/>
                    <w:jc w:val="center"/>
                    <w:rPr>
                      <w:rFonts w:hint="eastAsia" w:hAnsi="宋体"/>
                      <w:color w:val="auto"/>
                      <w:szCs w:val="21"/>
                      <w:highlight w:val="none"/>
                    </w:rPr>
                  </w:pPr>
                </w:p>
              </w:tc>
              <w:tc>
                <w:tcPr>
                  <w:tcW w:w="620" w:type="pct"/>
                  <w:vMerge w:val="continue"/>
                  <w:shd w:val="clear" w:color="auto" w:fill="auto"/>
                  <w:vAlign w:val="center"/>
                </w:tcPr>
                <w:p w14:paraId="1B740C01">
                  <w:pPr>
                    <w:keepNext w:val="0"/>
                    <w:keepLines w:val="0"/>
                    <w:suppressLineNumbers w:val="0"/>
                    <w:adjustRightInd w:val="0"/>
                    <w:snapToGrid w:val="0"/>
                    <w:spacing w:before="0" w:beforeAutospacing="0" w:after="0" w:afterAutospacing="0"/>
                    <w:ind w:left="-42" w:leftChars="-20" w:right="-42" w:rightChars="-20"/>
                    <w:contextualSpacing/>
                    <w:jc w:val="center"/>
                    <w:rPr>
                      <w:color w:val="auto"/>
                      <w:kern w:val="0"/>
                      <w:szCs w:val="21"/>
                      <w:highlight w:val="none"/>
                    </w:rPr>
                  </w:pPr>
                </w:p>
              </w:tc>
            </w:tr>
            <w:tr w14:paraId="5EA5D3AF">
              <w:trPr>
                <w:trHeight w:val="408" w:hRule="atLeast"/>
              </w:trPr>
              <w:tc>
                <w:tcPr>
                  <w:tcW w:w="278" w:type="pct"/>
                  <w:shd w:val="clear" w:color="auto" w:fill="auto"/>
                  <w:vAlign w:val="center"/>
                </w:tcPr>
                <w:p w14:paraId="7C7972EA">
                  <w:pPr>
                    <w:keepNext w:val="0"/>
                    <w:keepLines w:val="0"/>
                    <w:suppressLineNumbers w:val="0"/>
                    <w:spacing w:before="0" w:beforeAutospacing="0" w:after="0" w:afterAutospacing="0"/>
                    <w:ind w:left="0" w:right="0"/>
                    <w:jc w:val="center"/>
                    <w:rPr>
                      <w:rFonts w:hint="eastAsia" w:hAnsi="宋体" w:eastAsiaTheme="minorEastAsia"/>
                      <w:color w:val="auto"/>
                      <w:szCs w:val="21"/>
                      <w:highlight w:val="none"/>
                      <w:lang w:val="en-US" w:eastAsia="zh-CN"/>
                    </w:rPr>
                  </w:pPr>
                  <w:r>
                    <w:rPr>
                      <w:rFonts w:hint="eastAsia" w:hAnsi="宋体"/>
                      <w:color w:val="auto"/>
                      <w:szCs w:val="21"/>
                      <w:highlight w:val="none"/>
                      <w:lang w:val="en-US" w:eastAsia="zh-CN"/>
                    </w:rPr>
                    <w:t>2</w:t>
                  </w:r>
                </w:p>
              </w:tc>
              <w:tc>
                <w:tcPr>
                  <w:tcW w:w="500" w:type="pct"/>
                  <w:shd w:val="clear" w:color="auto" w:fill="auto"/>
                  <w:vAlign w:val="center"/>
                </w:tcPr>
                <w:p w14:paraId="4D9D40AB">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lang w:val="en-US" w:eastAsia="zh-CN"/>
                    </w:rPr>
                    <w:t>2</w:t>
                  </w:r>
                  <w:r>
                    <w:rPr>
                      <w:rFonts w:hAnsi="宋体"/>
                      <w:color w:val="auto"/>
                      <w:szCs w:val="21"/>
                      <w:highlight w:val="none"/>
                    </w:rPr>
                    <w:t>#排气筒</w:t>
                  </w:r>
                </w:p>
              </w:tc>
              <w:tc>
                <w:tcPr>
                  <w:tcW w:w="696" w:type="pct"/>
                  <w:vMerge w:val="continue"/>
                  <w:shd w:val="clear" w:color="auto" w:fill="auto"/>
                  <w:vAlign w:val="center"/>
                </w:tcPr>
                <w:p w14:paraId="71093821">
                  <w:pPr>
                    <w:keepNext w:val="0"/>
                    <w:keepLines w:val="0"/>
                    <w:suppressLineNumbers w:val="0"/>
                    <w:spacing w:before="0" w:beforeAutospacing="0" w:after="0" w:afterAutospacing="0"/>
                    <w:ind w:left="0" w:right="0"/>
                    <w:jc w:val="center"/>
                    <w:rPr>
                      <w:rFonts w:hAnsi="宋体"/>
                      <w:color w:val="auto"/>
                      <w:szCs w:val="21"/>
                      <w:highlight w:val="none"/>
                    </w:rPr>
                  </w:pPr>
                </w:p>
              </w:tc>
              <w:tc>
                <w:tcPr>
                  <w:tcW w:w="573" w:type="pct"/>
                  <w:shd w:val="clear" w:color="auto" w:fill="auto"/>
                  <w:vAlign w:val="center"/>
                </w:tcPr>
                <w:p w14:paraId="7CA1DA95">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rPr>
                  </w:pPr>
                  <w:r>
                    <w:rPr>
                      <w:rFonts w:hint="eastAsia"/>
                      <w:color w:val="auto"/>
                      <w:szCs w:val="21"/>
                      <w:highlight w:val="none"/>
                    </w:rPr>
                    <w:t>颗粒物</w:t>
                  </w:r>
                </w:p>
              </w:tc>
              <w:tc>
                <w:tcPr>
                  <w:tcW w:w="594" w:type="pct"/>
                  <w:shd w:val="clear" w:color="auto" w:fill="auto"/>
                  <w:vAlign w:val="center"/>
                </w:tcPr>
                <w:p w14:paraId="3D329CDB">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1.188</w:t>
                  </w:r>
                </w:p>
              </w:tc>
              <w:tc>
                <w:tcPr>
                  <w:tcW w:w="682" w:type="pct"/>
                  <w:shd w:val="clear" w:color="auto" w:fill="auto"/>
                  <w:vAlign w:val="center"/>
                </w:tcPr>
                <w:p w14:paraId="5ADB8EA1">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99</w:t>
                  </w:r>
                </w:p>
              </w:tc>
              <w:tc>
                <w:tcPr>
                  <w:tcW w:w="487" w:type="pct"/>
                  <w:vMerge w:val="continue"/>
                  <w:shd w:val="clear" w:color="auto" w:fill="auto"/>
                  <w:vAlign w:val="center"/>
                </w:tcPr>
                <w:p w14:paraId="1E014CF1">
                  <w:pPr>
                    <w:keepNext w:val="0"/>
                    <w:keepLines w:val="0"/>
                    <w:suppressLineNumbers w:val="0"/>
                    <w:spacing w:before="0" w:beforeAutospacing="0" w:after="0" w:afterAutospacing="0"/>
                    <w:ind w:left="0" w:right="0"/>
                    <w:jc w:val="center"/>
                    <w:rPr>
                      <w:rFonts w:hAnsi="宋体"/>
                      <w:color w:val="auto"/>
                      <w:szCs w:val="21"/>
                      <w:highlight w:val="none"/>
                    </w:rPr>
                  </w:pPr>
                </w:p>
              </w:tc>
              <w:tc>
                <w:tcPr>
                  <w:tcW w:w="565" w:type="pct"/>
                  <w:vMerge w:val="continue"/>
                  <w:shd w:val="clear" w:color="auto" w:fill="auto"/>
                  <w:vAlign w:val="center"/>
                </w:tcPr>
                <w:p w14:paraId="7DACAC8E">
                  <w:pPr>
                    <w:keepNext w:val="0"/>
                    <w:keepLines w:val="0"/>
                    <w:suppressLineNumbers w:val="0"/>
                    <w:spacing w:before="0" w:beforeAutospacing="0" w:after="0" w:afterAutospacing="0"/>
                    <w:ind w:left="0" w:right="0"/>
                    <w:jc w:val="center"/>
                    <w:rPr>
                      <w:rFonts w:hint="eastAsia" w:hAnsi="宋体"/>
                      <w:color w:val="auto"/>
                      <w:szCs w:val="21"/>
                      <w:highlight w:val="none"/>
                    </w:rPr>
                  </w:pPr>
                </w:p>
              </w:tc>
              <w:tc>
                <w:tcPr>
                  <w:tcW w:w="620" w:type="pct"/>
                  <w:vMerge w:val="continue"/>
                  <w:shd w:val="clear" w:color="auto" w:fill="auto"/>
                  <w:vAlign w:val="center"/>
                </w:tcPr>
                <w:p w14:paraId="2B8AC56D">
                  <w:pPr>
                    <w:keepNext w:val="0"/>
                    <w:keepLines w:val="0"/>
                    <w:suppressLineNumbers w:val="0"/>
                    <w:adjustRightInd w:val="0"/>
                    <w:snapToGrid w:val="0"/>
                    <w:spacing w:before="0" w:beforeAutospacing="0" w:after="0" w:afterAutospacing="0"/>
                    <w:ind w:left="-42" w:leftChars="-20" w:right="-42" w:rightChars="-20"/>
                    <w:contextualSpacing/>
                    <w:jc w:val="center"/>
                    <w:rPr>
                      <w:color w:val="auto"/>
                      <w:kern w:val="0"/>
                      <w:szCs w:val="21"/>
                      <w:highlight w:val="none"/>
                    </w:rPr>
                  </w:pPr>
                </w:p>
              </w:tc>
            </w:tr>
          </w:tbl>
          <w:p w14:paraId="7970DED7">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int="eastAsia" w:hAnsi="宋体"/>
                <w:color w:val="auto"/>
                <w:sz w:val="24"/>
                <w:highlight w:val="none"/>
              </w:rPr>
              <w:t>经核算，项目非正常排放情况下，废气</w:t>
            </w:r>
            <w:r>
              <w:rPr>
                <w:rFonts w:hint="eastAsia" w:hAnsi="宋体"/>
                <w:color w:val="auto"/>
                <w:sz w:val="24"/>
                <w:highlight w:val="none"/>
                <w:lang w:val="en-US" w:eastAsia="zh-CN"/>
              </w:rPr>
              <w:t>会出现</w:t>
            </w:r>
            <w:r>
              <w:rPr>
                <w:rFonts w:hint="eastAsia" w:hAnsi="宋体"/>
                <w:color w:val="auto"/>
                <w:sz w:val="24"/>
                <w:highlight w:val="none"/>
              </w:rPr>
              <w:t>超标，</w:t>
            </w:r>
            <w:r>
              <w:rPr>
                <w:rFonts w:hint="eastAsia"/>
                <w:color w:val="auto"/>
                <w:sz w:val="24"/>
                <w:szCs w:val="24"/>
                <w:lang w:val="en-US" w:eastAsia="zh-CN"/>
              </w:rPr>
              <w:t>因此</w:t>
            </w:r>
            <w:r>
              <w:rPr>
                <w:rFonts w:hint="eastAsia" w:hAnsi="宋体"/>
                <w:color w:val="auto"/>
                <w:sz w:val="24"/>
                <w:szCs w:val="24"/>
                <w:highlight w:val="none"/>
              </w:rPr>
              <w:t>企</w:t>
            </w:r>
            <w:r>
              <w:rPr>
                <w:rFonts w:hint="eastAsia" w:hAnsi="宋体"/>
                <w:color w:val="auto"/>
                <w:sz w:val="24"/>
                <w:highlight w:val="none"/>
              </w:rPr>
              <w:t>业应加强设备管理，避免非正常工况的发生，一旦发生，应</w:t>
            </w:r>
            <w:r>
              <w:rPr>
                <w:color w:val="auto"/>
                <w:kern w:val="0"/>
                <w:sz w:val="24"/>
                <w:highlight w:val="none"/>
              </w:rPr>
              <w:t>立刻停止生产并进行检修</w:t>
            </w:r>
            <w:r>
              <w:rPr>
                <w:rFonts w:hint="eastAsia"/>
                <w:color w:val="auto"/>
                <w:kern w:val="0"/>
                <w:sz w:val="24"/>
                <w:highlight w:val="none"/>
              </w:rPr>
              <w:t>。</w:t>
            </w:r>
          </w:p>
          <w:p w14:paraId="7DEA6942">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（2）废气治理措施可行性分析</w:t>
            </w:r>
          </w:p>
          <w:p w14:paraId="4099EA8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b/>
                <w:bCs/>
                <w:color w:val="auto"/>
                <w:kern w:val="0"/>
                <w:sz w:val="24"/>
                <w:highlight w:val="none"/>
                <w:lang w:val="en-US" w:eastAsia="zh-CN"/>
              </w:rPr>
            </w:pPr>
            <w:r>
              <w:rPr>
                <w:rFonts w:hAnsi="宋体"/>
                <w:color w:val="auto"/>
                <w:sz w:val="24"/>
                <w:highlight w:val="none"/>
              </w:rPr>
              <w:t>①</w:t>
            </w:r>
            <w:r>
              <w:rPr>
                <w:color w:val="auto"/>
                <w:kern w:val="0"/>
                <w:sz w:val="24"/>
                <w:highlight w:val="none"/>
              </w:rPr>
              <w:t>集气方式及</w:t>
            </w:r>
            <w:r>
              <w:rPr>
                <w:rFonts w:hint="eastAsia"/>
                <w:color w:val="auto"/>
                <w:kern w:val="0"/>
                <w:sz w:val="24"/>
                <w:highlight w:val="none"/>
              </w:rPr>
              <w:t>处理</w:t>
            </w:r>
            <w:r>
              <w:rPr>
                <w:color w:val="auto"/>
                <w:kern w:val="0"/>
                <w:sz w:val="24"/>
                <w:highlight w:val="none"/>
              </w:rPr>
              <w:t>效率可行性</w:t>
            </w:r>
            <w:r>
              <w:rPr>
                <w:rFonts w:hint="eastAsia" w:ascii="宋体" w:hAnsi="宋体"/>
                <w:b/>
                <w:bCs/>
                <w:color w:val="auto"/>
                <w:kern w:val="0"/>
                <w:sz w:val="24"/>
                <w:highlight w:val="none"/>
                <w:lang w:val="en-US" w:eastAsia="zh-CN"/>
              </w:rPr>
              <w:t xml:space="preserve"> </w:t>
            </w:r>
          </w:p>
          <w:p w14:paraId="225D78BE">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b/>
                <w:bCs/>
                <w:color w:val="auto"/>
                <w:kern w:val="0"/>
                <w:sz w:val="24"/>
                <w:highlight w:val="none"/>
              </w:rPr>
            </w:pPr>
            <w:r>
              <w:rPr>
                <w:rFonts w:hint="eastAsia" w:ascii="宋体" w:hAnsi="宋体"/>
                <w:b/>
                <w:bCs/>
                <w:color w:val="auto"/>
                <w:kern w:val="0"/>
                <w:sz w:val="24"/>
                <w:highlight w:val="none"/>
              </w:rPr>
              <w:object>
                <v:shape id="_x0000_i1027" o:spt="75" type="#_x0000_t75" style="height:230.75pt;width:344.15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14:paraId="4D607699">
            <w:pPr>
              <w:keepNext w:val="0"/>
              <w:keepLines w:val="0"/>
              <w:suppressLineNumbers w:val="0"/>
              <w:adjustRightInd w:val="0"/>
              <w:snapToGrid w:val="0"/>
              <w:spacing w:before="0" w:beforeAutospacing="0" w:after="0" w:afterAutospacing="0" w:line="360" w:lineRule="auto"/>
              <w:ind w:left="0" w:right="0"/>
              <w:jc w:val="center"/>
              <w:rPr>
                <w:rFonts w:hint="eastAsia" w:eastAsia="宋体"/>
                <w:bCs/>
                <w:color w:val="auto"/>
                <w:sz w:val="24"/>
                <w:highlight w:val="none"/>
              </w:rPr>
            </w:pPr>
            <w:r>
              <w:rPr>
                <w:rFonts w:hint="eastAsia" w:ascii="宋体" w:hAnsi="宋体"/>
                <w:b/>
                <w:bCs/>
                <w:color w:val="auto"/>
                <w:kern w:val="0"/>
                <w:sz w:val="24"/>
                <w:highlight w:val="none"/>
              </w:rPr>
              <w:t>图4-1 废气收集及治理工艺流程图</w:t>
            </w:r>
          </w:p>
          <w:p w14:paraId="633948C8">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highlight w:val="none"/>
              </w:rPr>
            </w:pPr>
            <w:r>
              <w:rPr>
                <w:rFonts w:hint="eastAsia" w:eastAsia="宋体"/>
                <w:bCs/>
                <w:color w:val="auto"/>
                <w:sz w:val="24"/>
                <w:highlight w:val="none"/>
              </w:rPr>
              <w:t>参考《袋式除尘工程通用技术规范》（</w:t>
            </w:r>
            <w:r>
              <w:rPr>
                <w:rFonts w:eastAsia="宋体"/>
                <w:bCs/>
                <w:color w:val="auto"/>
                <w:sz w:val="24"/>
                <w:highlight w:val="none"/>
              </w:rPr>
              <w:t>HJ2020-2012</w:t>
            </w:r>
            <w:r>
              <w:rPr>
                <w:rFonts w:hint="eastAsia" w:eastAsia="宋体"/>
                <w:bCs/>
                <w:color w:val="auto"/>
                <w:sz w:val="24"/>
                <w:highlight w:val="none"/>
              </w:rPr>
              <w:t>）</w:t>
            </w:r>
            <w:r>
              <w:rPr>
                <w:rFonts w:eastAsia="宋体"/>
                <w:bCs/>
                <w:color w:val="auto"/>
                <w:sz w:val="24"/>
                <w:highlight w:val="none"/>
              </w:rPr>
              <w:t>“</w:t>
            </w:r>
            <w:r>
              <w:rPr>
                <w:rFonts w:hint="eastAsia" w:eastAsia="宋体"/>
                <w:bCs/>
                <w:color w:val="auto"/>
                <w:sz w:val="24"/>
                <w:highlight w:val="none"/>
                <w:lang w:val="en-US" w:eastAsia="zh-CN"/>
              </w:rPr>
              <w:t>半密闭</w:t>
            </w:r>
            <w:r>
              <w:rPr>
                <w:rFonts w:hint="eastAsia" w:eastAsia="宋体"/>
                <w:bCs/>
                <w:color w:val="auto"/>
                <w:sz w:val="24"/>
                <w:highlight w:val="none"/>
              </w:rPr>
              <w:t>罩收集效率不低于</w:t>
            </w:r>
            <w:r>
              <w:rPr>
                <w:rFonts w:eastAsia="宋体"/>
                <w:bCs/>
                <w:color w:val="auto"/>
                <w:sz w:val="24"/>
                <w:highlight w:val="none"/>
              </w:rPr>
              <w:t>9</w:t>
            </w:r>
            <w:r>
              <w:rPr>
                <w:rFonts w:hint="eastAsia" w:eastAsia="宋体"/>
                <w:bCs/>
                <w:color w:val="auto"/>
                <w:sz w:val="24"/>
                <w:highlight w:val="none"/>
                <w:lang w:val="en-US" w:eastAsia="zh-CN"/>
              </w:rPr>
              <w:t>5</w:t>
            </w:r>
            <w:r>
              <w:rPr>
                <w:rFonts w:eastAsia="宋体"/>
                <w:bCs/>
                <w:color w:val="auto"/>
                <w:sz w:val="24"/>
                <w:highlight w:val="none"/>
              </w:rPr>
              <w:t>%”</w:t>
            </w:r>
            <w:r>
              <w:rPr>
                <w:rFonts w:hint="eastAsia" w:eastAsia="宋体"/>
                <w:bCs/>
                <w:color w:val="auto"/>
                <w:sz w:val="24"/>
                <w:highlight w:val="none"/>
              </w:rPr>
              <w:t>，因此，</w:t>
            </w:r>
            <w:r>
              <w:rPr>
                <w:color w:val="auto"/>
                <w:sz w:val="24"/>
                <w:highlight w:val="none"/>
              </w:rPr>
              <w:t>建设项目</w:t>
            </w:r>
            <w:r>
              <w:rPr>
                <w:rFonts w:hint="eastAsia"/>
                <w:color w:val="auto"/>
                <w:sz w:val="24"/>
                <w:highlight w:val="none"/>
                <w:lang w:val="en-US" w:eastAsia="zh-CN"/>
              </w:rPr>
              <w:t>喷塑</w:t>
            </w:r>
            <w:r>
              <w:rPr>
                <w:rFonts w:hint="eastAsia"/>
                <w:color w:val="auto"/>
                <w:sz w:val="24"/>
                <w:highlight w:val="none"/>
              </w:rPr>
              <w:t>工序</w:t>
            </w:r>
            <w:r>
              <w:rPr>
                <w:color w:val="auto"/>
                <w:sz w:val="24"/>
                <w:highlight w:val="none"/>
              </w:rPr>
              <w:t>采用</w:t>
            </w:r>
            <w:r>
              <w:rPr>
                <w:rFonts w:hint="eastAsia"/>
                <w:color w:val="auto"/>
                <w:sz w:val="24"/>
                <w:highlight w:val="none"/>
                <w:lang w:val="en-US" w:eastAsia="zh-CN"/>
              </w:rPr>
              <w:t>半</w:t>
            </w:r>
            <w:r>
              <w:rPr>
                <w:color w:val="auto"/>
                <w:sz w:val="24"/>
                <w:highlight w:val="none"/>
              </w:rPr>
              <w:t>密闭收集，收集效率取9</w:t>
            </w:r>
            <w:r>
              <w:rPr>
                <w:rFonts w:hint="eastAsia"/>
                <w:color w:val="auto"/>
                <w:sz w:val="24"/>
                <w:highlight w:val="none"/>
              </w:rPr>
              <w:t>5</w:t>
            </w:r>
            <w:r>
              <w:rPr>
                <w:color w:val="auto"/>
                <w:sz w:val="24"/>
                <w:highlight w:val="none"/>
              </w:rPr>
              <w:t>%</w:t>
            </w:r>
            <w:r>
              <w:rPr>
                <w:rFonts w:hint="eastAsia" w:eastAsia="宋体"/>
                <w:bCs/>
                <w:color w:val="auto"/>
                <w:sz w:val="24"/>
                <w:highlight w:val="none"/>
              </w:rPr>
              <w:t>，</w:t>
            </w:r>
            <w:r>
              <w:rPr>
                <w:rFonts w:hint="eastAsia"/>
                <w:color w:val="auto"/>
                <w:sz w:val="24"/>
                <w:highlight w:val="none"/>
                <w:lang w:val="en-US" w:eastAsia="zh-CN"/>
              </w:rPr>
              <w:t>因此</w:t>
            </w:r>
            <w:r>
              <w:rPr>
                <w:rFonts w:hint="eastAsia" w:eastAsia="宋体"/>
                <w:bCs/>
                <w:color w:val="auto"/>
                <w:sz w:val="24"/>
                <w:highlight w:val="none"/>
              </w:rPr>
              <w:t>收集效率可行。</w:t>
            </w:r>
          </w:p>
          <w:p w14:paraId="4E837D01">
            <w:pPr>
              <w:keepNext w:val="0"/>
              <w:keepLines w:val="0"/>
              <w:suppressLineNumbers w:val="0"/>
              <w:adjustRightInd w:val="0"/>
              <w:snapToGrid w:val="0"/>
              <w:spacing w:before="0" w:beforeAutospacing="0" w:after="0" w:afterAutospacing="0" w:line="360" w:lineRule="auto"/>
              <w:ind w:left="0" w:right="0" w:firstLine="480" w:firstLineChars="200"/>
              <w:rPr>
                <w:rFonts w:eastAsia="宋体"/>
                <w:color w:val="auto"/>
                <w:sz w:val="24"/>
                <w:highlight w:val="none"/>
              </w:rPr>
            </w:pPr>
            <w:r>
              <w:rPr>
                <w:rFonts w:ascii="宋体" w:hAnsi="宋体"/>
                <w:color w:val="auto"/>
                <w:sz w:val="24"/>
                <w:highlight w:val="none"/>
              </w:rPr>
              <w:t>根据</w:t>
            </w:r>
            <w:r>
              <w:rPr>
                <w:rFonts w:hint="eastAsia" w:ascii="宋体" w:hAnsi="宋体"/>
                <w:color w:val="auto"/>
                <w:sz w:val="24"/>
                <w:highlight w:val="none"/>
                <w:lang w:eastAsia="zh-CN"/>
              </w:rPr>
              <w:t>《上海市工业企业挥发性有机物排放量通用计算方法（试行）》</w:t>
            </w:r>
            <w:r>
              <w:rPr>
                <w:rFonts w:ascii="宋体" w:hAnsi="宋体"/>
                <w:color w:val="auto"/>
                <w:sz w:val="24"/>
                <w:highlight w:val="none"/>
              </w:rPr>
              <w:t>中表</w:t>
            </w:r>
            <w:r>
              <w:rPr>
                <w:rFonts w:hAnsi="宋体"/>
                <w:color w:val="auto"/>
                <w:sz w:val="24"/>
                <w:highlight w:val="none"/>
              </w:rPr>
              <w:t>1-1</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全密闭式负压排风捕集效率达到</w:t>
            </w:r>
            <w:r>
              <w:rPr>
                <w:color w:val="auto"/>
                <w:sz w:val="24"/>
                <w:highlight w:val="none"/>
              </w:rPr>
              <w:t>95%</w:t>
            </w:r>
            <w:r>
              <w:rPr>
                <w:rFonts w:ascii="宋体" w:hAnsi="宋体"/>
                <w:color w:val="auto"/>
                <w:sz w:val="24"/>
                <w:highlight w:val="none"/>
              </w:rPr>
              <w:t>以上</w:t>
            </w:r>
            <w:r>
              <w:rPr>
                <w:rFonts w:hint="eastAsia" w:ascii="宋体" w:hAnsi="宋体"/>
                <w:color w:val="auto"/>
                <w:sz w:val="24"/>
                <w:highlight w:val="none"/>
              </w:rPr>
              <w:t>”</w:t>
            </w:r>
            <w:r>
              <w:rPr>
                <w:rFonts w:ascii="宋体" w:hAnsi="宋体"/>
                <w:color w:val="auto"/>
                <w:sz w:val="24"/>
                <w:highlight w:val="none"/>
              </w:rPr>
              <w:t>，</w:t>
            </w:r>
            <w:r>
              <w:rPr>
                <w:color w:val="auto"/>
                <w:sz w:val="24"/>
                <w:highlight w:val="none"/>
              </w:rPr>
              <w:t>因此，建设项目</w:t>
            </w:r>
            <w:r>
              <w:rPr>
                <w:rFonts w:hint="eastAsia"/>
                <w:color w:val="auto"/>
                <w:sz w:val="24"/>
                <w:highlight w:val="none"/>
                <w:lang w:val="en-US" w:eastAsia="zh-CN"/>
              </w:rPr>
              <w:t>喷漆、烘干、固化</w:t>
            </w:r>
            <w:r>
              <w:rPr>
                <w:rFonts w:hint="eastAsia"/>
                <w:color w:val="auto"/>
                <w:sz w:val="24"/>
                <w:highlight w:val="none"/>
              </w:rPr>
              <w:t>工序</w:t>
            </w:r>
            <w:r>
              <w:rPr>
                <w:color w:val="auto"/>
                <w:sz w:val="24"/>
                <w:highlight w:val="none"/>
              </w:rPr>
              <w:t>采用密闭车间负压收集，收集效率取9</w:t>
            </w:r>
            <w:r>
              <w:rPr>
                <w:rFonts w:hint="eastAsia"/>
                <w:color w:val="auto"/>
                <w:sz w:val="24"/>
                <w:highlight w:val="none"/>
              </w:rPr>
              <w:t>5</w:t>
            </w:r>
            <w:r>
              <w:rPr>
                <w:color w:val="auto"/>
                <w:sz w:val="24"/>
                <w:highlight w:val="none"/>
              </w:rPr>
              <w:t>%，</w:t>
            </w:r>
            <w:r>
              <w:rPr>
                <w:rFonts w:hint="eastAsia"/>
                <w:color w:val="auto"/>
                <w:sz w:val="24"/>
                <w:highlight w:val="none"/>
              </w:rPr>
              <w:t>因此</w:t>
            </w:r>
            <w:r>
              <w:rPr>
                <w:color w:val="auto"/>
                <w:sz w:val="24"/>
                <w:highlight w:val="none"/>
              </w:rPr>
              <w:t>收集效率可行。</w:t>
            </w:r>
          </w:p>
          <w:p w14:paraId="3DEF017B">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eastAsia="宋体"/>
                <w:color w:val="auto"/>
                <w:sz w:val="24"/>
                <w:highlight w:val="none"/>
              </w:rPr>
              <w:t>综上所述，建设项目</w:t>
            </w:r>
            <w:r>
              <w:rPr>
                <w:rFonts w:hint="eastAsia"/>
                <w:color w:val="auto"/>
                <w:sz w:val="24"/>
                <w:highlight w:val="none"/>
                <w:lang w:val="en-US" w:eastAsia="zh-CN"/>
              </w:rPr>
              <w:t>喷漆、烘干、固化</w:t>
            </w:r>
            <w:r>
              <w:rPr>
                <w:rFonts w:eastAsia="宋体"/>
                <w:color w:val="auto"/>
                <w:sz w:val="24"/>
                <w:highlight w:val="none"/>
              </w:rPr>
              <w:t>废气收集效率符合《江苏省重点行业挥发性有机物污染控制指南》中不得低于90%的要求</w:t>
            </w:r>
            <w:r>
              <w:rPr>
                <w:rFonts w:hint="eastAsia" w:eastAsia="宋体"/>
                <w:color w:val="auto"/>
                <w:sz w:val="24"/>
                <w:highlight w:val="none"/>
                <w:lang w:eastAsia="zh-CN"/>
              </w:rPr>
              <w:t>；</w:t>
            </w:r>
            <w:r>
              <w:rPr>
                <w:rFonts w:hint="eastAsia"/>
                <w:color w:val="auto"/>
                <w:sz w:val="24"/>
                <w:highlight w:val="none"/>
                <w:lang w:val="en-US" w:eastAsia="zh-CN"/>
              </w:rPr>
              <w:t>喷塑</w:t>
            </w:r>
            <w:r>
              <w:rPr>
                <w:rFonts w:hint="eastAsia"/>
                <w:color w:val="auto"/>
                <w:sz w:val="24"/>
                <w:highlight w:val="none"/>
              </w:rPr>
              <w:t>工序</w:t>
            </w:r>
            <w:r>
              <w:rPr>
                <w:rFonts w:eastAsia="宋体"/>
                <w:color w:val="auto"/>
                <w:sz w:val="24"/>
                <w:highlight w:val="none"/>
              </w:rPr>
              <w:t>废气收集效率符合</w:t>
            </w:r>
            <w:r>
              <w:rPr>
                <w:rFonts w:hint="eastAsia" w:eastAsia="宋体"/>
                <w:bCs/>
                <w:color w:val="auto"/>
                <w:sz w:val="24"/>
                <w:highlight w:val="none"/>
              </w:rPr>
              <w:t>《袋式除尘工程通用技术规范》（</w:t>
            </w:r>
            <w:r>
              <w:rPr>
                <w:rFonts w:eastAsia="宋体"/>
                <w:bCs/>
                <w:color w:val="auto"/>
                <w:sz w:val="24"/>
                <w:highlight w:val="none"/>
              </w:rPr>
              <w:t>HJ2020-2012</w:t>
            </w:r>
            <w:r>
              <w:rPr>
                <w:rFonts w:hint="eastAsia" w:eastAsia="宋体"/>
                <w:bCs/>
                <w:color w:val="auto"/>
                <w:sz w:val="24"/>
                <w:highlight w:val="none"/>
              </w:rPr>
              <w:t>）</w:t>
            </w:r>
            <w:r>
              <w:rPr>
                <w:rFonts w:eastAsia="宋体"/>
                <w:bCs/>
                <w:color w:val="auto"/>
                <w:sz w:val="24"/>
                <w:highlight w:val="none"/>
              </w:rPr>
              <w:t>“</w:t>
            </w:r>
            <w:r>
              <w:rPr>
                <w:rFonts w:hint="eastAsia" w:eastAsia="宋体"/>
                <w:bCs/>
                <w:color w:val="auto"/>
                <w:sz w:val="24"/>
                <w:highlight w:val="none"/>
                <w:lang w:val="en-US" w:eastAsia="zh-CN"/>
              </w:rPr>
              <w:t>半密闭</w:t>
            </w:r>
            <w:r>
              <w:rPr>
                <w:rFonts w:hint="eastAsia" w:eastAsia="宋体"/>
                <w:bCs/>
                <w:color w:val="auto"/>
                <w:sz w:val="24"/>
                <w:highlight w:val="none"/>
              </w:rPr>
              <w:t>罩收集效率不低于</w:t>
            </w:r>
            <w:r>
              <w:rPr>
                <w:rFonts w:eastAsia="宋体"/>
                <w:bCs/>
                <w:color w:val="auto"/>
                <w:sz w:val="24"/>
                <w:highlight w:val="none"/>
              </w:rPr>
              <w:t>9</w:t>
            </w:r>
            <w:r>
              <w:rPr>
                <w:rFonts w:hint="eastAsia" w:eastAsia="宋体"/>
                <w:bCs/>
                <w:color w:val="auto"/>
                <w:sz w:val="24"/>
                <w:highlight w:val="none"/>
                <w:lang w:val="en-US" w:eastAsia="zh-CN"/>
              </w:rPr>
              <w:t>5</w:t>
            </w:r>
            <w:r>
              <w:rPr>
                <w:rFonts w:eastAsia="宋体"/>
                <w:bCs/>
                <w:color w:val="auto"/>
                <w:sz w:val="24"/>
                <w:highlight w:val="none"/>
              </w:rPr>
              <w:t>%”</w:t>
            </w:r>
            <w:r>
              <w:rPr>
                <w:rFonts w:hint="eastAsia" w:eastAsia="宋体"/>
                <w:bCs/>
                <w:color w:val="auto"/>
                <w:sz w:val="24"/>
                <w:highlight w:val="none"/>
                <w:lang w:val="en-US" w:eastAsia="zh-CN"/>
              </w:rPr>
              <w:t>的要求</w:t>
            </w:r>
            <w:r>
              <w:rPr>
                <w:rFonts w:hAnsi="宋体"/>
                <w:color w:val="auto"/>
                <w:sz w:val="24"/>
                <w:highlight w:val="none"/>
              </w:rPr>
              <w:t>。</w:t>
            </w:r>
          </w:p>
          <w:p w14:paraId="56D593CF">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szCs w:val="24"/>
                <w:highlight w:val="none"/>
              </w:rPr>
            </w:pPr>
            <w:r>
              <w:rPr>
                <w:rFonts w:hAnsi="宋体"/>
                <w:color w:val="auto"/>
                <w:sz w:val="24"/>
                <w:szCs w:val="24"/>
                <w:highlight w:val="none"/>
              </w:rPr>
              <w:t>②处理措施可行性</w:t>
            </w:r>
          </w:p>
          <w:p w14:paraId="01E5D6E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w:t>
            </w:r>
            <w:r>
              <w:rPr>
                <w:rFonts w:hint="default" w:ascii="Times New Roman" w:hAnsi="Times New Roman" w:cs="Times New Roman"/>
                <w:bCs/>
                <w:color w:val="auto"/>
                <w:sz w:val="24"/>
                <w:szCs w:val="24"/>
                <w:highlight w:val="none"/>
              </w:rPr>
              <w:t>《排污许可证申请与核发技术规范 通用设备、专用设备、仪器仪表及其他制造业》（DB61/T1356-2020）</w:t>
            </w:r>
            <w:r>
              <w:rPr>
                <w:rFonts w:hint="default" w:ascii="Times New Roman" w:hAnsi="Times New Roman" w:cs="Times New Roman"/>
                <w:color w:val="auto"/>
                <w:sz w:val="24"/>
                <w:szCs w:val="24"/>
                <w:highlight w:val="none"/>
              </w:rPr>
              <w:t>，排污许可证相关可行技术见下表：</w:t>
            </w:r>
          </w:p>
          <w:p w14:paraId="4F52564F">
            <w:pPr>
              <w:keepNext w:val="0"/>
              <w:keepLines w:val="0"/>
              <w:suppressLineNumbers w:val="0"/>
              <w:adjustRightInd w:val="0"/>
              <w:snapToGrid w:val="0"/>
              <w:spacing w:before="0" w:beforeAutospacing="0" w:after="0" w:afterAutospacing="0"/>
              <w:ind w:left="0" w:right="0" w:firstLine="482" w:firstLineChars="20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 xml:space="preserve">   可行性技术分析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2017"/>
              <w:gridCol w:w="836"/>
              <w:gridCol w:w="1248"/>
              <w:gridCol w:w="2354"/>
              <w:gridCol w:w="1297"/>
              <w:gridCol w:w="529"/>
            </w:tblGrid>
            <w:tr w14:paraId="10C735E7">
              <w:trPr>
                <w:trHeight w:val="340" w:hRule="atLeast"/>
                <w:jc w:val="center"/>
              </w:trPr>
              <w:tc>
                <w:tcPr>
                  <w:tcW w:w="1185" w:type="pct"/>
                  <w:vAlign w:val="center"/>
                </w:tcPr>
                <w:p w14:paraId="462462C7">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排污许可规范</w:t>
                  </w:r>
                </w:p>
              </w:tc>
              <w:tc>
                <w:tcPr>
                  <w:tcW w:w="511" w:type="pct"/>
                  <w:vAlign w:val="center"/>
                </w:tcPr>
                <w:p w14:paraId="4B00CC5C">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排污单位类别/产排污环节</w:t>
                  </w:r>
                </w:p>
              </w:tc>
              <w:tc>
                <w:tcPr>
                  <w:tcW w:w="760" w:type="pct"/>
                  <w:vAlign w:val="center"/>
                </w:tcPr>
                <w:p w14:paraId="7EE877A0">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污染物种类</w:t>
                  </w:r>
                </w:p>
              </w:tc>
              <w:tc>
                <w:tcPr>
                  <w:tcW w:w="1427" w:type="pct"/>
                  <w:vAlign w:val="center"/>
                </w:tcPr>
                <w:p w14:paraId="5D817799">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可行技术</w:t>
                  </w:r>
                </w:p>
              </w:tc>
              <w:tc>
                <w:tcPr>
                  <w:tcW w:w="789" w:type="pct"/>
                  <w:vAlign w:val="center"/>
                </w:tcPr>
                <w:p w14:paraId="549DC28A">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本项目处理设施</w:t>
                  </w:r>
                </w:p>
              </w:tc>
              <w:tc>
                <w:tcPr>
                  <w:tcW w:w="325" w:type="pct"/>
                  <w:vAlign w:val="center"/>
                </w:tcPr>
                <w:p w14:paraId="715899B6">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b/>
                      <w:color w:val="auto"/>
                      <w:szCs w:val="21"/>
                      <w:highlight w:val="none"/>
                    </w:rPr>
                    <w:t>是否属于可行技术</w:t>
                  </w:r>
                </w:p>
              </w:tc>
            </w:tr>
            <w:tr w14:paraId="3830CF7E">
              <w:trPr>
                <w:trHeight w:val="850" w:hRule="atLeast"/>
                <w:jc w:val="center"/>
              </w:trPr>
              <w:tc>
                <w:tcPr>
                  <w:tcW w:w="1185" w:type="pct"/>
                  <w:vMerge w:val="restart"/>
                  <w:vAlign w:val="center"/>
                </w:tcPr>
                <w:p w14:paraId="00D7865E">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bCs/>
                      <w:color w:val="auto"/>
                      <w:szCs w:val="21"/>
                      <w:highlight w:val="none"/>
                    </w:rPr>
                    <w:t>《排污许可证申请与核发技术规范 通用设备、专用设备、仪器仪表及其他制造业》（DB61/T1356-2020）</w:t>
                  </w:r>
                </w:p>
              </w:tc>
              <w:tc>
                <w:tcPr>
                  <w:tcW w:w="511" w:type="pct"/>
                  <w:vMerge w:val="restart"/>
                  <w:vAlign w:val="center"/>
                </w:tcPr>
                <w:p w14:paraId="7CE2FC8C">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焊接</w:t>
                  </w:r>
                </w:p>
              </w:tc>
              <w:tc>
                <w:tcPr>
                  <w:tcW w:w="760" w:type="pct"/>
                  <w:vAlign w:val="center"/>
                </w:tcPr>
                <w:p w14:paraId="1EDA0988">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颗粒物</w:t>
                  </w:r>
                </w:p>
              </w:tc>
              <w:tc>
                <w:tcPr>
                  <w:tcW w:w="1427" w:type="pct"/>
                  <w:vAlign w:val="center"/>
                </w:tcPr>
                <w:p w14:paraId="15B5120B">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ascii="宋体" w:hAnsi="宋体"/>
                      <w:b/>
                      <w:color w:val="auto"/>
                      <w:szCs w:val="21"/>
                      <w:highlight w:val="none"/>
                    </w:rPr>
                    <w:t>袋式除尘</w:t>
                  </w:r>
                  <w:r>
                    <w:rPr>
                      <w:rFonts w:ascii="宋体" w:hAnsi="宋体"/>
                      <w:color w:val="auto"/>
                      <w:szCs w:val="21"/>
                      <w:highlight w:val="none"/>
                    </w:rPr>
                    <w:t>、滤筒</w:t>
                  </w:r>
                  <w:r>
                    <w:rPr>
                      <w:rFonts w:hint="eastAsia" w:ascii="宋体" w:hAnsi="宋体"/>
                      <w:color w:val="auto"/>
                      <w:szCs w:val="21"/>
                      <w:highlight w:val="none"/>
                    </w:rPr>
                    <w:t>/滤芯过滤、中央集尘系统、移动式收尘净化设备、其他除尘设施</w:t>
                  </w:r>
                </w:p>
              </w:tc>
              <w:tc>
                <w:tcPr>
                  <w:tcW w:w="789" w:type="pct"/>
                  <w:vAlign w:val="center"/>
                </w:tcPr>
                <w:p w14:paraId="0AFA6ACA">
                  <w:pPr>
                    <w:keepNext w:val="0"/>
                    <w:keepLines w:val="0"/>
                    <w:suppressLineNumbers w:val="0"/>
                    <w:adjustRightInd w:val="0"/>
                    <w:snapToGrid w:val="0"/>
                    <w:spacing w:before="0" w:beforeAutospacing="0" w:after="0" w:afterAutospacing="0"/>
                    <w:ind w:left="0" w:right="0"/>
                    <w:jc w:val="center"/>
                    <w:rPr>
                      <w:rFonts w:ascii="宋体" w:hAnsi="宋体"/>
                      <w:bCs/>
                      <w:color w:val="auto"/>
                      <w:szCs w:val="21"/>
                      <w:highlight w:val="none"/>
                    </w:rPr>
                  </w:pPr>
                  <w:r>
                    <w:rPr>
                      <w:rFonts w:ascii="宋体" w:hAnsi="宋体"/>
                      <w:bCs/>
                      <w:color w:val="auto"/>
                      <w:szCs w:val="21"/>
                      <w:highlight w:val="none"/>
                    </w:rPr>
                    <w:t>烟尘净化器</w:t>
                  </w:r>
                </w:p>
              </w:tc>
              <w:tc>
                <w:tcPr>
                  <w:tcW w:w="325" w:type="pct"/>
                  <w:vAlign w:val="center"/>
                </w:tcPr>
                <w:p w14:paraId="29CEC445">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是</w:t>
                  </w:r>
                </w:p>
              </w:tc>
            </w:tr>
            <w:tr w14:paraId="1D84B44E">
              <w:trPr>
                <w:trHeight w:val="340" w:hRule="atLeast"/>
                <w:jc w:val="center"/>
              </w:trPr>
              <w:tc>
                <w:tcPr>
                  <w:tcW w:w="1185" w:type="pct"/>
                  <w:vMerge w:val="continue"/>
                  <w:vAlign w:val="center"/>
                </w:tcPr>
                <w:p w14:paraId="256AB52B">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p>
              </w:tc>
              <w:tc>
                <w:tcPr>
                  <w:tcW w:w="511" w:type="pct"/>
                  <w:vMerge w:val="restart"/>
                  <w:vAlign w:val="center"/>
                </w:tcPr>
                <w:p w14:paraId="48CA273C">
                  <w:pPr>
                    <w:keepNext w:val="0"/>
                    <w:keepLines w:val="0"/>
                    <w:suppressLineNumbers w:val="0"/>
                    <w:adjustRightInd w:val="0"/>
                    <w:snapToGrid w:val="0"/>
                    <w:spacing w:before="0" w:beforeAutospacing="0" w:after="0" w:afterAutospacing="0"/>
                    <w:ind w:left="0" w:right="0"/>
                    <w:jc w:val="center"/>
                    <w:rPr>
                      <w:rFonts w:hint="default" w:ascii="宋体" w:hAnsi="宋体" w:eastAsiaTheme="minorEastAsia"/>
                      <w:color w:val="auto"/>
                      <w:szCs w:val="21"/>
                      <w:highlight w:val="none"/>
                      <w:lang w:val="en-US" w:eastAsia="zh-CN"/>
                    </w:rPr>
                  </w:pPr>
                  <w:r>
                    <w:rPr>
                      <w:rFonts w:ascii="宋体" w:hAnsi="宋体"/>
                      <w:color w:val="auto"/>
                      <w:szCs w:val="21"/>
                      <w:highlight w:val="none"/>
                    </w:rPr>
                    <w:t>喷漆</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烘干</w:t>
                  </w:r>
                </w:p>
              </w:tc>
              <w:tc>
                <w:tcPr>
                  <w:tcW w:w="760" w:type="pct"/>
                  <w:vAlign w:val="center"/>
                </w:tcPr>
                <w:p w14:paraId="03EC0DF2">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颗粒物（漆雾）</w:t>
                  </w:r>
                </w:p>
              </w:tc>
              <w:tc>
                <w:tcPr>
                  <w:tcW w:w="1427" w:type="pct"/>
                  <w:vAlign w:val="center"/>
                </w:tcPr>
                <w:p w14:paraId="6201722B">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ascii="宋体" w:hAnsi="宋体"/>
                      <w:b/>
                      <w:color w:val="auto"/>
                      <w:szCs w:val="21"/>
                      <w:highlight w:val="none"/>
                    </w:rPr>
                    <w:t>封闭喷漆室、</w:t>
                  </w:r>
                  <w:r>
                    <w:rPr>
                      <w:rFonts w:ascii="宋体" w:hAnsi="宋体"/>
                      <w:color w:val="auto"/>
                      <w:szCs w:val="21"/>
                      <w:highlight w:val="none"/>
                    </w:rPr>
                    <w:t>文丘里</w:t>
                  </w:r>
                  <w:r>
                    <w:rPr>
                      <w:rFonts w:hint="eastAsia" w:ascii="宋体" w:hAnsi="宋体"/>
                      <w:color w:val="auto"/>
                      <w:szCs w:val="21"/>
                      <w:highlight w:val="none"/>
                    </w:rPr>
                    <w:t>/水旋/水帘、</w:t>
                  </w:r>
                  <w:r>
                    <w:rPr>
                      <w:rFonts w:hint="eastAsia" w:ascii="宋体" w:hAnsi="宋体"/>
                      <w:b/>
                      <w:color w:val="auto"/>
                      <w:szCs w:val="21"/>
                      <w:highlight w:val="none"/>
                    </w:rPr>
                    <w:t>过滤棉</w:t>
                  </w:r>
                  <w:r>
                    <w:rPr>
                      <w:rFonts w:hint="eastAsia" w:ascii="宋体" w:hAnsi="宋体"/>
                      <w:color w:val="auto"/>
                      <w:szCs w:val="21"/>
                      <w:highlight w:val="none"/>
                    </w:rPr>
                    <w:t>、化学纤维过滤</w:t>
                  </w:r>
                </w:p>
              </w:tc>
              <w:tc>
                <w:tcPr>
                  <w:tcW w:w="789" w:type="pct"/>
                  <w:vAlign w:val="center"/>
                </w:tcPr>
                <w:p w14:paraId="70BCBD23">
                  <w:pPr>
                    <w:keepNext w:val="0"/>
                    <w:keepLines w:val="0"/>
                    <w:suppressLineNumbers w:val="0"/>
                    <w:adjustRightInd w:val="0"/>
                    <w:snapToGrid w:val="0"/>
                    <w:spacing w:before="0" w:beforeAutospacing="0" w:after="0" w:afterAutospacing="0"/>
                    <w:ind w:left="0" w:right="0"/>
                    <w:jc w:val="center"/>
                    <w:rPr>
                      <w:rFonts w:ascii="宋体" w:hAnsi="宋体"/>
                      <w:bCs/>
                      <w:color w:val="auto"/>
                      <w:szCs w:val="21"/>
                      <w:highlight w:val="none"/>
                    </w:rPr>
                  </w:pPr>
                  <w:r>
                    <w:rPr>
                      <w:rFonts w:ascii="宋体" w:hAnsi="宋体"/>
                      <w:color w:val="auto"/>
                      <w:szCs w:val="21"/>
                      <w:highlight w:val="none"/>
                    </w:rPr>
                    <w:t>封闭喷漆室</w:t>
                  </w:r>
                  <w:r>
                    <w:rPr>
                      <w:rFonts w:hint="eastAsia" w:ascii="宋体" w:hAnsi="宋体"/>
                      <w:color w:val="auto"/>
                      <w:szCs w:val="21"/>
                      <w:highlight w:val="none"/>
                    </w:rPr>
                    <w:t>+干式过滤</w:t>
                  </w:r>
                </w:p>
              </w:tc>
              <w:tc>
                <w:tcPr>
                  <w:tcW w:w="325" w:type="pct"/>
                  <w:vAlign w:val="center"/>
                </w:tcPr>
                <w:p w14:paraId="7A0FEEB1">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是</w:t>
                  </w:r>
                </w:p>
              </w:tc>
            </w:tr>
            <w:tr w14:paraId="22798AA7">
              <w:trPr>
                <w:trHeight w:val="340" w:hRule="atLeast"/>
                <w:jc w:val="center"/>
              </w:trPr>
              <w:tc>
                <w:tcPr>
                  <w:tcW w:w="1185" w:type="pct"/>
                  <w:vMerge w:val="continue"/>
                  <w:vAlign w:val="center"/>
                </w:tcPr>
                <w:p w14:paraId="495ED528">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p>
              </w:tc>
              <w:tc>
                <w:tcPr>
                  <w:tcW w:w="511" w:type="pct"/>
                  <w:vMerge w:val="continue"/>
                  <w:vAlign w:val="center"/>
                </w:tcPr>
                <w:p w14:paraId="2689552E">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p>
              </w:tc>
              <w:tc>
                <w:tcPr>
                  <w:tcW w:w="760" w:type="pct"/>
                  <w:vAlign w:val="center"/>
                </w:tcPr>
                <w:p w14:paraId="6E4C48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NMHC</w:t>
                  </w:r>
                </w:p>
              </w:tc>
              <w:tc>
                <w:tcPr>
                  <w:tcW w:w="1427" w:type="pct"/>
                  <w:vAlign w:val="center"/>
                </w:tcPr>
                <w:p w14:paraId="25871277">
                  <w:pPr>
                    <w:keepNext w:val="0"/>
                    <w:keepLines w:val="0"/>
                    <w:suppressLineNumbers w:val="0"/>
                    <w:adjustRightInd w:val="0"/>
                    <w:snapToGrid w:val="0"/>
                    <w:spacing w:before="0" w:beforeAutospacing="0" w:after="0" w:afterAutospacing="0"/>
                    <w:ind w:left="0" w:right="0"/>
                    <w:jc w:val="center"/>
                    <w:rPr>
                      <w:rFonts w:ascii="宋体" w:hAnsi="宋体"/>
                      <w:b/>
                      <w:color w:val="auto"/>
                      <w:szCs w:val="21"/>
                      <w:highlight w:val="none"/>
                    </w:rPr>
                  </w:pPr>
                  <w:r>
                    <w:rPr>
                      <w:rFonts w:hint="eastAsia" w:ascii="宋体" w:hAnsi="宋体"/>
                      <w:color w:val="auto"/>
                      <w:szCs w:val="21"/>
                      <w:highlight w:val="none"/>
                    </w:rPr>
                    <w:t>封闭喷漆室、</w:t>
                  </w:r>
                  <w:r>
                    <w:rPr>
                      <w:rFonts w:hint="eastAsia" w:ascii="宋体" w:hAnsi="宋体"/>
                      <w:b/>
                      <w:color w:val="auto"/>
                      <w:szCs w:val="21"/>
                      <w:highlight w:val="none"/>
                    </w:rPr>
                    <w:t>活性炭吸附</w:t>
                  </w:r>
                  <w:r>
                    <w:rPr>
                      <w:rFonts w:hint="eastAsia" w:ascii="宋体" w:hAnsi="宋体"/>
                      <w:color w:val="auto"/>
                      <w:szCs w:val="21"/>
                      <w:highlight w:val="none"/>
                    </w:rPr>
                    <w:t>、分子筛转轮吸附浓缩、吸附/浓缩+热力燃烧/催化燃烧、热力焚烧/催化焚烧、其他有机废气治理设施</w:t>
                  </w:r>
                </w:p>
              </w:tc>
              <w:tc>
                <w:tcPr>
                  <w:tcW w:w="789" w:type="pct"/>
                  <w:vAlign w:val="center"/>
                </w:tcPr>
                <w:p w14:paraId="47EBE978">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封闭喷漆室</w:t>
                  </w:r>
                  <w:r>
                    <w:rPr>
                      <w:rFonts w:hint="eastAsia" w:ascii="宋体" w:hAnsi="宋体"/>
                      <w:color w:val="auto"/>
                      <w:szCs w:val="21"/>
                      <w:highlight w:val="none"/>
                    </w:rPr>
                    <w:t>+二级活性炭吸附</w:t>
                  </w:r>
                </w:p>
              </w:tc>
              <w:tc>
                <w:tcPr>
                  <w:tcW w:w="325" w:type="pct"/>
                  <w:vAlign w:val="center"/>
                </w:tcPr>
                <w:p w14:paraId="4B5FFED7">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是</w:t>
                  </w:r>
                </w:p>
              </w:tc>
            </w:tr>
            <w:tr w14:paraId="72F7C865">
              <w:trPr>
                <w:trHeight w:val="340" w:hRule="atLeast"/>
                <w:jc w:val="center"/>
              </w:trPr>
              <w:tc>
                <w:tcPr>
                  <w:tcW w:w="1185" w:type="pct"/>
                  <w:vMerge w:val="continue"/>
                  <w:vAlign w:val="center"/>
                </w:tcPr>
                <w:p w14:paraId="1C991201">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p>
              </w:tc>
              <w:tc>
                <w:tcPr>
                  <w:tcW w:w="511" w:type="pct"/>
                  <w:vAlign w:val="center"/>
                </w:tcPr>
                <w:p w14:paraId="6CA73C94">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lang w:val="en-US" w:eastAsia="zh-CN"/>
                    </w:rPr>
                    <w:t>喷塑</w:t>
                  </w:r>
                </w:p>
              </w:tc>
              <w:tc>
                <w:tcPr>
                  <w:tcW w:w="760" w:type="pct"/>
                  <w:vAlign w:val="center"/>
                </w:tcPr>
                <w:p w14:paraId="28D7236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1427" w:type="pct"/>
                  <w:vAlign w:val="center"/>
                </w:tcPr>
                <w:p w14:paraId="32397C0B">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滤筒</w:t>
                  </w:r>
                  <w:r>
                    <w:rPr>
                      <w:rFonts w:hint="eastAsia" w:ascii="宋体" w:hAnsi="宋体"/>
                      <w:color w:val="auto"/>
                      <w:szCs w:val="21"/>
                      <w:highlight w:val="none"/>
                    </w:rPr>
                    <w:t>/滤芯过滤、</w:t>
                  </w:r>
                  <w:r>
                    <w:rPr>
                      <w:rFonts w:ascii="宋体" w:hAnsi="宋体"/>
                      <w:b/>
                      <w:color w:val="auto"/>
                      <w:szCs w:val="21"/>
                      <w:highlight w:val="none"/>
                    </w:rPr>
                    <w:t>袋式除尘</w:t>
                  </w:r>
                  <w:r>
                    <w:rPr>
                      <w:rFonts w:ascii="宋体" w:hAnsi="宋体"/>
                      <w:color w:val="auto"/>
                      <w:szCs w:val="21"/>
                      <w:highlight w:val="none"/>
                    </w:rPr>
                    <w:t>、</w:t>
                  </w:r>
                  <w:r>
                    <w:rPr>
                      <w:rFonts w:hint="eastAsia" w:ascii="宋体" w:hAnsi="宋体"/>
                      <w:color w:val="auto"/>
                      <w:szCs w:val="21"/>
                      <w:highlight w:val="none"/>
                    </w:rPr>
                    <w:t>其他除尘设施</w:t>
                  </w:r>
                </w:p>
              </w:tc>
              <w:tc>
                <w:tcPr>
                  <w:tcW w:w="789" w:type="pct"/>
                  <w:vAlign w:val="center"/>
                </w:tcPr>
                <w:p w14:paraId="036B5DBA">
                  <w:pPr>
                    <w:keepNext w:val="0"/>
                    <w:keepLines w:val="0"/>
                    <w:suppressLineNumbers w:val="0"/>
                    <w:adjustRightInd w:val="0"/>
                    <w:snapToGrid w:val="0"/>
                    <w:spacing w:before="0" w:beforeAutospacing="0" w:after="0" w:afterAutospacing="0"/>
                    <w:ind w:left="0" w:right="0"/>
                    <w:jc w:val="center"/>
                    <w:rPr>
                      <w:rFonts w:ascii="宋体" w:hAnsi="宋体"/>
                      <w:bCs/>
                      <w:color w:val="auto"/>
                      <w:szCs w:val="21"/>
                      <w:highlight w:val="none"/>
                    </w:rPr>
                  </w:pPr>
                  <w:r>
                    <w:rPr>
                      <w:rFonts w:ascii="宋体" w:hAnsi="宋体"/>
                      <w:bCs/>
                      <w:color w:val="auto"/>
                      <w:szCs w:val="21"/>
                      <w:highlight w:val="none"/>
                    </w:rPr>
                    <w:t>布袋除尘器</w:t>
                  </w:r>
                </w:p>
              </w:tc>
              <w:tc>
                <w:tcPr>
                  <w:tcW w:w="325" w:type="pct"/>
                  <w:vAlign w:val="center"/>
                </w:tcPr>
                <w:p w14:paraId="05CA4D84">
                  <w:pPr>
                    <w:keepNext w:val="0"/>
                    <w:keepLines w:val="0"/>
                    <w:suppressLineNumbers w:val="0"/>
                    <w:spacing w:before="0" w:beforeAutospacing="0" w:after="0" w:afterAutospacing="0"/>
                    <w:ind w:left="0" w:right="0"/>
                    <w:jc w:val="center"/>
                    <w:rPr>
                      <w:rFonts w:ascii="宋体" w:hAnsi="宋体"/>
                      <w:color w:val="auto"/>
                      <w:highlight w:val="none"/>
                    </w:rPr>
                  </w:pPr>
                  <w:r>
                    <w:rPr>
                      <w:rFonts w:ascii="宋体" w:hAnsi="宋体"/>
                      <w:color w:val="auto"/>
                      <w:szCs w:val="21"/>
                      <w:highlight w:val="none"/>
                    </w:rPr>
                    <w:t>是</w:t>
                  </w:r>
                </w:p>
              </w:tc>
            </w:tr>
            <w:tr w14:paraId="7FA28B60">
              <w:trPr>
                <w:trHeight w:val="340" w:hRule="atLeast"/>
                <w:jc w:val="center"/>
              </w:trPr>
              <w:tc>
                <w:tcPr>
                  <w:tcW w:w="1185" w:type="pct"/>
                  <w:vMerge w:val="continue"/>
                  <w:vAlign w:val="center"/>
                </w:tcPr>
                <w:p w14:paraId="442E3321">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p>
              </w:tc>
              <w:tc>
                <w:tcPr>
                  <w:tcW w:w="511" w:type="pct"/>
                  <w:vAlign w:val="center"/>
                </w:tcPr>
                <w:p w14:paraId="251720F8">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固化</w:t>
                  </w:r>
                </w:p>
              </w:tc>
              <w:tc>
                <w:tcPr>
                  <w:tcW w:w="760" w:type="pct"/>
                  <w:vAlign w:val="center"/>
                </w:tcPr>
                <w:p w14:paraId="5C7526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NMHC</w:t>
                  </w:r>
                </w:p>
              </w:tc>
              <w:tc>
                <w:tcPr>
                  <w:tcW w:w="1427" w:type="pct"/>
                  <w:vAlign w:val="center"/>
                </w:tcPr>
                <w:p w14:paraId="275BCA21">
                  <w:pPr>
                    <w:keepNext w:val="0"/>
                    <w:keepLines w:val="0"/>
                    <w:suppressLineNumbers w:val="0"/>
                    <w:adjustRightInd w:val="0"/>
                    <w:snapToGrid w:val="0"/>
                    <w:spacing w:before="0" w:beforeAutospacing="0" w:after="0" w:afterAutospacing="0"/>
                    <w:ind w:left="0" w:right="0"/>
                    <w:jc w:val="center"/>
                    <w:rPr>
                      <w:rFonts w:ascii="宋体" w:hAnsi="宋体"/>
                      <w:color w:val="auto"/>
                      <w:szCs w:val="21"/>
                      <w:highlight w:val="none"/>
                    </w:rPr>
                  </w:pPr>
                  <w:r>
                    <w:rPr>
                      <w:rFonts w:hint="eastAsia" w:ascii="宋体" w:hAnsi="宋体"/>
                      <w:color w:val="auto"/>
                      <w:szCs w:val="21"/>
                      <w:highlight w:val="none"/>
                    </w:rPr>
                    <w:t>密闭干燥室、</w:t>
                  </w:r>
                  <w:r>
                    <w:rPr>
                      <w:rFonts w:hint="eastAsia" w:ascii="宋体" w:hAnsi="宋体"/>
                      <w:b/>
                      <w:color w:val="auto"/>
                      <w:szCs w:val="21"/>
                      <w:highlight w:val="none"/>
                    </w:rPr>
                    <w:t>活性炭吸附</w:t>
                  </w:r>
                  <w:r>
                    <w:rPr>
                      <w:rFonts w:hint="eastAsia" w:ascii="宋体" w:hAnsi="宋体"/>
                      <w:color w:val="auto"/>
                      <w:szCs w:val="21"/>
                      <w:highlight w:val="none"/>
                    </w:rPr>
                    <w:t>、吸附/浓缩+热力燃烧/催化燃烧、热力焚烧/催化焚烧、沸石转轮吸附浓缩、其他有机废气治理设施</w:t>
                  </w:r>
                </w:p>
              </w:tc>
              <w:tc>
                <w:tcPr>
                  <w:tcW w:w="789" w:type="pct"/>
                  <w:vAlign w:val="center"/>
                </w:tcPr>
                <w:p w14:paraId="5714D339">
                  <w:pPr>
                    <w:keepNext w:val="0"/>
                    <w:keepLines w:val="0"/>
                    <w:suppressLineNumbers w:val="0"/>
                    <w:adjustRightInd w:val="0"/>
                    <w:snapToGrid w:val="0"/>
                    <w:spacing w:before="0" w:beforeAutospacing="0" w:after="0" w:afterAutospacing="0"/>
                    <w:ind w:left="0" w:right="0"/>
                    <w:jc w:val="center"/>
                    <w:rPr>
                      <w:rFonts w:ascii="宋体" w:hAnsi="宋体"/>
                      <w:bCs/>
                      <w:color w:val="auto"/>
                      <w:szCs w:val="21"/>
                      <w:highlight w:val="none"/>
                    </w:rPr>
                  </w:pPr>
                  <w:r>
                    <w:rPr>
                      <w:rFonts w:hint="eastAsia" w:ascii="宋体" w:hAnsi="宋体"/>
                      <w:bCs/>
                      <w:color w:val="auto"/>
                      <w:szCs w:val="21"/>
                      <w:highlight w:val="none"/>
                    </w:rPr>
                    <w:t>二级活性炭吸附</w:t>
                  </w:r>
                </w:p>
              </w:tc>
              <w:tc>
                <w:tcPr>
                  <w:tcW w:w="325" w:type="pct"/>
                  <w:vAlign w:val="center"/>
                </w:tcPr>
                <w:p w14:paraId="28A91B18">
                  <w:pPr>
                    <w:keepNext w:val="0"/>
                    <w:keepLines w:val="0"/>
                    <w:suppressLineNumbers w:val="0"/>
                    <w:spacing w:before="0" w:beforeAutospacing="0" w:after="0" w:afterAutospacing="0"/>
                    <w:ind w:left="0" w:right="0"/>
                    <w:jc w:val="center"/>
                    <w:rPr>
                      <w:rFonts w:ascii="宋体" w:hAnsi="宋体"/>
                      <w:color w:val="auto"/>
                      <w:szCs w:val="21"/>
                      <w:highlight w:val="none"/>
                    </w:rPr>
                  </w:pPr>
                  <w:r>
                    <w:rPr>
                      <w:rFonts w:ascii="宋体" w:hAnsi="宋体"/>
                      <w:color w:val="auto"/>
                      <w:szCs w:val="21"/>
                      <w:highlight w:val="none"/>
                    </w:rPr>
                    <w:t>是</w:t>
                  </w:r>
                </w:p>
              </w:tc>
            </w:tr>
          </w:tbl>
          <w:p w14:paraId="2F538DED">
            <w:pPr>
              <w:keepNext w:val="0"/>
              <w:keepLines w:val="0"/>
              <w:suppressLineNumbers w:val="0"/>
              <w:adjustRightInd w:val="0"/>
              <w:snapToGrid w:val="0"/>
              <w:spacing w:before="0" w:beforeLines="50" w:beforeAutospacing="0" w:after="0" w:afterAutospacing="0" w:line="360" w:lineRule="auto"/>
              <w:ind w:left="0" w:right="0" w:firstLine="480" w:firstLineChars="200"/>
              <w:jc w:val="left"/>
              <w:rPr>
                <w:rFonts w:hint="eastAsia"/>
                <w:color w:val="auto"/>
                <w:sz w:val="24"/>
                <w:highlight w:val="none"/>
                <w:lang w:val="en-US" w:eastAsia="zh-CN"/>
              </w:rPr>
            </w:pPr>
            <w:r>
              <w:rPr>
                <w:rFonts w:hint="eastAsia" w:ascii="宋体" w:hAnsi="宋体"/>
                <w:bCs/>
                <w:color w:val="auto"/>
                <w:sz w:val="24"/>
                <w:szCs w:val="24"/>
                <w:highlight w:val="none"/>
              </w:rPr>
              <w:t>对</w:t>
            </w:r>
            <w:r>
              <w:rPr>
                <w:rFonts w:hint="default" w:ascii="Times New Roman" w:hAnsi="Times New Roman" w:cs="Times New Roman"/>
                <w:bCs/>
                <w:color w:val="auto"/>
                <w:sz w:val="24"/>
                <w:szCs w:val="24"/>
                <w:highlight w:val="none"/>
              </w:rPr>
              <w:t>照《排污许可证申请与核发技术规范 通用设备、专用设备、仪器仪表及其他制造业》（DB61/T1356-2020）</w:t>
            </w:r>
            <w:r>
              <w:rPr>
                <w:rFonts w:hint="default" w:ascii="Times New Roman" w:hAnsi="Times New Roman" w:cs="Times New Roman"/>
                <w:color w:val="auto"/>
                <w:sz w:val="24"/>
                <w:szCs w:val="24"/>
                <w:highlight w:val="none"/>
              </w:rPr>
              <w:t>，本项目所采</w:t>
            </w:r>
            <w:r>
              <w:rPr>
                <w:rFonts w:hint="eastAsia" w:ascii="宋体" w:hAnsi="宋体"/>
                <w:color w:val="auto"/>
                <w:sz w:val="24"/>
                <w:szCs w:val="24"/>
                <w:highlight w:val="none"/>
              </w:rPr>
              <w:t>取的废气处理工艺属于可行技术。</w:t>
            </w:r>
          </w:p>
          <w:p w14:paraId="14143D93">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（3）</w:t>
            </w:r>
            <w:r>
              <w:rPr>
                <w:rFonts w:hint="eastAsia" w:hAnsi="宋体"/>
                <w:color w:val="auto"/>
                <w:sz w:val="24"/>
                <w:highlight w:val="none"/>
                <w:lang w:val="en-US" w:eastAsia="zh-CN"/>
              </w:rPr>
              <w:t>废气</w:t>
            </w:r>
            <w:r>
              <w:rPr>
                <w:rFonts w:hAnsi="宋体"/>
                <w:color w:val="auto"/>
                <w:sz w:val="24"/>
                <w:highlight w:val="none"/>
              </w:rPr>
              <w:t>环境影响分析</w:t>
            </w:r>
          </w:p>
          <w:p w14:paraId="00E535A3">
            <w:pPr>
              <w:keepNext w:val="0"/>
              <w:keepLines w:val="0"/>
              <w:suppressLineNumbers w:val="0"/>
              <w:adjustRightInd w:val="0"/>
              <w:snapToGrid w:val="0"/>
              <w:spacing w:before="0" w:beforeAutospacing="0" w:after="0" w:afterAutospacing="0" w:line="360" w:lineRule="auto"/>
              <w:ind w:left="0" w:right="0" w:firstLine="477" w:firstLineChars="199"/>
              <w:rPr>
                <w:b/>
                <w:bCs/>
                <w:color w:val="auto"/>
                <w:sz w:val="24"/>
              </w:rPr>
            </w:pPr>
            <w:r>
              <w:rPr>
                <w:color w:val="auto"/>
                <w:sz w:val="24"/>
              </w:rPr>
              <w:t>①卫生防护距离</w:t>
            </w:r>
          </w:p>
          <w:p w14:paraId="1B3D4712">
            <w:pPr>
              <w:keepNext w:val="0"/>
              <w:keepLines w:val="0"/>
              <w:suppressLineNumbers w:val="0"/>
              <w:tabs>
                <w:tab w:val="left" w:pos="2659"/>
              </w:tabs>
              <w:adjustRightInd w:val="0"/>
              <w:snapToGrid w:val="0"/>
              <w:spacing w:before="0" w:beforeAutospacing="0" w:after="0" w:afterAutospacing="0" w:line="360" w:lineRule="auto"/>
              <w:ind w:left="0" w:right="0" w:firstLine="480" w:firstLineChars="200"/>
              <w:rPr>
                <w:bCs/>
                <w:color w:val="auto"/>
                <w:sz w:val="24"/>
              </w:rPr>
            </w:pPr>
            <w:r>
              <w:rPr>
                <w:bCs/>
                <w:color w:val="auto"/>
                <w:sz w:val="24"/>
              </w:rPr>
              <w:t>按照“工程分析”核算的有害气体无组织排放量，根据《</w:t>
            </w:r>
            <w:r>
              <w:rPr>
                <w:rFonts w:eastAsiaTheme="minorEastAsia"/>
                <w:color w:val="auto"/>
                <w:kern w:val="0"/>
                <w:sz w:val="24"/>
              </w:rPr>
              <w:t>大气有害物质无组织排放卫生防护距离推导技术导则</w:t>
            </w:r>
            <w:r>
              <w:rPr>
                <w:bCs/>
                <w:color w:val="auto"/>
                <w:sz w:val="24"/>
              </w:rPr>
              <w:t>》</w:t>
            </w:r>
            <w:r>
              <w:rPr>
                <w:rFonts w:hint="eastAsia"/>
                <w:bCs/>
                <w:color w:val="auto"/>
                <w:sz w:val="24"/>
                <w:lang w:eastAsia="zh-CN"/>
              </w:rPr>
              <w:t>（</w:t>
            </w:r>
            <w:r>
              <w:rPr>
                <w:bCs/>
                <w:color w:val="auto"/>
                <w:sz w:val="24"/>
              </w:rPr>
              <w:t>GB/T39499-2020</w:t>
            </w:r>
            <w:r>
              <w:rPr>
                <w:rFonts w:hint="eastAsia"/>
                <w:bCs/>
                <w:color w:val="auto"/>
                <w:sz w:val="24"/>
                <w:lang w:eastAsia="zh-CN"/>
              </w:rPr>
              <w:t>）</w:t>
            </w:r>
            <w:r>
              <w:rPr>
                <w:bCs/>
                <w:color w:val="auto"/>
                <w:sz w:val="24"/>
              </w:rPr>
              <w:t>的有关规定，当目标企业无组织排放存在多种有毒有害污染物时，基于单个污染物的等标排放量（Q</w:t>
            </w:r>
            <w:r>
              <w:rPr>
                <w:bCs/>
                <w:color w:val="auto"/>
                <w:sz w:val="24"/>
                <w:vertAlign w:val="subscript"/>
              </w:rPr>
              <w:t>c</w:t>
            </w:r>
            <w:r>
              <w:rPr>
                <w:bCs/>
                <w:color w:val="auto"/>
                <w:sz w:val="24"/>
              </w:rPr>
              <w:t>/C</w:t>
            </w:r>
            <w:r>
              <w:rPr>
                <w:bCs/>
                <w:color w:val="auto"/>
                <w:sz w:val="24"/>
                <w:vertAlign w:val="subscript"/>
              </w:rPr>
              <w:t>m</w:t>
            </w:r>
            <w:r>
              <w:rPr>
                <w:bCs/>
                <w:color w:val="auto"/>
                <w:sz w:val="24"/>
              </w:rPr>
              <w:t>）计算结果，优先选择等标排放量最大的污染物1～2种为企业无组织排放的主要特征大气有害物质。当前两种污染物的等标排放量相差在10%以内时，需要同时选择这两种特征大气有害物质分别计算卫生防护距离初值，建设项目无组织污染物等标排放量详见表4-</w:t>
            </w:r>
            <w:r>
              <w:rPr>
                <w:rFonts w:hint="eastAsia"/>
                <w:bCs/>
                <w:color w:val="auto"/>
                <w:sz w:val="24"/>
                <w:lang w:val="en-US" w:eastAsia="zh-CN"/>
              </w:rPr>
              <w:t>9</w:t>
            </w:r>
            <w:r>
              <w:rPr>
                <w:bCs/>
                <w:color w:val="auto"/>
                <w:sz w:val="24"/>
              </w:rPr>
              <w:t>。</w:t>
            </w:r>
          </w:p>
          <w:p w14:paraId="36EAC409">
            <w:pPr>
              <w:keepNext w:val="0"/>
              <w:keepLines w:val="0"/>
              <w:suppressLineNumbers w:val="0"/>
              <w:adjustRightInd w:val="0"/>
              <w:snapToGrid w:val="0"/>
              <w:spacing w:before="0" w:beforeAutospacing="0" w:after="0" w:afterAutospacing="0"/>
              <w:ind w:left="0" w:right="0" w:firstLine="482" w:firstLineChars="200"/>
              <w:jc w:val="center"/>
              <w:rPr>
                <w:b/>
                <w:bCs/>
                <w:color w:val="auto"/>
                <w:sz w:val="24"/>
              </w:rPr>
            </w:pPr>
            <w:r>
              <w:rPr>
                <w:b/>
                <w:bCs/>
                <w:color w:val="auto"/>
                <w:sz w:val="24"/>
              </w:rPr>
              <w:t>表4-</w:t>
            </w:r>
            <w:r>
              <w:rPr>
                <w:rFonts w:hint="eastAsia"/>
                <w:b/>
                <w:bCs/>
                <w:color w:val="auto"/>
                <w:sz w:val="24"/>
                <w:lang w:val="en-US" w:eastAsia="zh-CN"/>
              </w:rPr>
              <w:t>9</w:t>
            </w:r>
            <w:r>
              <w:rPr>
                <w:b/>
                <w:bCs/>
                <w:color w:val="auto"/>
                <w:sz w:val="24"/>
              </w:rPr>
              <w:t xml:space="preserve">  建设项目无组织废气等标排放量计算结果一览表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57"/>
              <w:gridCol w:w="1458"/>
              <w:gridCol w:w="1825"/>
              <w:gridCol w:w="2520"/>
              <w:gridCol w:w="1421"/>
            </w:tblGrid>
            <w:tr w14:paraId="56E62BD6">
              <w:trPr>
                <w:trHeight w:val="340" w:hRule="atLeast"/>
                <w:jc w:val="center"/>
              </w:trPr>
              <w:tc>
                <w:tcPr>
                  <w:tcW w:w="638" w:type="pct"/>
                  <w:tcBorders>
                    <w:tl2br w:val="nil"/>
                    <w:tr2bl w:val="nil"/>
                  </w:tcBorders>
                  <w:vAlign w:val="center"/>
                </w:tcPr>
                <w:p w14:paraId="08387D85">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面源</w:t>
                  </w:r>
                </w:p>
              </w:tc>
              <w:tc>
                <w:tcPr>
                  <w:tcW w:w="880" w:type="pct"/>
                  <w:tcBorders>
                    <w:tl2br w:val="nil"/>
                    <w:tr2bl w:val="nil"/>
                  </w:tcBorders>
                  <w:vAlign w:val="center"/>
                </w:tcPr>
                <w:p w14:paraId="250E50DD">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污染物</w:t>
                  </w:r>
                </w:p>
              </w:tc>
              <w:tc>
                <w:tcPr>
                  <w:tcW w:w="1101" w:type="pct"/>
                  <w:tcBorders>
                    <w:tl2br w:val="nil"/>
                    <w:tr2bl w:val="nil"/>
                  </w:tcBorders>
                  <w:vAlign w:val="center"/>
                </w:tcPr>
                <w:p w14:paraId="483E203C">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源强Q</w:t>
                  </w:r>
                  <w:r>
                    <w:rPr>
                      <w:b/>
                      <w:bCs/>
                      <w:color w:val="auto"/>
                      <w:szCs w:val="21"/>
                      <w:vertAlign w:val="subscript"/>
                    </w:rPr>
                    <w:t>c</w:t>
                  </w:r>
                  <w:r>
                    <w:rPr>
                      <w:b/>
                      <w:bCs/>
                      <w:color w:val="auto"/>
                      <w:szCs w:val="21"/>
                    </w:rPr>
                    <w:t>（kg/h）</w:t>
                  </w:r>
                </w:p>
              </w:tc>
              <w:tc>
                <w:tcPr>
                  <w:tcW w:w="1520" w:type="pct"/>
                  <w:tcBorders>
                    <w:tl2br w:val="nil"/>
                    <w:tr2bl w:val="nil"/>
                  </w:tcBorders>
                  <w:vAlign w:val="center"/>
                </w:tcPr>
                <w:p w14:paraId="0341D14C">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标准限值C</w:t>
                  </w:r>
                  <w:r>
                    <w:rPr>
                      <w:b/>
                      <w:bCs/>
                      <w:color w:val="auto"/>
                      <w:szCs w:val="21"/>
                      <w:vertAlign w:val="subscript"/>
                    </w:rPr>
                    <w:t>m</w:t>
                  </w:r>
                  <w:r>
                    <w:rPr>
                      <w:b/>
                      <w:bCs/>
                      <w:color w:val="auto"/>
                      <w:szCs w:val="21"/>
                    </w:rPr>
                    <w:t>（mg/Nm</w:t>
                  </w:r>
                  <w:r>
                    <w:rPr>
                      <w:b/>
                      <w:bCs/>
                      <w:color w:val="auto"/>
                      <w:szCs w:val="21"/>
                      <w:vertAlign w:val="superscript"/>
                    </w:rPr>
                    <w:t>3</w:t>
                  </w:r>
                  <w:r>
                    <w:rPr>
                      <w:b/>
                      <w:bCs/>
                      <w:color w:val="auto"/>
                      <w:szCs w:val="21"/>
                    </w:rPr>
                    <w:t>）*</w:t>
                  </w:r>
                </w:p>
              </w:tc>
              <w:tc>
                <w:tcPr>
                  <w:tcW w:w="857" w:type="pct"/>
                  <w:tcBorders>
                    <w:tl2br w:val="nil"/>
                    <w:tr2bl w:val="nil"/>
                  </w:tcBorders>
                  <w:vAlign w:val="center"/>
                </w:tcPr>
                <w:p w14:paraId="253452EC">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Q</w:t>
                  </w:r>
                  <w:r>
                    <w:rPr>
                      <w:b/>
                      <w:bCs/>
                      <w:color w:val="auto"/>
                      <w:szCs w:val="21"/>
                      <w:vertAlign w:val="subscript"/>
                    </w:rPr>
                    <w:t>c</w:t>
                  </w:r>
                  <w:r>
                    <w:rPr>
                      <w:b/>
                      <w:bCs/>
                      <w:color w:val="auto"/>
                      <w:szCs w:val="21"/>
                    </w:rPr>
                    <w:t>/C</w:t>
                  </w:r>
                  <w:r>
                    <w:rPr>
                      <w:b/>
                      <w:bCs/>
                      <w:color w:val="auto"/>
                      <w:szCs w:val="21"/>
                      <w:vertAlign w:val="subscript"/>
                    </w:rPr>
                    <w:t>m</w:t>
                  </w:r>
                </w:p>
              </w:tc>
            </w:tr>
            <w:tr w14:paraId="534E5600">
              <w:trPr>
                <w:trHeight w:val="340" w:hRule="atLeast"/>
                <w:jc w:val="center"/>
              </w:trPr>
              <w:tc>
                <w:tcPr>
                  <w:tcW w:w="638" w:type="pct"/>
                  <w:vMerge w:val="restart"/>
                  <w:tcBorders>
                    <w:tl2br w:val="nil"/>
                    <w:tr2bl w:val="nil"/>
                  </w:tcBorders>
                  <w:vAlign w:val="center"/>
                </w:tcPr>
                <w:p w14:paraId="424EF414">
                  <w:pPr>
                    <w:keepNext w:val="0"/>
                    <w:keepLines w:val="0"/>
                    <w:suppressLineNumbers w:val="0"/>
                    <w:spacing w:before="0" w:beforeAutospacing="0" w:after="0" w:afterAutospacing="0"/>
                    <w:ind w:left="0" w:right="0"/>
                    <w:jc w:val="center"/>
                    <w:rPr>
                      <w:color w:val="auto"/>
                      <w:szCs w:val="21"/>
                    </w:rPr>
                  </w:pPr>
                  <w:r>
                    <w:rPr>
                      <w:rFonts w:hint="eastAsia"/>
                      <w:color w:val="auto"/>
                      <w:szCs w:val="21"/>
                      <w:lang w:val="en-US" w:eastAsia="zh-CN"/>
                    </w:rPr>
                    <w:t>3</w:t>
                  </w:r>
                  <w:r>
                    <w:rPr>
                      <w:rFonts w:hint="eastAsia"/>
                      <w:color w:val="auto"/>
                      <w:szCs w:val="21"/>
                    </w:rPr>
                    <w:t>#厂房</w:t>
                  </w:r>
                </w:p>
              </w:tc>
              <w:tc>
                <w:tcPr>
                  <w:tcW w:w="880" w:type="pct"/>
                  <w:tcBorders>
                    <w:tl2br w:val="nil"/>
                    <w:tr2bl w:val="nil"/>
                  </w:tcBorders>
                  <w:shd w:val="pct10" w:color="auto" w:fill="auto"/>
                  <w:vAlign w:val="center"/>
                </w:tcPr>
                <w:p w14:paraId="2101322B">
                  <w:pPr>
                    <w:keepNext w:val="0"/>
                    <w:keepLines w:val="0"/>
                    <w:widowControl/>
                    <w:suppressLineNumbers w:val="0"/>
                    <w:adjustRightInd w:val="0"/>
                    <w:snapToGrid w:val="0"/>
                    <w:spacing w:before="0" w:beforeAutospacing="0" w:after="0" w:afterAutospacing="0"/>
                    <w:ind w:left="0" w:right="0"/>
                    <w:jc w:val="center"/>
                    <w:rPr>
                      <w:rFonts w:eastAsiaTheme="minorEastAsia"/>
                      <w:color w:val="auto"/>
                      <w:kern w:val="0"/>
                      <w:szCs w:val="21"/>
                    </w:rPr>
                  </w:pPr>
                  <w:r>
                    <w:rPr>
                      <w:rFonts w:hint="eastAsia" w:eastAsiaTheme="minorEastAsia"/>
                      <w:color w:val="auto"/>
                      <w:kern w:val="0"/>
                      <w:szCs w:val="21"/>
                    </w:rPr>
                    <w:t>颗粒物</w:t>
                  </w:r>
                </w:p>
              </w:tc>
              <w:tc>
                <w:tcPr>
                  <w:tcW w:w="1101" w:type="pct"/>
                  <w:tcBorders>
                    <w:tl2br w:val="nil"/>
                    <w:tr2bl w:val="nil"/>
                  </w:tcBorders>
                  <w:shd w:val="pct10" w:color="auto" w:fill="auto"/>
                  <w:vAlign w:val="center"/>
                </w:tcPr>
                <w:p w14:paraId="0AE111E3">
                  <w:pPr>
                    <w:keepNext w:val="0"/>
                    <w:keepLines w:val="0"/>
                    <w:widowControl/>
                    <w:suppressLineNumbers w:val="0"/>
                    <w:spacing w:before="0" w:beforeAutospacing="0" w:after="0" w:afterAutospacing="0"/>
                    <w:ind w:left="0" w:right="0"/>
                    <w:jc w:val="center"/>
                    <w:textAlignment w:val="center"/>
                    <w:rPr>
                      <w:rFonts w:hint="default" w:eastAsiaTheme="minorEastAsia"/>
                      <w:color w:val="auto"/>
                      <w:szCs w:val="21"/>
                      <w:lang w:val="en-US" w:eastAsia="zh-CN"/>
                    </w:rPr>
                  </w:pPr>
                  <w:r>
                    <w:rPr>
                      <w:rFonts w:hint="eastAsia" w:cs="Times New Roman"/>
                      <w:color w:val="auto"/>
                      <w:kern w:val="2"/>
                      <w:sz w:val="21"/>
                      <w:szCs w:val="21"/>
                      <w:highlight w:val="none"/>
                      <w:lang w:val="en-US" w:eastAsia="zh-CN" w:bidi="ar-SA"/>
                    </w:rPr>
                    <w:t>0.1816</w:t>
                  </w:r>
                </w:p>
              </w:tc>
              <w:tc>
                <w:tcPr>
                  <w:tcW w:w="1520" w:type="pct"/>
                  <w:tcBorders>
                    <w:tl2br w:val="nil"/>
                    <w:tr2bl w:val="nil"/>
                  </w:tcBorders>
                  <w:shd w:val="pct10" w:color="auto" w:fill="auto"/>
                  <w:vAlign w:val="center"/>
                </w:tcPr>
                <w:p w14:paraId="244BD17A">
                  <w:pPr>
                    <w:keepNext w:val="0"/>
                    <w:keepLines w:val="0"/>
                    <w:suppressLineNumbers w:val="0"/>
                    <w:spacing w:before="0" w:beforeAutospacing="0" w:after="0" w:afterAutospacing="0"/>
                    <w:ind w:left="0" w:right="0"/>
                    <w:jc w:val="center"/>
                    <w:rPr>
                      <w:rFonts w:hint="eastAsia" w:eastAsiaTheme="minorEastAsia"/>
                      <w:color w:val="auto"/>
                      <w:szCs w:val="21"/>
                      <w:lang w:val="en-US" w:eastAsia="zh-CN"/>
                    </w:rPr>
                  </w:pPr>
                  <w:r>
                    <w:rPr>
                      <w:rFonts w:hint="eastAsia"/>
                      <w:color w:val="auto"/>
                      <w:szCs w:val="21"/>
                    </w:rPr>
                    <w:t>0.</w:t>
                  </w:r>
                  <w:r>
                    <w:rPr>
                      <w:rFonts w:hint="eastAsia"/>
                      <w:color w:val="auto"/>
                      <w:szCs w:val="21"/>
                      <w:lang w:val="en-US" w:eastAsia="zh-CN"/>
                    </w:rPr>
                    <w:t>9</w:t>
                  </w:r>
                </w:p>
              </w:tc>
              <w:tc>
                <w:tcPr>
                  <w:tcW w:w="857" w:type="pct"/>
                  <w:tcBorders>
                    <w:tl2br w:val="nil"/>
                    <w:tr2bl w:val="nil"/>
                  </w:tcBorders>
                  <w:shd w:val="pct10" w:color="auto" w:fill="auto"/>
                  <w:vAlign w:val="center"/>
                </w:tcPr>
                <w:p w14:paraId="1864FB6B">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rPr>
                    <w:t>0.</w:t>
                  </w:r>
                  <w:r>
                    <w:rPr>
                      <w:rFonts w:hint="eastAsia"/>
                      <w:color w:val="auto"/>
                      <w:szCs w:val="21"/>
                      <w:lang w:val="en-US" w:eastAsia="zh-CN"/>
                    </w:rPr>
                    <w:t>202</w:t>
                  </w:r>
                </w:p>
              </w:tc>
            </w:tr>
            <w:tr w14:paraId="0A86B3B0">
              <w:trPr>
                <w:trHeight w:val="340" w:hRule="atLeast"/>
                <w:jc w:val="center"/>
              </w:trPr>
              <w:tc>
                <w:tcPr>
                  <w:tcW w:w="638" w:type="pct"/>
                  <w:vMerge w:val="continue"/>
                  <w:tcBorders>
                    <w:tl2br w:val="nil"/>
                    <w:tr2bl w:val="nil"/>
                  </w:tcBorders>
                  <w:vAlign w:val="center"/>
                </w:tcPr>
                <w:p w14:paraId="54D8F364">
                  <w:pPr>
                    <w:keepNext w:val="0"/>
                    <w:keepLines w:val="0"/>
                    <w:suppressLineNumbers w:val="0"/>
                    <w:spacing w:before="0" w:beforeAutospacing="0" w:after="0" w:afterAutospacing="0"/>
                    <w:ind w:left="0" w:right="0"/>
                    <w:jc w:val="center"/>
                    <w:rPr>
                      <w:color w:val="auto"/>
                      <w:szCs w:val="21"/>
                    </w:rPr>
                  </w:pPr>
                </w:p>
              </w:tc>
              <w:tc>
                <w:tcPr>
                  <w:tcW w:w="880" w:type="pct"/>
                  <w:tcBorders>
                    <w:tl2br w:val="nil"/>
                    <w:tr2bl w:val="nil"/>
                  </w:tcBorders>
                  <w:shd w:val="pct10" w:color="auto" w:fill="auto"/>
                  <w:vAlign w:val="center"/>
                </w:tcPr>
                <w:p w14:paraId="79B43D7B">
                  <w:pPr>
                    <w:keepNext w:val="0"/>
                    <w:keepLines w:val="0"/>
                    <w:widowControl/>
                    <w:suppressLineNumbers w:val="0"/>
                    <w:adjustRightInd w:val="0"/>
                    <w:snapToGrid w:val="0"/>
                    <w:spacing w:before="0" w:beforeAutospacing="0" w:after="0" w:afterAutospacing="0"/>
                    <w:ind w:left="0" w:right="0"/>
                    <w:jc w:val="center"/>
                    <w:rPr>
                      <w:rFonts w:eastAsiaTheme="minorEastAsia"/>
                      <w:color w:val="auto"/>
                      <w:kern w:val="0"/>
                      <w:szCs w:val="21"/>
                    </w:rPr>
                  </w:pPr>
                  <w:r>
                    <w:rPr>
                      <w:rFonts w:hint="eastAsia" w:eastAsiaTheme="minorEastAsia"/>
                      <w:color w:val="auto"/>
                      <w:kern w:val="0"/>
                      <w:szCs w:val="21"/>
                    </w:rPr>
                    <w:t>NMHC</w:t>
                  </w:r>
                </w:p>
              </w:tc>
              <w:tc>
                <w:tcPr>
                  <w:tcW w:w="1101" w:type="pct"/>
                  <w:tcBorders>
                    <w:tl2br w:val="nil"/>
                    <w:tr2bl w:val="nil"/>
                  </w:tcBorders>
                  <w:shd w:val="pct10" w:color="auto" w:fill="auto"/>
                  <w:vAlign w:val="center"/>
                </w:tcPr>
                <w:p w14:paraId="3D96E6BA">
                  <w:pPr>
                    <w:keepNext w:val="0"/>
                    <w:keepLines w:val="0"/>
                    <w:suppressLineNumbers w:val="0"/>
                    <w:spacing w:before="0" w:beforeAutospacing="0" w:after="0" w:afterAutospacing="0"/>
                    <w:ind w:left="0" w:right="0"/>
                    <w:jc w:val="center"/>
                    <w:rPr>
                      <w:color w:val="auto"/>
                      <w:szCs w:val="21"/>
                    </w:rPr>
                  </w:pPr>
                  <w:r>
                    <w:rPr>
                      <w:rFonts w:hint="eastAsia"/>
                      <w:color w:val="auto"/>
                      <w:szCs w:val="21"/>
                      <w:highlight w:val="none"/>
                      <w:lang w:val="en-US" w:eastAsia="zh-CN"/>
                    </w:rPr>
                    <w:t>0.05265</w:t>
                  </w:r>
                </w:p>
              </w:tc>
              <w:tc>
                <w:tcPr>
                  <w:tcW w:w="1520" w:type="pct"/>
                  <w:tcBorders>
                    <w:tl2br w:val="nil"/>
                    <w:tr2bl w:val="nil"/>
                  </w:tcBorders>
                  <w:shd w:val="pct10" w:color="auto" w:fill="auto"/>
                  <w:vAlign w:val="center"/>
                </w:tcPr>
                <w:p w14:paraId="28930E93">
                  <w:pPr>
                    <w:keepNext w:val="0"/>
                    <w:keepLines w:val="0"/>
                    <w:suppressLineNumbers w:val="0"/>
                    <w:spacing w:before="0" w:beforeAutospacing="0" w:after="0" w:afterAutospacing="0"/>
                    <w:ind w:left="0" w:right="0"/>
                    <w:jc w:val="center"/>
                    <w:rPr>
                      <w:color w:val="auto"/>
                      <w:szCs w:val="21"/>
                    </w:rPr>
                  </w:pPr>
                  <w:r>
                    <w:rPr>
                      <w:rFonts w:hint="eastAsia"/>
                      <w:color w:val="auto"/>
                      <w:szCs w:val="21"/>
                    </w:rPr>
                    <w:t>2.0</w:t>
                  </w:r>
                </w:p>
              </w:tc>
              <w:tc>
                <w:tcPr>
                  <w:tcW w:w="857" w:type="pct"/>
                  <w:tcBorders>
                    <w:tl2br w:val="nil"/>
                    <w:tr2bl w:val="nil"/>
                  </w:tcBorders>
                  <w:shd w:val="pct10" w:color="auto" w:fill="auto"/>
                  <w:vAlign w:val="center"/>
                </w:tcPr>
                <w:p w14:paraId="6776C57F">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0.026</w:t>
                  </w:r>
                </w:p>
              </w:tc>
            </w:tr>
          </w:tbl>
          <w:p w14:paraId="3D8202D1">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rPr>
            </w:pPr>
            <w:r>
              <w:rPr>
                <w:color w:val="auto"/>
                <w:sz w:val="24"/>
              </w:rPr>
              <w:t>由上表可知，本项目选取</w:t>
            </w:r>
            <w:r>
              <w:rPr>
                <w:rFonts w:hint="eastAsia"/>
                <w:color w:val="auto"/>
                <w:sz w:val="24"/>
              </w:rPr>
              <w:t>颗粒物</w:t>
            </w:r>
            <w:r>
              <w:rPr>
                <w:color w:val="auto"/>
                <w:sz w:val="24"/>
              </w:rPr>
              <w:t>作为主要特征大气有害物质。</w:t>
            </w:r>
          </w:p>
          <w:p w14:paraId="41474663">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rPr>
            </w:pPr>
            <w:r>
              <w:rPr>
                <w:bCs/>
                <w:color w:val="auto"/>
                <w:sz w:val="24"/>
              </w:rPr>
              <w:t>根据《</w:t>
            </w:r>
            <w:r>
              <w:rPr>
                <w:rFonts w:eastAsiaTheme="minorEastAsia"/>
                <w:color w:val="auto"/>
                <w:kern w:val="0"/>
                <w:sz w:val="24"/>
              </w:rPr>
              <w:t>大气有害物质无组织排放卫生防护距离推导技术导则</w:t>
            </w:r>
            <w:r>
              <w:rPr>
                <w:bCs/>
                <w:color w:val="auto"/>
                <w:sz w:val="24"/>
              </w:rPr>
              <w:t>》</w:t>
            </w:r>
            <w:r>
              <w:rPr>
                <w:rFonts w:hint="eastAsia"/>
                <w:bCs/>
                <w:color w:val="auto"/>
                <w:sz w:val="24"/>
                <w:lang w:eastAsia="zh-CN"/>
              </w:rPr>
              <w:t>（</w:t>
            </w:r>
            <w:r>
              <w:rPr>
                <w:bCs/>
                <w:color w:val="auto"/>
                <w:sz w:val="24"/>
              </w:rPr>
              <w:t>GB/T39499-2020</w:t>
            </w:r>
            <w:r>
              <w:rPr>
                <w:rFonts w:hint="eastAsia"/>
                <w:bCs/>
                <w:color w:val="auto"/>
                <w:sz w:val="24"/>
                <w:lang w:eastAsia="zh-CN"/>
              </w:rPr>
              <w:t>）</w:t>
            </w:r>
            <w:r>
              <w:rPr>
                <w:bCs/>
                <w:color w:val="auto"/>
                <w:sz w:val="24"/>
              </w:rPr>
              <w:t>的有关规定，无组织排放有害气体的生产单元（生产区、车间或工段）与敏感区之间应设置卫生防护距离，计算公式如下：</w:t>
            </w:r>
          </w:p>
          <w:p w14:paraId="1E3A9610">
            <w:pPr>
              <w:keepNext w:val="0"/>
              <w:keepLines w:val="0"/>
              <w:suppressLineNumbers w:val="0"/>
              <w:adjustRightInd w:val="0"/>
              <w:snapToGrid w:val="0"/>
              <w:spacing w:before="0" w:beforeAutospacing="0" w:after="0" w:afterAutospacing="0" w:line="360" w:lineRule="auto"/>
              <w:ind w:left="0" w:right="0" w:firstLine="240" w:firstLineChars="100"/>
              <w:jc w:val="center"/>
              <w:rPr>
                <w:color w:val="auto"/>
                <w:position w:val="-30"/>
                <w:sz w:val="24"/>
              </w:rPr>
            </w:pPr>
            <w:r>
              <w:rPr>
                <w:color w:val="auto"/>
                <w:position w:val="-30"/>
                <w:sz w:val="24"/>
              </w:rPr>
              <w:object>
                <v:shape id="_x0000_i1028" o:spt="75" type="#_x0000_t75" style="height:33.95pt;width:141.3pt;" o:ole="t" fillcolor="#6D6D6D"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14:paraId="5D3163A5">
            <w:pPr>
              <w:keepNext w:val="0"/>
              <w:keepLines w:val="0"/>
              <w:suppressLineNumbers w:val="0"/>
              <w:adjustRightInd w:val="0"/>
              <w:snapToGrid w:val="0"/>
              <w:spacing w:before="0" w:beforeAutospacing="0" w:after="0" w:afterAutospacing="0" w:line="360" w:lineRule="auto"/>
              <w:ind w:left="0" w:right="0" w:firstLine="240" w:firstLineChars="100"/>
              <w:rPr>
                <w:color w:val="auto"/>
                <w:sz w:val="24"/>
              </w:rPr>
            </w:pPr>
            <w:r>
              <w:rPr>
                <w:color w:val="auto"/>
                <w:sz w:val="24"/>
              </w:rPr>
              <w:t>式中：Q</w:t>
            </w:r>
            <w:r>
              <w:rPr>
                <w:color w:val="auto"/>
                <w:sz w:val="24"/>
                <w:vertAlign w:val="subscript"/>
              </w:rPr>
              <w:t>c</w:t>
            </w:r>
            <w:r>
              <w:rPr>
                <w:color w:val="auto"/>
                <w:sz w:val="24"/>
              </w:rPr>
              <w:t>——大气有害物质的无组织排放量，单位为千克每小时（kg/h）；</w:t>
            </w:r>
          </w:p>
          <w:p w14:paraId="61E65EA2">
            <w:pPr>
              <w:keepNext w:val="0"/>
              <w:keepLines w:val="0"/>
              <w:suppressLineNumbers w:val="0"/>
              <w:tabs>
                <w:tab w:val="left" w:pos="1140"/>
              </w:tabs>
              <w:adjustRightInd w:val="0"/>
              <w:snapToGrid w:val="0"/>
              <w:spacing w:before="0" w:beforeAutospacing="0" w:after="0" w:afterAutospacing="0" w:line="360" w:lineRule="auto"/>
              <w:ind w:left="0" w:right="0"/>
              <w:rPr>
                <w:color w:val="auto"/>
                <w:sz w:val="24"/>
              </w:rPr>
            </w:pPr>
            <w:r>
              <w:rPr>
                <w:color w:val="auto"/>
                <w:sz w:val="24"/>
              </w:rPr>
              <w:tab/>
            </w:r>
            <w:r>
              <w:rPr>
                <w:color w:val="auto"/>
                <w:sz w:val="24"/>
              </w:rPr>
              <w:t>C</w:t>
            </w:r>
            <w:r>
              <w:rPr>
                <w:color w:val="auto"/>
                <w:sz w:val="24"/>
                <w:vertAlign w:val="subscript"/>
              </w:rPr>
              <w:t>m</w:t>
            </w:r>
            <w:r>
              <w:rPr>
                <w:color w:val="auto"/>
                <w:sz w:val="24"/>
              </w:rPr>
              <w:t>——大气有害物质环境空气质量的标准限值，单位为毫克每立方米（mg/m</w:t>
            </w:r>
            <w:r>
              <w:rPr>
                <w:color w:val="auto"/>
                <w:sz w:val="24"/>
                <w:vertAlign w:val="superscript"/>
              </w:rPr>
              <w:t>3</w:t>
            </w:r>
            <w:r>
              <w:rPr>
                <w:color w:val="auto"/>
                <w:sz w:val="24"/>
              </w:rPr>
              <w:t>）；</w:t>
            </w:r>
          </w:p>
          <w:p w14:paraId="55C6E111">
            <w:pPr>
              <w:keepNext w:val="0"/>
              <w:keepLines w:val="0"/>
              <w:suppressLineNumbers w:val="0"/>
              <w:tabs>
                <w:tab w:val="left" w:pos="1140"/>
              </w:tabs>
              <w:adjustRightInd w:val="0"/>
              <w:snapToGrid w:val="0"/>
              <w:spacing w:before="0" w:beforeAutospacing="0" w:after="0" w:afterAutospacing="0" w:line="360" w:lineRule="auto"/>
              <w:ind w:left="0" w:right="0"/>
              <w:rPr>
                <w:i/>
                <w:color w:val="auto"/>
                <w:sz w:val="24"/>
              </w:rPr>
            </w:pPr>
            <w:r>
              <w:rPr>
                <w:color w:val="auto"/>
                <w:sz w:val="24"/>
              </w:rPr>
              <w:tab/>
            </w:r>
            <w:r>
              <w:rPr>
                <w:i/>
                <w:color w:val="auto"/>
                <w:sz w:val="24"/>
              </w:rPr>
              <w:t>L</w:t>
            </w:r>
            <w:r>
              <w:rPr>
                <w:color w:val="auto"/>
                <w:sz w:val="24"/>
              </w:rPr>
              <w:t>——大气有害物质卫生防护距离初值，单位为米（m）；</w:t>
            </w:r>
          </w:p>
          <w:p w14:paraId="7E8B9571">
            <w:pPr>
              <w:keepNext w:val="0"/>
              <w:keepLines w:val="0"/>
              <w:suppressLineNumbers w:val="0"/>
              <w:tabs>
                <w:tab w:val="left" w:pos="1140"/>
              </w:tabs>
              <w:adjustRightInd w:val="0"/>
              <w:snapToGrid w:val="0"/>
              <w:spacing w:before="0" w:beforeAutospacing="0" w:after="0" w:afterAutospacing="0" w:line="360" w:lineRule="auto"/>
              <w:ind w:left="0" w:right="0"/>
              <w:rPr>
                <w:color w:val="auto"/>
                <w:sz w:val="24"/>
              </w:rPr>
            </w:pPr>
            <w:r>
              <w:rPr>
                <w:color w:val="auto"/>
                <w:sz w:val="24"/>
              </w:rPr>
              <w:tab/>
            </w:r>
            <w:r>
              <w:rPr>
                <w:i/>
                <w:color w:val="auto"/>
                <w:sz w:val="24"/>
              </w:rPr>
              <w:sym w:font="Symbol" w:char="F067"/>
            </w:r>
            <w:r>
              <w:rPr>
                <w:color w:val="auto"/>
                <w:sz w:val="24"/>
              </w:rPr>
              <w:t>——大气有害物质无组织排放源所在生产单元的等效半径，单位为米（m），</w:t>
            </w:r>
            <w:r>
              <w:rPr>
                <w:i/>
                <w:color w:val="auto"/>
                <w:sz w:val="24"/>
              </w:rPr>
              <w:sym w:font="Symbol" w:char="F067"/>
            </w:r>
            <w:r>
              <w:rPr>
                <w:color w:val="auto"/>
                <w:sz w:val="24"/>
              </w:rPr>
              <w:t xml:space="preserve"> = (</w:t>
            </w:r>
            <w:r>
              <w:rPr>
                <w:i/>
                <w:color w:val="auto"/>
                <w:sz w:val="24"/>
              </w:rPr>
              <w:t>S</w:t>
            </w:r>
            <w:r>
              <w:rPr>
                <w:color w:val="auto"/>
                <w:sz w:val="24"/>
              </w:rPr>
              <w:t>/</w:t>
            </w:r>
            <w:r>
              <w:rPr>
                <w:color w:val="auto"/>
                <w:sz w:val="24"/>
              </w:rPr>
              <w:sym w:font="Symbol" w:char="F070"/>
            </w:r>
            <w:r>
              <w:rPr>
                <w:color w:val="auto"/>
                <w:sz w:val="24"/>
              </w:rPr>
              <w:t>)</w:t>
            </w:r>
            <w:r>
              <w:rPr>
                <w:color w:val="auto"/>
                <w:sz w:val="24"/>
                <w:vertAlign w:val="superscript"/>
              </w:rPr>
              <w:t>0.5</w:t>
            </w:r>
            <w:r>
              <w:rPr>
                <w:color w:val="auto"/>
                <w:sz w:val="24"/>
              </w:rPr>
              <w:t>m；</w:t>
            </w:r>
          </w:p>
          <w:p w14:paraId="11C05596">
            <w:pPr>
              <w:keepNext w:val="0"/>
              <w:keepLines w:val="0"/>
              <w:suppressLineNumbers w:val="0"/>
              <w:tabs>
                <w:tab w:val="left" w:pos="1140"/>
              </w:tabs>
              <w:adjustRightInd w:val="0"/>
              <w:snapToGrid w:val="0"/>
              <w:spacing w:before="0" w:beforeAutospacing="0" w:after="0" w:afterAutospacing="0" w:line="360" w:lineRule="auto"/>
              <w:ind w:left="0" w:right="0" w:firstLine="1080" w:firstLineChars="450"/>
              <w:rPr>
                <w:bCs/>
                <w:color w:val="auto"/>
                <w:sz w:val="24"/>
              </w:rPr>
            </w:pPr>
            <w:r>
              <w:rPr>
                <w:i/>
                <w:color w:val="auto"/>
                <w:sz w:val="24"/>
              </w:rPr>
              <w:t>A</w:t>
            </w:r>
            <w:r>
              <w:rPr>
                <w:rFonts w:hint="eastAsia"/>
                <w:i/>
                <w:color w:val="auto"/>
                <w:sz w:val="24"/>
                <w:lang w:eastAsia="zh-CN"/>
              </w:rPr>
              <w:t>.</w:t>
            </w:r>
            <w:r>
              <w:rPr>
                <w:i/>
                <w:color w:val="auto"/>
                <w:sz w:val="24"/>
              </w:rPr>
              <w:t>B、C、D</w:t>
            </w:r>
            <w:r>
              <w:rPr>
                <w:color w:val="auto"/>
                <w:sz w:val="24"/>
              </w:rPr>
              <w:t>——卫生防护距离初值计算系数，无因次，</w:t>
            </w:r>
            <w:r>
              <w:rPr>
                <w:bCs/>
                <w:color w:val="auto"/>
                <w:sz w:val="24"/>
              </w:rPr>
              <w:t>根据工业企业所在地区近5年平均风速及大气污染源构成类别从下表查取。</w:t>
            </w:r>
          </w:p>
          <w:p w14:paraId="7F70A02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rFonts w:eastAsiaTheme="minorEastAsia"/>
                <w:color w:val="auto"/>
                <w:sz w:val="24"/>
              </w:rPr>
              <w:t>建设项目有与无组织排放源共存的排放同种有害物质的排气筒，且其排放量小于江苏省地方标准</w:t>
            </w:r>
            <w:r>
              <w:rPr>
                <w:rFonts w:hint="eastAsia"/>
                <w:bCs/>
                <w:color w:val="auto"/>
                <w:sz w:val="24"/>
              </w:rPr>
              <w:t>《大气污染物综合排放标准》（DB32/4041-2021）</w:t>
            </w:r>
            <w:r>
              <w:rPr>
                <w:rFonts w:eastAsiaTheme="minorEastAsia"/>
                <w:color w:val="auto"/>
                <w:sz w:val="24"/>
              </w:rPr>
              <w:t>表1</w:t>
            </w:r>
            <w:r>
              <w:rPr>
                <w:rFonts w:hint="eastAsia"/>
                <w:color w:val="auto"/>
                <w:sz w:val="24"/>
                <w:lang w:val="en-US" w:eastAsia="zh-CN"/>
              </w:rPr>
              <w:t>和</w:t>
            </w:r>
            <w:r>
              <w:rPr>
                <w:rFonts w:hint="default" w:ascii="Times New Roman" w:hAnsi="Times New Roman" w:cs="Times New Roman"/>
                <w:color w:val="auto"/>
                <w:sz w:val="24"/>
                <w:szCs w:val="24"/>
                <w:highlight w:val="none"/>
                <w:lang w:eastAsia="zh-CN"/>
              </w:rPr>
              <w:t>《表面涂装（工程机械和钢结构行业）大气污染物排放标准》（DB32/4147-2021）</w:t>
            </w:r>
            <w:r>
              <w:rPr>
                <w:rFonts w:hint="eastAsia" w:cs="Times New Roman"/>
                <w:color w:val="auto"/>
                <w:sz w:val="24"/>
                <w:szCs w:val="24"/>
                <w:highlight w:val="none"/>
                <w:lang w:val="en-US" w:eastAsia="zh-CN"/>
              </w:rPr>
              <w:t>表3</w:t>
            </w:r>
            <w:r>
              <w:rPr>
                <w:rFonts w:eastAsiaTheme="minorEastAsia"/>
                <w:color w:val="auto"/>
                <w:sz w:val="24"/>
              </w:rPr>
              <w:t>规定的允许排放量的1/3，按Ⅱ类进行取值。</w:t>
            </w:r>
            <w:r>
              <w:rPr>
                <w:color w:val="auto"/>
                <w:sz w:val="24"/>
              </w:rPr>
              <w:t>建设项目卫生防护距离计算系数取值见表4-</w:t>
            </w:r>
            <w:r>
              <w:rPr>
                <w:rFonts w:hint="eastAsia"/>
                <w:color w:val="auto"/>
                <w:sz w:val="24"/>
                <w:lang w:val="en-US" w:eastAsia="zh-CN"/>
              </w:rPr>
              <w:t>10</w:t>
            </w:r>
            <w:r>
              <w:rPr>
                <w:color w:val="auto"/>
                <w:sz w:val="24"/>
              </w:rPr>
              <w:t>。</w:t>
            </w:r>
          </w:p>
          <w:p w14:paraId="6A13EBD1">
            <w:pPr>
              <w:keepNext w:val="0"/>
              <w:keepLines w:val="0"/>
              <w:suppressLineNumbers w:val="0"/>
              <w:adjustRightInd w:val="0"/>
              <w:snapToGrid w:val="0"/>
              <w:spacing w:before="0" w:beforeAutospacing="0" w:after="0" w:afterAutospacing="0"/>
              <w:ind w:left="0" w:right="0"/>
              <w:jc w:val="center"/>
              <w:rPr>
                <w:b/>
                <w:color w:val="auto"/>
                <w:sz w:val="24"/>
              </w:rPr>
            </w:pPr>
            <w:r>
              <w:rPr>
                <w:b/>
                <w:color w:val="auto"/>
                <w:sz w:val="24"/>
              </w:rPr>
              <w:t>表4-</w:t>
            </w:r>
            <w:r>
              <w:rPr>
                <w:rFonts w:hint="eastAsia"/>
                <w:b/>
                <w:color w:val="auto"/>
                <w:sz w:val="24"/>
                <w:lang w:val="en-US" w:eastAsia="zh-CN"/>
              </w:rPr>
              <w:t>10</w:t>
            </w:r>
            <w:r>
              <w:rPr>
                <w:b/>
                <w:color w:val="auto"/>
                <w:sz w:val="24"/>
              </w:rPr>
              <w:t xml:space="preserve">  卫生防护距离计算系数</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3"/>
              <w:gridCol w:w="926"/>
              <w:gridCol w:w="719"/>
              <w:gridCol w:w="722"/>
              <w:gridCol w:w="719"/>
              <w:gridCol w:w="719"/>
              <w:gridCol w:w="719"/>
              <w:gridCol w:w="720"/>
              <w:gridCol w:w="719"/>
              <w:gridCol w:w="719"/>
              <w:gridCol w:w="696"/>
            </w:tblGrid>
            <w:tr w14:paraId="4143607E">
              <w:trPr>
                <w:trHeight w:val="340" w:hRule="atLeast"/>
                <w:jc w:val="center"/>
              </w:trPr>
              <w:tc>
                <w:tcPr>
                  <w:tcW w:w="546" w:type="pct"/>
                  <w:vMerge w:val="restart"/>
                  <w:vAlign w:val="center"/>
                </w:tcPr>
                <w:p w14:paraId="0078095A">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卫生防护距离初值计算系数</w:t>
                  </w:r>
                </w:p>
              </w:tc>
              <w:tc>
                <w:tcPr>
                  <w:tcW w:w="559" w:type="pct"/>
                  <w:vMerge w:val="restart"/>
                  <w:vAlign w:val="center"/>
                </w:tcPr>
                <w:p w14:paraId="6CBD55BB">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工业企业所在地区近5年平均风速</w:t>
                  </w:r>
                  <w:r>
                    <w:rPr>
                      <w:rFonts w:hint="eastAsia"/>
                      <w:b/>
                      <w:bCs/>
                      <w:snapToGrid w:val="0"/>
                      <w:color w:val="auto"/>
                      <w:sz w:val="18"/>
                      <w:szCs w:val="18"/>
                      <w:lang w:eastAsia="zh-CN"/>
                    </w:rPr>
                    <w:t>（</w:t>
                  </w:r>
                  <w:r>
                    <w:rPr>
                      <w:b/>
                      <w:bCs/>
                      <w:snapToGrid w:val="0"/>
                      <w:color w:val="auto"/>
                      <w:sz w:val="18"/>
                      <w:szCs w:val="18"/>
                    </w:rPr>
                    <w:t>m/s</w:t>
                  </w:r>
                  <w:r>
                    <w:rPr>
                      <w:rFonts w:hint="eastAsia"/>
                      <w:b/>
                      <w:bCs/>
                      <w:snapToGrid w:val="0"/>
                      <w:color w:val="auto"/>
                      <w:sz w:val="18"/>
                      <w:szCs w:val="18"/>
                      <w:lang w:eastAsia="zh-CN"/>
                    </w:rPr>
                    <w:t>）</w:t>
                  </w:r>
                </w:p>
              </w:tc>
              <w:tc>
                <w:tcPr>
                  <w:tcW w:w="3895" w:type="pct"/>
                  <w:gridSpan w:val="9"/>
                  <w:vAlign w:val="center"/>
                </w:tcPr>
                <w:p w14:paraId="64EE3DBB">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卫生防护距离L/m</w:t>
                  </w:r>
                </w:p>
              </w:tc>
            </w:tr>
            <w:tr w14:paraId="039ECFD4">
              <w:trPr>
                <w:trHeight w:val="340" w:hRule="atLeast"/>
                <w:jc w:val="center"/>
              </w:trPr>
              <w:tc>
                <w:tcPr>
                  <w:tcW w:w="546" w:type="pct"/>
                  <w:vMerge w:val="continue"/>
                  <w:vAlign w:val="center"/>
                </w:tcPr>
                <w:p w14:paraId="7426CBC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Merge w:val="continue"/>
                  <w:vAlign w:val="center"/>
                </w:tcPr>
                <w:p w14:paraId="0C50B9E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1304" w:type="pct"/>
                  <w:gridSpan w:val="3"/>
                  <w:vAlign w:val="center"/>
                </w:tcPr>
                <w:p w14:paraId="02E12FF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L≤1000</w:t>
                  </w:r>
                </w:p>
              </w:tc>
              <w:tc>
                <w:tcPr>
                  <w:tcW w:w="1303" w:type="pct"/>
                  <w:gridSpan w:val="3"/>
                  <w:vAlign w:val="center"/>
                </w:tcPr>
                <w:p w14:paraId="3505465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1000</w:t>
                  </w:r>
                  <w:r>
                    <w:rPr>
                      <w:rFonts w:hint="eastAsia"/>
                      <w:snapToGrid w:val="0"/>
                      <w:color w:val="auto"/>
                      <w:sz w:val="18"/>
                      <w:szCs w:val="18"/>
                      <w:lang w:eastAsia="zh-CN"/>
                    </w:rPr>
                    <w:t>&lt;</w:t>
                  </w:r>
                  <w:r>
                    <w:rPr>
                      <w:snapToGrid w:val="0"/>
                      <w:color w:val="auto"/>
                      <w:sz w:val="18"/>
                      <w:szCs w:val="18"/>
                    </w:rPr>
                    <w:t>L≤2000</w:t>
                  </w:r>
                </w:p>
              </w:tc>
              <w:tc>
                <w:tcPr>
                  <w:tcW w:w="1288" w:type="pct"/>
                  <w:gridSpan w:val="3"/>
                  <w:vAlign w:val="center"/>
                </w:tcPr>
                <w:p w14:paraId="0E1A022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w:t>
                  </w:r>
                  <w:r>
                    <w:rPr>
                      <w:rFonts w:hint="eastAsia"/>
                      <w:snapToGrid w:val="0"/>
                      <w:color w:val="auto"/>
                      <w:sz w:val="18"/>
                      <w:szCs w:val="18"/>
                      <w:lang w:eastAsia="zh-CN"/>
                    </w:rPr>
                    <w:t>&gt;</w:t>
                  </w:r>
                  <w:r>
                    <w:rPr>
                      <w:snapToGrid w:val="0"/>
                      <w:color w:val="auto"/>
                      <w:sz w:val="18"/>
                      <w:szCs w:val="18"/>
                    </w:rPr>
                    <w:t>2000</w:t>
                  </w:r>
                </w:p>
              </w:tc>
            </w:tr>
            <w:tr w14:paraId="104F1656">
              <w:trPr>
                <w:trHeight w:val="340" w:hRule="atLeast"/>
                <w:jc w:val="center"/>
              </w:trPr>
              <w:tc>
                <w:tcPr>
                  <w:tcW w:w="546" w:type="pct"/>
                  <w:vMerge w:val="continue"/>
                  <w:vAlign w:val="center"/>
                </w:tcPr>
                <w:p w14:paraId="65994B5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Merge w:val="continue"/>
                  <w:vAlign w:val="center"/>
                </w:tcPr>
                <w:p w14:paraId="5FCDDF4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3895" w:type="pct"/>
                  <w:gridSpan w:val="9"/>
                  <w:vAlign w:val="center"/>
                </w:tcPr>
                <w:p w14:paraId="0A52804E">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工业企业大气污染源构成类别</w:t>
                  </w:r>
                </w:p>
              </w:tc>
            </w:tr>
            <w:tr w14:paraId="0C58F39D">
              <w:trPr>
                <w:trHeight w:val="340" w:hRule="atLeast"/>
                <w:jc w:val="center"/>
              </w:trPr>
              <w:tc>
                <w:tcPr>
                  <w:tcW w:w="546" w:type="pct"/>
                  <w:vMerge w:val="continue"/>
                  <w:vAlign w:val="center"/>
                </w:tcPr>
                <w:p w14:paraId="47511B4A">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Merge w:val="continue"/>
                  <w:vAlign w:val="center"/>
                </w:tcPr>
                <w:p w14:paraId="104B1320">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434" w:type="pct"/>
                  <w:vAlign w:val="center"/>
                </w:tcPr>
                <w:p w14:paraId="1C996B81">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Ⅰ</w:t>
                  </w:r>
                </w:p>
              </w:tc>
              <w:tc>
                <w:tcPr>
                  <w:tcW w:w="436" w:type="pct"/>
                  <w:vAlign w:val="center"/>
                </w:tcPr>
                <w:p w14:paraId="77F24C6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Ⅱ</w:t>
                  </w:r>
                </w:p>
              </w:tc>
              <w:tc>
                <w:tcPr>
                  <w:tcW w:w="434" w:type="pct"/>
                  <w:vAlign w:val="center"/>
                </w:tcPr>
                <w:p w14:paraId="183DD18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Ⅲ</w:t>
                  </w:r>
                </w:p>
              </w:tc>
              <w:tc>
                <w:tcPr>
                  <w:tcW w:w="434" w:type="pct"/>
                  <w:vAlign w:val="center"/>
                </w:tcPr>
                <w:p w14:paraId="3097F4B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Ⅰ</w:t>
                  </w:r>
                </w:p>
              </w:tc>
              <w:tc>
                <w:tcPr>
                  <w:tcW w:w="434" w:type="pct"/>
                  <w:vAlign w:val="center"/>
                </w:tcPr>
                <w:p w14:paraId="12916CF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Ⅱ</w:t>
                  </w:r>
                </w:p>
              </w:tc>
              <w:tc>
                <w:tcPr>
                  <w:tcW w:w="435" w:type="pct"/>
                  <w:vAlign w:val="center"/>
                </w:tcPr>
                <w:p w14:paraId="5048F07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Ⅲ</w:t>
                  </w:r>
                </w:p>
              </w:tc>
              <w:tc>
                <w:tcPr>
                  <w:tcW w:w="434" w:type="pct"/>
                  <w:vAlign w:val="center"/>
                </w:tcPr>
                <w:p w14:paraId="2BA2268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Ⅰ</w:t>
                  </w:r>
                </w:p>
              </w:tc>
              <w:tc>
                <w:tcPr>
                  <w:tcW w:w="434" w:type="pct"/>
                  <w:vAlign w:val="center"/>
                </w:tcPr>
                <w:p w14:paraId="781E5365">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Ⅱ</w:t>
                  </w:r>
                </w:p>
              </w:tc>
              <w:tc>
                <w:tcPr>
                  <w:tcW w:w="420" w:type="pct"/>
                  <w:vAlign w:val="center"/>
                </w:tcPr>
                <w:p w14:paraId="5464EFC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Ⅲ</w:t>
                  </w:r>
                </w:p>
              </w:tc>
            </w:tr>
            <w:tr w14:paraId="1DBD187F">
              <w:trPr>
                <w:trHeight w:val="340" w:hRule="atLeast"/>
                <w:jc w:val="center"/>
              </w:trPr>
              <w:tc>
                <w:tcPr>
                  <w:tcW w:w="546" w:type="pct"/>
                  <w:vMerge w:val="restart"/>
                  <w:vAlign w:val="center"/>
                </w:tcPr>
                <w:p w14:paraId="7222180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A</w:t>
                  </w:r>
                </w:p>
              </w:tc>
              <w:tc>
                <w:tcPr>
                  <w:tcW w:w="559" w:type="pct"/>
                  <w:vAlign w:val="center"/>
                </w:tcPr>
                <w:p w14:paraId="7C94E13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434" w:type="pct"/>
                  <w:vAlign w:val="center"/>
                </w:tcPr>
                <w:p w14:paraId="57E5A57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6" w:type="pct"/>
                  <w:vAlign w:val="center"/>
                </w:tcPr>
                <w:p w14:paraId="267FF64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559073E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5C6F195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3E9DA48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5" w:type="pct"/>
                  <w:vAlign w:val="center"/>
                </w:tcPr>
                <w:p w14:paraId="361DC13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2EEF52B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80</w:t>
                  </w:r>
                </w:p>
              </w:tc>
              <w:tc>
                <w:tcPr>
                  <w:tcW w:w="434" w:type="pct"/>
                  <w:vAlign w:val="center"/>
                </w:tcPr>
                <w:p w14:paraId="1600809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80</w:t>
                  </w:r>
                </w:p>
              </w:tc>
              <w:tc>
                <w:tcPr>
                  <w:tcW w:w="420" w:type="pct"/>
                  <w:vAlign w:val="center"/>
                </w:tcPr>
                <w:p w14:paraId="40B11CA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80</w:t>
                  </w:r>
                </w:p>
              </w:tc>
            </w:tr>
            <w:tr w14:paraId="7BDC0C4A">
              <w:trPr>
                <w:trHeight w:val="340" w:hRule="atLeast"/>
                <w:jc w:val="center"/>
              </w:trPr>
              <w:tc>
                <w:tcPr>
                  <w:tcW w:w="546" w:type="pct"/>
                  <w:vMerge w:val="continue"/>
                  <w:vAlign w:val="center"/>
                </w:tcPr>
                <w:p w14:paraId="3D1CDB4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38D2EE2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2~4</w:t>
                  </w:r>
                </w:p>
              </w:tc>
              <w:tc>
                <w:tcPr>
                  <w:tcW w:w="434" w:type="pct"/>
                  <w:vAlign w:val="center"/>
                </w:tcPr>
                <w:p w14:paraId="5BA8E48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700</w:t>
                  </w:r>
                </w:p>
              </w:tc>
              <w:tc>
                <w:tcPr>
                  <w:tcW w:w="436" w:type="pct"/>
                  <w:vAlign w:val="center"/>
                </w:tcPr>
                <w:p w14:paraId="7A9F3FB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470*</w:t>
                  </w:r>
                </w:p>
              </w:tc>
              <w:tc>
                <w:tcPr>
                  <w:tcW w:w="434" w:type="pct"/>
                  <w:vAlign w:val="center"/>
                </w:tcPr>
                <w:p w14:paraId="47A41FC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4" w:type="pct"/>
                  <w:vAlign w:val="center"/>
                </w:tcPr>
                <w:p w14:paraId="0E45177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700</w:t>
                  </w:r>
                </w:p>
              </w:tc>
              <w:tc>
                <w:tcPr>
                  <w:tcW w:w="434" w:type="pct"/>
                  <w:vAlign w:val="center"/>
                </w:tcPr>
                <w:p w14:paraId="35733BE1">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470</w:t>
                  </w:r>
                </w:p>
              </w:tc>
              <w:tc>
                <w:tcPr>
                  <w:tcW w:w="435" w:type="pct"/>
                  <w:vAlign w:val="center"/>
                </w:tcPr>
                <w:p w14:paraId="238A158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4" w:type="pct"/>
                  <w:vAlign w:val="center"/>
                </w:tcPr>
                <w:p w14:paraId="39B4076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380</w:t>
                  </w:r>
                </w:p>
              </w:tc>
              <w:tc>
                <w:tcPr>
                  <w:tcW w:w="434" w:type="pct"/>
                  <w:vAlign w:val="center"/>
                </w:tcPr>
                <w:p w14:paraId="11BE727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250</w:t>
                  </w:r>
                </w:p>
              </w:tc>
              <w:tc>
                <w:tcPr>
                  <w:tcW w:w="420" w:type="pct"/>
                  <w:vAlign w:val="center"/>
                </w:tcPr>
                <w:p w14:paraId="2EE9B0D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190</w:t>
                  </w:r>
                </w:p>
              </w:tc>
            </w:tr>
            <w:tr w14:paraId="288778B7">
              <w:trPr>
                <w:trHeight w:val="340" w:hRule="atLeast"/>
                <w:jc w:val="center"/>
              </w:trPr>
              <w:tc>
                <w:tcPr>
                  <w:tcW w:w="546" w:type="pct"/>
                  <w:vMerge w:val="continue"/>
                  <w:vAlign w:val="center"/>
                </w:tcPr>
                <w:p w14:paraId="4590CEE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6D30D26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&gt;4</w:t>
                  </w:r>
                </w:p>
              </w:tc>
              <w:tc>
                <w:tcPr>
                  <w:tcW w:w="434" w:type="pct"/>
                  <w:vAlign w:val="center"/>
                </w:tcPr>
                <w:p w14:paraId="53D2582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530</w:t>
                  </w:r>
                </w:p>
              </w:tc>
              <w:tc>
                <w:tcPr>
                  <w:tcW w:w="436" w:type="pct"/>
                  <w:vAlign w:val="center"/>
                </w:tcPr>
                <w:p w14:paraId="066DE6E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4" w:type="pct"/>
                  <w:vAlign w:val="center"/>
                </w:tcPr>
                <w:p w14:paraId="1BFF7E9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260</w:t>
                  </w:r>
                </w:p>
              </w:tc>
              <w:tc>
                <w:tcPr>
                  <w:tcW w:w="434" w:type="pct"/>
                  <w:vAlign w:val="center"/>
                </w:tcPr>
                <w:p w14:paraId="69885B7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530</w:t>
                  </w:r>
                </w:p>
              </w:tc>
              <w:tc>
                <w:tcPr>
                  <w:tcW w:w="434" w:type="pct"/>
                  <w:vAlign w:val="center"/>
                </w:tcPr>
                <w:p w14:paraId="28929B6A">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5" w:type="pct"/>
                  <w:vAlign w:val="center"/>
                </w:tcPr>
                <w:p w14:paraId="1E443CF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260</w:t>
                  </w:r>
                </w:p>
              </w:tc>
              <w:tc>
                <w:tcPr>
                  <w:tcW w:w="434" w:type="pct"/>
                  <w:vAlign w:val="center"/>
                </w:tcPr>
                <w:p w14:paraId="2469734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290</w:t>
                  </w:r>
                </w:p>
              </w:tc>
              <w:tc>
                <w:tcPr>
                  <w:tcW w:w="434" w:type="pct"/>
                  <w:vAlign w:val="center"/>
                </w:tcPr>
                <w:p w14:paraId="1BC561C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190</w:t>
                  </w:r>
                </w:p>
              </w:tc>
              <w:tc>
                <w:tcPr>
                  <w:tcW w:w="420" w:type="pct"/>
                  <w:vAlign w:val="center"/>
                </w:tcPr>
                <w:p w14:paraId="7EF3D50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110</w:t>
                  </w:r>
                </w:p>
              </w:tc>
            </w:tr>
            <w:tr w14:paraId="24587B62">
              <w:trPr>
                <w:trHeight w:val="340" w:hRule="atLeast"/>
                <w:jc w:val="center"/>
              </w:trPr>
              <w:tc>
                <w:tcPr>
                  <w:tcW w:w="546" w:type="pct"/>
                  <w:vMerge w:val="restart"/>
                  <w:vAlign w:val="center"/>
                </w:tcPr>
                <w:p w14:paraId="7EB0D5D1">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B</w:t>
                  </w:r>
                </w:p>
              </w:tc>
              <w:tc>
                <w:tcPr>
                  <w:tcW w:w="559" w:type="pct"/>
                  <w:vAlign w:val="center"/>
                </w:tcPr>
                <w:p w14:paraId="15B0E780">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1304" w:type="pct"/>
                  <w:gridSpan w:val="3"/>
                  <w:vAlign w:val="center"/>
                </w:tcPr>
                <w:p w14:paraId="28B8A56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0.01</w:t>
                  </w:r>
                </w:p>
              </w:tc>
              <w:tc>
                <w:tcPr>
                  <w:tcW w:w="1303" w:type="pct"/>
                  <w:gridSpan w:val="3"/>
                  <w:vAlign w:val="center"/>
                </w:tcPr>
                <w:p w14:paraId="775A33E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0.015</w:t>
                  </w:r>
                </w:p>
              </w:tc>
              <w:tc>
                <w:tcPr>
                  <w:tcW w:w="1288" w:type="pct"/>
                  <w:gridSpan w:val="3"/>
                  <w:vAlign w:val="center"/>
                </w:tcPr>
                <w:p w14:paraId="1E69C560">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0.015</w:t>
                  </w:r>
                </w:p>
              </w:tc>
            </w:tr>
            <w:tr w14:paraId="5F344180">
              <w:trPr>
                <w:trHeight w:val="340" w:hRule="atLeast"/>
                <w:jc w:val="center"/>
              </w:trPr>
              <w:tc>
                <w:tcPr>
                  <w:tcW w:w="546" w:type="pct"/>
                  <w:vMerge w:val="continue"/>
                  <w:vAlign w:val="center"/>
                </w:tcPr>
                <w:p w14:paraId="3D3617C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1F9FAC5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&gt;2</w:t>
                  </w:r>
                </w:p>
              </w:tc>
              <w:tc>
                <w:tcPr>
                  <w:tcW w:w="1304" w:type="pct"/>
                  <w:gridSpan w:val="3"/>
                  <w:vAlign w:val="center"/>
                </w:tcPr>
                <w:p w14:paraId="5F3F2BB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0.021*</w:t>
                  </w:r>
                </w:p>
              </w:tc>
              <w:tc>
                <w:tcPr>
                  <w:tcW w:w="1303" w:type="pct"/>
                  <w:gridSpan w:val="3"/>
                  <w:vAlign w:val="center"/>
                </w:tcPr>
                <w:p w14:paraId="2E4123C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0.036</w:t>
                  </w:r>
                </w:p>
              </w:tc>
              <w:tc>
                <w:tcPr>
                  <w:tcW w:w="1288" w:type="pct"/>
                  <w:gridSpan w:val="3"/>
                  <w:vAlign w:val="center"/>
                </w:tcPr>
                <w:p w14:paraId="6CDFB83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0.036</w:t>
                  </w:r>
                </w:p>
              </w:tc>
            </w:tr>
            <w:tr w14:paraId="0179C935">
              <w:trPr>
                <w:trHeight w:val="340" w:hRule="atLeast"/>
                <w:jc w:val="center"/>
              </w:trPr>
              <w:tc>
                <w:tcPr>
                  <w:tcW w:w="546" w:type="pct"/>
                  <w:vMerge w:val="restart"/>
                  <w:vAlign w:val="center"/>
                </w:tcPr>
                <w:p w14:paraId="4446C16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C</w:t>
                  </w:r>
                </w:p>
              </w:tc>
              <w:tc>
                <w:tcPr>
                  <w:tcW w:w="559" w:type="pct"/>
                  <w:vAlign w:val="center"/>
                </w:tcPr>
                <w:p w14:paraId="306C58B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1304" w:type="pct"/>
                  <w:gridSpan w:val="3"/>
                  <w:vAlign w:val="center"/>
                </w:tcPr>
                <w:p w14:paraId="073BF36A">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1.85</w:t>
                  </w:r>
                </w:p>
              </w:tc>
              <w:tc>
                <w:tcPr>
                  <w:tcW w:w="1303" w:type="pct"/>
                  <w:gridSpan w:val="3"/>
                  <w:vAlign w:val="center"/>
                </w:tcPr>
                <w:p w14:paraId="75DD4BA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1.79</w:t>
                  </w:r>
                </w:p>
              </w:tc>
              <w:tc>
                <w:tcPr>
                  <w:tcW w:w="1288" w:type="pct"/>
                  <w:gridSpan w:val="3"/>
                  <w:vAlign w:val="center"/>
                </w:tcPr>
                <w:p w14:paraId="383E74A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1.79</w:t>
                  </w:r>
                </w:p>
              </w:tc>
            </w:tr>
            <w:tr w14:paraId="4CFC9267">
              <w:trPr>
                <w:trHeight w:val="340" w:hRule="atLeast"/>
                <w:jc w:val="center"/>
              </w:trPr>
              <w:tc>
                <w:tcPr>
                  <w:tcW w:w="546" w:type="pct"/>
                  <w:vMerge w:val="continue"/>
                  <w:vAlign w:val="center"/>
                </w:tcPr>
                <w:p w14:paraId="77444A1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70C6802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&gt;2</w:t>
                  </w:r>
                </w:p>
              </w:tc>
              <w:tc>
                <w:tcPr>
                  <w:tcW w:w="1304" w:type="pct"/>
                  <w:gridSpan w:val="3"/>
                  <w:vAlign w:val="center"/>
                </w:tcPr>
                <w:p w14:paraId="3F0F5FE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1.85*</w:t>
                  </w:r>
                </w:p>
              </w:tc>
              <w:tc>
                <w:tcPr>
                  <w:tcW w:w="1303" w:type="pct"/>
                  <w:gridSpan w:val="3"/>
                  <w:vAlign w:val="center"/>
                </w:tcPr>
                <w:p w14:paraId="2740221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1.77</w:t>
                  </w:r>
                </w:p>
              </w:tc>
              <w:tc>
                <w:tcPr>
                  <w:tcW w:w="1288" w:type="pct"/>
                  <w:gridSpan w:val="3"/>
                  <w:vAlign w:val="center"/>
                </w:tcPr>
                <w:p w14:paraId="7C6A0BE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1.77</w:t>
                  </w:r>
                </w:p>
              </w:tc>
            </w:tr>
            <w:tr w14:paraId="6C181C68">
              <w:trPr>
                <w:trHeight w:val="340" w:hRule="atLeast"/>
                <w:jc w:val="center"/>
              </w:trPr>
              <w:tc>
                <w:tcPr>
                  <w:tcW w:w="546" w:type="pct"/>
                  <w:vMerge w:val="restart"/>
                  <w:vAlign w:val="center"/>
                </w:tcPr>
                <w:p w14:paraId="503FBA9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D</w:t>
                  </w:r>
                </w:p>
              </w:tc>
              <w:tc>
                <w:tcPr>
                  <w:tcW w:w="559" w:type="pct"/>
                  <w:vAlign w:val="center"/>
                </w:tcPr>
                <w:p w14:paraId="595FB9B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1304" w:type="pct"/>
                  <w:gridSpan w:val="3"/>
                  <w:vAlign w:val="center"/>
                </w:tcPr>
                <w:p w14:paraId="6529B59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0.78</w:t>
                  </w:r>
                </w:p>
              </w:tc>
              <w:tc>
                <w:tcPr>
                  <w:tcW w:w="1303" w:type="pct"/>
                  <w:gridSpan w:val="3"/>
                  <w:vAlign w:val="center"/>
                </w:tcPr>
                <w:p w14:paraId="0468EC7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0.78</w:t>
                  </w:r>
                </w:p>
              </w:tc>
              <w:tc>
                <w:tcPr>
                  <w:tcW w:w="1288" w:type="pct"/>
                  <w:gridSpan w:val="3"/>
                  <w:vAlign w:val="center"/>
                </w:tcPr>
                <w:p w14:paraId="579D95B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0.57</w:t>
                  </w:r>
                </w:p>
              </w:tc>
            </w:tr>
            <w:tr w14:paraId="35A9EED5">
              <w:trPr>
                <w:trHeight w:val="340" w:hRule="atLeast"/>
                <w:jc w:val="center"/>
              </w:trPr>
              <w:tc>
                <w:tcPr>
                  <w:tcW w:w="546" w:type="pct"/>
                  <w:vMerge w:val="continue"/>
                  <w:vAlign w:val="center"/>
                </w:tcPr>
                <w:p w14:paraId="6D7CB13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4F93ADD5">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&gt;2</w:t>
                  </w:r>
                </w:p>
              </w:tc>
              <w:tc>
                <w:tcPr>
                  <w:tcW w:w="1304" w:type="pct"/>
                  <w:gridSpan w:val="3"/>
                  <w:vAlign w:val="center"/>
                </w:tcPr>
                <w:p w14:paraId="6845C52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0.84*</w:t>
                  </w:r>
                </w:p>
              </w:tc>
              <w:tc>
                <w:tcPr>
                  <w:tcW w:w="1303" w:type="pct"/>
                  <w:gridSpan w:val="3"/>
                  <w:vAlign w:val="center"/>
                </w:tcPr>
                <w:p w14:paraId="321AC8C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0.84</w:t>
                  </w:r>
                </w:p>
              </w:tc>
              <w:tc>
                <w:tcPr>
                  <w:tcW w:w="1288" w:type="pct"/>
                  <w:gridSpan w:val="3"/>
                  <w:vAlign w:val="center"/>
                </w:tcPr>
                <w:p w14:paraId="06636B5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0.76</w:t>
                  </w:r>
                </w:p>
              </w:tc>
            </w:tr>
            <w:tr w14:paraId="1241592A">
              <w:trPr>
                <w:trHeight w:val="340" w:hRule="atLeast"/>
                <w:jc w:val="center"/>
              </w:trPr>
              <w:tc>
                <w:tcPr>
                  <w:tcW w:w="5000" w:type="pct"/>
                  <w:gridSpan w:val="11"/>
                  <w:vAlign w:val="center"/>
                </w:tcPr>
                <w:p w14:paraId="73C2D0CC">
                  <w:pPr>
                    <w:keepNext w:val="0"/>
                    <w:keepLines w:val="0"/>
                    <w:suppressLineNumbers w:val="0"/>
                    <w:adjustRightInd w:val="0"/>
                    <w:snapToGrid w:val="0"/>
                    <w:spacing w:before="0" w:beforeAutospacing="0" w:after="0" w:afterAutospacing="0"/>
                    <w:ind w:left="0" w:right="0"/>
                    <w:jc w:val="left"/>
                    <w:rPr>
                      <w:snapToGrid w:val="0"/>
                      <w:color w:val="auto"/>
                      <w:sz w:val="18"/>
                      <w:szCs w:val="18"/>
                    </w:rPr>
                  </w:pPr>
                  <w:r>
                    <w:rPr>
                      <w:snapToGrid w:val="0"/>
                      <w:color w:val="auto"/>
                      <w:sz w:val="18"/>
                      <w:szCs w:val="18"/>
                    </w:rPr>
                    <w:t>注：Ⅰ类：与无组织排放源共存的排放同种有害气体的排气筒的排放量，大于或等于标准规定的允许排放量的1/3者。</w:t>
                  </w:r>
                </w:p>
                <w:p w14:paraId="4571E334">
                  <w:pPr>
                    <w:keepNext w:val="0"/>
                    <w:keepLines w:val="0"/>
                    <w:suppressLineNumbers w:val="0"/>
                    <w:adjustRightInd w:val="0"/>
                    <w:snapToGrid w:val="0"/>
                    <w:spacing w:before="0" w:beforeAutospacing="0" w:after="0" w:afterAutospacing="0"/>
                    <w:ind w:left="0" w:right="0" w:firstLine="423" w:firstLineChars="235"/>
                    <w:jc w:val="left"/>
                    <w:rPr>
                      <w:snapToGrid w:val="0"/>
                      <w:color w:val="auto"/>
                      <w:sz w:val="18"/>
                      <w:szCs w:val="18"/>
                    </w:rPr>
                  </w:pPr>
                  <w:r>
                    <w:rPr>
                      <w:snapToGrid w:val="0"/>
                      <w:color w:val="auto"/>
                      <w:sz w:val="18"/>
                      <w:szCs w:val="18"/>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331A7CA0">
                  <w:pPr>
                    <w:keepNext w:val="0"/>
                    <w:keepLines w:val="0"/>
                    <w:suppressLineNumbers w:val="0"/>
                    <w:adjustRightInd w:val="0"/>
                    <w:snapToGrid w:val="0"/>
                    <w:spacing w:before="0" w:beforeAutospacing="0" w:after="0" w:afterAutospacing="0"/>
                    <w:ind w:left="0" w:right="0" w:firstLine="423" w:firstLineChars="235"/>
                    <w:jc w:val="left"/>
                    <w:rPr>
                      <w:snapToGrid w:val="0"/>
                      <w:color w:val="auto"/>
                      <w:sz w:val="18"/>
                      <w:szCs w:val="18"/>
                    </w:rPr>
                  </w:pPr>
                  <w:r>
                    <w:rPr>
                      <w:snapToGrid w:val="0"/>
                      <w:color w:val="auto"/>
                      <w:sz w:val="18"/>
                      <w:szCs w:val="18"/>
                    </w:rPr>
                    <w:t>Ⅲ类：无排放同种有害物质的排气筒与无组织排放源共存，但无组织排放的有害物质的容许排放是按慢性反应指标确定者。</w:t>
                  </w:r>
                </w:p>
              </w:tc>
            </w:tr>
          </w:tbl>
          <w:p w14:paraId="40A5A2E1">
            <w:pPr>
              <w:keepNext w:val="0"/>
              <w:keepLines w:val="0"/>
              <w:suppressLineNumbers w:val="0"/>
              <w:spacing w:before="0" w:beforeAutospacing="0" w:after="0" w:afterAutospacing="0"/>
              <w:ind w:left="0" w:right="0" w:firstLine="420" w:firstLineChars="200"/>
              <w:rPr>
                <w:snapToGrid w:val="0"/>
                <w:color w:val="auto"/>
                <w:szCs w:val="21"/>
              </w:rPr>
            </w:pPr>
            <w:r>
              <w:rPr>
                <w:snapToGrid w:val="0"/>
                <w:color w:val="auto"/>
                <w:szCs w:val="21"/>
              </w:rPr>
              <w:t>注：*表示建设项目取值。</w:t>
            </w:r>
          </w:p>
          <w:p w14:paraId="78D8855D">
            <w:pPr>
              <w:keepNext w:val="0"/>
              <w:keepLines w:val="0"/>
              <w:suppressLineNumbers w:val="0"/>
              <w:spacing w:before="0" w:beforeLines="50" w:beforeAutospacing="0" w:after="0" w:afterAutospacing="0" w:line="360" w:lineRule="auto"/>
              <w:ind w:left="0" w:right="0" w:firstLine="480" w:firstLineChars="200"/>
              <w:rPr>
                <w:color w:val="auto"/>
                <w:sz w:val="24"/>
              </w:rPr>
            </w:pPr>
            <w:r>
              <w:rPr>
                <w:rFonts w:hint="eastAsia"/>
                <w:color w:val="auto"/>
                <w:sz w:val="24"/>
              </w:rPr>
              <w:t>建设</w:t>
            </w:r>
            <w:r>
              <w:rPr>
                <w:color w:val="auto"/>
                <w:sz w:val="24"/>
              </w:rPr>
              <w:t>项</w:t>
            </w:r>
            <w:r>
              <w:rPr>
                <w:rFonts w:hint="eastAsia"/>
                <w:color w:val="auto"/>
                <w:sz w:val="24"/>
              </w:rPr>
              <w:t>目建成后</w:t>
            </w:r>
            <w:r>
              <w:rPr>
                <w:color w:val="auto"/>
                <w:sz w:val="24"/>
              </w:rPr>
              <w:t>卫生防护距离计算结果见下表4-</w:t>
            </w:r>
            <w:r>
              <w:rPr>
                <w:rFonts w:hint="eastAsia"/>
                <w:color w:val="auto"/>
                <w:sz w:val="24"/>
                <w:lang w:val="en-US" w:eastAsia="zh-CN"/>
              </w:rPr>
              <w:t>11</w:t>
            </w:r>
            <w:r>
              <w:rPr>
                <w:color w:val="auto"/>
                <w:sz w:val="24"/>
              </w:rPr>
              <w:t>。</w:t>
            </w:r>
          </w:p>
          <w:p w14:paraId="4D7A93D6">
            <w:pPr>
              <w:keepNext w:val="0"/>
              <w:keepLines w:val="0"/>
              <w:suppressLineNumbers w:val="0"/>
              <w:adjustRightInd w:val="0"/>
              <w:snapToGrid w:val="0"/>
              <w:spacing w:before="0" w:beforeAutospacing="0" w:after="0" w:afterAutospacing="0"/>
              <w:ind w:left="0" w:right="0"/>
              <w:jc w:val="center"/>
              <w:rPr>
                <w:b/>
                <w:bCs/>
                <w:color w:val="auto"/>
                <w:sz w:val="24"/>
              </w:rPr>
            </w:pPr>
            <w:r>
              <w:rPr>
                <w:b/>
                <w:bCs/>
                <w:color w:val="auto"/>
                <w:sz w:val="24"/>
              </w:rPr>
              <w:t>表4-</w:t>
            </w:r>
            <w:r>
              <w:rPr>
                <w:rFonts w:hint="eastAsia"/>
                <w:b/>
                <w:bCs/>
                <w:color w:val="auto"/>
                <w:sz w:val="24"/>
                <w:lang w:val="en-US" w:eastAsia="zh-CN"/>
              </w:rPr>
              <w:t>11</w:t>
            </w:r>
            <w:r>
              <w:rPr>
                <w:b/>
                <w:bCs/>
                <w:color w:val="auto"/>
                <w:sz w:val="24"/>
              </w:rPr>
              <w:t xml:space="preserve"> </w:t>
            </w:r>
            <w:r>
              <w:rPr>
                <w:rFonts w:hint="eastAsia"/>
                <w:b/>
                <w:bCs/>
                <w:color w:val="auto"/>
                <w:sz w:val="24"/>
              </w:rPr>
              <w:t xml:space="preserve"> 建设</w:t>
            </w:r>
            <w:r>
              <w:rPr>
                <w:b/>
                <w:bCs/>
                <w:color w:val="auto"/>
                <w:sz w:val="24"/>
              </w:rPr>
              <w:t>项目卫生防护距离计算结果</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51"/>
              <w:gridCol w:w="1286"/>
              <w:gridCol w:w="1135"/>
              <w:gridCol w:w="1389"/>
              <w:gridCol w:w="1326"/>
              <w:gridCol w:w="1022"/>
              <w:gridCol w:w="1172"/>
            </w:tblGrid>
            <w:tr w14:paraId="65E24903">
              <w:trPr>
                <w:trHeight w:val="340" w:hRule="atLeast"/>
              </w:trPr>
              <w:tc>
                <w:tcPr>
                  <w:tcW w:w="1350" w:type="pct"/>
                  <w:gridSpan w:val="2"/>
                  <w:vMerge w:val="restart"/>
                  <w:vAlign w:val="center"/>
                </w:tcPr>
                <w:p w14:paraId="1809613F">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污染物</w:t>
                  </w:r>
                </w:p>
              </w:tc>
              <w:tc>
                <w:tcPr>
                  <w:tcW w:w="685" w:type="pct"/>
                  <w:vMerge w:val="restart"/>
                  <w:vAlign w:val="center"/>
                </w:tcPr>
                <w:p w14:paraId="0A4DF7AF">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源强Q</w:t>
                  </w:r>
                  <w:r>
                    <w:rPr>
                      <w:rFonts w:eastAsiaTheme="minorEastAsia"/>
                      <w:b/>
                      <w:bCs/>
                      <w:color w:val="auto"/>
                      <w:szCs w:val="21"/>
                      <w:vertAlign w:val="subscript"/>
                    </w:rPr>
                    <w:t>c</w:t>
                  </w:r>
                  <w:r>
                    <w:rPr>
                      <w:rFonts w:eastAsiaTheme="minorEastAsia"/>
                      <w:b/>
                      <w:bCs/>
                      <w:color w:val="auto"/>
                      <w:szCs w:val="21"/>
                    </w:rPr>
                    <w:t>（kg/h）</w:t>
                  </w:r>
                </w:p>
              </w:tc>
              <w:tc>
                <w:tcPr>
                  <w:tcW w:w="838" w:type="pct"/>
                  <w:vMerge w:val="restart"/>
                  <w:vAlign w:val="center"/>
                </w:tcPr>
                <w:p w14:paraId="60805A18">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排放源面积</w:t>
                  </w:r>
                </w:p>
                <w:p w14:paraId="6E9D643B">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hint="eastAsia"/>
                      <w:b/>
                      <w:bCs/>
                      <w:color w:val="auto"/>
                      <w:szCs w:val="21"/>
                      <w:lang w:eastAsia="zh-CN"/>
                    </w:rPr>
                    <w:t>(</w:t>
                  </w:r>
                  <w:r>
                    <w:rPr>
                      <w:rFonts w:eastAsiaTheme="minorEastAsia"/>
                      <w:b/>
                      <w:bCs/>
                      <w:color w:val="auto"/>
                      <w:szCs w:val="21"/>
                    </w:rPr>
                    <w:t>m</w:t>
                  </w:r>
                  <w:r>
                    <w:rPr>
                      <w:rFonts w:eastAsiaTheme="minorEastAsia"/>
                      <w:b/>
                      <w:bCs/>
                      <w:color w:val="auto"/>
                      <w:szCs w:val="21"/>
                      <w:vertAlign w:val="superscript"/>
                    </w:rPr>
                    <w:t>2</w:t>
                  </w:r>
                  <w:r>
                    <w:rPr>
                      <w:rFonts w:hint="eastAsia"/>
                      <w:b/>
                      <w:bCs/>
                      <w:color w:val="auto"/>
                      <w:szCs w:val="21"/>
                      <w:vertAlign w:val="superscript"/>
                      <w:lang w:eastAsia="zh-CN"/>
                    </w:rPr>
                    <w:t>)</w:t>
                  </w:r>
                </w:p>
              </w:tc>
              <w:tc>
                <w:tcPr>
                  <w:tcW w:w="800" w:type="pct"/>
                  <w:vMerge w:val="restart"/>
                  <w:vAlign w:val="center"/>
                </w:tcPr>
                <w:p w14:paraId="4E448929">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标准限值C</w:t>
                  </w:r>
                  <w:r>
                    <w:rPr>
                      <w:rFonts w:eastAsiaTheme="minorEastAsia"/>
                      <w:b/>
                      <w:bCs/>
                      <w:color w:val="auto"/>
                      <w:szCs w:val="21"/>
                      <w:vertAlign w:val="subscript"/>
                    </w:rPr>
                    <w:t>m</w:t>
                  </w:r>
                </w:p>
                <w:p w14:paraId="2ABEEC51">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hint="eastAsia"/>
                      <w:b/>
                      <w:bCs/>
                      <w:color w:val="auto"/>
                      <w:szCs w:val="21"/>
                      <w:lang w:eastAsia="zh-CN"/>
                    </w:rPr>
                    <w:t>(</w:t>
                  </w:r>
                  <w:r>
                    <w:rPr>
                      <w:rFonts w:eastAsiaTheme="minorEastAsia"/>
                      <w:b/>
                      <w:bCs/>
                      <w:color w:val="auto"/>
                      <w:szCs w:val="21"/>
                    </w:rPr>
                    <w:t>mg/Nm</w:t>
                  </w:r>
                  <w:r>
                    <w:rPr>
                      <w:rFonts w:eastAsiaTheme="minorEastAsia"/>
                      <w:b/>
                      <w:bCs/>
                      <w:color w:val="auto"/>
                      <w:szCs w:val="21"/>
                      <w:vertAlign w:val="superscript"/>
                    </w:rPr>
                    <w:t>3</w:t>
                  </w:r>
                  <w:r>
                    <w:rPr>
                      <w:rFonts w:hint="eastAsia"/>
                      <w:b/>
                      <w:bCs/>
                      <w:color w:val="auto"/>
                      <w:szCs w:val="21"/>
                      <w:vertAlign w:val="superscript"/>
                      <w:lang w:eastAsia="zh-CN"/>
                    </w:rPr>
                    <w:t>)</w:t>
                  </w:r>
                </w:p>
              </w:tc>
              <w:tc>
                <w:tcPr>
                  <w:tcW w:w="1324" w:type="pct"/>
                  <w:gridSpan w:val="2"/>
                  <w:vAlign w:val="center"/>
                </w:tcPr>
                <w:p w14:paraId="2F9A3B1A">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卫生防护距离L（m）</w:t>
                  </w:r>
                </w:p>
              </w:tc>
            </w:tr>
            <w:tr w14:paraId="23CFC0B6">
              <w:trPr>
                <w:trHeight w:val="340" w:hRule="atLeast"/>
              </w:trPr>
              <w:tc>
                <w:tcPr>
                  <w:tcW w:w="1350" w:type="pct"/>
                  <w:gridSpan w:val="2"/>
                  <w:vMerge w:val="continue"/>
                  <w:vAlign w:val="center"/>
                </w:tcPr>
                <w:p w14:paraId="49AC581F">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685" w:type="pct"/>
                  <w:vMerge w:val="continue"/>
                  <w:vAlign w:val="center"/>
                </w:tcPr>
                <w:p w14:paraId="77DFA9B5">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838" w:type="pct"/>
                  <w:vMerge w:val="continue"/>
                  <w:vAlign w:val="center"/>
                </w:tcPr>
                <w:p w14:paraId="5E5F8459">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800" w:type="pct"/>
                  <w:vMerge w:val="continue"/>
                  <w:vAlign w:val="center"/>
                </w:tcPr>
                <w:p w14:paraId="578C493E">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617" w:type="pct"/>
                  <w:vAlign w:val="center"/>
                </w:tcPr>
                <w:p w14:paraId="1A3AF52B">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计算值</w:t>
                  </w:r>
                </w:p>
              </w:tc>
              <w:tc>
                <w:tcPr>
                  <w:tcW w:w="707" w:type="pct"/>
                  <w:vAlign w:val="center"/>
                </w:tcPr>
                <w:p w14:paraId="2150784B">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取值</w:t>
                  </w:r>
                </w:p>
              </w:tc>
            </w:tr>
            <w:tr w14:paraId="54E75CDD">
              <w:trPr>
                <w:trHeight w:val="340" w:hRule="atLeast"/>
              </w:trPr>
              <w:tc>
                <w:tcPr>
                  <w:tcW w:w="574" w:type="pct"/>
                  <w:vAlign w:val="center"/>
                </w:tcPr>
                <w:p w14:paraId="758D615F">
                  <w:pPr>
                    <w:keepNext w:val="0"/>
                    <w:keepLines w:val="0"/>
                    <w:suppressLineNumbers w:val="0"/>
                    <w:spacing w:before="0" w:beforeAutospacing="0" w:after="0" w:afterAutospacing="0"/>
                    <w:ind w:left="0" w:right="0"/>
                    <w:jc w:val="center"/>
                    <w:rPr>
                      <w:rFonts w:eastAsiaTheme="minorEastAsia"/>
                      <w:color w:val="auto"/>
                      <w:kern w:val="0"/>
                      <w:szCs w:val="21"/>
                    </w:rPr>
                  </w:pPr>
                  <w:r>
                    <w:rPr>
                      <w:rFonts w:hint="eastAsia"/>
                      <w:color w:val="auto"/>
                      <w:kern w:val="0"/>
                      <w:szCs w:val="21"/>
                      <w:lang w:val="en-US" w:eastAsia="zh-CN"/>
                    </w:rPr>
                    <w:t>3</w:t>
                  </w:r>
                  <w:r>
                    <w:rPr>
                      <w:rFonts w:hint="eastAsia" w:eastAsiaTheme="minorEastAsia"/>
                      <w:color w:val="auto"/>
                      <w:kern w:val="0"/>
                      <w:szCs w:val="21"/>
                    </w:rPr>
                    <w:t>#厂房</w:t>
                  </w:r>
                </w:p>
              </w:tc>
              <w:tc>
                <w:tcPr>
                  <w:tcW w:w="775" w:type="pct"/>
                  <w:vAlign w:val="center"/>
                </w:tcPr>
                <w:p w14:paraId="43078C98">
                  <w:pPr>
                    <w:keepNext w:val="0"/>
                    <w:keepLines w:val="0"/>
                    <w:widowControl/>
                    <w:suppressLineNumbers w:val="0"/>
                    <w:adjustRightInd w:val="0"/>
                    <w:snapToGrid w:val="0"/>
                    <w:spacing w:before="0" w:beforeAutospacing="0" w:after="0" w:afterAutospacing="0"/>
                    <w:ind w:left="0" w:right="0"/>
                    <w:jc w:val="center"/>
                    <w:rPr>
                      <w:rFonts w:eastAsiaTheme="minorEastAsia"/>
                      <w:color w:val="auto"/>
                      <w:kern w:val="0"/>
                      <w:szCs w:val="21"/>
                    </w:rPr>
                  </w:pPr>
                  <w:r>
                    <w:rPr>
                      <w:rFonts w:hint="eastAsia" w:eastAsiaTheme="minorEastAsia"/>
                      <w:color w:val="auto"/>
                      <w:kern w:val="0"/>
                      <w:szCs w:val="21"/>
                    </w:rPr>
                    <w:t>颗粒物</w:t>
                  </w:r>
                </w:p>
              </w:tc>
              <w:tc>
                <w:tcPr>
                  <w:tcW w:w="685" w:type="pct"/>
                  <w:vAlign w:val="center"/>
                </w:tcPr>
                <w:p w14:paraId="2112DC43">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s="Times New Roman"/>
                      <w:color w:val="auto"/>
                      <w:kern w:val="2"/>
                      <w:sz w:val="21"/>
                      <w:szCs w:val="21"/>
                      <w:highlight w:val="none"/>
                      <w:lang w:val="en-US" w:eastAsia="zh-CN" w:bidi="ar-SA"/>
                    </w:rPr>
                    <w:t>0.1816</w:t>
                  </w:r>
                </w:p>
              </w:tc>
              <w:tc>
                <w:tcPr>
                  <w:tcW w:w="838" w:type="pct"/>
                  <w:vAlign w:val="center"/>
                </w:tcPr>
                <w:p w14:paraId="4A35F2B0">
                  <w:pPr>
                    <w:keepNext w:val="0"/>
                    <w:keepLines w:val="0"/>
                    <w:suppressLineNumbers w:val="0"/>
                    <w:spacing w:before="0" w:beforeAutospacing="0" w:after="0" w:afterAutospacing="0"/>
                    <w:ind w:left="0" w:right="0"/>
                    <w:jc w:val="center"/>
                    <w:rPr>
                      <w:color w:val="auto"/>
                      <w:szCs w:val="21"/>
                    </w:rPr>
                  </w:pPr>
                  <w:r>
                    <w:rPr>
                      <w:rFonts w:hint="eastAsia"/>
                      <w:color w:val="auto"/>
                      <w:szCs w:val="21"/>
                    </w:rPr>
                    <w:t>8721.07</w:t>
                  </w:r>
                </w:p>
              </w:tc>
              <w:tc>
                <w:tcPr>
                  <w:tcW w:w="800" w:type="pct"/>
                  <w:vAlign w:val="center"/>
                </w:tcPr>
                <w:p w14:paraId="0267C60D">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lang w:eastAsia="zh-CN"/>
                    </w:rPr>
                  </w:pPr>
                  <w:r>
                    <w:rPr>
                      <w:rFonts w:hint="eastAsia" w:eastAsiaTheme="minorEastAsia"/>
                      <w:bCs/>
                      <w:color w:val="auto"/>
                      <w:szCs w:val="21"/>
                    </w:rPr>
                    <w:t>0.</w:t>
                  </w:r>
                  <w:r>
                    <w:rPr>
                      <w:rFonts w:hint="eastAsia"/>
                      <w:bCs/>
                      <w:color w:val="auto"/>
                      <w:szCs w:val="21"/>
                      <w:lang w:val="en-US" w:eastAsia="zh-CN"/>
                    </w:rPr>
                    <w:t>9</w:t>
                  </w:r>
                </w:p>
              </w:tc>
              <w:tc>
                <w:tcPr>
                  <w:tcW w:w="617" w:type="pct"/>
                  <w:vAlign w:val="center"/>
                </w:tcPr>
                <w:p w14:paraId="101AD937">
                  <w:pPr>
                    <w:keepNext w:val="0"/>
                    <w:keepLines w:val="0"/>
                    <w:suppressLineNumbers w:val="0"/>
                    <w:spacing w:before="0" w:beforeAutospacing="0" w:after="0" w:afterAutospacing="0"/>
                    <w:ind w:left="0" w:right="0"/>
                    <w:jc w:val="center"/>
                    <w:rPr>
                      <w:rFonts w:hint="default" w:eastAsiaTheme="minorEastAsia"/>
                      <w:color w:val="auto"/>
                      <w:lang w:val="en-US" w:eastAsia="zh-CN"/>
                    </w:rPr>
                  </w:pPr>
                  <w:r>
                    <w:rPr>
                      <w:rFonts w:hint="eastAsia"/>
                      <w:color w:val="auto"/>
                      <w:lang w:val="en-US" w:eastAsia="zh-CN"/>
                    </w:rPr>
                    <w:t>19.44</w:t>
                  </w:r>
                </w:p>
              </w:tc>
              <w:tc>
                <w:tcPr>
                  <w:tcW w:w="707" w:type="pct"/>
                  <w:vAlign w:val="center"/>
                </w:tcPr>
                <w:p w14:paraId="2D4D816B">
                  <w:pPr>
                    <w:keepNext w:val="0"/>
                    <w:keepLines w:val="0"/>
                    <w:suppressLineNumbers w:val="0"/>
                    <w:spacing w:before="0" w:beforeAutospacing="0" w:after="0" w:afterAutospacing="0"/>
                    <w:ind w:left="0" w:right="0"/>
                    <w:jc w:val="center"/>
                    <w:rPr>
                      <w:color w:val="auto"/>
                    </w:rPr>
                  </w:pPr>
                  <w:r>
                    <w:rPr>
                      <w:color w:val="auto"/>
                    </w:rPr>
                    <w:t>50</w:t>
                  </w:r>
                </w:p>
              </w:tc>
            </w:tr>
          </w:tbl>
          <w:p w14:paraId="019D9AC5">
            <w:pPr>
              <w:keepNext w:val="0"/>
              <w:keepLines w:val="0"/>
              <w:suppressLineNumbers w:val="0"/>
              <w:adjustRightInd w:val="0"/>
              <w:snapToGrid w:val="0"/>
              <w:spacing w:before="0" w:beforeLines="50" w:beforeAutospacing="0" w:after="0" w:afterAutospacing="0" w:line="360" w:lineRule="auto"/>
              <w:ind w:left="0" w:right="0" w:firstLine="480" w:firstLineChars="200"/>
              <w:rPr>
                <w:rFonts w:eastAsiaTheme="minorEastAsia"/>
                <w:color w:val="auto"/>
                <w:sz w:val="24"/>
              </w:rPr>
            </w:pPr>
            <w:r>
              <w:rPr>
                <w:color w:val="auto"/>
                <w:sz w:val="24"/>
              </w:rPr>
              <w:t>根据卫生防护距离的计算结果，</w:t>
            </w:r>
            <w:r>
              <w:rPr>
                <w:rFonts w:hint="eastAsia"/>
                <w:color w:val="auto"/>
                <w:sz w:val="24"/>
              </w:rPr>
              <w:t>建设项目建成后</w:t>
            </w:r>
            <w:r>
              <w:rPr>
                <w:color w:val="auto"/>
                <w:sz w:val="24"/>
              </w:rPr>
              <w:t>以</w:t>
            </w:r>
            <w:r>
              <w:rPr>
                <w:rFonts w:hint="eastAsia"/>
                <w:color w:val="auto"/>
                <w:sz w:val="24"/>
                <w:lang w:val="en-US" w:eastAsia="zh-CN"/>
              </w:rPr>
              <w:t>3#厂房</w:t>
            </w:r>
            <w:r>
              <w:rPr>
                <w:color w:val="auto"/>
                <w:sz w:val="24"/>
              </w:rPr>
              <w:t>为起点设置50m卫生防护距离</w:t>
            </w:r>
            <w:r>
              <w:rPr>
                <w:rFonts w:hint="eastAsia"/>
                <w:color w:val="auto"/>
                <w:sz w:val="24"/>
              </w:rPr>
              <w:t>，</w:t>
            </w:r>
            <w:r>
              <w:rPr>
                <w:rFonts w:hint="eastAsia"/>
                <w:bCs/>
                <w:color w:val="auto"/>
                <w:kern w:val="0"/>
                <w:sz w:val="24"/>
              </w:rPr>
              <w:t>符合卫生防护距离设置的相关要求。项目卫生防护距离范围内无居民点以及其他环境空气敏感保护点</w:t>
            </w:r>
            <w:r>
              <w:rPr>
                <w:rFonts w:hint="eastAsia"/>
                <w:color w:val="auto"/>
                <w:sz w:val="24"/>
              </w:rPr>
              <w:t>，今后亦不得新建居民、学校、医院等环境敏感保护目标。</w:t>
            </w:r>
          </w:p>
          <w:p w14:paraId="147C3B4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color w:val="auto"/>
                <w:sz w:val="24"/>
              </w:rPr>
              <w:t>②环境影响分析</w:t>
            </w:r>
          </w:p>
          <w:p w14:paraId="34D9630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项目</w:t>
            </w:r>
            <w:r>
              <w:rPr>
                <w:rFonts w:hint="eastAsia" w:hAnsi="宋体"/>
                <w:color w:val="auto"/>
                <w:sz w:val="24"/>
                <w:szCs w:val="24"/>
                <w:highlight w:val="none"/>
                <w:lang w:val="en-US" w:eastAsia="zh-CN"/>
              </w:rPr>
              <w:t>喷漆、烘干和固化</w:t>
            </w:r>
            <w:r>
              <w:rPr>
                <w:rFonts w:hAnsi="宋体"/>
                <w:color w:val="auto"/>
                <w:sz w:val="24"/>
                <w:szCs w:val="24"/>
                <w:highlight w:val="none"/>
              </w:rPr>
              <w:t>废气</w:t>
            </w:r>
            <w:r>
              <w:rPr>
                <w:rFonts w:hint="eastAsia" w:hAnsi="宋体"/>
                <w:color w:val="auto"/>
                <w:sz w:val="24"/>
                <w:szCs w:val="24"/>
                <w:highlight w:val="none"/>
                <w:lang w:val="en-US" w:eastAsia="zh-CN"/>
              </w:rPr>
              <w:t>经</w:t>
            </w:r>
            <w:r>
              <w:rPr>
                <w:rFonts w:hint="default" w:ascii="Times New Roman" w:hAnsi="Times New Roman" w:cs="Times New Roman" w:eastAsiaTheme="minorEastAsia"/>
                <w:color w:val="auto"/>
                <w:sz w:val="24"/>
                <w:szCs w:val="24"/>
                <w:highlight w:val="none"/>
              </w:rPr>
              <w:t>密闭车间负压</w:t>
            </w:r>
            <w:r>
              <w:rPr>
                <w:rFonts w:hint="default" w:ascii="Times New Roman" w:hAnsi="Times New Roman" w:cs="Times New Roman"/>
                <w:bCs/>
                <w:color w:val="auto"/>
                <w:sz w:val="24"/>
                <w:szCs w:val="24"/>
                <w:highlight w:val="none"/>
              </w:rPr>
              <w:t>收集</w:t>
            </w:r>
            <w:r>
              <w:rPr>
                <w:rFonts w:hAnsi="宋体"/>
                <w:color w:val="auto"/>
                <w:sz w:val="24"/>
                <w:szCs w:val="24"/>
                <w:highlight w:val="none"/>
              </w:rPr>
              <w:t>+</w:t>
            </w:r>
            <w:r>
              <w:rPr>
                <w:rFonts w:hint="eastAsia" w:hAnsi="宋体"/>
                <w:color w:val="auto"/>
                <w:sz w:val="24"/>
                <w:szCs w:val="24"/>
                <w:highlight w:val="none"/>
                <w:lang w:val="en-US" w:eastAsia="zh-CN"/>
              </w:rPr>
              <w:t>干式</w:t>
            </w:r>
            <w:r>
              <w:rPr>
                <w:rFonts w:hint="eastAsia" w:hAnsi="宋体"/>
                <w:color w:val="auto"/>
                <w:sz w:val="24"/>
                <w:szCs w:val="24"/>
                <w:highlight w:val="none"/>
              </w:rPr>
              <w:t>过滤+</w:t>
            </w:r>
            <w:r>
              <w:rPr>
                <w:rFonts w:hAnsi="宋体"/>
                <w:color w:val="auto"/>
                <w:sz w:val="24"/>
                <w:szCs w:val="24"/>
                <w:highlight w:val="none"/>
              </w:rPr>
              <w:t>二级活性炭吸附装置处理后通过15m排气筒</w:t>
            </w:r>
            <w:r>
              <w:rPr>
                <w:rFonts w:hint="eastAsia" w:hAnsi="宋体"/>
                <w:color w:val="auto"/>
                <w:sz w:val="24"/>
                <w:szCs w:val="24"/>
                <w:highlight w:val="none"/>
              </w:rPr>
              <w:t>DA00</w:t>
            </w:r>
            <w:r>
              <w:rPr>
                <w:rFonts w:hint="eastAsia" w:hAnsi="宋体"/>
                <w:color w:val="auto"/>
                <w:sz w:val="24"/>
                <w:szCs w:val="24"/>
                <w:highlight w:val="none"/>
                <w:lang w:val="en-US" w:eastAsia="zh-CN"/>
              </w:rPr>
              <w:t>1</w:t>
            </w:r>
            <w:r>
              <w:rPr>
                <w:rFonts w:hAnsi="宋体"/>
                <w:color w:val="auto"/>
                <w:sz w:val="24"/>
                <w:szCs w:val="24"/>
                <w:highlight w:val="none"/>
              </w:rPr>
              <w:t>排放</w:t>
            </w:r>
            <w:r>
              <w:rPr>
                <w:rFonts w:hAnsi="宋体"/>
                <w:color w:val="auto"/>
                <w:sz w:val="24"/>
                <w:highlight w:val="none"/>
              </w:rPr>
              <w:t>，项目</w:t>
            </w:r>
            <w:r>
              <w:rPr>
                <w:rFonts w:hint="eastAsia" w:hAnsi="宋体"/>
                <w:color w:val="auto"/>
                <w:sz w:val="24"/>
                <w:highlight w:val="none"/>
                <w:lang w:val="en-US" w:eastAsia="zh-CN"/>
              </w:rPr>
              <w:t>喷塑</w:t>
            </w:r>
            <w:r>
              <w:rPr>
                <w:rFonts w:hAnsi="宋体"/>
                <w:color w:val="auto"/>
                <w:sz w:val="24"/>
                <w:highlight w:val="none"/>
              </w:rPr>
              <w:t>废气经</w:t>
            </w:r>
            <w:r>
              <w:rPr>
                <w:rFonts w:hint="eastAsia" w:hAnsi="宋体"/>
                <w:color w:val="auto"/>
                <w:sz w:val="24"/>
                <w:highlight w:val="none"/>
                <w:lang w:val="en-US" w:eastAsia="zh-CN"/>
              </w:rPr>
              <w:t>半密闭</w:t>
            </w:r>
            <w:r>
              <w:rPr>
                <w:rFonts w:hAnsi="宋体"/>
                <w:color w:val="auto"/>
                <w:sz w:val="24"/>
                <w:highlight w:val="none"/>
              </w:rPr>
              <w:t>收集+</w:t>
            </w:r>
            <w:r>
              <w:rPr>
                <w:rFonts w:hint="eastAsia" w:hAnsi="宋体"/>
                <w:color w:val="auto"/>
                <w:sz w:val="24"/>
                <w:highlight w:val="none"/>
                <w:lang w:val="en-US" w:eastAsia="zh-CN"/>
              </w:rPr>
              <w:t>布袋除尘器</w:t>
            </w:r>
            <w:r>
              <w:rPr>
                <w:rFonts w:hAnsi="宋体"/>
                <w:color w:val="auto"/>
                <w:sz w:val="24"/>
                <w:highlight w:val="none"/>
              </w:rPr>
              <w:t>处理后通过15m排气筒</w:t>
            </w:r>
            <w:r>
              <w:rPr>
                <w:rFonts w:hint="eastAsia" w:hAnsi="宋体"/>
                <w:color w:val="auto"/>
                <w:sz w:val="24"/>
                <w:highlight w:val="none"/>
              </w:rPr>
              <w:t>DA00</w:t>
            </w:r>
            <w:r>
              <w:rPr>
                <w:rFonts w:hint="eastAsia" w:hAnsi="宋体"/>
                <w:color w:val="auto"/>
                <w:sz w:val="24"/>
                <w:highlight w:val="none"/>
                <w:lang w:val="en-US" w:eastAsia="zh-CN"/>
              </w:rPr>
              <w:t>2</w:t>
            </w:r>
            <w:r>
              <w:rPr>
                <w:rFonts w:hAnsi="宋体"/>
                <w:color w:val="auto"/>
                <w:sz w:val="24"/>
                <w:highlight w:val="none"/>
              </w:rPr>
              <w:t>排放，</w:t>
            </w:r>
            <w:r>
              <w:rPr>
                <w:rFonts w:hint="eastAsia"/>
                <w:color w:val="auto"/>
                <w:sz w:val="24"/>
                <w:szCs w:val="24"/>
                <w:lang w:val="en-US" w:eastAsia="zh-CN"/>
              </w:rPr>
              <w:t>下料粉尘和打磨粉尘</w:t>
            </w:r>
            <w:r>
              <w:rPr>
                <w:rFonts w:hint="eastAsia" w:ascii="Times New Roman" w:hAnsi="Times New Roman" w:cs="Times New Roman"/>
                <w:color w:val="auto"/>
                <w:kern w:val="0"/>
                <w:sz w:val="24"/>
                <w:szCs w:val="24"/>
                <w:highlight w:val="none"/>
                <w:lang w:val="en-US" w:eastAsia="zh-CN"/>
              </w:rPr>
              <w:t>经移动式布袋除尘器处理后以</w:t>
            </w:r>
            <w:r>
              <w:rPr>
                <w:rFonts w:hint="default" w:ascii="Times New Roman" w:hAnsi="Times New Roman" w:cs="Times New Roman" w:eastAsiaTheme="minorEastAsia"/>
                <w:color w:val="auto"/>
                <w:kern w:val="0"/>
                <w:sz w:val="24"/>
                <w:szCs w:val="24"/>
                <w:highlight w:val="none"/>
                <w:lang w:val="zh-CN"/>
              </w:rPr>
              <w:t>无组织排放</w:t>
            </w:r>
            <w:r>
              <w:rPr>
                <w:rFonts w:hint="eastAsia" w:cs="Times New Roman"/>
                <w:color w:val="auto"/>
                <w:kern w:val="0"/>
                <w:sz w:val="24"/>
                <w:szCs w:val="24"/>
                <w:highlight w:val="none"/>
                <w:lang w:val="zh-CN"/>
              </w:rPr>
              <w:t>，</w:t>
            </w:r>
            <w:r>
              <w:rPr>
                <w:rFonts w:hint="eastAsia" w:eastAsiaTheme="minorEastAsia"/>
                <w:color w:val="auto"/>
                <w:kern w:val="0"/>
                <w:sz w:val="24"/>
                <w:highlight w:val="none"/>
                <w:lang w:val="zh-CN"/>
              </w:rPr>
              <w:t>焊接</w:t>
            </w:r>
            <w:r>
              <w:rPr>
                <w:rFonts w:hint="eastAsia"/>
                <w:color w:val="auto"/>
                <w:kern w:val="0"/>
                <w:sz w:val="24"/>
                <w:highlight w:val="none"/>
                <w:lang w:val="en-US" w:eastAsia="zh-CN"/>
              </w:rPr>
              <w:t>烟尘</w:t>
            </w:r>
            <w:r>
              <w:rPr>
                <w:rFonts w:hint="eastAsia" w:eastAsiaTheme="minorEastAsia"/>
                <w:color w:val="auto"/>
                <w:kern w:val="0"/>
                <w:sz w:val="24"/>
                <w:highlight w:val="none"/>
              </w:rPr>
              <w:t>经</w:t>
            </w:r>
            <w:r>
              <w:rPr>
                <w:rFonts w:hint="eastAsia" w:eastAsiaTheme="minorEastAsia"/>
                <w:color w:val="auto"/>
                <w:kern w:val="0"/>
                <w:sz w:val="24"/>
                <w:highlight w:val="none"/>
                <w:lang w:val="zh-CN"/>
              </w:rPr>
              <w:t>移动式焊</w:t>
            </w:r>
            <w:r>
              <w:rPr>
                <w:rFonts w:hint="eastAsia"/>
                <w:color w:val="auto"/>
                <w:kern w:val="0"/>
                <w:sz w:val="24"/>
                <w:highlight w:val="none"/>
                <w:lang w:val="en-US" w:eastAsia="zh-CN"/>
              </w:rPr>
              <w:t>烟</w:t>
            </w:r>
            <w:r>
              <w:rPr>
                <w:rFonts w:hint="eastAsia" w:eastAsiaTheme="minorEastAsia"/>
                <w:color w:val="auto"/>
                <w:kern w:val="0"/>
                <w:sz w:val="24"/>
                <w:highlight w:val="none"/>
                <w:lang w:val="zh-CN"/>
              </w:rPr>
              <w:t>净化器处理后</w:t>
            </w:r>
            <w:r>
              <w:rPr>
                <w:rFonts w:hint="eastAsia"/>
                <w:color w:val="auto"/>
                <w:kern w:val="0"/>
                <w:sz w:val="24"/>
                <w:highlight w:val="none"/>
                <w:lang w:val="en-US" w:eastAsia="zh-CN"/>
              </w:rPr>
              <w:t>以</w:t>
            </w:r>
            <w:r>
              <w:rPr>
                <w:rFonts w:hint="eastAsia" w:eastAsiaTheme="minorEastAsia"/>
                <w:color w:val="auto"/>
                <w:kern w:val="0"/>
                <w:sz w:val="24"/>
                <w:highlight w:val="none"/>
                <w:lang w:val="zh-CN"/>
              </w:rPr>
              <w:t>无组织排放</w:t>
            </w:r>
            <w:r>
              <w:rPr>
                <w:rFonts w:hAnsi="宋体"/>
                <w:color w:val="auto"/>
                <w:sz w:val="24"/>
                <w:highlight w:val="none"/>
              </w:rPr>
              <w:t>，各类污染物排放量较少，能够做到达标排放，采用的技术为可行性技术。对周围大气环境的影响较小。</w:t>
            </w:r>
          </w:p>
          <w:p w14:paraId="5281FDBA">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（4）废气监测要求</w:t>
            </w:r>
          </w:p>
          <w:p w14:paraId="33EE410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根据《排污单位自行</w:t>
            </w:r>
            <w:r>
              <w:rPr>
                <w:rFonts w:hint="default" w:ascii="Times New Roman" w:hAnsi="Times New Roman" w:cs="Times New Roman"/>
                <w:color w:val="auto"/>
                <w:sz w:val="24"/>
                <w:highlight w:val="none"/>
              </w:rPr>
              <w:t>监测技术指南总则》（HJ819-2017）、《排污单位自行监测技术指南 涂装》（HJ1086-2020</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hAnsi="宋体"/>
                <w:color w:val="auto"/>
                <w:sz w:val="24"/>
                <w:highlight w:val="none"/>
                <w:lang w:val="en-US" w:eastAsia="zh-CN"/>
              </w:rPr>
              <w:t>项目</w:t>
            </w:r>
            <w:r>
              <w:rPr>
                <w:rFonts w:hAnsi="宋体"/>
                <w:color w:val="auto"/>
                <w:sz w:val="24"/>
                <w:highlight w:val="none"/>
              </w:rPr>
              <w:t>有关废气污染源监测计划及记录信息表见表4-</w:t>
            </w:r>
            <w:r>
              <w:rPr>
                <w:rFonts w:hint="eastAsia" w:hAnsi="宋体"/>
                <w:color w:val="auto"/>
                <w:sz w:val="24"/>
                <w:highlight w:val="none"/>
                <w:lang w:val="en-US" w:eastAsia="zh-CN"/>
              </w:rPr>
              <w:t>12</w:t>
            </w:r>
            <w:r>
              <w:rPr>
                <w:rFonts w:hAnsi="宋体"/>
                <w:color w:val="auto"/>
                <w:sz w:val="24"/>
                <w:highlight w:val="none"/>
              </w:rPr>
              <w:t>。</w:t>
            </w:r>
          </w:p>
          <w:p w14:paraId="7A0F857D">
            <w:pPr>
              <w:keepNext w:val="0"/>
              <w:keepLines w:val="0"/>
              <w:suppressLineNumbers w:val="0"/>
              <w:adjustRightInd w:val="0"/>
              <w:snapToGrid w:val="0"/>
              <w:spacing w:before="0" w:beforeAutospacing="0" w:after="0" w:afterAutospacing="0"/>
              <w:ind w:left="0" w:right="0"/>
              <w:jc w:val="center"/>
              <w:rPr>
                <w:rFonts w:hAnsi="宋体"/>
                <w:b/>
                <w:bCs/>
                <w:color w:val="auto"/>
                <w:sz w:val="24"/>
                <w:szCs w:val="24"/>
                <w:highlight w:val="none"/>
              </w:rPr>
            </w:pPr>
            <w:r>
              <w:rPr>
                <w:rFonts w:hAnsi="宋体"/>
                <w:b/>
                <w:bCs/>
                <w:color w:val="auto"/>
                <w:sz w:val="24"/>
                <w:szCs w:val="24"/>
                <w:highlight w:val="none"/>
              </w:rPr>
              <w:t>表4-</w:t>
            </w:r>
            <w:r>
              <w:rPr>
                <w:rFonts w:hint="eastAsia" w:hAnsi="宋体"/>
                <w:b/>
                <w:bCs/>
                <w:color w:val="auto"/>
                <w:sz w:val="24"/>
                <w:szCs w:val="24"/>
                <w:highlight w:val="none"/>
                <w:lang w:val="en-US" w:eastAsia="zh-CN"/>
              </w:rPr>
              <w:t>12</w:t>
            </w:r>
            <w:r>
              <w:rPr>
                <w:rFonts w:hAnsi="宋体"/>
                <w:b/>
                <w:bCs/>
                <w:color w:val="auto"/>
                <w:sz w:val="24"/>
                <w:szCs w:val="24"/>
                <w:highlight w:val="none"/>
              </w:rPr>
              <w:t xml:space="preserve">  大气污染源监测计划及记录信息表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3"/>
              <w:gridCol w:w="1740"/>
              <w:gridCol w:w="1407"/>
              <w:gridCol w:w="1103"/>
              <w:gridCol w:w="3118"/>
            </w:tblGrid>
            <w:tr w14:paraId="68AB711F">
              <w:trPr>
                <w:trHeight w:val="397" w:hRule="atLeast"/>
                <w:jc w:val="center"/>
              </w:trPr>
              <w:tc>
                <w:tcPr>
                  <w:tcW w:w="1601" w:type="pct"/>
                  <w:gridSpan w:val="2"/>
                  <w:vAlign w:val="center"/>
                </w:tcPr>
                <w:p w14:paraId="16022531">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监测点位</w:t>
                  </w:r>
                </w:p>
              </w:tc>
              <w:tc>
                <w:tcPr>
                  <w:tcW w:w="849" w:type="pct"/>
                  <w:vAlign w:val="center"/>
                </w:tcPr>
                <w:p w14:paraId="148E5D95">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监测项目</w:t>
                  </w:r>
                </w:p>
              </w:tc>
              <w:tc>
                <w:tcPr>
                  <w:tcW w:w="666" w:type="pct"/>
                  <w:vAlign w:val="center"/>
                </w:tcPr>
                <w:p w14:paraId="65BBBFA8">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监测频次</w:t>
                  </w:r>
                </w:p>
              </w:tc>
              <w:tc>
                <w:tcPr>
                  <w:tcW w:w="1882" w:type="pct"/>
                  <w:vAlign w:val="center"/>
                </w:tcPr>
                <w:p w14:paraId="42BB8352">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执行排放标准</w:t>
                  </w:r>
                </w:p>
              </w:tc>
            </w:tr>
            <w:tr w14:paraId="748DF3B3">
              <w:trPr>
                <w:trHeight w:val="397" w:hRule="atLeast"/>
                <w:jc w:val="center"/>
              </w:trPr>
              <w:tc>
                <w:tcPr>
                  <w:tcW w:w="551" w:type="pct"/>
                  <w:vMerge w:val="restart"/>
                  <w:vAlign w:val="center"/>
                </w:tcPr>
                <w:p w14:paraId="1C1456B5">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有组织废气</w:t>
                  </w:r>
                </w:p>
              </w:tc>
              <w:tc>
                <w:tcPr>
                  <w:tcW w:w="1049" w:type="pct"/>
                  <w:vAlign w:val="center"/>
                </w:tcPr>
                <w:p w14:paraId="6C6C090A">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hint="eastAsia" w:ascii="Times New Roman" w:hAnsi="宋体" w:cs="Times New Roman"/>
                      <w:color w:val="auto"/>
                      <w:highlight w:val="none"/>
                    </w:rPr>
                    <w:t>1#排气筒</w:t>
                  </w:r>
                  <w:r>
                    <w:rPr>
                      <w:rFonts w:ascii="Times New Roman" w:hAnsi="宋体" w:cs="Times New Roman"/>
                      <w:color w:val="auto"/>
                      <w:highlight w:val="none"/>
                    </w:rPr>
                    <w:t>废气处理装置出口设置1个点</w:t>
                  </w:r>
                </w:p>
              </w:tc>
              <w:tc>
                <w:tcPr>
                  <w:tcW w:w="849" w:type="pct"/>
                  <w:vAlign w:val="center"/>
                </w:tcPr>
                <w:p w14:paraId="2B690219">
                  <w:pPr>
                    <w:pStyle w:val="143"/>
                    <w:keepNext w:val="0"/>
                    <w:keepLines w:val="0"/>
                    <w:suppressLineNumbers w:val="0"/>
                    <w:spacing w:before="0" w:beforeAutospacing="0" w:after="0" w:afterAutospacing="0"/>
                    <w:ind w:left="0" w:right="0"/>
                    <w:rPr>
                      <w:rFonts w:hint="eastAsia" w:ascii="Times New Roman" w:hAnsi="宋体" w:cs="Times New Roman"/>
                      <w:color w:val="auto"/>
                      <w:highlight w:val="none"/>
                      <w:lang w:eastAsia="zh-CN"/>
                    </w:rPr>
                  </w:pPr>
                  <w:r>
                    <w:rPr>
                      <w:rFonts w:hint="eastAsia" w:ascii="Times New Roman" w:hAnsi="宋体" w:cs="Times New Roman"/>
                      <w:color w:val="auto"/>
                      <w:highlight w:val="none"/>
                    </w:rPr>
                    <w:t>颗粒物</w:t>
                  </w:r>
                  <w:r>
                    <w:rPr>
                      <w:rFonts w:hint="eastAsia" w:ascii="Times New Roman" w:hAnsi="宋体" w:cs="Times New Roman"/>
                      <w:color w:val="auto"/>
                      <w:highlight w:val="none"/>
                      <w:lang w:eastAsia="zh-CN"/>
                    </w:rPr>
                    <w:t>、</w:t>
                  </w:r>
                </w:p>
                <w:p w14:paraId="0C02DB2A">
                  <w:pPr>
                    <w:pStyle w:val="143"/>
                    <w:keepNext w:val="0"/>
                    <w:keepLines w:val="0"/>
                    <w:suppressLineNumbers w:val="0"/>
                    <w:spacing w:before="0" w:beforeAutospacing="0" w:after="0" w:afterAutospacing="0"/>
                    <w:ind w:left="0" w:right="0"/>
                    <w:rPr>
                      <w:rFonts w:hint="eastAsia" w:ascii="Times New Roman" w:hAnsi="宋体" w:cs="Times New Roman" w:eastAsiaTheme="minorEastAsia"/>
                      <w:color w:val="auto"/>
                      <w:highlight w:val="none"/>
                      <w:lang w:eastAsia="zh-CN"/>
                    </w:rPr>
                  </w:pPr>
                  <w:r>
                    <w:rPr>
                      <w:rFonts w:ascii="Times New Roman" w:hAnsi="宋体" w:cs="Times New Roman"/>
                      <w:color w:val="auto"/>
                      <w:highlight w:val="none"/>
                    </w:rPr>
                    <w:t>NMHC</w:t>
                  </w:r>
                </w:p>
              </w:tc>
              <w:tc>
                <w:tcPr>
                  <w:tcW w:w="666" w:type="pct"/>
                  <w:vAlign w:val="center"/>
                </w:tcPr>
                <w:p w14:paraId="2FFD0C5E">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每年一次</w:t>
                  </w:r>
                </w:p>
              </w:tc>
              <w:tc>
                <w:tcPr>
                  <w:tcW w:w="1882" w:type="pct"/>
                  <w:vMerge w:val="restart"/>
                  <w:vAlign w:val="center"/>
                </w:tcPr>
                <w:p w14:paraId="70F8161D">
                  <w:pPr>
                    <w:keepNext w:val="0"/>
                    <w:keepLines w:val="0"/>
                    <w:suppressLineNumbers w:val="0"/>
                    <w:tabs>
                      <w:tab w:val="left" w:pos="3353"/>
                    </w:tabs>
                    <w:adjustRightInd w:val="0"/>
                    <w:snapToGrid w:val="0"/>
                    <w:spacing w:before="0" w:beforeAutospacing="0" w:after="0" w:afterAutospacing="0"/>
                    <w:ind w:left="0" w:right="0"/>
                    <w:jc w:val="center"/>
                    <w:rPr>
                      <w:rFonts w:hAnsi="宋体"/>
                      <w:color w:val="auto"/>
                      <w:szCs w:val="21"/>
                      <w:highlight w:val="none"/>
                    </w:rPr>
                  </w:pPr>
                  <w:r>
                    <w:rPr>
                      <w:rFonts w:hint="eastAsia" w:ascii="宋体" w:hAnsi="宋体"/>
                      <w:color w:val="auto"/>
                      <w:sz w:val="21"/>
                      <w:szCs w:val="21"/>
                      <w:highlight w:val="none"/>
                      <w:lang w:eastAsia="zh-CN"/>
                    </w:rPr>
                    <w:t>《表面涂装（工程机械和钢结构行业）大气污染物排放标准》（DB32/4147-2021）</w:t>
                  </w:r>
                  <w:r>
                    <w:rPr>
                      <w:rFonts w:hint="eastAsia" w:ascii="Times New Roman" w:hAnsi="Times New Roman" w:cs="Times New Roman"/>
                      <w:bCs/>
                      <w:color w:val="auto"/>
                      <w:sz w:val="21"/>
                      <w:szCs w:val="21"/>
                      <w:highlight w:val="none"/>
                    </w:rPr>
                    <w:t>表1标准限值</w:t>
                  </w:r>
                </w:p>
              </w:tc>
            </w:tr>
            <w:tr w14:paraId="2DF3A989">
              <w:trPr>
                <w:trHeight w:val="397" w:hRule="atLeast"/>
                <w:jc w:val="center"/>
              </w:trPr>
              <w:tc>
                <w:tcPr>
                  <w:tcW w:w="551" w:type="pct"/>
                  <w:vMerge w:val="continue"/>
                  <w:vAlign w:val="center"/>
                </w:tcPr>
                <w:p w14:paraId="1C2EA65E">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p>
              </w:tc>
              <w:tc>
                <w:tcPr>
                  <w:tcW w:w="1049" w:type="pct"/>
                  <w:vAlign w:val="center"/>
                </w:tcPr>
                <w:p w14:paraId="65476C1E">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hint="eastAsia" w:ascii="Times New Roman" w:hAnsi="宋体" w:cs="Times New Roman"/>
                      <w:color w:val="auto"/>
                      <w:highlight w:val="none"/>
                      <w:lang w:val="en-US" w:eastAsia="zh-CN"/>
                    </w:rPr>
                    <w:t>2</w:t>
                  </w:r>
                  <w:r>
                    <w:rPr>
                      <w:rFonts w:hint="eastAsia" w:ascii="Times New Roman" w:hAnsi="宋体" w:cs="Times New Roman"/>
                      <w:color w:val="auto"/>
                      <w:highlight w:val="none"/>
                    </w:rPr>
                    <w:t>#排气筒</w:t>
                  </w:r>
                  <w:r>
                    <w:rPr>
                      <w:rFonts w:ascii="Times New Roman" w:hAnsi="宋体" w:cs="Times New Roman"/>
                      <w:color w:val="auto"/>
                      <w:highlight w:val="none"/>
                    </w:rPr>
                    <w:t>废气处理装置出口设置1个点</w:t>
                  </w:r>
                </w:p>
              </w:tc>
              <w:tc>
                <w:tcPr>
                  <w:tcW w:w="849" w:type="pct"/>
                  <w:shd w:val="clear" w:color="auto" w:fill="auto"/>
                  <w:vAlign w:val="center"/>
                </w:tcPr>
                <w:p w14:paraId="34C5A33B">
                  <w:pPr>
                    <w:pStyle w:val="143"/>
                    <w:keepNext w:val="0"/>
                    <w:keepLines w:val="0"/>
                    <w:suppressLineNumbers w:val="0"/>
                    <w:spacing w:before="0" w:beforeAutospacing="0" w:after="0" w:afterAutospacing="0"/>
                    <w:ind w:left="0" w:leftChars="0" w:right="0" w:rightChars="0"/>
                    <w:rPr>
                      <w:rFonts w:hint="eastAsia" w:ascii="Times New Roman" w:hAnsi="宋体" w:cs="Times New Roman" w:eastAsiaTheme="minorEastAsia"/>
                      <w:color w:val="auto"/>
                      <w:kern w:val="2"/>
                      <w:sz w:val="21"/>
                      <w:szCs w:val="21"/>
                      <w:highlight w:val="none"/>
                      <w:lang w:val="en-US" w:eastAsia="zh-CN" w:bidi="ar-SA"/>
                    </w:rPr>
                  </w:pPr>
                  <w:r>
                    <w:rPr>
                      <w:rFonts w:hint="eastAsia" w:ascii="Times New Roman" w:hAnsi="宋体" w:cs="Times New Roman"/>
                      <w:color w:val="auto"/>
                      <w:highlight w:val="none"/>
                    </w:rPr>
                    <w:t>颗粒物</w:t>
                  </w:r>
                </w:p>
              </w:tc>
              <w:tc>
                <w:tcPr>
                  <w:tcW w:w="666" w:type="pct"/>
                  <w:vAlign w:val="center"/>
                </w:tcPr>
                <w:p w14:paraId="22A39125">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每年一次</w:t>
                  </w:r>
                </w:p>
              </w:tc>
              <w:tc>
                <w:tcPr>
                  <w:tcW w:w="1882" w:type="pct"/>
                  <w:vMerge w:val="continue"/>
                  <w:vAlign w:val="center"/>
                </w:tcPr>
                <w:p w14:paraId="382594AD">
                  <w:pPr>
                    <w:keepNext w:val="0"/>
                    <w:keepLines w:val="0"/>
                    <w:suppressLineNumbers w:val="0"/>
                    <w:tabs>
                      <w:tab w:val="left" w:pos="3353"/>
                    </w:tabs>
                    <w:adjustRightInd w:val="0"/>
                    <w:snapToGrid w:val="0"/>
                    <w:spacing w:before="0" w:beforeAutospacing="0" w:after="0" w:afterAutospacing="0"/>
                    <w:ind w:left="0" w:right="0"/>
                    <w:jc w:val="center"/>
                    <w:rPr>
                      <w:rFonts w:hAnsi="宋体"/>
                      <w:color w:val="auto"/>
                      <w:szCs w:val="21"/>
                      <w:highlight w:val="none"/>
                    </w:rPr>
                  </w:pPr>
                </w:p>
              </w:tc>
            </w:tr>
            <w:tr w14:paraId="3DA4618E">
              <w:trPr>
                <w:trHeight w:val="624" w:hRule="atLeast"/>
                <w:jc w:val="center"/>
              </w:trPr>
              <w:tc>
                <w:tcPr>
                  <w:tcW w:w="551" w:type="pct"/>
                  <w:vMerge w:val="restart"/>
                  <w:vAlign w:val="center"/>
                </w:tcPr>
                <w:p w14:paraId="6F28738D">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无组织废气</w:t>
                  </w:r>
                </w:p>
              </w:tc>
              <w:tc>
                <w:tcPr>
                  <w:tcW w:w="1049" w:type="pct"/>
                  <w:vAlign w:val="center"/>
                </w:tcPr>
                <w:p w14:paraId="3EB21E89">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厂界四周设4个点</w:t>
                  </w:r>
                  <w:r>
                    <w:rPr>
                      <w:rFonts w:hint="eastAsia" w:ascii="Times New Roman" w:hAnsi="宋体" w:cs="Times New Roman"/>
                      <w:color w:val="auto"/>
                      <w:highlight w:val="none"/>
                    </w:rPr>
                    <w:t>（上风向1个，下风向3个）</w:t>
                  </w:r>
                </w:p>
              </w:tc>
              <w:tc>
                <w:tcPr>
                  <w:tcW w:w="849" w:type="pct"/>
                  <w:shd w:val="clear" w:color="auto" w:fill="auto"/>
                  <w:vAlign w:val="center"/>
                </w:tcPr>
                <w:p w14:paraId="23F85003">
                  <w:pPr>
                    <w:pStyle w:val="143"/>
                    <w:keepNext w:val="0"/>
                    <w:keepLines w:val="0"/>
                    <w:suppressLineNumbers w:val="0"/>
                    <w:spacing w:before="0" w:beforeAutospacing="0" w:after="0" w:afterAutospacing="0"/>
                    <w:ind w:left="0" w:leftChars="0" w:right="0" w:rightChars="0"/>
                    <w:rPr>
                      <w:rFonts w:hint="eastAsia" w:ascii="Times New Roman" w:hAnsi="宋体" w:cs="Times New Roman"/>
                      <w:color w:val="auto"/>
                      <w:highlight w:val="none"/>
                      <w:lang w:eastAsia="zh-CN"/>
                    </w:rPr>
                  </w:pPr>
                  <w:r>
                    <w:rPr>
                      <w:rFonts w:hint="eastAsia" w:ascii="Times New Roman" w:hAnsi="宋体" w:cs="Times New Roman"/>
                      <w:color w:val="auto"/>
                      <w:highlight w:val="none"/>
                    </w:rPr>
                    <w:t>颗粒物</w:t>
                  </w:r>
                  <w:r>
                    <w:rPr>
                      <w:rFonts w:hint="eastAsia" w:ascii="Times New Roman" w:hAnsi="宋体" w:cs="Times New Roman"/>
                      <w:color w:val="auto"/>
                      <w:highlight w:val="none"/>
                      <w:lang w:eastAsia="zh-CN"/>
                    </w:rPr>
                    <w:t>、</w:t>
                  </w:r>
                </w:p>
                <w:p w14:paraId="2206B8CF">
                  <w:pPr>
                    <w:pStyle w:val="143"/>
                    <w:keepNext w:val="0"/>
                    <w:keepLines w:val="0"/>
                    <w:suppressLineNumbers w:val="0"/>
                    <w:spacing w:before="0" w:beforeAutospacing="0" w:after="0" w:afterAutospacing="0"/>
                    <w:ind w:left="0" w:leftChars="0" w:right="0" w:rightChars="0"/>
                    <w:rPr>
                      <w:rFonts w:ascii="Times New Roman" w:hAnsi="宋体" w:cs="Times New Roman" w:eastAsiaTheme="minorEastAsia"/>
                      <w:color w:val="auto"/>
                      <w:kern w:val="2"/>
                      <w:sz w:val="21"/>
                      <w:szCs w:val="21"/>
                      <w:highlight w:val="none"/>
                      <w:lang w:val="en-US" w:eastAsia="zh-CN" w:bidi="ar-SA"/>
                    </w:rPr>
                  </w:pPr>
                  <w:r>
                    <w:rPr>
                      <w:rFonts w:ascii="Times New Roman" w:hAnsi="宋体" w:cs="Times New Roman"/>
                      <w:color w:val="auto"/>
                      <w:highlight w:val="none"/>
                    </w:rPr>
                    <w:t>NMHC</w:t>
                  </w:r>
                </w:p>
              </w:tc>
              <w:tc>
                <w:tcPr>
                  <w:tcW w:w="666" w:type="pct"/>
                  <w:vAlign w:val="center"/>
                </w:tcPr>
                <w:p w14:paraId="214CA257">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每年一次</w:t>
                  </w:r>
                </w:p>
              </w:tc>
              <w:tc>
                <w:tcPr>
                  <w:tcW w:w="1882" w:type="pct"/>
                  <w:vAlign w:val="center"/>
                </w:tcPr>
                <w:p w14:paraId="7B7793C5">
                  <w:pPr>
                    <w:keepNext w:val="0"/>
                    <w:keepLines w:val="0"/>
                    <w:suppressLineNumbers w:val="0"/>
                    <w:tabs>
                      <w:tab w:val="left" w:pos="3353"/>
                    </w:tabs>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《大气污染物综合排放标准》（</w:t>
                  </w:r>
                  <w:r>
                    <w:rPr>
                      <w:color w:val="auto"/>
                      <w:szCs w:val="21"/>
                      <w:highlight w:val="none"/>
                    </w:rPr>
                    <w:t>DB32/4041-2021</w:t>
                  </w:r>
                  <w:r>
                    <w:rPr>
                      <w:rFonts w:hAnsi="宋体"/>
                      <w:color w:val="auto"/>
                      <w:szCs w:val="21"/>
                      <w:highlight w:val="none"/>
                    </w:rPr>
                    <w:t>）表</w:t>
                  </w:r>
                  <w:r>
                    <w:rPr>
                      <w:rFonts w:hint="eastAsia" w:hAnsi="宋体"/>
                      <w:color w:val="auto"/>
                      <w:szCs w:val="21"/>
                      <w:highlight w:val="none"/>
                    </w:rPr>
                    <w:t>3</w:t>
                  </w:r>
                  <w:r>
                    <w:rPr>
                      <w:rFonts w:hAnsi="宋体"/>
                      <w:color w:val="auto"/>
                      <w:szCs w:val="21"/>
                      <w:highlight w:val="none"/>
                    </w:rPr>
                    <w:t>大气污染物排放限值</w:t>
                  </w:r>
                </w:p>
              </w:tc>
            </w:tr>
            <w:tr w14:paraId="770ECF89">
              <w:trPr>
                <w:trHeight w:val="397" w:hRule="atLeast"/>
                <w:jc w:val="center"/>
              </w:trPr>
              <w:tc>
                <w:tcPr>
                  <w:tcW w:w="551" w:type="pct"/>
                  <w:vMerge w:val="continue"/>
                  <w:vAlign w:val="center"/>
                </w:tcPr>
                <w:p w14:paraId="19AEED22">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p>
              </w:tc>
              <w:tc>
                <w:tcPr>
                  <w:tcW w:w="1049" w:type="pct"/>
                  <w:vAlign w:val="center"/>
                </w:tcPr>
                <w:p w14:paraId="624B1ED5">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厂区内设1个点</w:t>
                  </w:r>
                </w:p>
              </w:tc>
              <w:tc>
                <w:tcPr>
                  <w:tcW w:w="849" w:type="pct"/>
                  <w:vAlign w:val="center"/>
                </w:tcPr>
                <w:p w14:paraId="68CB6EB0">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NMHC</w:t>
                  </w:r>
                </w:p>
              </w:tc>
              <w:tc>
                <w:tcPr>
                  <w:tcW w:w="666" w:type="pct"/>
                  <w:vAlign w:val="center"/>
                </w:tcPr>
                <w:p w14:paraId="6CCFD537">
                  <w:pPr>
                    <w:pStyle w:val="143"/>
                    <w:keepNext w:val="0"/>
                    <w:keepLines w:val="0"/>
                    <w:suppressLineNumbers w:val="0"/>
                    <w:spacing w:before="0" w:beforeAutospacing="0" w:after="0" w:afterAutospacing="0"/>
                    <w:ind w:left="0" w:right="0"/>
                    <w:rPr>
                      <w:rFonts w:ascii="Times New Roman" w:hAnsi="宋体" w:cs="Times New Roman"/>
                      <w:color w:val="auto"/>
                      <w:highlight w:val="none"/>
                    </w:rPr>
                  </w:pPr>
                  <w:r>
                    <w:rPr>
                      <w:rFonts w:ascii="Times New Roman" w:hAnsi="宋体" w:cs="Times New Roman"/>
                      <w:color w:val="auto"/>
                      <w:highlight w:val="none"/>
                    </w:rPr>
                    <w:t>每年一次</w:t>
                  </w:r>
                </w:p>
              </w:tc>
              <w:tc>
                <w:tcPr>
                  <w:tcW w:w="1882" w:type="pct"/>
                  <w:vAlign w:val="center"/>
                </w:tcPr>
                <w:p w14:paraId="7E545C1F">
                  <w:pPr>
                    <w:keepNext w:val="0"/>
                    <w:keepLines w:val="0"/>
                    <w:suppressLineNumbers w:val="0"/>
                    <w:tabs>
                      <w:tab w:val="left" w:pos="3353"/>
                    </w:tabs>
                    <w:adjustRightInd w:val="0"/>
                    <w:snapToGrid w:val="0"/>
                    <w:spacing w:before="0" w:beforeAutospacing="0" w:after="0" w:afterAutospacing="0"/>
                    <w:ind w:left="0" w:right="0"/>
                    <w:jc w:val="center"/>
                    <w:rPr>
                      <w:rFonts w:hAnsi="宋体"/>
                      <w:color w:val="auto"/>
                      <w:szCs w:val="21"/>
                      <w:highlight w:val="none"/>
                    </w:rPr>
                  </w:pPr>
                  <w:r>
                    <w:rPr>
                      <w:rFonts w:hint="eastAsia" w:ascii="宋体" w:hAnsi="宋体"/>
                      <w:color w:val="auto"/>
                      <w:sz w:val="21"/>
                      <w:szCs w:val="21"/>
                      <w:highlight w:val="none"/>
                      <w:lang w:eastAsia="zh-CN"/>
                    </w:rPr>
                    <w:t>《表面涂装（工程机械和钢结构行业）大气污染物排放标准》（DB32/4147-2021）</w:t>
                  </w:r>
                  <w:r>
                    <w:rPr>
                      <w:rFonts w:hint="eastAsia" w:ascii="Times New Roman" w:hAnsi="Times New Roman" w:cs="Times New Roman"/>
                      <w:bCs/>
                      <w:color w:val="auto"/>
                      <w:sz w:val="21"/>
                      <w:szCs w:val="21"/>
                      <w:highlight w:val="none"/>
                    </w:rPr>
                    <w:t>表</w:t>
                  </w:r>
                  <w:r>
                    <w:rPr>
                      <w:rFonts w:hint="eastAsia" w:ascii="Times New Roman" w:hAnsi="Times New Roman" w:cs="Times New Roman"/>
                      <w:bCs/>
                      <w:color w:val="auto"/>
                      <w:sz w:val="21"/>
                      <w:szCs w:val="21"/>
                      <w:highlight w:val="none"/>
                      <w:lang w:val="en-US" w:eastAsia="zh-CN"/>
                    </w:rPr>
                    <w:t>3</w:t>
                  </w:r>
                  <w:r>
                    <w:rPr>
                      <w:rFonts w:hint="eastAsia" w:ascii="Times New Roman" w:hAnsi="Times New Roman" w:cs="Times New Roman"/>
                      <w:bCs/>
                      <w:color w:val="auto"/>
                      <w:sz w:val="21"/>
                      <w:szCs w:val="21"/>
                      <w:highlight w:val="none"/>
                    </w:rPr>
                    <w:t>标准限值</w:t>
                  </w:r>
                </w:p>
              </w:tc>
            </w:tr>
          </w:tbl>
          <w:p w14:paraId="4C86BD67">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2.废水环境影响及防治措施分析</w:t>
            </w:r>
          </w:p>
          <w:p w14:paraId="1F93678E">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int="eastAsia" w:hAnsi="宋体"/>
                <w:color w:val="auto"/>
                <w:sz w:val="24"/>
                <w:highlight w:val="none"/>
              </w:rPr>
              <w:t>项目外排废水主要为</w:t>
            </w:r>
            <w:r>
              <w:rPr>
                <w:rFonts w:hint="eastAsia" w:hAnsi="宋体"/>
                <w:color w:val="auto"/>
                <w:sz w:val="24"/>
                <w:highlight w:val="none"/>
                <w:lang w:val="en-US" w:eastAsia="zh-CN"/>
              </w:rPr>
              <w:t>综合生活污水和超声波清洗废水</w:t>
            </w:r>
            <w:r>
              <w:rPr>
                <w:rFonts w:hint="eastAsia" w:hAnsi="宋体"/>
                <w:color w:val="auto"/>
                <w:sz w:val="24"/>
                <w:highlight w:val="none"/>
              </w:rPr>
              <w:t>。</w:t>
            </w:r>
          </w:p>
          <w:p w14:paraId="7DA1734B">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（1）废水源强</w:t>
            </w:r>
          </w:p>
          <w:p w14:paraId="1159F3D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①</w:t>
            </w:r>
            <w:r>
              <w:rPr>
                <w:rFonts w:hint="eastAsia" w:hAnsi="宋体"/>
                <w:color w:val="auto"/>
                <w:sz w:val="24"/>
                <w:highlight w:val="none"/>
              </w:rPr>
              <w:t>生活污水</w:t>
            </w:r>
          </w:p>
          <w:p w14:paraId="792F289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default" w:ascii="Times New Roman" w:hAnsi="Times New Roman" w:cs="Times New Roman"/>
                <w:color w:val="auto"/>
                <w:sz w:val="24"/>
                <w:highlight w:val="none"/>
              </w:rPr>
              <w:t>项目劳动定员为</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rPr>
              <w:t>年生产</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rPr>
              <w:t>0天</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江苏省工业、服务业和生活用水定</w:t>
            </w:r>
            <w:r>
              <w:rPr>
                <w:rFonts w:hint="default" w:ascii="Times New Roman" w:hAnsi="Times New Roman" w:cs="Times New Roman"/>
                <w:color w:val="auto"/>
                <w:sz w:val="24"/>
                <w:lang w:eastAsia="zh-CN"/>
              </w:rPr>
              <w:t>额》</w:t>
            </w:r>
            <w:r>
              <w:rPr>
                <w:rFonts w:hint="default" w:ascii="Times New Roman" w:hAnsi="Times New Roman" w:cs="Times New Roman"/>
                <w:color w:val="auto"/>
                <w:sz w:val="24"/>
              </w:rPr>
              <w:t>（2014年修订），企业管理人员生活用水可取</w:t>
            </w:r>
            <w:r>
              <w:rPr>
                <w:rFonts w:hint="default" w:ascii="Times New Roman" w:hAnsi="Times New Roman" w:cs="Times New Roman"/>
                <w:color w:val="auto"/>
                <w:sz w:val="24"/>
                <w:lang w:val="en-US" w:eastAsia="zh-CN"/>
              </w:rPr>
              <w:t>80</w:t>
            </w:r>
            <w:r>
              <w:rPr>
                <w:rFonts w:hint="eastAsia" w:cs="Times New Roman"/>
                <w:color w:val="auto"/>
                <w:sz w:val="24"/>
                <w:lang w:val="en-US" w:eastAsia="zh-CN"/>
              </w:rPr>
              <w:t>～</w:t>
            </w:r>
            <w:r>
              <w:rPr>
                <w:rFonts w:hint="default" w:ascii="Times New Roman" w:hAnsi="Times New Roman" w:cs="Times New Roman"/>
                <w:color w:val="auto"/>
                <w:sz w:val="24"/>
                <w:lang w:val="en-US" w:eastAsia="zh-CN"/>
              </w:rPr>
              <w:t>150</w:t>
            </w:r>
            <w:r>
              <w:rPr>
                <w:rFonts w:hint="default" w:ascii="Times New Roman" w:hAnsi="Times New Roman" w:cs="Times New Roman"/>
                <w:color w:val="auto"/>
                <w:sz w:val="24"/>
              </w:rPr>
              <w:t>L/人·</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项目厂区内不提供住宿，</w:t>
            </w:r>
            <w:r>
              <w:rPr>
                <w:rFonts w:hint="default" w:ascii="Times New Roman" w:hAnsi="Times New Roman" w:cs="Times New Roman"/>
                <w:color w:val="auto"/>
                <w:sz w:val="24"/>
              </w:rPr>
              <w:t>本次评价取</w:t>
            </w:r>
            <w:r>
              <w:rPr>
                <w:rFonts w:hint="default" w:ascii="Times New Roman" w:hAnsi="Times New Roman" w:cs="Times New Roman"/>
                <w:color w:val="auto"/>
                <w:sz w:val="24"/>
                <w:lang w:val="en-US" w:eastAsia="zh-CN"/>
              </w:rPr>
              <w:t>80</w:t>
            </w:r>
            <w:r>
              <w:rPr>
                <w:rFonts w:hint="default" w:ascii="Times New Roman" w:hAnsi="Times New Roman" w:cs="Times New Roman"/>
                <w:color w:val="auto"/>
                <w:sz w:val="24"/>
              </w:rPr>
              <w:t>L/人·</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，则年用水量为</w:t>
            </w:r>
            <w:r>
              <w:rPr>
                <w:rFonts w:hint="default" w:ascii="Times New Roman" w:hAnsi="Times New Roman" w:cs="Times New Roman"/>
                <w:color w:val="auto"/>
                <w:sz w:val="24"/>
                <w:lang w:val="en-US" w:eastAsia="zh-CN"/>
              </w:rPr>
              <w:t>1200t</w:t>
            </w:r>
            <w:r>
              <w:rPr>
                <w:rFonts w:hint="default" w:ascii="Times New Roman" w:hAnsi="Times New Roman" w:cs="Times New Roman"/>
                <w:color w:val="auto"/>
                <w:sz w:val="24"/>
              </w:rPr>
              <w:t>/a。根据生态环境部发布的《排放源统计调查产排污核算方法和系数手册》（公告2021年第24号）“附表 生活源产排污核算系数手册”中“城镇生活污水产生量根据城镇生活用水量和折污系数计算。折污系数为0.8-0.9，其中，人均日生活用水量≤150升/人·天时，折污系数取0.8；人均日生活用水量≥250升/人·天时，取0.9；人均日生活用水量介于150升/人·天和250升/人·天间时，采用插值法确定”，因此本次评价生活污水产污系数取0.8，生活污水年产生量为</w:t>
            </w:r>
            <w:r>
              <w:rPr>
                <w:rFonts w:hint="eastAsia" w:ascii="Times New Roman" w:hAnsi="Times New Roman" w:cs="Times New Roman"/>
                <w:color w:val="auto"/>
                <w:sz w:val="24"/>
                <w:lang w:val="en-US" w:eastAsia="zh-CN"/>
              </w:rPr>
              <w:t>960t</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水质：COD350mg/L、SS200mg/L、NH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mg/L、TN</w:t>
            </w:r>
            <w:r>
              <w:rPr>
                <w:rFonts w:hint="default" w:ascii="Times New Roman" w:hAnsi="Times New Roman" w:cs="Times New Roman"/>
                <w:color w:val="auto"/>
                <w:sz w:val="24"/>
                <w:lang w:val="en-US" w:eastAsia="zh-CN"/>
              </w:rPr>
              <w:t>45</w:t>
            </w:r>
            <w:r>
              <w:rPr>
                <w:rFonts w:hint="default" w:ascii="Times New Roman" w:hAnsi="Times New Roman" w:cs="Times New Roman"/>
                <w:color w:val="auto"/>
                <w:sz w:val="24"/>
              </w:rPr>
              <w:t>mg/L、TP</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mg/L。</w:t>
            </w:r>
          </w:p>
          <w:p w14:paraId="49777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lang w:eastAsia="zh-CN"/>
              </w:rPr>
            </w:pPr>
            <w:r>
              <w:rPr>
                <w:rFonts w:hint="eastAsia"/>
                <w:color w:val="auto"/>
                <w:sz w:val="24"/>
                <w:szCs w:val="24"/>
                <w:lang w:eastAsia="zh-CN"/>
              </w:rPr>
              <w:t>②食堂</w:t>
            </w:r>
            <w:r>
              <w:rPr>
                <w:rFonts w:hint="eastAsia"/>
                <w:color w:val="auto"/>
                <w:sz w:val="24"/>
                <w:szCs w:val="24"/>
                <w:lang w:val="en-US" w:eastAsia="zh-CN"/>
              </w:rPr>
              <w:t>废水</w:t>
            </w:r>
          </w:p>
          <w:p w14:paraId="2EB45550">
            <w:pPr>
              <w:pStyle w:val="55"/>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eastAsia"/>
                <w:color w:val="auto"/>
                <w:sz w:val="24"/>
                <w:szCs w:val="24"/>
                <w:lang w:eastAsia="zh-CN"/>
              </w:rPr>
              <w:t>项目员工厂区</w:t>
            </w:r>
            <w:r>
              <w:rPr>
                <w:color w:val="auto"/>
                <w:sz w:val="24"/>
                <w:szCs w:val="24"/>
              </w:rPr>
              <w:t>食堂供</w:t>
            </w:r>
            <w:r>
              <w:rPr>
                <w:rFonts w:hint="default" w:ascii="Times New Roman" w:hAnsi="Times New Roman" w:cs="Times New Roman"/>
                <w:color w:val="auto"/>
                <w:sz w:val="24"/>
                <w:szCs w:val="24"/>
              </w:rPr>
              <w:t>应</w:t>
            </w:r>
            <w:r>
              <w:rPr>
                <w:rFonts w:hint="default"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人/次•天饭菜，</w:t>
            </w:r>
            <w:r>
              <w:rPr>
                <w:rFonts w:hint="default" w:ascii="Times New Roman" w:hAnsi="Times New Roman" w:eastAsia="宋体" w:cs="Times New Roman"/>
                <w:snapToGrid w:val="0"/>
                <w:color w:val="auto"/>
                <w:kern w:val="0"/>
                <w:sz w:val="24"/>
                <w:lang w:val="en-US" w:eastAsia="zh-CN"/>
              </w:rPr>
              <w:t>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江苏省工业、服务业和生活用水定</w:t>
            </w:r>
            <w:r>
              <w:rPr>
                <w:rFonts w:hint="default" w:ascii="Times New Roman" w:hAnsi="Times New Roman" w:cs="Times New Roman"/>
                <w:color w:val="auto"/>
                <w:sz w:val="24"/>
                <w:lang w:eastAsia="zh-CN"/>
              </w:rPr>
              <w:t>额》</w:t>
            </w:r>
            <w:r>
              <w:rPr>
                <w:rFonts w:hint="default" w:ascii="Times New Roman" w:hAnsi="Times New Roman" w:cs="Times New Roman"/>
                <w:color w:val="auto"/>
                <w:sz w:val="24"/>
              </w:rPr>
              <w:t>（2014年修订）</w:t>
            </w:r>
            <w:r>
              <w:rPr>
                <w:rFonts w:hint="default" w:ascii="Times New Roman" w:hAnsi="Times New Roman" w:cs="Times New Roman"/>
                <w:color w:val="auto"/>
                <w:sz w:val="24"/>
                <w:lang w:eastAsia="zh-CN"/>
              </w:rPr>
              <w:t>，</w:t>
            </w:r>
            <w:r>
              <w:rPr>
                <w:rFonts w:hint="default" w:ascii="Times New Roman" w:hAnsi="Times New Roman" w:eastAsia="宋体" w:cs="Times New Roman"/>
                <w:snapToGrid w:val="0"/>
                <w:color w:val="auto"/>
                <w:kern w:val="0"/>
                <w:sz w:val="24"/>
                <w:lang w:val="en-US" w:eastAsia="zh-CN"/>
              </w:rPr>
              <w:t>食堂用水量按</w:t>
            </w:r>
            <w:r>
              <w:rPr>
                <w:rFonts w:hint="default" w:ascii="Times New Roman" w:hAnsi="Times New Roman" w:eastAsia="宋体" w:cs="Times New Roman"/>
                <w:color w:val="auto"/>
                <w:sz w:val="24"/>
                <w:lang w:val="en-US" w:eastAsia="zh-CN"/>
              </w:rPr>
              <w:t>15</w:t>
            </w:r>
            <w:r>
              <w:rPr>
                <w:rFonts w:hint="default" w:ascii="Times New Roman" w:hAnsi="Times New Roman" w:cs="Times New Roman"/>
                <w:color w:val="auto"/>
                <w:sz w:val="24"/>
              </w:rPr>
              <w:t>L/人·</w:t>
            </w:r>
            <w:r>
              <w:rPr>
                <w:rFonts w:hint="default" w:ascii="Times New Roman" w:hAnsi="Times New Roman" w:cs="Times New Roman"/>
                <w:color w:val="auto"/>
                <w:sz w:val="24"/>
                <w:lang w:val="en-US" w:eastAsia="zh-CN"/>
              </w:rPr>
              <w:t>次</w:t>
            </w:r>
            <w:r>
              <w:rPr>
                <w:rFonts w:hint="default" w:ascii="Times New Roman" w:hAnsi="Times New Roman" w:eastAsia="宋体" w:cs="Times New Roman"/>
                <w:snapToGrid w:val="0"/>
                <w:color w:val="auto"/>
                <w:kern w:val="0"/>
                <w:sz w:val="24"/>
                <w:lang w:val="en-US" w:eastAsia="zh-CN"/>
              </w:rPr>
              <w:t>计，以平均每人每天1餐计，则建设项目营运期食堂用水量约为</w:t>
            </w:r>
            <w:r>
              <w:rPr>
                <w:rFonts w:hint="eastAsia" w:ascii="Times New Roman" w:hAnsi="Times New Roman" w:cs="Times New Roman"/>
                <w:snapToGrid w:val="0"/>
                <w:color w:val="auto"/>
                <w:kern w:val="0"/>
                <w:sz w:val="24"/>
                <w:lang w:val="en-US" w:eastAsia="zh-CN"/>
              </w:rPr>
              <w:t>225</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w:t>
            </w:r>
            <w:r>
              <w:rPr>
                <w:rFonts w:hint="default" w:ascii="Times New Roman" w:hAnsi="Times New Roman" w:eastAsia="宋体" w:cs="Times New Roman"/>
                <w:snapToGrid w:val="0"/>
                <w:color w:val="auto"/>
                <w:kern w:val="0"/>
                <w:sz w:val="24"/>
                <w:lang w:val="en-US" w:eastAsia="zh-CN"/>
              </w:rPr>
              <w:t>，排放系数以0.</w:t>
            </w:r>
            <w:r>
              <w:rPr>
                <w:rFonts w:hint="default" w:ascii="Times New Roman" w:hAnsi="Times New Roman" w:cs="Times New Roman"/>
                <w:snapToGrid w:val="0"/>
                <w:color w:val="auto"/>
                <w:kern w:val="0"/>
                <w:sz w:val="24"/>
                <w:lang w:val="en-US" w:eastAsia="zh-CN"/>
              </w:rPr>
              <w:t>8</w:t>
            </w:r>
            <w:r>
              <w:rPr>
                <w:rFonts w:hint="default" w:ascii="Times New Roman" w:hAnsi="Times New Roman" w:eastAsia="宋体" w:cs="Times New Roman"/>
                <w:snapToGrid w:val="0"/>
                <w:color w:val="auto"/>
                <w:kern w:val="0"/>
                <w:sz w:val="24"/>
                <w:lang w:val="en-US" w:eastAsia="zh-CN"/>
              </w:rPr>
              <w:t>计，食堂废水产生量约为</w:t>
            </w:r>
            <w:r>
              <w:rPr>
                <w:rFonts w:hint="eastAsia" w:ascii="Times New Roman" w:hAnsi="Times New Roman" w:cs="Times New Roman"/>
                <w:snapToGrid w:val="0"/>
                <w:color w:val="auto"/>
                <w:kern w:val="0"/>
                <w:sz w:val="24"/>
                <w:lang w:val="en-US" w:eastAsia="zh-CN"/>
              </w:rPr>
              <w:t>180</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w:t>
            </w:r>
            <w:r>
              <w:rPr>
                <w:rFonts w:hint="default" w:ascii="Times New Roman" w:hAnsi="Times New Roman" w:eastAsia="宋体" w:cs="Times New Roman"/>
                <w:snapToGrid w:val="0"/>
                <w:color w:val="auto"/>
                <w:kern w:val="0"/>
                <w:sz w:val="24"/>
                <w:lang w:val="en-US" w:eastAsia="zh-CN"/>
              </w:rPr>
              <w:t>，</w:t>
            </w:r>
            <w:r>
              <w:rPr>
                <w:rFonts w:hint="default" w:ascii="Times New Roman" w:hAnsi="Times New Roman" w:cs="Times New Roman"/>
                <w:color w:val="auto"/>
                <w:sz w:val="24"/>
              </w:rPr>
              <w:t>水质：COD350mg/L、SS200mg/L、NH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mg/L、TN</w:t>
            </w:r>
            <w:r>
              <w:rPr>
                <w:rFonts w:hint="default" w:ascii="Times New Roman" w:hAnsi="Times New Roman" w:cs="Times New Roman"/>
                <w:color w:val="auto"/>
                <w:sz w:val="24"/>
                <w:lang w:val="en-US" w:eastAsia="zh-CN"/>
              </w:rPr>
              <w:t>45</w:t>
            </w:r>
            <w:r>
              <w:rPr>
                <w:rFonts w:hint="default" w:ascii="Times New Roman" w:hAnsi="Times New Roman" w:cs="Times New Roman"/>
                <w:color w:val="auto"/>
                <w:sz w:val="24"/>
              </w:rPr>
              <w:t>mg/L、TP</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mg/L</w:t>
            </w:r>
            <w:r>
              <w:rPr>
                <w:rFonts w:hint="default" w:ascii="Times New Roman" w:hAnsi="Times New Roman" w:cs="Times New Roman"/>
                <w:color w:val="auto"/>
                <w:sz w:val="24"/>
                <w:lang w:eastAsia="zh-CN"/>
              </w:rPr>
              <w:t>、动植物油</w:t>
            </w:r>
            <w:r>
              <w:rPr>
                <w:rFonts w:hint="default" w:ascii="Times New Roman" w:hAnsi="Times New Roman" w:cs="Times New Roman"/>
                <w:color w:val="auto"/>
                <w:sz w:val="24"/>
                <w:lang w:val="en-US" w:eastAsia="zh-CN"/>
              </w:rPr>
              <w:t>160mg/L</w:t>
            </w:r>
            <w:r>
              <w:rPr>
                <w:rFonts w:hint="default" w:ascii="Times New Roman" w:hAnsi="Times New Roman" w:cs="Times New Roman"/>
                <w:color w:val="auto"/>
                <w:sz w:val="24"/>
              </w:rPr>
              <w:t>。</w:t>
            </w:r>
          </w:p>
          <w:p w14:paraId="1BD99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w:t>
            </w:r>
            <w:r>
              <w:rPr>
                <w:rFonts w:hint="eastAsia" w:ascii="宋体" w:hAnsi="宋体" w:eastAsia="宋体" w:cs="宋体"/>
                <w:bCs/>
                <w:color w:val="auto"/>
                <w:sz w:val="24"/>
                <w:highlight w:val="none"/>
                <w:lang w:val="en-US" w:eastAsia="zh-CN"/>
              </w:rPr>
              <w:t>超声波</w:t>
            </w:r>
            <w:r>
              <w:rPr>
                <w:rFonts w:hint="eastAsia" w:eastAsia="宋体"/>
                <w:bCs/>
                <w:color w:val="auto"/>
                <w:sz w:val="24"/>
                <w:highlight w:val="none"/>
                <w:lang w:val="en-US" w:eastAsia="zh-CN"/>
              </w:rPr>
              <w:t>清洗</w:t>
            </w:r>
            <w:r>
              <w:rPr>
                <w:rFonts w:hint="eastAsia"/>
                <w:bCs/>
                <w:color w:val="auto"/>
                <w:sz w:val="24"/>
                <w:highlight w:val="none"/>
                <w:lang w:val="en-US" w:eastAsia="zh-CN"/>
              </w:rPr>
              <w:t>废</w:t>
            </w:r>
            <w:r>
              <w:rPr>
                <w:bCs/>
                <w:color w:val="auto"/>
                <w:sz w:val="24"/>
                <w:highlight w:val="none"/>
              </w:rPr>
              <w:t>水</w:t>
            </w:r>
          </w:p>
          <w:p w14:paraId="3FEE4801">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rPr>
            </w:pPr>
            <w:r>
              <w:rPr>
                <w:rFonts w:hint="default" w:ascii="Times New Roman" w:hAnsi="Times New Roman" w:eastAsia="宋体" w:cs="Times New Roman"/>
                <w:snapToGrid w:val="0"/>
                <w:color w:val="auto"/>
                <w:kern w:val="0"/>
                <w:sz w:val="24"/>
                <w:lang w:val="en-US" w:eastAsia="zh-CN"/>
              </w:rPr>
              <w:t>建设项目营运期</w:t>
            </w:r>
            <w:r>
              <w:rPr>
                <w:rFonts w:hint="eastAsia" w:ascii="宋体" w:hAnsi="宋体" w:eastAsia="宋体" w:cs="宋体"/>
                <w:bCs/>
                <w:color w:val="auto"/>
                <w:sz w:val="24"/>
                <w:highlight w:val="none"/>
                <w:lang w:val="en-US" w:eastAsia="zh-CN"/>
              </w:rPr>
              <w:t>超声波</w:t>
            </w:r>
            <w:r>
              <w:rPr>
                <w:rFonts w:hint="eastAsia" w:eastAsia="宋体"/>
                <w:bCs/>
                <w:color w:val="auto"/>
                <w:sz w:val="24"/>
                <w:highlight w:val="none"/>
                <w:lang w:val="en-US" w:eastAsia="zh-CN"/>
              </w:rPr>
              <w:t>清洗</w:t>
            </w:r>
            <w:r>
              <w:rPr>
                <w:rFonts w:hint="default" w:ascii="Times New Roman" w:hAnsi="Times New Roman" w:eastAsia="宋体" w:cs="Times New Roman"/>
                <w:snapToGrid w:val="0"/>
                <w:color w:val="auto"/>
                <w:kern w:val="0"/>
                <w:sz w:val="24"/>
                <w:lang w:val="en-US" w:eastAsia="zh-CN"/>
              </w:rPr>
              <w:t>用水量约为</w:t>
            </w:r>
            <w:r>
              <w:rPr>
                <w:rFonts w:hint="eastAsia" w:cs="Times New Roman"/>
                <w:snapToGrid w:val="0"/>
                <w:color w:val="auto"/>
                <w:kern w:val="0"/>
                <w:sz w:val="24"/>
                <w:lang w:val="en-US" w:eastAsia="zh-CN"/>
              </w:rPr>
              <w:t>600</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w:t>
            </w:r>
            <w:r>
              <w:rPr>
                <w:rFonts w:hint="default" w:ascii="Times New Roman" w:hAnsi="Times New Roman" w:eastAsia="宋体" w:cs="Times New Roman"/>
                <w:snapToGrid w:val="0"/>
                <w:color w:val="auto"/>
                <w:kern w:val="0"/>
                <w:sz w:val="24"/>
                <w:lang w:val="en-US" w:eastAsia="zh-CN"/>
              </w:rPr>
              <w:t>，排放系数以0.</w:t>
            </w:r>
            <w:r>
              <w:rPr>
                <w:rFonts w:hint="default" w:ascii="Times New Roman" w:hAnsi="Times New Roman" w:cs="Times New Roman"/>
                <w:snapToGrid w:val="0"/>
                <w:color w:val="auto"/>
                <w:kern w:val="0"/>
                <w:sz w:val="24"/>
                <w:lang w:val="en-US" w:eastAsia="zh-CN"/>
              </w:rPr>
              <w:t>8</w:t>
            </w:r>
            <w:r>
              <w:rPr>
                <w:rFonts w:hint="default" w:ascii="Times New Roman" w:hAnsi="Times New Roman" w:eastAsia="宋体" w:cs="Times New Roman"/>
                <w:snapToGrid w:val="0"/>
                <w:color w:val="auto"/>
                <w:kern w:val="0"/>
                <w:sz w:val="24"/>
                <w:lang w:val="en-US" w:eastAsia="zh-CN"/>
              </w:rPr>
              <w:t>计，</w:t>
            </w:r>
            <w:r>
              <w:rPr>
                <w:rFonts w:hint="eastAsia" w:ascii="宋体" w:hAnsi="宋体" w:eastAsia="宋体" w:cs="宋体"/>
                <w:bCs/>
                <w:color w:val="auto"/>
                <w:sz w:val="24"/>
                <w:highlight w:val="none"/>
                <w:lang w:val="en-US" w:eastAsia="zh-CN"/>
              </w:rPr>
              <w:t>超声波</w:t>
            </w:r>
            <w:r>
              <w:rPr>
                <w:rFonts w:hint="eastAsia" w:eastAsia="宋体"/>
                <w:bCs/>
                <w:color w:val="auto"/>
                <w:sz w:val="24"/>
                <w:highlight w:val="none"/>
                <w:lang w:val="en-US" w:eastAsia="zh-CN"/>
              </w:rPr>
              <w:t>清洗</w:t>
            </w:r>
            <w:r>
              <w:rPr>
                <w:rFonts w:hint="default" w:ascii="Times New Roman" w:hAnsi="Times New Roman" w:eastAsia="宋体" w:cs="Times New Roman"/>
                <w:snapToGrid w:val="0"/>
                <w:color w:val="auto"/>
                <w:kern w:val="0"/>
                <w:sz w:val="24"/>
                <w:lang w:val="en-US" w:eastAsia="zh-CN"/>
              </w:rPr>
              <w:t>废水产生量约为</w:t>
            </w:r>
            <w:r>
              <w:rPr>
                <w:rFonts w:hint="eastAsia" w:cs="Times New Roman"/>
                <w:snapToGrid w:val="0"/>
                <w:color w:val="auto"/>
                <w:kern w:val="0"/>
                <w:sz w:val="24"/>
                <w:lang w:val="en-US" w:eastAsia="zh-CN"/>
              </w:rPr>
              <w:t>480</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w:t>
            </w:r>
            <w:r>
              <w:rPr>
                <w:rFonts w:hint="default" w:ascii="Times New Roman" w:hAnsi="Times New Roman" w:eastAsia="宋体" w:cs="Times New Roman"/>
                <w:snapToGrid w:val="0"/>
                <w:color w:val="auto"/>
                <w:kern w:val="0"/>
                <w:sz w:val="24"/>
                <w:lang w:val="en-US" w:eastAsia="zh-CN"/>
              </w:rPr>
              <w:t>，</w:t>
            </w:r>
            <w:r>
              <w:rPr>
                <w:rFonts w:hint="eastAsia"/>
                <w:color w:val="auto"/>
                <w:kern w:val="0"/>
                <w:sz w:val="24"/>
              </w:rPr>
              <w:t>本次评价类比同类型项目废水源强，并结合本项目实际情况，来核算废水中污染物产生量</w:t>
            </w:r>
            <w:r>
              <w:rPr>
                <w:rFonts w:hint="eastAsia"/>
                <w:color w:val="auto"/>
                <w:kern w:val="0"/>
                <w:sz w:val="24"/>
                <w:lang w:eastAsia="zh-CN"/>
              </w:rPr>
              <w:t>。</w:t>
            </w:r>
            <w:r>
              <w:rPr>
                <w:rFonts w:hint="eastAsia"/>
                <w:color w:val="auto"/>
                <w:kern w:val="0"/>
                <w:sz w:val="24"/>
              </w:rPr>
              <w:t>建设项目</w:t>
            </w:r>
            <w:r>
              <w:rPr>
                <w:rFonts w:hint="eastAsia" w:ascii="宋体" w:hAnsi="宋体" w:eastAsia="宋体" w:cs="宋体"/>
                <w:bCs/>
                <w:color w:val="auto"/>
                <w:sz w:val="24"/>
                <w:highlight w:val="none"/>
                <w:lang w:val="en-US" w:eastAsia="zh-CN"/>
              </w:rPr>
              <w:t>超声波</w:t>
            </w:r>
            <w:r>
              <w:rPr>
                <w:rFonts w:hint="eastAsia"/>
                <w:color w:val="auto"/>
                <w:kern w:val="0"/>
                <w:sz w:val="24"/>
              </w:rPr>
              <w:t>清洗废水（</w:t>
            </w:r>
            <w:r>
              <w:rPr>
                <w:color w:val="auto"/>
                <w:kern w:val="0"/>
                <w:sz w:val="24"/>
              </w:rPr>
              <w:t>COD</w:t>
            </w:r>
            <w:r>
              <w:rPr>
                <w:rFonts w:hint="eastAsia"/>
                <w:color w:val="auto"/>
                <w:sz w:val="24"/>
              </w:rPr>
              <w:t>、</w:t>
            </w:r>
            <w:r>
              <w:rPr>
                <w:color w:val="auto"/>
                <w:sz w:val="24"/>
              </w:rPr>
              <w:t>SS</w:t>
            </w:r>
            <w:r>
              <w:rPr>
                <w:rFonts w:hint="eastAsia"/>
                <w:color w:val="auto"/>
                <w:kern w:val="0"/>
                <w:sz w:val="24"/>
              </w:rPr>
              <w:t>）类比同类型《增城市</w:t>
            </w:r>
            <w:r>
              <w:rPr>
                <w:color w:val="auto"/>
                <w:kern w:val="0"/>
                <w:sz w:val="24"/>
              </w:rPr>
              <w:t>弘</w:t>
            </w:r>
            <w:r>
              <w:rPr>
                <w:rFonts w:hint="eastAsia"/>
                <w:color w:val="auto"/>
                <w:kern w:val="0"/>
                <w:sz w:val="24"/>
              </w:rPr>
              <w:t>达</w:t>
            </w:r>
            <w:r>
              <w:rPr>
                <w:color w:val="auto"/>
                <w:kern w:val="0"/>
                <w:sz w:val="24"/>
              </w:rPr>
              <w:t>模具五金制品有限公司年产</w:t>
            </w:r>
            <w:r>
              <w:rPr>
                <w:rFonts w:hint="eastAsia"/>
                <w:color w:val="auto"/>
                <w:kern w:val="0"/>
                <w:sz w:val="24"/>
              </w:rPr>
              <w:t>300吨</w:t>
            </w:r>
            <w:r>
              <w:rPr>
                <w:color w:val="auto"/>
                <w:kern w:val="0"/>
                <w:sz w:val="24"/>
              </w:rPr>
              <w:t>锌合金配件、</w:t>
            </w:r>
            <w:r>
              <w:rPr>
                <w:rFonts w:hint="eastAsia"/>
                <w:color w:val="auto"/>
                <w:kern w:val="0"/>
                <w:sz w:val="24"/>
              </w:rPr>
              <w:t>10吨</w:t>
            </w:r>
            <w:r>
              <w:rPr>
                <w:color w:val="auto"/>
                <w:kern w:val="0"/>
                <w:sz w:val="24"/>
              </w:rPr>
              <w:t>铝合金配件建设项目竣工环境保护验收监测报告表</w:t>
            </w:r>
            <w:r>
              <w:rPr>
                <w:rFonts w:hint="eastAsia"/>
                <w:color w:val="auto"/>
                <w:kern w:val="0"/>
                <w:sz w:val="24"/>
              </w:rPr>
              <w:t>》废水源强</w:t>
            </w:r>
            <w:r>
              <w:rPr>
                <w:color w:val="auto"/>
                <w:sz w:val="24"/>
              </w:rPr>
              <w:t>，</w:t>
            </w:r>
            <w:r>
              <w:rPr>
                <w:rFonts w:hint="eastAsia"/>
                <w:color w:val="auto"/>
                <w:sz w:val="24"/>
              </w:rPr>
              <w:t>产生浓度为</w:t>
            </w:r>
            <w:r>
              <w:rPr>
                <w:color w:val="auto"/>
                <w:kern w:val="0"/>
                <w:sz w:val="24"/>
              </w:rPr>
              <w:t>COD</w:t>
            </w:r>
            <w:r>
              <w:rPr>
                <w:rFonts w:hint="eastAsia"/>
                <w:color w:val="auto"/>
                <w:kern w:val="0"/>
                <w:sz w:val="24"/>
              </w:rPr>
              <w:t>：</w:t>
            </w:r>
            <w:r>
              <w:rPr>
                <w:color w:val="auto"/>
                <w:kern w:val="0"/>
                <w:sz w:val="24"/>
              </w:rPr>
              <w:t>358</w:t>
            </w:r>
            <w:r>
              <w:rPr>
                <w:color w:val="auto"/>
                <w:sz w:val="24"/>
              </w:rPr>
              <w:t>mg/L</w:t>
            </w:r>
            <w:r>
              <w:rPr>
                <w:rFonts w:hint="eastAsia"/>
                <w:color w:val="auto"/>
                <w:sz w:val="24"/>
              </w:rPr>
              <w:t>、</w:t>
            </w:r>
            <w:r>
              <w:rPr>
                <w:color w:val="auto"/>
                <w:sz w:val="24"/>
              </w:rPr>
              <w:t>SS</w:t>
            </w:r>
            <w:r>
              <w:rPr>
                <w:rFonts w:hint="eastAsia"/>
                <w:color w:val="auto"/>
                <w:sz w:val="24"/>
              </w:rPr>
              <w:t>：</w:t>
            </w:r>
            <w:r>
              <w:rPr>
                <w:color w:val="auto"/>
                <w:sz w:val="24"/>
              </w:rPr>
              <w:t>1125mg/L</w:t>
            </w:r>
            <w:r>
              <w:rPr>
                <w:rFonts w:hint="eastAsia"/>
                <w:color w:val="auto"/>
                <w:sz w:val="24"/>
              </w:rPr>
              <w:t>；由于该</w:t>
            </w:r>
            <w:r>
              <w:rPr>
                <w:color w:val="auto"/>
                <w:sz w:val="24"/>
              </w:rPr>
              <w:t>报告</w:t>
            </w:r>
            <w:r>
              <w:rPr>
                <w:rFonts w:hint="eastAsia"/>
                <w:color w:val="auto"/>
                <w:sz w:val="24"/>
              </w:rPr>
              <w:t>中</w:t>
            </w:r>
            <w:r>
              <w:rPr>
                <w:color w:val="auto"/>
                <w:sz w:val="24"/>
              </w:rPr>
              <w:t>石油类监测</w:t>
            </w:r>
            <w:r>
              <w:rPr>
                <w:rFonts w:hint="eastAsia"/>
                <w:color w:val="auto"/>
                <w:sz w:val="24"/>
              </w:rPr>
              <w:t>值较低</w:t>
            </w:r>
            <w:r>
              <w:rPr>
                <w:color w:val="auto"/>
                <w:sz w:val="24"/>
              </w:rPr>
              <w:t>，</w:t>
            </w:r>
            <w:r>
              <w:rPr>
                <w:rFonts w:hint="eastAsia"/>
                <w:color w:val="auto"/>
                <w:sz w:val="24"/>
              </w:rPr>
              <w:t>所以（</w:t>
            </w:r>
            <w:r>
              <w:rPr>
                <w:rFonts w:hint="eastAsia"/>
                <w:color w:val="auto"/>
                <w:kern w:val="0"/>
                <w:sz w:val="24"/>
              </w:rPr>
              <w:t>石油类</w:t>
            </w:r>
            <w:r>
              <w:rPr>
                <w:rFonts w:hint="eastAsia"/>
                <w:color w:val="auto"/>
                <w:sz w:val="24"/>
              </w:rPr>
              <w:t>）</w:t>
            </w:r>
            <w:r>
              <w:rPr>
                <w:rFonts w:hint="eastAsia"/>
                <w:color w:val="auto"/>
                <w:kern w:val="0"/>
                <w:sz w:val="24"/>
              </w:rPr>
              <w:t>类比同类型</w:t>
            </w:r>
            <w:r>
              <w:rPr>
                <w:rFonts w:hint="eastAsia"/>
                <w:color w:val="auto"/>
                <w:sz w:val="24"/>
              </w:rPr>
              <w:t>《成都奥顿精密机械有限公司精密机械加工项目》</w:t>
            </w:r>
            <w:r>
              <w:rPr>
                <w:rFonts w:hint="eastAsia"/>
                <w:color w:val="auto"/>
                <w:kern w:val="0"/>
                <w:sz w:val="24"/>
              </w:rPr>
              <w:t>废水源强</w:t>
            </w:r>
            <w:r>
              <w:rPr>
                <w:color w:val="auto"/>
                <w:sz w:val="24"/>
              </w:rPr>
              <w:t>，</w:t>
            </w:r>
            <w:r>
              <w:rPr>
                <w:rFonts w:hint="eastAsia"/>
                <w:color w:val="auto"/>
                <w:sz w:val="24"/>
              </w:rPr>
              <w:t>产生浓度为石油类：40</w:t>
            </w:r>
            <w:r>
              <w:rPr>
                <w:rFonts w:hint="default" w:ascii="Times New Roman" w:hAnsi="Times New Roman" w:cs="Times New Roman"/>
                <w:color w:val="auto"/>
                <w:sz w:val="24"/>
              </w:rPr>
              <w:t>mg</w:t>
            </w:r>
            <w:r>
              <w:rPr>
                <w:color w:val="auto"/>
                <w:sz w:val="24"/>
              </w:rPr>
              <w:t>/L</w:t>
            </w:r>
            <w:r>
              <w:rPr>
                <w:rFonts w:hint="eastAsia"/>
                <w:color w:val="auto"/>
                <w:sz w:val="24"/>
                <w:lang w:eastAsia="zh-CN"/>
              </w:rPr>
              <w:t>。</w:t>
            </w:r>
          </w:p>
          <w:p w14:paraId="5D0A97A2">
            <w:pPr>
              <w:keepNext w:val="0"/>
              <w:keepLines w:val="0"/>
              <w:suppressLineNumbers w:val="0"/>
              <w:adjustRightInd w:val="0"/>
              <w:snapToGrid w:val="0"/>
              <w:spacing w:before="0" w:beforeAutospacing="0" w:after="0" w:afterAutospacing="0" w:line="360" w:lineRule="auto"/>
              <w:ind w:left="0" w:right="0" w:firstLine="480" w:firstLineChars="200"/>
              <w:rPr>
                <w:rFonts w:hAnsi="宋体"/>
                <w:b/>
                <w:bCs/>
                <w:color w:val="auto"/>
                <w:sz w:val="24"/>
                <w:highlight w:val="none"/>
              </w:rPr>
            </w:pPr>
            <w:r>
              <w:rPr>
                <w:rFonts w:hAnsi="宋体"/>
                <w:color w:val="auto"/>
                <w:sz w:val="24"/>
                <w:highlight w:val="none"/>
              </w:rPr>
              <w:t>建设项目废水污染源源强核算结果及相关参数见表4-</w:t>
            </w:r>
            <w:r>
              <w:rPr>
                <w:rFonts w:hint="eastAsia" w:hAnsi="宋体"/>
                <w:color w:val="auto"/>
                <w:sz w:val="24"/>
                <w:highlight w:val="none"/>
                <w:lang w:val="en-US" w:eastAsia="zh-CN"/>
              </w:rPr>
              <w:t>13</w:t>
            </w:r>
            <w:r>
              <w:rPr>
                <w:rFonts w:hAnsi="宋体"/>
                <w:color w:val="auto"/>
                <w:sz w:val="24"/>
                <w:highlight w:val="none"/>
              </w:rPr>
              <w:t>。</w:t>
            </w:r>
          </w:p>
          <w:p w14:paraId="12EDC8E2">
            <w:pPr>
              <w:keepNext w:val="0"/>
              <w:keepLines w:val="0"/>
              <w:suppressLineNumbers w:val="0"/>
              <w:adjustRightInd w:val="0"/>
              <w:snapToGrid w:val="0"/>
              <w:spacing w:before="0" w:beforeAutospacing="0" w:after="0" w:afterAutospacing="0"/>
              <w:ind w:left="0" w:right="0"/>
              <w:jc w:val="center"/>
              <w:rPr>
                <w:rFonts w:hAnsi="宋体"/>
                <w:b/>
                <w:bCs/>
                <w:color w:val="auto"/>
                <w:sz w:val="24"/>
                <w:highlight w:val="none"/>
              </w:rPr>
            </w:pPr>
            <w:r>
              <w:rPr>
                <w:rFonts w:hAnsi="宋体"/>
                <w:b/>
                <w:bCs/>
                <w:color w:val="auto"/>
                <w:sz w:val="24"/>
                <w:highlight w:val="none"/>
              </w:rPr>
              <w:t>表4-</w:t>
            </w:r>
            <w:r>
              <w:rPr>
                <w:rFonts w:hint="eastAsia" w:hAnsi="宋体"/>
                <w:b/>
                <w:bCs/>
                <w:color w:val="auto"/>
                <w:sz w:val="24"/>
                <w:highlight w:val="none"/>
                <w:lang w:val="en-US" w:eastAsia="zh-CN"/>
              </w:rPr>
              <w:t>13</w:t>
            </w:r>
            <w:r>
              <w:rPr>
                <w:rFonts w:hAnsi="宋体"/>
                <w:b/>
                <w:bCs/>
                <w:color w:val="auto"/>
                <w:sz w:val="24"/>
                <w:highlight w:val="none"/>
              </w:rPr>
              <w:t xml:space="preserve">  建设项目废水污染源源强核算结果及相关参数见表</w:t>
            </w:r>
          </w:p>
          <w:tbl>
            <w:tblPr>
              <w:tblStyle w:val="88"/>
              <w:tblW w:w="496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06"/>
              <w:gridCol w:w="609"/>
              <w:gridCol w:w="458"/>
              <w:gridCol w:w="538"/>
              <w:gridCol w:w="619"/>
              <w:gridCol w:w="826"/>
              <w:gridCol w:w="599"/>
              <w:gridCol w:w="484"/>
              <w:gridCol w:w="604"/>
              <w:gridCol w:w="718"/>
              <w:gridCol w:w="800"/>
              <w:gridCol w:w="821"/>
              <w:gridCol w:w="543"/>
            </w:tblGrid>
            <w:tr w14:paraId="5971BCDC">
              <w:trPr>
                <w:trHeight w:val="271" w:hRule="atLeast"/>
                <w:jc w:val="center"/>
              </w:trPr>
              <w:tc>
                <w:tcPr>
                  <w:tcW w:w="368" w:type="pct"/>
                  <w:vMerge w:val="restart"/>
                  <w:vAlign w:val="center"/>
                </w:tcPr>
                <w:p w14:paraId="072B4C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w:t>
                  </w:r>
                </w:p>
              </w:tc>
              <w:tc>
                <w:tcPr>
                  <w:tcW w:w="370" w:type="pct"/>
                  <w:vMerge w:val="restart"/>
                  <w:vAlign w:val="center"/>
                </w:tcPr>
                <w:p w14:paraId="21D276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1483" w:type="pct"/>
                  <w:gridSpan w:val="4"/>
                  <w:vAlign w:val="center"/>
                </w:tcPr>
                <w:p w14:paraId="06EC99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污染物产生</w:t>
                  </w:r>
                </w:p>
              </w:tc>
              <w:tc>
                <w:tcPr>
                  <w:tcW w:w="658" w:type="pct"/>
                  <w:gridSpan w:val="2"/>
                  <w:vAlign w:val="center"/>
                </w:tcPr>
                <w:p w14:paraId="6E5B1B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治理措施</w:t>
                  </w:r>
                </w:p>
              </w:tc>
              <w:tc>
                <w:tcPr>
                  <w:tcW w:w="1788" w:type="pct"/>
                  <w:gridSpan w:val="4"/>
                  <w:vAlign w:val="center"/>
                </w:tcPr>
                <w:p w14:paraId="149680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污染物排放</w:t>
                  </w:r>
                </w:p>
              </w:tc>
              <w:tc>
                <w:tcPr>
                  <w:tcW w:w="330" w:type="pct"/>
                  <w:vMerge w:val="restart"/>
                  <w:vAlign w:val="center"/>
                </w:tcPr>
                <w:p w14:paraId="7192B37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排放去向</w:t>
                  </w:r>
                </w:p>
              </w:tc>
            </w:tr>
            <w:tr w14:paraId="7ED2AFB3">
              <w:trPr>
                <w:trHeight w:val="1498" w:hRule="atLeast"/>
                <w:jc w:val="center"/>
              </w:trPr>
              <w:tc>
                <w:tcPr>
                  <w:tcW w:w="368" w:type="pct"/>
                  <w:vMerge w:val="continue"/>
                  <w:vAlign w:val="center"/>
                </w:tcPr>
                <w:p w14:paraId="28F96B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70" w:type="pct"/>
                  <w:vMerge w:val="continue"/>
                  <w:vAlign w:val="center"/>
                </w:tcPr>
                <w:p w14:paraId="306E4C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78" w:type="pct"/>
                  <w:vAlign w:val="center"/>
                </w:tcPr>
                <w:p w14:paraId="1A3A25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核算方法</w:t>
                  </w:r>
                </w:p>
              </w:tc>
              <w:tc>
                <w:tcPr>
                  <w:tcW w:w="327" w:type="pct"/>
                  <w:vAlign w:val="center"/>
                </w:tcPr>
                <w:p w14:paraId="478C83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产生废水量</w:t>
                  </w: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376" w:type="pct"/>
                  <w:vAlign w:val="center"/>
                </w:tcPr>
                <w:p w14:paraId="2ADF38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产生浓度mg/L</w:t>
                  </w:r>
                </w:p>
              </w:tc>
              <w:tc>
                <w:tcPr>
                  <w:tcW w:w="500" w:type="pct"/>
                  <w:vAlign w:val="center"/>
                </w:tcPr>
                <w:p w14:paraId="53FC87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产生量t/a</w:t>
                  </w:r>
                </w:p>
              </w:tc>
              <w:tc>
                <w:tcPr>
                  <w:tcW w:w="364" w:type="pct"/>
                  <w:vAlign w:val="center"/>
                </w:tcPr>
                <w:p w14:paraId="579B1C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工艺</w:t>
                  </w:r>
                </w:p>
              </w:tc>
              <w:tc>
                <w:tcPr>
                  <w:tcW w:w="293" w:type="pct"/>
                  <w:vAlign w:val="center"/>
                </w:tcPr>
                <w:p w14:paraId="46865B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效率%</w:t>
                  </w:r>
                </w:p>
              </w:tc>
              <w:tc>
                <w:tcPr>
                  <w:tcW w:w="367" w:type="pct"/>
                  <w:vAlign w:val="center"/>
                </w:tcPr>
                <w:p w14:paraId="76AE7F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核算</w:t>
                  </w:r>
                </w:p>
                <w:p w14:paraId="09875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w:t>
                  </w:r>
                </w:p>
              </w:tc>
              <w:tc>
                <w:tcPr>
                  <w:tcW w:w="436" w:type="pct"/>
                  <w:vAlign w:val="center"/>
                </w:tcPr>
                <w:p w14:paraId="6846D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处理后废水量</w:t>
                  </w:r>
                </w:p>
                <w:p w14:paraId="754ACB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486" w:type="pct"/>
                  <w:vAlign w:val="center"/>
                </w:tcPr>
                <w:p w14:paraId="765603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处理后浓度mg/L</w:t>
                  </w:r>
                </w:p>
              </w:tc>
              <w:tc>
                <w:tcPr>
                  <w:tcW w:w="497" w:type="pct"/>
                  <w:vAlign w:val="center"/>
                </w:tcPr>
                <w:p w14:paraId="37352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处理后污染物量t/a</w:t>
                  </w:r>
                </w:p>
              </w:tc>
              <w:tc>
                <w:tcPr>
                  <w:tcW w:w="330" w:type="pct"/>
                  <w:vMerge w:val="continue"/>
                  <w:vAlign w:val="center"/>
                </w:tcPr>
                <w:p w14:paraId="33793C2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r>
            <w:tr w14:paraId="0B039224">
              <w:trPr>
                <w:trHeight w:val="397" w:hRule="atLeast"/>
                <w:jc w:val="center"/>
              </w:trPr>
              <w:tc>
                <w:tcPr>
                  <w:tcW w:w="368" w:type="pct"/>
                  <w:vMerge w:val="restart"/>
                  <w:vAlign w:val="center"/>
                </w:tcPr>
                <w:p w14:paraId="4A29AF8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生活污水</w:t>
                  </w:r>
                </w:p>
              </w:tc>
              <w:tc>
                <w:tcPr>
                  <w:tcW w:w="370" w:type="pct"/>
                  <w:vAlign w:val="center"/>
                </w:tcPr>
                <w:p w14:paraId="59E78DD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COD</w:t>
                  </w:r>
                </w:p>
              </w:tc>
              <w:tc>
                <w:tcPr>
                  <w:tcW w:w="278" w:type="pct"/>
                  <w:vMerge w:val="restart"/>
                  <w:vAlign w:val="center"/>
                </w:tcPr>
                <w:p w14:paraId="3B764B0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产污系数法</w:t>
                  </w:r>
                </w:p>
              </w:tc>
              <w:tc>
                <w:tcPr>
                  <w:tcW w:w="327" w:type="pct"/>
                  <w:vMerge w:val="restart"/>
                  <w:vAlign w:val="center"/>
                </w:tcPr>
                <w:p w14:paraId="67FEC466">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960</w:t>
                  </w:r>
                </w:p>
              </w:tc>
              <w:tc>
                <w:tcPr>
                  <w:tcW w:w="376" w:type="pct"/>
                  <w:vAlign w:val="center"/>
                </w:tcPr>
                <w:p w14:paraId="1FA304F6">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3</w:t>
                  </w:r>
                  <w:r>
                    <w:rPr>
                      <w:rFonts w:hint="eastAsia" w:hAnsi="宋体"/>
                      <w:color w:val="auto"/>
                      <w:szCs w:val="21"/>
                      <w:highlight w:val="none"/>
                      <w:lang w:val="en-US" w:eastAsia="zh-CN"/>
                    </w:rPr>
                    <w:t>5</w:t>
                  </w:r>
                  <w:r>
                    <w:rPr>
                      <w:rFonts w:hAnsi="宋体"/>
                      <w:color w:val="auto"/>
                      <w:szCs w:val="21"/>
                      <w:highlight w:val="none"/>
                    </w:rPr>
                    <w:t>0</w:t>
                  </w:r>
                </w:p>
              </w:tc>
              <w:tc>
                <w:tcPr>
                  <w:tcW w:w="500" w:type="pct"/>
                  <w:vAlign w:val="center"/>
                </w:tcPr>
                <w:p w14:paraId="4999A050">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0.3360</w:t>
                  </w:r>
                </w:p>
              </w:tc>
              <w:tc>
                <w:tcPr>
                  <w:tcW w:w="364" w:type="pct"/>
                  <w:vMerge w:val="restart"/>
                  <w:vAlign w:val="center"/>
                </w:tcPr>
                <w:p w14:paraId="4197A98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化粪池</w:t>
                  </w:r>
                </w:p>
              </w:tc>
              <w:tc>
                <w:tcPr>
                  <w:tcW w:w="293" w:type="pct"/>
                  <w:vAlign w:val="center"/>
                </w:tcPr>
                <w:p w14:paraId="4A54ED3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20</w:t>
                  </w:r>
                </w:p>
              </w:tc>
              <w:tc>
                <w:tcPr>
                  <w:tcW w:w="367" w:type="pct"/>
                  <w:vMerge w:val="restart"/>
                  <w:vAlign w:val="center"/>
                </w:tcPr>
                <w:p w14:paraId="55391EF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ascii="Times New Roman" w:hAnsi="Times New Roman" w:cs="Times New Roman"/>
                      <w:color w:val="auto"/>
                      <w:sz w:val="21"/>
                      <w:szCs w:val="21"/>
                      <w:lang w:eastAsia="zh-CN"/>
                    </w:rPr>
                    <w:t>物料衡算法</w:t>
                  </w:r>
                </w:p>
              </w:tc>
              <w:tc>
                <w:tcPr>
                  <w:tcW w:w="436" w:type="pct"/>
                  <w:vMerge w:val="restart"/>
                  <w:shd w:val="clear" w:color="auto" w:fill="auto"/>
                  <w:vAlign w:val="center"/>
                </w:tcPr>
                <w:p w14:paraId="30AB2264">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960</w:t>
                  </w:r>
                </w:p>
                <w:p w14:paraId="0500D2E6">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p>
              </w:tc>
              <w:tc>
                <w:tcPr>
                  <w:tcW w:w="486" w:type="pct"/>
                  <w:vAlign w:val="center"/>
                </w:tcPr>
                <w:p w14:paraId="2B9CC1D3">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w:t>
                  </w:r>
                  <w:r>
                    <w:rPr>
                      <w:rFonts w:hint="eastAsia" w:hAnsi="宋体"/>
                      <w:color w:val="auto"/>
                      <w:szCs w:val="21"/>
                      <w:highlight w:val="none"/>
                      <w:lang w:val="en-US" w:eastAsia="zh-CN"/>
                    </w:rPr>
                    <w:t>8</w:t>
                  </w:r>
                  <w:r>
                    <w:rPr>
                      <w:rFonts w:hAnsi="宋体"/>
                      <w:color w:val="auto"/>
                      <w:szCs w:val="21"/>
                      <w:highlight w:val="none"/>
                    </w:rPr>
                    <w:t>0</w:t>
                  </w:r>
                </w:p>
              </w:tc>
              <w:tc>
                <w:tcPr>
                  <w:tcW w:w="497" w:type="pct"/>
                  <w:vAlign w:val="center"/>
                </w:tcPr>
                <w:p w14:paraId="365969F3">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0.2688</w:t>
                  </w:r>
                </w:p>
              </w:tc>
              <w:tc>
                <w:tcPr>
                  <w:tcW w:w="330" w:type="pct"/>
                  <w:vMerge w:val="restart"/>
                  <w:vAlign w:val="center"/>
                </w:tcPr>
                <w:p w14:paraId="48E4BE4C">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ascii="宋体" w:hAnsi="宋体"/>
                      <w:color w:val="auto"/>
                      <w:sz w:val="21"/>
                      <w:szCs w:val="21"/>
                      <w:highlight w:val="none"/>
                    </w:rPr>
                    <w:t>涟水经济开发区西区污水处理厂</w:t>
                  </w:r>
                </w:p>
              </w:tc>
            </w:tr>
            <w:tr w14:paraId="2E48C5C0">
              <w:trPr>
                <w:trHeight w:val="397" w:hRule="atLeast"/>
                <w:jc w:val="center"/>
              </w:trPr>
              <w:tc>
                <w:tcPr>
                  <w:tcW w:w="368" w:type="pct"/>
                  <w:vMerge w:val="continue"/>
                  <w:vAlign w:val="center"/>
                </w:tcPr>
                <w:p w14:paraId="28B61BD4">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vAlign w:val="center"/>
                </w:tcPr>
                <w:p w14:paraId="0A95F86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SS</w:t>
                  </w:r>
                </w:p>
              </w:tc>
              <w:tc>
                <w:tcPr>
                  <w:tcW w:w="278" w:type="pct"/>
                  <w:vMerge w:val="continue"/>
                  <w:vAlign w:val="center"/>
                </w:tcPr>
                <w:p w14:paraId="303AA64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0420486E">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6D60C6B7">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200</w:t>
                  </w:r>
                </w:p>
              </w:tc>
              <w:tc>
                <w:tcPr>
                  <w:tcW w:w="500" w:type="pct"/>
                  <w:vAlign w:val="center"/>
                </w:tcPr>
                <w:p w14:paraId="7735DE0C">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0.1920</w:t>
                  </w:r>
                </w:p>
              </w:tc>
              <w:tc>
                <w:tcPr>
                  <w:tcW w:w="364" w:type="pct"/>
                  <w:vMerge w:val="continue"/>
                  <w:vAlign w:val="center"/>
                </w:tcPr>
                <w:p w14:paraId="5ABAD4C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vAlign w:val="center"/>
                </w:tcPr>
                <w:p w14:paraId="104CEAF6">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50</w:t>
                  </w:r>
                </w:p>
              </w:tc>
              <w:tc>
                <w:tcPr>
                  <w:tcW w:w="367" w:type="pct"/>
                  <w:vMerge w:val="continue"/>
                  <w:vAlign w:val="center"/>
                </w:tcPr>
                <w:p w14:paraId="4C634D2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70970A65">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vAlign w:val="center"/>
                </w:tcPr>
                <w:p w14:paraId="33BCBFDB">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lang w:val="en-US" w:eastAsia="zh-CN"/>
                    </w:rPr>
                    <w:t>1</w:t>
                  </w:r>
                  <w:r>
                    <w:rPr>
                      <w:rFonts w:hAnsi="宋体"/>
                      <w:color w:val="auto"/>
                      <w:szCs w:val="21"/>
                      <w:highlight w:val="none"/>
                    </w:rPr>
                    <w:t>00</w:t>
                  </w:r>
                </w:p>
              </w:tc>
              <w:tc>
                <w:tcPr>
                  <w:tcW w:w="497" w:type="pct"/>
                  <w:shd w:val="clear" w:color="auto" w:fill="auto"/>
                  <w:vAlign w:val="center"/>
                </w:tcPr>
                <w:p w14:paraId="5CA220E5">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0.0960</w:t>
                  </w:r>
                </w:p>
              </w:tc>
              <w:tc>
                <w:tcPr>
                  <w:tcW w:w="330" w:type="pct"/>
                  <w:vMerge w:val="continue"/>
                  <w:vAlign w:val="center"/>
                </w:tcPr>
                <w:p w14:paraId="582913FE">
                  <w:pPr>
                    <w:keepNext w:val="0"/>
                    <w:keepLines w:val="0"/>
                    <w:suppressLineNumbers w:val="0"/>
                    <w:spacing w:before="0" w:beforeAutospacing="0" w:after="0" w:afterAutospacing="0"/>
                    <w:ind w:left="0" w:right="0"/>
                    <w:jc w:val="center"/>
                    <w:rPr>
                      <w:rFonts w:hAnsi="宋体"/>
                      <w:color w:val="auto"/>
                      <w:szCs w:val="21"/>
                      <w:highlight w:val="none"/>
                    </w:rPr>
                  </w:pPr>
                </w:p>
              </w:tc>
            </w:tr>
            <w:tr w14:paraId="7D95FCCC">
              <w:trPr>
                <w:trHeight w:val="397" w:hRule="atLeast"/>
                <w:jc w:val="center"/>
              </w:trPr>
              <w:tc>
                <w:tcPr>
                  <w:tcW w:w="368" w:type="pct"/>
                  <w:vMerge w:val="continue"/>
                  <w:vAlign w:val="center"/>
                </w:tcPr>
                <w:p w14:paraId="014B064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vAlign w:val="center"/>
                </w:tcPr>
                <w:p w14:paraId="7D8937A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NH</w:t>
                  </w:r>
                  <w:r>
                    <w:rPr>
                      <w:rFonts w:hAnsi="宋体"/>
                      <w:color w:val="auto"/>
                      <w:szCs w:val="21"/>
                      <w:highlight w:val="none"/>
                      <w:vertAlign w:val="subscript"/>
                    </w:rPr>
                    <w:t>3</w:t>
                  </w:r>
                  <w:r>
                    <w:rPr>
                      <w:rFonts w:hAnsi="宋体"/>
                      <w:color w:val="auto"/>
                      <w:szCs w:val="21"/>
                      <w:highlight w:val="none"/>
                    </w:rPr>
                    <w:t>-N</w:t>
                  </w:r>
                </w:p>
              </w:tc>
              <w:tc>
                <w:tcPr>
                  <w:tcW w:w="278" w:type="pct"/>
                  <w:vMerge w:val="continue"/>
                  <w:vAlign w:val="center"/>
                </w:tcPr>
                <w:p w14:paraId="30443E8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16424D73">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5AD5C58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25</w:t>
                  </w:r>
                </w:p>
              </w:tc>
              <w:tc>
                <w:tcPr>
                  <w:tcW w:w="500" w:type="pct"/>
                  <w:vAlign w:val="center"/>
                </w:tcPr>
                <w:p w14:paraId="416FA4ED">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0.0240</w:t>
                  </w:r>
                </w:p>
              </w:tc>
              <w:tc>
                <w:tcPr>
                  <w:tcW w:w="364" w:type="pct"/>
                  <w:vMerge w:val="continue"/>
                  <w:vAlign w:val="center"/>
                </w:tcPr>
                <w:p w14:paraId="0086B4E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vAlign w:val="center"/>
                </w:tcPr>
                <w:p w14:paraId="5EEDB7F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0</w:t>
                  </w:r>
                </w:p>
              </w:tc>
              <w:tc>
                <w:tcPr>
                  <w:tcW w:w="367" w:type="pct"/>
                  <w:vMerge w:val="continue"/>
                  <w:vAlign w:val="center"/>
                </w:tcPr>
                <w:p w14:paraId="0C0B516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7B352586">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vAlign w:val="center"/>
                </w:tcPr>
                <w:p w14:paraId="14AB8E0A">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25</w:t>
                  </w:r>
                </w:p>
              </w:tc>
              <w:tc>
                <w:tcPr>
                  <w:tcW w:w="497" w:type="pct"/>
                  <w:shd w:val="clear" w:color="auto" w:fill="auto"/>
                  <w:vAlign w:val="center"/>
                </w:tcPr>
                <w:p w14:paraId="057FE66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0.0240</w:t>
                  </w:r>
                </w:p>
              </w:tc>
              <w:tc>
                <w:tcPr>
                  <w:tcW w:w="330" w:type="pct"/>
                  <w:vMerge w:val="continue"/>
                  <w:vAlign w:val="center"/>
                </w:tcPr>
                <w:p w14:paraId="7D3C9765">
                  <w:pPr>
                    <w:keepNext w:val="0"/>
                    <w:keepLines w:val="0"/>
                    <w:suppressLineNumbers w:val="0"/>
                    <w:spacing w:before="0" w:beforeAutospacing="0" w:after="0" w:afterAutospacing="0"/>
                    <w:ind w:left="0" w:right="0"/>
                    <w:jc w:val="center"/>
                    <w:rPr>
                      <w:rFonts w:hAnsi="宋体"/>
                      <w:color w:val="auto"/>
                      <w:szCs w:val="21"/>
                      <w:highlight w:val="none"/>
                    </w:rPr>
                  </w:pPr>
                </w:p>
              </w:tc>
            </w:tr>
            <w:tr w14:paraId="1AB8217C">
              <w:trPr>
                <w:trHeight w:val="397" w:hRule="atLeast"/>
                <w:jc w:val="center"/>
              </w:trPr>
              <w:tc>
                <w:tcPr>
                  <w:tcW w:w="368" w:type="pct"/>
                  <w:vMerge w:val="continue"/>
                  <w:vAlign w:val="center"/>
                </w:tcPr>
                <w:p w14:paraId="3D22973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vAlign w:val="center"/>
                </w:tcPr>
                <w:p w14:paraId="52D82377">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TN</w:t>
                  </w:r>
                </w:p>
              </w:tc>
              <w:tc>
                <w:tcPr>
                  <w:tcW w:w="278" w:type="pct"/>
                  <w:vMerge w:val="continue"/>
                  <w:vAlign w:val="center"/>
                </w:tcPr>
                <w:p w14:paraId="23F9003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31B8D6AF">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32C19D7E">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45</w:t>
                  </w:r>
                </w:p>
              </w:tc>
              <w:tc>
                <w:tcPr>
                  <w:tcW w:w="500" w:type="pct"/>
                  <w:vAlign w:val="center"/>
                </w:tcPr>
                <w:p w14:paraId="123FB405">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0.0432</w:t>
                  </w:r>
                </w:p>
              </w:tc>
              <w:tc>
                <w:tcPr>
                  <w:tcW w:w="364" w:type="pct"/>
                  <w:vMerge w:val="continue"/>
                  <w:vAlign w:val="center"/>
                </w:tcPr>
                <w:p w14:paraId="5683137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vAlign w:val="center"/>
                </w:tcPr>
                <w:p w14:paraId="2E26AE3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0</w:t>
                  </w:r>
                </w:p>
              </w:tc>
              <w:tc>
                <w:tcPr>
                  <w:tcW w:w="367" w:type="pct"/>
                  <w:vMerge w:val="continue"/>
                  <w:vAlign w:val="center"/>
                </w:tcPr>
                <w:p w14:paraId="2499B03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63AD2B26">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vAlign w:val="center"/>
                </w:tcPr>
                <w:p w14:paraId="25AEC3C1">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lang w:val="en-US" w:eastAsia="zh-CN"/>
                    </w:rPr>
                    <w:t>45</w:t>
                  </w:r>
                </w:p>
              </w:tc>
              <w:tc>
                <w:tcPr>
                  <w:tcW w:w="497" w:type="pct"/>
                  <w:shd w:val="clear" w:color="auto" w:fill="auto"/>
                  <w:vAlign w:val="center"/>
                </w:tcPr>
                <w:p w14:paraId="5A0D6342">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0.0432</w:t>
                  </w:r>
                </w:p>
              </w:tc>
              <w:tc>
                <w:tcPr>
                  <w:tcW w:w="330" w:type="pct"/>
                  <w:vMerge w:val="continue"/>
                  <w:vAlign w:val="center"/>
                </w:tcPr>
                <w:p w14:paraId="7E24EED7">
                  <w:pPr>
                    <w:keepNext w:val="0"/>
                    <w:keepLines w:val="0"/>
                    <w:suppressLineNumbers w:val="0"/>
                    <w:spacing w:before="0" w:beforeAutospacing="0" w:after="0" w:afterAutospacing="0"/>
                    <w:ind w:left="0" w:right="0"/>
                    <w:jc w:val="center"/>
                    <w:rPr>
                      <w:rFonts w:hAnsi="宋体"/>
                      <w:color w:val="auto"/>
                      <w:szCs w:val="21"/>
                      <w:highlight w:val="none"/>
                    </w:rPr>
                  </w:pPr>
                </w:p>
              </w:tc>
            </w:tr>
            <w:tr w14:paraId="639F9A03">
              <w:trPr>
                <w:trHeight w:val="397" w:hRule="atLeast"/>
                <w:jc w:val="center"/>
              </w:trPr>
              <w:tc>
                <w:tcPr>
                  <w:tcW w:w="368" w:type="pct"/>
                  <w:vMerge w:val="continue"/>
                  <w:vAlign w:val="center"/>
                </w:tcPr>
                <w:p w14:paraId="76A121E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vAlign w:val="center"/>
                </w:tcPr>
                <w:p w14:paraId="18101CC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TP</w:t>
                  </w:r>
                </w:p>
              </w:tc>
              <w:tc>
                <w:tcPr>
                  <w:tcW w:w="278" w:type="pct"/>
                  <w:vMerge w:val="continue"/>
                  <w:vAlign w:val="center"/>
                </w:tcPr>
                <w:p w14:paraId="1C753FD7">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31A92338">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23A69E8F">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3</w:t>
                  </w:r>
                </w:p>
              </w:tc>
              <w:tc>
                <w:tcPr>
                  <w:tcW w:w="500" w:type="pct"/>
                  <w:vAlign w:val="center"/>
                </w:tcPr>
                <w:p w14:paraId="66FE0E42">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0.0029</w:t>
                  </w:r>
                </w:p>
              </w:tc>
              <w:tc>
                <w:tcPr>
                  <w:tcW w:w="364" w:type="pct"/>
                  <w:vMerge w:val="continue"/>
                  <w:vAlign w:val="center"/>
                </w:tcPr>
                <w:p w14:paraId="7B7D045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vAlign w:val="center"/>
                </w:tcPr>
                <w:p w14:paraId="0D816F8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0</w:t>
                  </w:r>
                </w:p>
              </w:tc>
              <w:tc>
                <w:tcPr>
                  <w:tcW w:w="367" w:type="pct"/>
                  <w:vMerge w:val="continue"/>
                  <w:vAlign w:val="center"/>
                </w:tcPr>
                <w:p w14:paraId="5801C7E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351AC961">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vAlign w:val="center"/>
                </w:tcPr>
                <w:p w14:paraId="2E8EC989">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3</w:t>
                  </w:r>
                </w:p>
              </w:tc>
              <w:tc>
                <w:tcPr>
                  <w:tcW w:w="497" w:type="pct"/>
                  <w:shd w:val="clear" w:color="auto" w:fill="auto"/>
                  <w:vAlign w:val="center"/>
                </w:tcPr>
                <w:p w14:paraId="1C750FB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0.0029</w:t>
                  </w:r>
                </w:p>
              </w:tc>
              <w:tc>
                <w:tcPr>
                  <w:tcW w:w="330" w:type="pct"/>
                  <w:vMerge w:val="continue"/>
                  <w:vAlign w:val="center"/>
                </w:tcPr>
                <w:p w14:paraId="3FAF8AAA">
                  <w:pPr>
                    <w:keepNext w:val="0"/>
                    <w:keepLines w:val="0"/>
                    <w:suppressLineNumbers w:val="0"/>
                    <w:spacing w:before="0" w:beforeAutospacing="0" w:after="0" w:afterAutospacing="0"/>
                    <w:ind w:left="0" w:right="0"/>
                    <w:jc w:val="center"/>
                    <w:rPr>
                      <w:rFonts w:hAnsi="宋体"/>
                      <w:color w:val="auto"/>
                      <w:szCs w:val="21"/>
                      <w:highlight w:val="none"/>
                    </w:rPr>
                  </w:pPr>
                </w:p>
              </w:tc>
            </w:tr>
            <w:tr w14:paraId="799FBA6C">
              <w:trPr>
                <w:trHeight w:val="397" w:hRule="atLeast"/>
                <w:jc w:val="center"/>
              </w:trPr>
              <w:tc>
                <w:tcPr>
                  <w:tcW w:w="368" w:type="pct"/>
                  <w:vMerge w:val="restart"/>
                  <w:vAlign w:val="center"/>
                </w:tcPr>
                <w:p w14:paraId="2A4197F8">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食堂废水</w:t>
                  </w:r>
                </w:p>
              </w:tc>
              <w:tc>
                <w:tcPr>
                  <w:tcW w:w="370" w:type="pct"/>
                  <w:shd w:val="clear" w:color="auto" w:fill="auto"/>
                  <w:vAlign w:val="center"/>
                </w:tcPr>
                <w:p w14:paraId="05A97140">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COD</w:t>
                  </w:r>
                </w:p>
              </w:tc>
              <w:tc>
                <w:tcPr>
                  <w:tcW w:w="278" w:type="pct"/>
                  <w:vMerge w:val="restart"/>
                  <w:vAlign w:val="center"/>
                </w:tcPr>
                <w:p w14:paraId="100DFA6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产污系数法</w:t>
                  </w:r>
                </w:p>
              </w:tc>
              <w:tc>
                <w:tcPr>
                  <w:tcW w:w="327" w:type="pct"/>
                  <w:vMerge w:val="restart"/>
                  <w:vAlign w:val="center"/>
                </w:tcPr>
                <w:p w14:paraId="4D9DE314">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180</w:t>
                  </w:r>
                </w:p>
              </w:tc>
              <w:tc>
                <w:tcPr>
                  <w:tcW w:w="376" w:type="pct"/>
                  <w:shd w:val="clear" w:color="auto" w:fill="auto"/>
                  <w:vAlign w:val="center"/>
                </w:tcPr>
                <w:p w14:paraId="2E4FC2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500" w:type="pct"/>
                  <w:vAlign w:val="center"/>
                </w:tcPr>
                <w:p w14:paraId="313C8719">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0.0630</w:t>
                  </w:r>
                </w:p>
              </w:tc>
              <w:tc>
                <w:tcPr>
                  <w:tcW w:w="364" w:type="pct"/>
                  <w:vMerge w:val="restart"/>
                  <w:vAlign w:val="center"/>
                </w:tcPr>
                <w:p w14:paraId="08E1066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ascii="Times New Roman" w:hAnsi="Times New Roman" w:cs="Times New Roman"/>
                      <w:color w:val="auto"/>
                      <w:sz w:val="21"/>
                      <w:szCs w:val="21"/>
                      <w:lang w:eastAsia="zh-CN"/>
                    </w:rPr>
                    <w:t>隔油池</w:t>
                  </w:r>
                  <w:r>
                    <w:rPr>
                      <w:rFonts w:hint="eastAsia" w:ascii="Times New Roman" w:hAnsi="Times New Roman" w:cs="Times New Roman"/>
                      <w:color w:val="auto"/>
                      <w:sz w:val="21"/>
                      <w:szCs w:val="21"/>
                      <w:lang w:val="en-US" w:eastAsia="zh-CN"/>
                    </w:rPr>
                    <w:t>+化粪池</w:t>
                  </w:r>
                </w:p>
              </w:tc>
              <w:tc>
                <w:tcPr>
                  <w:tcW w:w="293" w:type="pct"/>
                  <w:shd w:val="clear" w:color="auto" w:fill="auto"/>
                  <w:vAlign w:val="center"/>
                </w:tcPr>
                <w:p w14:paraId="00D41CE1">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20</w:t>
                  </w:r>
                </w:p>
              </w:tc>
              <w:tc>
                <w:tcPr>
                  <w:tcW w:w="367" w:type="pct"/>
                  <w:vMerge w:val="restart"/>
                  <w:vAlign w:val="center"/>
                </w:tcPr>
                <w:p w14:paraId="19C5FEF9">
                  <w:pPr>
                    <w:keepNext w:val="0"/>
                    <w:keepLines w:val="0"/>
                    <w:suppressLineNumbers w:val="0"/>
                    <w:adjustRightInd w:val="0"/>
                    <w:snapToGrid w:val="0"/>
                    <w:spacing w:before="0" w:beforeAutospacing="0" w:after="0" w:afterAutospacing="0"/>
                    <w:ind w:left="0" w:right="0"/>
                    <w:jc w:val="center"/>
                    <w:rPr>
                      <w:rFonts w:hint="eastAsia" w:hAnsi="宋体" w:eastAsiaTheme="minorEastAsia"/>
                      <w:color w:val="auto"/>
                      <w:szCs w:val="21"/>
                      <w:highlight w:val="none"/>
                      <w:lang w:val="en-US" w:eastAsia="zh-CN"/>
                    </w:rPr>
                  </w:pPr>
                  <w:r>
                    <w:rPr>
                      <w:rFonts w:hint="eastAsia" w:ascii="Times New Roman" w:hAnsi="Times New Roman" w:cs="Times New Roman"/>
                      <w:color w:val="auto"/>
                      <w:sz w:val="21"/>
                      <w:szCs w:val="21"/>
                      <w:lang w:eastAsia="zh-CN"/>
                    </w:rPr>
                    <w:t>物料衡算法</w:t>
                  </w:r>
                </w:p>
              </w:tc>
              <w:tc>
                <w:tcPr>
                  <w:tcW w:w="436" w:type="pct"/>
                  <w:vMerge w:val="restart"/>
                  <w:shd w:val="clear" w:color="auto" w:fill="auto"/>
                  <w:vAlign w:val="center"/>
                </w:tcPr>
                <w:p w14:paraId="0702B558">
                  <w:pPr>
                    <w:keepNext w:val="0"/>
                    <w:keepLines w:val="0"/>
                    <w:suppressLineNumbers w:val="0"/>
                    <w:spacing w:before="0" w:beforeAutospacing="0" w:after="0" w:afterAutospacing="0"/>
                    <w:ind w:left="0" w:leftChars="0" w:right="0" w:rightChars="0"/>
                    <w:jc w:val="center"/>
                    <w:rPr>
                      <w:rFonts w:hAnsi="宋体"/>
                      <w:color w:val="auto"/>
                      <w:szCs w:val="21"/>
                      <w:highlight w:val="none"/>
                    </w:rPr>
                  </w:pPr>
                  <w:r>
                    <w:rPr>
                      <w:rFonts w:hint="eastAsia" w:hAnsi="宋体"/>
                      <w:color w:val="auto"/>
                      <w:szCs w:val="21"/>
                      <w:highlight w:val="none"/>
                      <w:lang w:val="en-US" w:eastAsia="zh-CN"/>
                    </w:rPr>
                    <w:t>180</w:t>
                  </w:r>
                </w:p>
              </w:tc>
              <w:tc>
                <w:tcPr>
                  <w:tcW w:w="486" w:type="pct"/>
                  <w:shd w:val="clear" w:color="auto" w:fill="auto"/>
                  <w:vAlign w:val="center"/>
                </w:tcPr>
                <w:p w14:paraId="5698330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28</w:t>
                  </w:r>
                  <w:r>
                    <w:rPr>
                      <w:rFonts w:hint="default" w:ascii="Times New Roman" w:hAnsi="Times New Roman" w:eastAsia="宋体" w:cs="Times New Roman"/>
                      <w:i w:val="0"/>
                      <w:iCs w:val="0"/>
                      <w:color w:val="auto"/>
                      <w:kern w:val="0"/>
                      <w:sz w:val="21"/>
                      <w:szCs w:val="21"/>
                      <w:u w:val="none"/>
                      <w:lang w:val="en-US" w:eastAsia="zh-CN" w:bidi="ar"/>
                    </w:rPr>
                    <w:t>0</w:t>
                  </w:r>
                </w:p>
              </w:tc>
              <w:tc>
                <w:tcPr>
                  <w:tcW w:w="497" w:type="pct"/>
                  <w:shd w:val="clear" w:color="auto" w:fill="auto"/>
                  <w:vAlign w:val="center"/>
                </w:tcPr>
                <w:p w14:paraId="249928DB">
                  <w:pPr>
                    <w:keepNext w:val="0"/>
                    <w:keepLines w:val="0"/>
                    <w:suppressLineNumbers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0.0504</w:t>
                  </w:r>
                </w:p>
              </w:tc>
              <w:tc>
                <w:tcPr>
                  <w:tcW w:w="330" w:type="pct"/>
                  <w:vMerge w:val="continue"/>
                  <w:vAlign w:val="center"/>
                </w:tcPr>
                <w:p w14:paraId="3C178C9E">
                  <w:pPr>
                    <w:keepNext w:val="0"/>
                    <w:keepLines w:val="0"/>
                    <w:suppressLineNumbers w:val="0"/>
                    <w:spacing w:before="0" w:beforeAutospacing="0" w:after="0" w:afterAutospacing="0"/>
                    <w:ind w:left="0" w:right="0"/>
                    <w:jc w:val="center"/>
                    <w:rPr>
                      <w:rFonts w:hAnsi="宋体"/>
                      <w:color w:val="auto"/>
                      <w:szCs w:val="21"/>
                      <w:highlight w:val="none"/>
                    </w:rPr>
                  </w:pPr>
                </w:p>
              </w:tc>
            </w:tr>
            <w:tr w14:paraId="39D625B6">
              <w:trPr>
                <w:trHeight w:val="397" w:hRule="atLeast"/>
                <w:jc w:val="center"/>
              </w:trPr>
              <w:tc>
                <w:tcPr>
                  <w:tcW w:w="368" w:type="pct"/>
                  <w:vMerge w:val="continue"/>
                  <w:vAlign w:val="center"/>
                </w:tcPr>
                <w:p w14:paraId="38FE183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104E25AC">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SS</w:t>
                  </w:r>
                </w:p>
              </w:tc>
              <w:tc>
                <w:tcPr>
                  <w:tcW w:w="278" w:type="pct"/>
                  <w:vMerge w:val="continue"/>
                  <w:vAlign w:val="center"/>
                </w:tcPr>
                <w:p w14:paraId="0C1D887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13B67927">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6661701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00" w:type="pct"/>
                  <w:vAlign w:val="center"/>
                </w:tcPr>
                <w:p w14:paraId="7DA4C0D3">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0.0360</w:t>
                  </w:r>
                </w:p>
              </w:tc>
              <w:tc>
                <w:tcPr>
                  <w:tcW w:w="364" w:type="pct"/>
                  <w:vMerge w:val="continue"/>
                  <w:vAlign w:val="center"/>
                </w:tcPr>
                <w:p w14:paraId="4546C84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738693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50</w:t>
                  </w:r>
                </w:p>
              </w:tc>
              <w:tc>
                <w:tcPr>
                  <w:tcW w:w="367" w:type="pct"/>
                  <w:vMerge w:val="continue"/>
                  <w:vAlign w:val="center"/>
                </w:tcPr>
                <w:p w14:paraId="70D8071C">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14A5368E">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shd w:val="clear" w:color="auto" w:fill="auto"/>
                  <w:vAlign w:val="center"/>
                </w:tcPr>
                <w:p w14:paraId="5E5744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00</w:t>
                  </w:r>
                </w:p>
              </w:tc>
              <w:tc>
                <w:tcPr>
                  <w:tcW w:w="497" w:type="pct"/>
                  <w:shd w:val="clear" w:color="auto" w:fill="auto"/>
                  <w:vAlign w:val="center"/>
                </w:tcPr>
                <w:p w14:paraId="1B7DCCE3">
                  <w:pPr>
                    <w:keepNext w:val="0"/>
                    <w:keepLines w:val="0"/>
                    <w:suppressLineNumbers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0.0180</w:t>
                  </w:r>
                </w:p>
              </w:tc>
              <w:tc>
                <w:tcPr>
                  <w:tcW w:w="330" w:type="pct"/>
                  <w:vMerge w:val="continue"/>
                  <w:vAlign w:val="center"/>
                </w:tcPr>
                <w:p w14:paraId="4523D946">
                  <w:pPr>
                    <w:keepNext w:val="0"/>
                    <w:keepLines w:val="0"/>
                    <w:suppressLineNumbers w:val="0"/>
                    <w:spacing w:before="0" w:beforeAutospacing="0" w:after="0" w:afterAutospacing="0"/>
                    <w:ind w:left="0" w:right="0"/>
                    <w:jc w:val="center"/>
                    <w:rPr>
                      <w:rFonts w:hAnsi="宋体"/>
                      <w:color w:val="auto"/>
                      <w:szCs w:val="21"/>
                      <w:highlight w:val="none"/>
                    </w:rPr>
                  </w:pPr>
                </w:p>
              </w:tc>
            </w:tr>
            <w:tr w14:paraId="5656E6D6">
              <w:trPr>
                <w:trHeight w:val="397" w:hRule="atLeast"/>
                <w:jc w:val="center"/>
              </w:trPr>
              <w:tc>
                <w:tcPr>
                  <w:tcW w:w="368" w:type="pct"/>
                  <w:vMerge w:val="continue"/>
                  <w:vAlign w:val="center"/>
                </w:tcPr>
                <w:p w14:paraId="0228B4C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4AB0C166">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NH</w:t>
                  </w:r>
                  <w:r>
                    <w:rPr>
                      <w:rFonts w:hAnsi="宋体"/>
                      <w:color w:val="auto"/>
                      <w:szCs w:val="21"/>
                      <w:highlight w:val="none"/>
                      <w:vertAlign w:val="subscript"/>
                    </w:rPr>
                    <w:t>3</w:t>
                  </w:r>
                  <w:r>
                    <w:rPr>
                      <w:rFonts w:hAnsi="宋体"/>
                      <w:color w:val="auto"/>
                      <w:szCs w:val="21"/>
                      <w:highlight w:val="none"/>
                    </w:rPr>
                    <w:t>-N</w:t>
                  </w:r>
                </w:p>
              </w:tc>
              <w:tc>
                <w:tcPr>
                  <w:tcW w:w="278" w:type="pct"/>
                  <w:vMerge w:val="continue"/>
                  <w:vAlign w:val="center"/>
                </w:tcPr>
                <w:p w14:paraId="7F43EFD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1CD8E3D2">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530AF94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00" w:type="pct"/>
                  <w:vAlign w:val="center"/>
                </w:tcPr>
                <w:p w14:paraId="79C678AB">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0.0045</w:t>
                  </w:r>
                </w:p>
              </w:tc>
              <w:tc>
                <w:tcPr>
                  <w:tcW w:w="364" w:type="pct"/>
                  <w:vMerge w:val="continue"/>
                  <w:vAlign w:val="center"/>
                </w:tcPr>
                <w:p w14:paraId="2E184F7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517E0446">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0</w:t>
                  </w:r>
                </w:p>
              </w:tc>
              <w:tc>
                <w:tcPr>
                  <w:tcW w:w="367" w:type="pct"/>
                  <w:vMerge w:val="continue"/>
                  <w:vAlign w:val="center"/>
                </w:tcPr>
                <w:p w14:paraId="389B63D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556C6288">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shd w:val="clear" w:color="auto" w:fill="auto"/>
                  <w:vAlign w:val="center"/>
                </w:tcPr>
                <w:p w14:paraId="0D0D8DD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7" w:type="pct"/>
                  <w:shd w:val="clear" w:color="auto" w:fill="auto"/>
                  <w:vAlign w:val="center"/>
                </w:tcPr>
                <w:p w14:paraId="753314E6">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0.0045</w:t>
                  </w:r>
                </w:p>
              </w:tc>
              <w:tc>
                <w:tcPr>
                  <w:tcW w:w="330" w:type="pct"/>
                  <w:vMerge w:val="continue"/>
                  <w:vAlign w:val="center"/>
                </w:tcPr>
                <w:p w14:paraId="3BE25583">
                  <w:pPr>
                    <w:keepNext w:val="0"/>
                    <w:keepLines w:val="0"/>
                    <w:suppressLineNumbers w:val="0"/>
                    <w:spacing w:before="0" w:beforeAutospacing="0" w:after="0" w:afterAutospacing="0"/>
                    <w:ind w:left="0" w:right="0"/>
                    <w:jc w:val="center"/>
                    <w:rPr>
                      <w:rFonts w:hAnsi="宋体"/>
                      <w:color w:val="auto"/>
                      <w:szCs w:val="21"/>
                      <w:highlight w:val="none"/>
                    </w:rPr>
                  </w:pPr>
                </w:p>
              </w:tc>
            </w:tr>
            <w:tr w14:paraId="7D75F4C6">
              <w:trPr>
                <w:trHeight w:val="397" w:hRule="atLeast"/>
                <w:jc w:val="center"/>
              </w:trPr>
              <w:tc>
                <w:tcPr>
                  <w:tcW w:w="368" w:type="pct"/>
                  <w:vMerge w:val="continue"/>
                  <w:vAlign w:val="center"/>
                </w:tcPr>
                <w:p w14:paraId="6E071BC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270FDF8B">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TN</w:t>
                  </w:r>
                </w:p>
              </w:tc>
              <w:tc>
                <w:tcPr>
                  <w:tcW w:w="278" w:type="pct"/>
                  <w:vMerge w:val="continue"/>
                  <w:vAlign w:val="center"/>
                </w:tcPr>
                <w:p w14:paraId="12AF21C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189C6A60">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0D14462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p>
              </w:tc>
              <w:tc>
                <w:tcPr>
                  <w:tcW w:w="500" w:type="pct"/>
                  <w:vAlign w:val="center"/>
                </w:tcPr>
                <w:p w14:paraId="23F9D664">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0.0081</w:t>
                  </w:r>
                </w:p>
              </w:tc>
              <w:tc>
                <w:tcPr>
                  <w:tcW w:w="364" w:type="pct"/>
                  <w:vMerge w:val="continue"/>
                  <w:vAlign w:val="center"/>
                </w:tcPr>
                <w:p w14:paraId="5733F82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4A10F59A">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0</w:t>
                  </w:r>
                </w:p>
              </w:tc>
              <w:tc>
                <w:tcPr>
                  <w:tcW w:w="367" w:type="pct"/>
                  <w:vMerge w:val="continue"/>
                  <w:vAlign w:val="center"/>
                </w:tcPr>
                <w:p w14:paraId="223F581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267ECEF6">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shd w:val="clear" w:color="auto" w:fill="auto"/>
                  <w:vAlign w:val="center"/>
                </w:tcPr>
                <w:p w14:paraId="412F78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97" w:type="pct"/>
                  <w:shd w:val="clear" w:color="auto" w:fill="auto"/>
                  <w:vAlign w:val="center"/>
                </w:tcPr>
                <w:p w14:paraId="134A3141">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0.0081</w:t>
                  </w:r>
                </w:p>
              </w:tc>
              <w:tc>
                <w:tcPr>
                  <w:tcW w:w="330" w:type="pct"/>
                  <w:vMerge w:val="continue"/>
                  <w:vAlign w:val="center"/>
                </w:tcPr>
                <w:p w14:paraId="10229070">
                  <w:pPr>
                    <w:keepNext w:val="0"/>
                    <w:keepLines w:val="0"/>
                    <w:suppressLineNumbers w:val="0"/>
                    <w:spacing w:before="0" w:beforeAutospacing="0" w:after="0" w:afterAutospacing="0"/>
                    <w:ind w:left="0" w:right="0"/>
                    <w:jc w:val="center"/>
                    <w:rPr>
                      <w:rFonts w:hAnsi="宋体"/>
                      <w:color w:val="auto"/>
                      <w:szCs w:val="21"/>
                      <w:highlight w:val="none"/>
                    </w:rPr>
                  </w:pPr>
                </w:p>
              </w:tc>
            </w:tr>
            <w:tr w14:paraId="6A596B30">
              <w:trPr>
                <w:trHeight w:val="397" w:hRule="atLeast"/>
                <w:jc w:val="center"/>
              </w:trPr>
              <w:tc>
                <w:tcPr>
                  <w:tcW w:w="368" w:type="pct"/>
                  <w:vMerge w:val="continue"/>
                  <w:vAlign w:val="center"/>
                </w:tcPr>
                <w:p w14:paraId="453970A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7C84F5E3">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TP</w:t>
                  </w:r>
                </w:p>
              </w:tc>
              <w:tc>
                <w:tcPr>
                  <w:tcW w:w="278" w:type="pct"/>
                  <w:vMerge w:val="continue"/>
                  <w:vAlign w:val="center"/>
                </w:tcPr>
                <w:p w14:paraId="0B58553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4B1CE99E">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7A914D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500" w:type="pct"/>
                  <w:vAlign w:val="center"/>
                </w:tcPr>
                <w:p w14:paraId="44B5213C">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0.0005</w:t>
                  </w:r>
                </w:p>
              </w:tc>
              <w:tc>
                <w:tcPr>
                  <w:tcW w:w="364" w:type="pct"/>
                  <w:vMerge w:val="continue"/>
                  <w:vAlign w:val="center"/>
                </w:tcPr>
                <w:p w14:paraId="51C4F05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0278394B">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0</w:t>
                  </w:r>
                </w:p>
              </w:tc>
              <w:tc>
                <w:tcPr>
                  <w:tcW w:w="367" w:type="pct"/>
                  <w:vMerge w:val="continue"/>
                  <w:vAlign w:val="center"/>
                </w:tcPr>
                <w:p w14:paraId="01247BC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0620EA8C">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shd w:val="clear" w:color="auto" w:fill="auto"/>
                  <w:vAlign w:val="center"/>
                </w:tcPr>
                <w:p w14:paraId="55FFB4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497" w:type="pct"/>
                  <w:shd w:val="clear" w:color="auto" w:fill="auto"/>
                  <w:vAlign w:val="center"/>
                </w:tcPr>
                <w:p w14:paraId="651F5DE5">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0.0005</w:t>
                  </w:r>
                </w:p>
              </w:tc>
              <w:tc>
                <w:tcPr>
                  <w:tcW w:w="330" w:type="pct"/>
                  <w:vMerge w:val="continue"/>
                  <w:vAlign w:val="center"/>
                </w:tcPr>
                <w:p w14:paraId="4C09282F">
                  <w:pPr>
                    <w:keepNext w:val="0"/>
                    <w:keepLines w:val="0"/>
                    <w:suppressLineNumbers w:val="0"/>
                    <w:spacing w:before="0" w:beforeAutospacing="0" w:after="0" w:afterAutospacing="0"/>
                    <w:ind w:left="0" w:right="0"/>
                    <w:jc w:val="center"/>
                    <w:rPr>
                      <w:rFonts w:hAnsi="宋体"/>
                      <w:color w:val="auto"/>
                      <w:szCs w:val="21"/>
                      <w:highlight w:val="none"/>
                    </w:rPr>
                  </w:pPr>
                </w:p>
              </w:tc>
            </w:tr>
            <w:tr w14:paraId="0ADF8FA6">
              <w:trPr>
                <w:trHeight w:val="397" w:hRule="atLeast"/>
                <w:jc w:val="center"/>
              </w:trPr>
              <w:tc>
                <w:tcPr>
                  <w:tcW w:w="368" w:type="pct"/>
                  <w:vMerge w:val="continue"/>
                  <w:vAlign w:val="center"/>
                </w:tcPr>
                <w:p w14:paraId="07826C2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vAlign w:val="center"/>
                </w:tcPr>
                <w:p w14:paraId="6412F5C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default" w:ascii="Times New Roman" w:hAnsi="Times New Roman" w:cs="Times New Roman"/>
                      <w:color w:val="auto"/>
                      <w:sz w:val="21"/>
                      <w:szCs w:val="21"/>
                      <w:lang w:eastAsia="zh-CN"/>
                    </w:rPr>
                    <w:t>动植物油</w:t>
                  </w:r>
                </w:p>
              </w:tc>
              <w:tc>
                <w:tcPr>
                  <w:tcW w:w="278" w:type="pct"/>
                  <w:vMerge w:val="continue"/>
                  <w:vAlign w:val="center"/>
                </w:tcPr>
                <w:p w14:paraId="72F2323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3F773A2D">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6443D9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500" w:type="pct"/>
                  <w:vAlign w:val="center"/>
                </w:tcPr>
                <w:p w14:paraId="2A62FC10">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0.0288</w:t>
                  </w:r>
                </w:p>
              </w:tc>
              <w:tc>
                <w:tcPr>
                  <w:tcW w:w="364" w:type="pct"/>
                  <w:vMerge w:val="continue"/>
                  <w:vAlign w:val="center"/>
                </w:tcPr>
                <w:p w14:paraId="62D017DC">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vAlign w:val="center"/>
                </w:tcPr>
                <w:p w14:paraId="4A821909">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50</w:t>
                  </w:r>
                </w:p>
              </w:tc>
              <w:tc>
                <w:tcPr>
                  <w:tcW w:w="367" w:type="pct"/>
                  <w:vMerge w:val="continue"/>
                  <w:vAlign w:val="center"/>
                </w:tcPr>
                <w:p w14:paraId="2EF32EB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283B447E">
                  <w:pPr>
                    <w:keepNext w:val="0"/>
                    <w:keepLines w:val="0"/>
                    <w:suppressLineNumbers w:val="0"/>
                    <w:spacing w:before="0" w:beforeAutospacing="0" w:after="0" w:afterAutospacing="0"/>
                    <w:ind w:left="0" w:right="0"/>
                    <w:jc w:val="center"/>
                    <w:rPr>
                      <w:rFonts w:hAnsi="宋体"/>
                      <w:color w:val="auto"/>
                      <w:szCs w:val="21"/>
                      <w:highlight w:val="none"/>
                    </w:rPr>
                  </w:pPr>
                </w:p>
              </w:tc>
              <w:tc>
                <w:tcPr>
                  <w:tcW w:w="486" w:type="pct"/>
                  <w:shd w:val="clear" w:color="auto" w:fill="auto"/>
                  <w:vAlign w:val="center"/>
                </w:tcPr>
                <w:p w14:paraId="753B40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宋体"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0</w:t>
                  </w:r>
                </w:p>
              </w:tc>
              <w:tc>
                <w:tcPr>
                  <w:tcW w:w="497" w:type="pct"/>
                  <w:shd w:val="clear" w:color="auto" w:fill="auto"/>
                  <w:vAlign w:val="center"/>
                </w:tcPr>
                <w:p w14:paraId="455105A6">
                  <w:pPr>
                    <w:keepNext w:val="0"/>
                    <w:keepLines w:val="0"/>
                    <w:suppressLineNumbers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0.0144</w:t>
                  </w:r>
                </w:p>
              </w:tc>
              <w:tc>
                <w:tcPr>
                  <w:tcW w:w="330" w:type="pct"/>
                  <w:vMerge w:val="continue"/>
                  <w:vAlign w:val="center"/>
                </w:tcPr>
                <w:p w14:paraId="0D7F19A8">
                  <w:pPr>
                    <w:keepNext w:val="0"/>
                    <w:keepLines w:val="0"/>
                    <w:suppressLineNumbers w:val="0"/>
                    <w:spacing w:before="0" w:beforeAutospacing="0" w:after="0" w:afterAutospacing="0"/>
                    <w:ind w:left="0" w:right="0"/>
                    <w:jc w:val="center"/>
                    <w:rPr>
                      <w:rFonts w:hAnsi="宋体"/>
                      <w:color w:val="auto"/>
                      <w:szCs w:val="21"/>
                      <w:highlight w:val="none"/>
                    </w:rPr>
                  </w:pPr>
                </w:p>
              </w:tc>
            </w:tr>
            <w:tr w14:paraId="5C1B34C5">
              <w:trPr>
                <w:trHeight w:val="397" w:hRule="atLeast"/>
                <w:jc w:val="center"/>
              </w:trPr>
              <w:tc>
                <w:tcPr>
                  <w:tcW w:w="368" w:type="pct"/>
                  <w:vMerge w:val="restart"/>
                  <w:vAlign w:val="center"/>
                </w:tcPr>
                <w:p w14:paraId="4798D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Ansi="宋体"/>
                      <w:color w:val="auto"/>
                      <w:szCs w:val="21"/>
                      <w:highlight w:val="none"/>
                    </w:rPr>
                  </w:pPr>
                  <w:r>
                    <w:rPr>
                      <w:rFonts w:hint="eastAsia" w:ascii="宋体" w:hAnsi="宋体" w:eastAsia="宋体" w:cs="宋体"/>
                      <w:bCs/>
                      <w:color w:val="auto"/>
                      <w:sz w:val="21"/>
                      <w:szCs w:val="21"/>
                      <w:highlight w:val="none"/>
                      <w:lang w:val="en-US" w:eastAsia="zh-CN"/>
                    </w:rPr>
                    <w:t>超声波</w:t>
                  </w:r>
                  <w:r>
                    <w:rPr>
                      <w:rFonts w:hint="eastAsia" w:eastAsia="宋体"/>
                      <w:bCs/>
                      <w:color w:val="auto"/>
                      <w:sz w:val="21"/>
                      <w:szCs w:val="21"/>
                      <w:highlight w:val="none"/>
                      <w:lang w:val="en-US" w:eastAsia="zh-CN"/>
                    </w:rPr>
                    <w:t>清洗</w:t>
                  </w:r>
                  <w:r>
                    <w:rPr>
                      <w:rFonts w:hint="eastAsia"/>
                      <w:bCs/>
                      <w:color w:val="auto"/>
                      <w:sz w:val="21"/>
                      <w:szCs w:val="21"/>
                      <w:highlight w:val="none"/>
                      <w:lang w:val="en-US" w:eastAsia="zh-CN"/>
                    </w:rPr>
                    <w:t>废</w:t>
                  </w:r>
                  <w:r>
                    <w:rPr>
                      <w:bCs/>
                      <w:color w:val="auto"/>
                      <w:sz w:val="21"/>
                      <w:szCs w:val="21"/>
                      <w:highlight w:val="none"/>
                    </w:rPr>
                    <w:t>水</w:t>
                  </w:r>
                </w:p>
              </w:tc>
              <w:tc>
                <w:tcPr>
                  <w:tcW w:w="370" w:type="pct"/>
                  <w:shd w:val="clear" w:color="auto" w:fill="auto"/>
                  <w:vAlign w:val="center"/>
                </w:tcPr>
                <w:p w14:paraId="5826DA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COD</w:t>
                  </w:r>
                </w:p>
              </w:tc>
              <w:tc>
                <w:tcPr>
                  <w:tcW w:w="278" w:type="pct"/>
                  <w:vMerge w:val="restart"/>
                  <w:vAlign w:val="center"/>
                </w:tcPr>
                <w:p w14:paraId="61DD999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产污系数法</w:t>
                  </w:r>
                </w:p>
              </w:tc>
              <w:tc>
                <w:tcPr>
                  <w:tcW w:w="327" w:type="pct"/>
                  <w:vMerge w:val="restart"/>
                  <w:vAlign w:val="center"/>
                </w:tcPr>
                <w:p w14:paraId="16FC750B">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480</w:t>
                  </w:r>
                </w:p>
              </w:tc>
              <w:tc>
                <w:tcPr>
                  <w:tcW w:w="376" w:type="pct"/>
                  <w:shd w:val="clear" w:color="auto" w:fill="auto"/>
                  <w:vAlign w:val="center"/>
                </w:tcPr>
                <w:p w14:paraId="77C0D8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358</w:t>
                  </w:r>
                </w:p>
              </w:tc>
              <w:tc>
                <w:tcPr>
                  <w:tcW w:w="500" w:type="pct"/>
                  <w:vAlign w:val="center"/>
                </w:tcPr>
                <w:p w14:paraId="169EDA40">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0.1718 </w:t>
                  </w:r>
                </w:p>
              </w:tc>
              <w:tc>
                <w:tcPr>
                  <w:tcW w:w="364" w:type="pct"/>
                  <w:vMerge w:val="restart"/>
                  <w:vAlign w:val="center"/>
                </w:tcPr>
                <w:p w14:paraId="78A9B04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cs="Times New Roman"/>
                      <w:color w:val="auto"/>
                      <w:sz w:val="21"/>
                      <w:szCs w:val="21"/>
                      <w:lang w:val="en-US" w:eastAsia="zh-CN"/>
                    </w:rPr>
                    <w:t>气浮混凝沉淀一体化设备</w:t>
                  </w:r>
                </w:p>
              </w:tc>
              <w:tc>
                <w:tcPr>
                  <w:tcW w:w="293" w:type="pct"/>
                  <w:shd w:val="clear" w:color="auto" w:fill="auto"/>
                  <w:vAlign w:val="center"/>
                </w:tcPr>
                <w:p w14:paraId="1624BE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19</w:t>
                  </w:r>
                </w:p>
              </w:tc>
              <w:tc>
                <w:tcPr>
                  <w:tcW w:w="367" w:type="pct"/>
                  <w:vMerge w:val="restart"/>
                  <w:vAlign w:val="center"/>
                </w:tcPr>
                <w:p w14:paraId="2F6D587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ascii="Times New Roman" w:hAnsi="Times New Roman" w:cs="Times New Roman"/>
                      <w:color w:val="auto"/>
                      <w:sz w:val="21"/>
                      <w:szCs w:val="21"/>
                      <w:lang w:eastAsia="zh-CN"/>
                    </w:rPr>
                    <w:t>物料衡算法</w:t>
                  </w:r>
                </w:p>
              </w:tc>
              <w:tc>
                <w:tcPr>
                  <w:tcW w:w="436" w:type="pct"/>
                  <w:vMerge w:val="restart"/>
                  <w:vAlign w:val="center"/>
                </w:tcPr>
                <w:p w14:paraId="299B033C">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480</w:t>
                  </w:r>
                </w:p>
              </w:tc>
              <w:tc>
                <w:tcPr>
                  <w:tcW w:w="800" w:type="dxa"/>
                  <w:shd w:val="clear" w:color="auto" w:fill="auto"/>
                  <w:vAlign w:val="center"/>
                </w:tcPr>
                <w:p w14:paraId="149195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290</w:t>
                  </w:r>
                </w:p>
              </w:tc>
              <w:tc>
                <w:tcPr>
                  <w:tcW w:w="821" w:type="dxa"/>
                  <w:shd w:val="clear" w:color="auto" w:fill="auto"/>
                  <w:vAlign w:val="center"/>
                </w:tcPr>
                <w:p w14:paraId="3B1BE7E4">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0.1392 </w:t>
                  </w:r>
                </w:p>
              </w:tc>
              <w:tc>
                <w:tcPr>
                  <w:tcW w:w="330" w:type="pct"/>
                  <w:vMerge w:val="continue"/>
                  <w:vAlign w:val="center"/>
                </w:tcPr>
                <w:p w14:paraId="2343FE62">
                  <w:pPr>
                    <w:keepNext w:val="0"/>
                    <w:keepLines w:val="0"/>
                    <w:suppressLineNumbers w:val="0"/>
                    <w:spacing w:before="0" w:beforeAutospacing="0" w:after="0" w:afterAutospacing="0"/>
                    <w:ind w:left="0" w:right="0"/>
                    <w:jc w:val="center"/>
                    <w:rPr>
                      <w:rFonts w:hAnsi="宋体"/>
                      <w:color w:val="auto"/>
                      <w:szCs w:val="21"/>
                      <w:highlight w:val="none"/>
                    </w:rPr>
                  </w:pPr>
                </w:p>
              </w:tc>
            </w:tr>
            <w:tr w14:paraId="4486F7DB">
              <w:trPr>
                <w:trHeight w:val="397" w:hRule="atLeast"/>
                <w:jc w:val="center"/>
              </w:trPr>
              <w:tc>
                <w:tcPr>
                  <w:tcW w:w="368" w:type="pct"/>
                  <w:vMerge w:val="continue"/>
                  <w:vAlign w:val="center"/>
                </w:tcPr>
                <w:p w14:paraId="74AD640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060346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SS</w:t>
                  </w:r>
                </w:p>
              </w:tc>
              <w:tc>
                <w:tcPr>
                  <w:tcW w:w="278" w:type="pct"/>
                  <w:vMerge w:val="continue"/>
                  <w:vAlign w:val="center"/>
                </w:tcPr>
                <w:p w14:paraId="57F87A1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7F9532D3">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4103E2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1125</w:t>
                  </w:r>
                </w:p>
              </w:tc>
              <w:tc>
                <w:tcPr>
                  <w:tcW w:w="500" w:type="pct"/>
                  <w:vAlign w:val="center"/>
                </w:tcPr>
                <w:p w14:paraId="0A2CB2F0">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0.5400 </w:t>
                  </w:r>
                </w:p>
              </w:tc>
              <w:tc>
                <w:tcPr>
                  <w:tcW w:w="364" w:type="pct"/>
                  <w:vMerge w:val="continue"/>
                  <w:vAlign w:val="center"/>
                </w:tcPr>
                <w:p w14:paraId="050303C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39817C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80</w:t>
                  </w:r>
                </w:p>
              </w:tc>
              <w:tc>
                <w:tcPr>
                  <w:tcW w:w="367" w:type="pct"/>
                  <w:vMerge w:val="continue"/>
                  <w:vAlign w:val="center"/>
                </w:tcPr>
                <w:p w14:paraId="7C82976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2177E587">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74E00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821" w:type="dxa"/>
                  <w:shd w:val="clear" w:color="auto" w:fill="auto"/>
                  <w:vAlign w:val="center"/>
                </w:tcPr>
                <w:p w14:paraId="73E205A0">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0.1080 </w:t>
                  </w:r>
                </w:p>
              </w:tc>
              <w:tc>
                <w:tcPr>
                  <w:tcW w:w="330" w:type="pct"/>
                  <w:vMerge w:val="continue"/>
                  <w:vAlign w:val="center"/>
                </w:tcPr>
                <w:p w14:paraId="7FA738E1">
                  <w:pPr>
                    <w:keepNext w:val="0"/>
                    <w:keepLines w:val="0"/>
                    <w:suppressLineNumbers w:val="0"/>
                    <w:spacing w:before="0" w:beforeAutospacing="0" w:after="0" w:afterAutospacing="0"/>
                    <w:ind w:left="0" w:right="0"/>
                    <w:jc w:val="center"/>
                    <w:rPr>
                      <w:rFonts w:hAnsi="宋体"/>
                      <w:color w:val="auto"/>
                      <w:szCs w:val="21"/>
                      <w:highlight w:val="none"/>
                    </w:rPr>
                  </w:pPr>
                </w:p>
              </w:tc>
            </w:tr>
            <w:tr w14:paraId="65356764">
              <w:trPr>
                <w:trHeight w:val="397" w:hRule="atLeast"/>
                <w:jc w:val="center"/>
              </w:trPr>
              <w:tc>
                <w:tcPr>
                  <w:tcW w:w="368" w:type="pct"/>
                  <w:vMerge w:val="continue"/>
                  <w:vAlign w:val="center"/>
                </w:tcPr>
                <w:p w14:paraId="3038713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vAlign w:val="center"/>
                </w:tcPr>
                <w:p w14:paraId="054FD2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石油类</w:t>
                  </w:r>
                </w:p>
              </w:tc>
              <w:tc>
                <w:tcPr>
                  <w:tcW w:w="278" w:type="pct"/>
                  <w:vMerge w:val="continue"/>
                  <w:vAlign w:val="center"/>
                </w:tcPr>
                <w:p w14:paraId="2C90EE3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12BFEEC4">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shd w:val="clear" w:color="auto" w:fill="auto"/>
                  <w:vAlign w:val="center"/>
                </w:tcPr>
                <w:p w14:paraId="49565A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500" w:type="pct"/>
                  <w:vAlign w:val="center"/>
                </w:tcPr>
                <w:p w14:paraId="6D1A131E">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0.0192 </w:t>
                  </w:r>
                </w:p>
              </w:tc>
              <w:tc>
                <w:tcPr>
                  <w:tcW w:w="364" w:type="pct"/>
                  <w:vMerge w:val="continue"/>
                  <w:vAlign w:val="center"/>
                </w:tcPr>
                <w:p w14:paraId="3B9E1E6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vAlign w:val="center"/>
                </w:tcPr>
                <w:p w14:paraId="29D85FDA">
                  <w:pPr>
                    <w:keepNext w:val="0"/>
                    <w:keepLines w:val="0"/>
                    <w:suppressLineNumbers w:val="0"/>
                    <w:adjustRightInd w:val="0"/>
                    <w:snapToGrid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60</w:t>
                  </w:r>
                </w:p>
              </w:tc>
              <w:tc>
                <w:tcPr>
                  <w:tcW w:w="367" w:type="pct"/>
                  <w:vMerge w:val="continue"/>
                  <w:vAlign w:val="center"/>
                </w:tcPr>
                <w:p w14:paraId="2769BC0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3E009ACD">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216403B5">
                  <w:pPr>
                    <w:keepNext w:val="0"/>
                    <w:keepLines w:val="0"/>
                    <w:widowControl/>
                    <w:suppressLineNumbers w:val="0"/>
                    <w:spacing w:before="0" w:beforeAutospacing="0" w:after="0" w:afterAutospacing="0"/>
                    <w:ind w:left="0" w:right="0"/>
                    <w:jc w:val="center"/>
                    <w:textAlignment w:val="center"/>
                    <w:rPr>
                      <w:rFonts w:hint="default"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21" w:type="dxa"/>
                  <w:shd w:val="clear" w:color="auto" w:fill="auto"/>
                  <w:vAlign w:val="center"/>
                </w:tcPr>
                <w:p w14:paraId="28ED4D6A">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0.0077 </w:t>
                  </w:r>
                </w:p>
              </w:tc>
              <w:tc>
                <w:tcPr>
                  <w:tcW w:w="330" w:type="pct"/>
                  <w:vMerge w:val="continue"/>
                  <w:vAlign w:val="center"/>
                </w:tcPr>
                <w:p w14:paraId="3AF9EED4">
                  <w:pPr>
                    <w:keepNext w:val="0"/>
                    <w:keepLines w:val="0"/>
                    <w:suppressLineNumbers w:val="0"/>
                    <w:spacing w:before="0" w:beforeAutospacing="0" w:after="0" w:afterAutospacing="0"/>
                    <w:ind w:left="0" w:right="0"/>
                    <w:jc w:val="center"/>
                    <w:rPr>
                      <w:rFonts w:hAnsi="宋体"/>
                      <w:color w:val="auto"/>
                      <w:szCs w:val="21"/>
                      <w:highlight w:val="none"/>
                    </w:rPr>
                  </w:pPr>
                </w:p>
              </w:tc>
            </w:tr>
            <w:tr w14:paraId="6DC500E9">
              <w:trPr>
                <w:trHeight w:val="374" w:hRule="atLeast"/>
                <w:jc w:val="center"/>
              </w:trPr>
              <w:tc>
                <w:tcPr>
                  <w:tcW w:w="368" w:type="pct"/>
                  <w:vMerge w:val="restart"/>
                  <w:vAlign w:val="center"/>
                </w:tcPr>
                <w:p w14:paraId="08CC878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cs="Times New Roman"/>
                      <w:color w:val="auto"/>
                      <w:sz w:val="21"/>
                      <w:szCs w:val="21"/>
                      <w:lang w:eastAsia="zh-CN"/>
                    </w:rPr>
                    <w:t>综合</w:t>
                  </w:r>
                  <w:r>
                    <w:rPr>
                      <w:rFonts w:hint="eastAsia" w:cs="Times New Roman"/>
                      <w:color w:val="auto"/>
                      <w:sz w:val="21"/>
                      <w:szCs w:val="21"/>
                      <w:lang w:val="en-US" w:eastAsia="zh-CN"/>
                    </w:rPr>
                    <w:t>废水</w:t>
                  </w:r>
                </w:p>
              </w:tc>
              <w:tc>
                <w:tcPr>
                  <w:tcW w:w="370" w:type="pct"/>
                  <w:shd w:val="clear" w:color="auto" w:fill="auto"/>
                  <w:vAlign w:val="center"/>
                </w:tcPr>
                <w:p w14:paraId="37EE1D6B">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COD</w:t>
                  </w:r>
                </w:p>
              </w:tc>
              <w:tc>
                <w:tcPr>
                  <w:tcW w:w="278" w:type="pct"/>
                  <w:vMerge w:val="restart"/>
                  <w:vAlign w:val="center"/>
                </w:tcPr>
                <w:p w14:paraId="23613C9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产污系数法</w:t>
                  </w:r>
                </w:p>
              </w:tc>
              <w:tc>
                <w:tcPr>
                  <w:tcW w:w="327" w:type="pct"/>
                  <w:vMerge w:val="restart"/>
                  <w:vAlign w:val="center"/>
                </w:tcPr>
                <w:p w14:paraId="26DD9871">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1620</w:t>
                  </w:r>
                </w:p>
              </w:tc>
              <w:tc>
                <w:tcPr>
                  <w:tcW w:w="376" w:type="pct"/>
                  <w:vAlign w:val="center"/>
                </w:tcPr>
                <w:p w14:paraId="1A365C17">
                  <w:pPr>
                    <w:keepNext w:val="0"/>
                    <w:keepLines w:val="0"/>
                    <w:widowControl/>
                    <w:suppressLineNumbers w:val="0"/>
                    <w:spacing w:before="0" w:beforeAutospacing="0" w:after="0" w:afterAutospacing="0"/>
                    <w:ind w:left="0" w:right="0"/>
                    <w:jc w:val="center"/>
                    <w:textAlignment w:val="center"/>
                    <w:rPr>
                      <w:rFonts w:hint="default"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352.37 </w:t>
                  </w:r>
                </w:p>
              </w:tc>
              <w:tc>
                <w:tcPr>
                  <w:tcW w:w="500" w:type="pct"/>
                  <w:vAlign w:val="center"/>
                </w:tcPr>
                <w:p w14:paraId="2FEE0FFB">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0.5708 </w:t>
                  </w:r>
                </w:p>
              </w:tc>
              <w:tc>
                <w:tcPr>
                  <w:tcW w:w="364" w:type="pct"/>
                  <w:vMerge w:val="restart"/>
                  <w:vAlign w:val="center"/>
                </w:tcPr>
                <w:p w14:paraId="1A5F6B30">
                  <w:pPr>
                    <w:keepNext w:val="0"/>
                    <w:keepLines w:val="0"/>
                    <w:suppressLineNumbers w:val="0"/>
                    <w:adjustRightInd w:val="0"/>
                    <w:snapToGrid w:val="0"/>
                    <w:spacing w:before="0" w:beforeAutospacing="0" w:after="0" w:afterAutospacing="0"/>
                    <w:ind w:left="0" w:right="0"/>
                    <w:jc w:val="center"/>
                    <w:rPr>
                      <w:rFonts w:hint="default" w:hAnsi="宋体"/>
                      <w:color w:val="auto"/>
                      <w:szCs w:val="21"/>
                      <w:highlight w:val="none"/>
                      <w:lang w:val="en-US"/>
                    </w:rPr>
                  </w:pPr>
                  <w:r>
                    <w:rPr>
                      <w:rFonts w:hint="eastAsia" w:cs="Times New Roman"/>
                      <w:color w:val="auto"/>
                      <w:sz w:val="21"/>
                      <w:szCs w:val="21"/>
                      <w:lang w:val="en-US" w:eastAsia="zh-CN"/>
                    </w:rPr>
                    <w:t>/</w:t>
                  </w:r>
                </w:p>
              </w:tc>
              <w:tc>
                <w:tcPr>
                  <w:tcW w:w="293" w:type="pct"/>
                  <w:shd w:val="clear" w:color="auto" w:fill="auto"/>
                  <w:vAlign w:val="center"/>
                </w:tcPr>
                <w:p w14:paraId="6227CAE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w:t>
                  </w:r>
                </w:p>
              </w:tc>
              <w:tc>
                <w:tcPr>
                  <w:tcW w:w="367" w:type="pct"/>
                  <w:vMerge w:val="restart"/>
                  <w:vAlign w:val="center"/>
                </w:tcPr>
                <w:p w14:paraId="10DCB377">
                  <w:pPr>
                    <w:keepNext w:val="0"/>
                    <w:keepLines w:val="0"/>
                    <w:suppressLineNumbers w:val="0"/>
                    <w:adjustRightInd w:val="0"/>
                    <w:snapToGrid w:val="0"/>
                    <w:spacing w:before="0" w:beforeAutospacing="0" w:after="0" w:afterAutospacing="0"/>
                    <w:ind w:left="0" w:right="0"/>
                    <w:jc w:val="center"/>
                    <w:rPr>
                      <w:rFonts w:hint="eastAsia" w:hAnsi="宋体" w:eastAsiaTheme="minorEastAsia"/>
                      <w:color w:val="auto"/>
                      <w:szCs w:val="21"/>
                      <w:highlight w:val="none"/>
                      <w:lang w:val="en-US" w:eastAsia="zh-CN"/>
                    </w:rPr>
                  </w:pPr>
                  <w:r>
                    <w:rPr>
                      <w:rFonts w:hint="eastAsia" w:ascii="Times New Roman" w:hAnsi="Times New Roman" w:cs="Times New Roman"/>
                      <w:color w:val="auto"/>
                      <w:sz w:val="21"/>
                      <w:szCs w:val="21"/>
                      <w:lang w:eastAsia="zh-CN"/>
                    </w:rPr>
                    <w:t>物料衡算法</w:t>
                  </w:r>
                </w:p>
              </w:tc>
              <w:tc>
                <w:tcPr>
                  <w:tcW w:w="436" w:type="pct"/>
                  <w:vMerge w:val="restart"/>
                  <w:shd w:val="clear" w:color="auto" w:fill="auto"/>
                  <w:vAlign w:val="center"/>
                </w:tcPr>
                <w:p w14:paraId="4A6554A6">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1620</w:t>
                  </w:r>
                </w:p>
              </w:tc>
              <w:tc>
                <w:tcPr>
                  <w:tcW w:w="800" w:type="dxa"/>
                  <w:shd w:val="clear" w:color="auto" w:fill="auto"/>
                  <w:vAlign w:val="center"/>
                </w:tcPr>
                <w:p w14:paraId="3B2768E8">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282.96 </w:t>
                  </w:r>
                </w:p>
              </w:tc>
              <w:tc>
                <w:tcPr>
                  <w:tcW w:w="821" w:type="dxa"/>
                  <w:shd w:val="clear" w:color="auto" w:fill="auto"/>
                  <w:vAlign w:val="center"/>
                </w:tcPr>
                <w:p w14:paraId="0A0D58BC">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0.4584</w:t>
                  </w:r>
                </w:p>
              </w:tc>
              <w:tc>
                <w:tcPr>
                  <w:tcW w:w="330" w:type="pct"/>
                  <w:vMerge w:val="continue"/>
                  <w:vAlign w:val="center"/>
                </w:tcPr>
                <w:p w14:paraId="424C8483">
                  <w:pPr>
                    <w:keepNext w:val="0"/>
                    <w:keepLines w:val="0"/>
                    <w:suppressLineNumbers w:val="0"/>
                    <w:spacing w:before="0" w:beforeAutospacing="0" w:after="0" w:afterAutospacing="0"/>
                    <w:ind w:left="0" w:right="0"/>
                    <w:jc w:val="center"/>
                    <w:rPr>
                      <w:rFonts w:hAnsi="宋体"/>
                      <w:color w:val="auto"/>
                      <w:szCs w:val="21"/>
                      <w:highlight w:val="none"/>
                    </w:rPr>
                  </w:pPr>
                </w:p>
              </w:tc>
            </w:tr>
            <w:tr w14:paraId="68AC15A0">
              <w:trPr>
                <w:trHeight w:val="397" w:hRule="atLeast"/>
                <w:jc w:val="center"/>
              </w:trPr>
              <w:tc>
                <w:tcPr>
                  <w:tcW w:w="368" w:type="pct"/>
                  <w:vMerge w:val="continue"/>
                  <w:vAlign w:val="center"/>
                </w:tcPr>
                <w:p w14:paraId="738A8CF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1201526F">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SS</w:t>
                  </w:r>
                </w:p>
              </w:tc>
              <w:tc>
                <w:tcPr>
                  <w:tcW w:w="278" w:type="pct"/>
                  <w:vMerge w:val="continue"/>
                  <w:vAlign w:val="center"/>
                </w:tcPr>
                <w:p w14:paraId="01A8186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7A0B6B9C">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51D1F1AC">
                  <w:pPr>
                    <w:keepNext w:val="0"/>
                    <w:keepLines w:val="0"/>
                    <w:widowControl/>
                    <w:suppressLineNumbers w:val="0"/>
                    <w:spacing w:before="0" w:beforeAutospacing="0" w:after="0" w:afterAutospacing="0"/>
                    <w:ind w:left="0" w:right="0"/>
                    <w:jc w:val="center"/>
                    <w:textAlignment w:val="center"/>
                    <w:rPr>
                      <w:rFonts w:hint="default"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474.07 </w:t>
                  </w:r>
                </w:p>
              </w:tc>
              <w:tc>
                <w:tcPr>
                  <w:tcW w:w="500" w:type="pct"/>
                  <w:vAlign w:val="center"/>
                </w:tcPr>
                <w:p w14:paraId="67D4B7A5">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0.7680 </w:t>
                  </w:r>
                </w:p>
              </w:tc>
              <w:tc>
                <w:tcPr>
                  <w:tcW w:w="364" w:type="pct"/>
                  <w:vMerge w:val="continue"/>
                  <w:vAlign w:val="center"/>
                </w:tcPr>
                <w:p w14:paraId="6691F5F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3E5BF9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w:t>
                  </w:r>
                </w:p>
              </w:tc>
              <w:tc>
                <w:tcPr>
                  <w:tcW w:w="367" w:type="pct"/>
                  <w:vMerge w:val="continue"/>
                  <w:vAlign w:val="center"/>
                </w:tcPr>
                <w:p w14:paraId="227A874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55F17F72">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45993269">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137.04 </w:t>
                  </w:r>
                </w:p>
              </w:tc>
              <w:tc>
                <w:tcPr>
                  <w:tcW w:w="821" w:type="dxa"/>
                  <w:shd w:val="clear" w:color="auto" w:fill="auto"/>
                  <w:vAlign w:val="center"/>
                </w:tcPr>
                <w:p w14:paraId="5C8C0DF7">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0.222</w:t>
                  </w:r>
                </w:p>
              </w:tc>
              <w:tc>
                <w:tcPr>
                  <w:tcW w:w="330" w:type="pct"/>
                  <w:vMerge w:val="continue"/>
                  <w:vAlign w:val="center"/>
                </w:tcPr>
                <w:p w14:paraId="1721EA3B">
                  <w:pPr>
                    <w:keepNext w:val="0"/>
                    <w:keepLines w:val="0"/>
                    <w:suppressLineNumbers w:val="0"/>
                    <w:spacing w:before="0" w:beforeAutospacing="0" w:after="0" w:afterAutospacing="0"/>
                    <w:ind w:left="0" w:right="0"/>
                    <w:jc w:val="center"/>
                    <w:rPr>
                      <w:rFonts w:hAnsi="宋体"/>
                      <w:color w:val="auto"/>
                      <w:szCs w:val="21"/>
                      <w:highlight w:val="none"/>
                    </w:rPr>
                  </w:pPr>
                </w:p>
              </w:tc>
            </w:tr>
            <w:tr w14:paraId="22BD9292">
              <w:trPr>
                <w:trHeight w:val="397" w:hRule="atLeast"/>
                <w:jc w:val="center"/>
              </w:trPr>
              <w:tc>
                <w:tcPr>
                  <w:tcW w:w="368" w:type="pct"/>
                  <w:vMerge w:val="continue"/>
                  <w:vAlign w:val="center"/>
                </w:tcPr>
                <w:p w14:paraId="23E99D7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0E707E13">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NH</w:t>
                  </w:r>
                  <w:r>
                    <w:rPr>
                      <w:rFonts w:hAnsi="宋体"/>
                      <w:color w:val="auto"/>
                      <w:szCs w:val="21"/>
                      <w:highlight w:val="none"/>
                      <w:vertAlign w:val="subscript"/>
                    </w:rPr>
                    <w:t>3</w:t>
                  </w:r>
                  <w:r>
                    <w:rPr>
                      <w:rFonts w:hAnsi="宋体"/>
                      <w:color w:val="auto"/>
                      <w:szCs w:val="21"/>
                      <w:highlight w:val="none"/>
                    </w:rPr>
                    <w:t>-N</w:t>
                  </w:r>
                </w:p>
              </w:tc>
              <w:tc>
                <w:tcPr>
                  <w:tcW w:w="278" w:type="pct"/>
                  <w:vMerge w:val="continue"/>
                  <w:vAlign w:val="center"/>
                </w:tcPr>
                <w:p w14:paraId="4628142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4A6FBF6D">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02EFCCCE">
                  <w:pPr>
                    <w:keepNext w:val="0"/>
                    <w:keepLines w:val="0"/>
                    <w:widowControl/>
                    <w:suppressLineNumbers w:val="0"/>
                    <w:spacing w:before="0" w:beforeAutospacing="0" w:after="0" w:afterAutospacing="0"/>
                    <w:ind w:left="0" w:right="0"/>
                    <w:jc w:val="center"/>
                    <w:textAlignment w:val="center"/>
                    <w:rPr>
                      <w:rFonts w:hint="default"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17.59 </w:t>
                  </w:r>
                </w:p>
              </w:tc>
              <w:tc>
                <w:tcPr>
                  <w:tcW w:w="500" w:type="pct"/>
                  <w:vAlign w:val="center"/>
                </w:tcPr>
                <w:p w14:paraId="75222D51">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0.0285 </w:t>
                  </w:r>
                </w:p>
              </w:tc>
              <w:tc>
                <w:tcPr>
                  <w:tcW w:w="364" w:type="pct"/>
                  <w:vMerge w:val="continue"/>
                  <w:vAlign w:val="center"/>
                </w:tcPr>
                <w:p w14:paraId="2D869C4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3D23FB7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w:t>
                  </w:r>
                </w:p>
              </w:tc>
              <w:tc>
                <w:tcPr>
                  <w:tcW w:w="367" w:type="pct"/>
                  <w:vMerge w:val="continue"/>
                  <w:vAlign w:val="center"/>
                </w:tcPr>
                <w:p w14:paraId="02E27B9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74210453">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5557F0D2">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17.59 </w:t>
                  </w:r>
                </w:p>
              </w:tc>
              <w:tc>
                <w:tcPr>
                  <w:tcW w:w="821" w:type="dxa"/>
                  <w:shd w:val="clear" w:color="auto" w:fill="auto"/>
                  <w:vAlign w:val="center"/>
                </w:tcPr>
                <w:p w14:paraId="09AE9422">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0.0285</w:t>
                  </w:r>
                </w:p>
              </w:tc>
              <w:tc>
                <w:tcPr>
                  <w:tcW w:w="330" w:type="pct"/>
                  <w:vMerge w:val="continue"/>
                  <w:vAlign w:val="center"/>
                </w:tcPr>
                <w:p w14:paraId="6F97FFF3">
                  <w:pPr>
                    <w:keepNext w:val="0"/>
                    <w:keepLines w:val="0"/>
                    <w:suppressLineNumbers w:val="0"/>
                    <w:spacing w:before="0" w:beforeAutospacing="0" w:after="0" w:afterAutospacing="0"/>
                    <w:ind w:left="0" w:right="0"/>
                    <w:jc w:val="center"/>
                    <w:rPr>
                      <w:rFonts w:hAnsi="宋体"/>
                      <w:color w:val="auto"/>
                      <w:szCs w:val="21"/>
                      <w:highlight w:val="none"/>
                    </w:rPr>
                  </w:pPr>
                </w:p>
              </w:tc>
            </w:tr>
            <w:tr w14:paraId="556468C4">
              <w:trPr>
                <w:trHeight w:val="397" w:hRule="atLeast"/>
                <w:jc w:val="center"/>
              </w:trPr>
              <w:tc>
                <w:tcPr>
                  <w:tcW w:w="368" w:type="pct"/>
                  <w:vMerge w:val="continue"/>
                  <w:vAlign w:val="center"/>
                </w:tcPr>
                <w:p w14:paraId="0880210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6116A5CD">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TN</w:t>
                  </w:r>
                </w:p>
              </w:tc>
              <w:tc>
                <w:tcPr>
                  <w:tcW w:w="278" w:type="pct"/>
                  <w:vMerge w:val="continue"/>
                  <w:vAlign w:val="center"/>
                </w:tcPr>
                <w:p w14:paraId="0658E42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73230F71">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5D25207E">
                  <w:pPr>
                    <w:keepNext w:val="0"/>
                    <w:keepLines w:val="0"/>
                    <w:widowControl/>
                    <w:suppressLineNumbers w:val="0"/>
                    <w:spacing w:before="0" w:beforeAutospacing="0" w:after="0" w:afterAutospacing="0"/>
                    <w:ind w:left="0" w:right="0"/>
                    <w:jc w:val="center"/>
                    <w:textAlignment w:val="center"/>
                    <w:rPr>
                      <w:rFonts w:hint="default"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31.67 </w:t>
                  </w:r>
                </w:p>
              </w:tc>
              <w:tc>
                <w:tcPr>
                  <w:tcW w:w="500" w:type="pct"/>
                  <w:vAlign w:val="center"/>
                </w:tcPr>
                <w:p w14:paraId="7E31C9D0">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0.0513 </w:t>
                  </w:r>
                </w:p>
              </w:tc>
              <w:tc>
                <w:tcPr>
                  <w:tcW w:w="364" w:type="pct"/>
                  <w:vMerge w:val="continue"/>
                  <w:vAlign w:val="center"/>
                </w:tcPr>
                <w:p w14:paraId="79C3FAC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4E709AB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w:t>
                  </w:r>
                </w:p>
              </w:tc>
              <w:tc>
                <w:tcPr>
                  <w:tcW w:w="367" w:type="pct"/>
                  <w:vMerge w:val="continue"/>
                  <w:vAlign w:val="center"/>
                </w:tcPr>
                <w:p w14:paraId="7C0B292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0335DA1A">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1BEC221B">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31.67 </w:t>
                  </w:r>
                </w:p>
              </w:tc>
              <w:tc>
                <w:tcPr>
                  <w:tcW w:w="821" w:type="dxa"/>
                  <w:shd w:val="clear" w:color="auto" w:fill="auto"/>
                  <w:vAlign w:val="center"/>
                </w:tcPr>
                <w:p w14:paraId="4760C3B7">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0.0513</w:t>
                  </w:r>
                </w:p>
              </w:tc>
              <w:tc>
                <w:tcPr>
                  <w:tcW w:w="330" w:type="pct"/>
                  <w:vMerge w:val="continue"/>
                  <w:vAlign w:val="center"/>
                </w:tcPr>
                <w:p w14:paraId="649E5E03">
                  <w:pPr>
                    <w:keepNext w:val="0"/>
                    <w:keepLines w:val="0"/>
                    <w:suppressLineNumbers w:val="0"/>
                    <w:spacing w:before="0" w:beforeAutospacing="0" w:after="0" w:afterAutospacing="0"/>
                    <w:ind w:left="0" w:right="0"/>
                    <w:jc w:val="center"/>
                    <w:rPr>
                      <w:rFonts w:hAnsi="宋体"/>
                      <w:color w:val="auto"/>
                      <w:szCs w:val="21"/>
                      <w:highlight w:val="none"/>
                    </w:rPr>
                  </w:pPr>
                </w:p>
              </w:tc>
            </w:tr>
            <w:tr w14:paraId="396F1989">
              <w:trPr>
                <w:trHeight w:val="397" w:hRule="atLeast"/>
                <w:jc w:val="center"/>
              </w:trPr>
              <w:tc>
                <w:tcPr>
                  <w:tcW w:w="368" w:type="pct"/>
                  <w:vMerge w:val="continue"/>
                  <w:vAlign w:val="center"/>
                </w:tcPr>
                <w:p w14:paraId="6ABFFFB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4327D449">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TP</w:t>
                  </w:r>
                </w:p>
              </w:tc>
              <w:tc>
                <w:tcPr>
                  <w:tcW w:w="278" w:type="pct"/>
                  <w:vMerge w:val="continue"/>
                  <w:vAlign w:val="center"/>
                </w:tcPr>
                <w:p w14:paraId="1504E88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0980821C">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0531384F">
                  <w:pPr>
                    <w:keepNext w:val="0"/>
                    <w:keepLines w:val="0"/>
                    <w:widowControl/>
                    <w:suppressLineNumbers w:val="0"/>
                    <w:spacing w:before="0" w:beforeAutospacing="0" w:after="0" w:afterAutospacing="0"/>
                    <w:ind w:left="0" w:right="0"/>
                    <w:jc w:val="center"/>
                    <w:textAlignment w:val="center"/>
                    <w:rPr>
                      <w:rFonts w:hint="eastAsia"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2.10 </w:t>
                  </w:r>
                </w:p>
              </w:tc>
              <w:tc>
                <w:tcPr>
                  <w:tcW w:w="500" w:type="pct"/>
                  <w:vAlign w:val="center"/>
                </w:tcPr>
                <w:p w14:paraId="50E33DBB">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364" w:type="pct"/>
                  <w:vMerge w:val="continue"/>
                  <w:vAlign w:val="center"/>
                </w:tcPr>
                <w:p w14:paraId="2F7400D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6176093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w:t>
                  </w:r>
                </w:p>
              </w:tc>
              <w:tc>
                <w:tcPr>
                  <w:tcW w:w="367" w:type="pct"/>
                  <w:vMerge w:val="continue"/>
                  <w:vAlign w:val="center"/>
                </w:tcPr>
                <w:p w14:paraId="70F0950C">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47CBFE9F">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69C432E8">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2.10 </w:t>
                  </w:r>
                </w:p>
              </w:tc>
              <w:tc>
                <w:tcPr>
                  <w:tcW w:w="821" w:type="dxa"/>
                  <w:shd w:val="clear" w:color="auto" w:fill="auto"/>
                  <w:vAlign w:val="center"/>
                </w:tcPr>
                <w:p w14:paraId="2A95CB89">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330" w:type="pct"/>
                  <w:vMerge w:val="continue"/>
                  <w:vAlign w:val="center"/>
                </w:tcPr>
                <w:p w14:paraId="0678111D">
                  <w:pPr>
                    <w:keepNext w:val="0"/>
                    <w:keepLines w:val="0"/>
                    <w:suppressLineNumbers w:val="0"/>
                    <w:spacing w:before="0" w:beforeAutospacing="0" w:after="0" w:afterAutospacing="0"/>
                    <w:ind w:left="0" w:right="0"/>
                    <w:jc w:val="center"/>
                    <w:rPr>
                      <w:rFonts w:hAnsi="宋体"/>
                      <w:color w:val="auto"/>
                      <w:szCs w:val="21"/>
                      <w:highlight w:val="none"/>
                    </w:rPr>
                  </w:pPr>
                </w:p>
              </w:tc>
            </w:tr>
            <w:tr w14:paraId="44842763">
              <w:trPr>
                <w:trHeight w:val="397" w:hRule="atLeast"/>
                <w:jc w:val="center"/>
              </w:trPr>
              <w:tc>
                <w:tcPr>
                  <w:tcW w:w="368" w:type="pct"/>
                  <w:vMerge w:val="continue"/>
                  <w:vAlign w:val="center"/>
                </w:tcPr>
                <w:p w14:paraId="5454CDC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7224E2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石油类</w:t>
                  </w:r>
                </w:p>
              </w:tc>
              <w:tc>
                <w:tcPr>
                  <w:tcW w:w="278" w:type="pct"/>
                  <w:vMerge w:val="continue"/>
                  <w:vAlign w:val="center"/>
                </w:tcPr>
                <w:p w14:paraId="1C15F45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0CD397DB">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1B8581F0">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11.85 </w:t>
                  </w:r>
                </w:p>
              </w:tc>
              <w:tc>
                <w:tcPr>
                  <w:tcW w:w="500" w:type="pct"/>
                  <w:vAlign w:val="center"/>
                </w:tcPr>
                <w:p w14:paraId="56CBE5DD">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0.0192 </w:t>
                  </w:r>
                </w:p>
              </w:tc>
              <w:tc>
                <w:tcPr>
                  <w:tcW w:w="364" w:type="pct"/>
                  <w:vMerge w:val="continue"/>
                  <w:vAlign w:val="center"/>
                </w:tcPr>
                <w:p w14:paraId="75ECAA7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4DEBDC6C">
                  <w:pPr>
                    <w:keepNext w:val="0"/>
                    <w:keepLines w:val="0"/>
                    <w:suppressLineNumbers w:val="0"/>
                    <w:adjustRightInd w:val="0"/>
                    <w:snapToGrid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w:t>
                  </w:r>
                </w:p>
              </w:tc>
              <w:tc>
                <w:tcPr>
                  <w:tcW w:w="367" w:type="pct"/>
                  <w:vMerge w:val="continue"/>
                  <w:vAlign w:val="center"/>
                </w:tcPr>
                <w:p w14:paraId="7AC2D19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50DEB7D0">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shd w:val="clear" w:color="auto" w:fill="auto"/>
                  <w:vAlign w:val="center"/>
                </w:tcPr>
                <w:p w14:paraId="04D551DE">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4.74 </w:t>
                  </w:r>
                </w:p>
              </w:tc>
              <w:tc>
                <w:tcPr>
                  <w:tcW w:w="821" w:type="dxa"/>
                  <w:shd w:val="clear" w:color="auto" w:fill="auto"/>
                  <w:vAlign w:val="center"/>
                </w:tcPr>
                <w:p w14:paraId="415F4453">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0.00768</w:t>
                  </w:r>
                </w:p>
              </w:tc>
              <w:tc>
                <w:tcPr>
                  <w:tcW w:w="330" w:type="pct"/>
                  <w:vMerge w:val="continue"/>
                  <w:vAlign w:val="center"/>
                </w:tcPr>
                <w:p w14:paraId="198CC3F4">
                  <w:pPr>
                    <w:keepNext w:val="0"/>
                    <w:keepLines w:val="0"/>
                    <w:suppressLineNumbers w:val="0"/>
                    <w:spacing w:before="0" w:beforeAutospacing="0" w:after="0" w:afterAutospacing="0"/>
                    <w:ind w:left="0" w:right="0"/>
                    <w:jc w:val="center"/>
                    <w:rPr>
                      <w:rFonts w:hAnsi="宋体"/>
                      <w:color w:val="auto"/>
                      <w:szCs w:val="21"/>
                      <w:highlight w:val="none"/>
                    </w:rPr>
                  </w:pPr>
                </w:p>
              </w:tc>
            </w:tr>
            <w:tr w14:paraId="28E3582F">
              <w:trPr>
                <w:trHeight w:val="397" w:hRule="atLeast"/>
                <w:jc w:val="center"/>
              </w:trPr>
              <w:tc>
                <w:tcPr>
                  <w:tcW w:w="368" w:type="pct"/>
                  <w:vMerge w:val="continue"/>
                  <w:vAlign w:val="center"/>
                </w:tcPr>
                <w:p w14:paraId="1FE96F2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70" w:type="pct"/>
                  <w:shd w:val="clear" w:color="auto" w:fill="auto"/>
                  <w:vAlign w:val="center"/>
                </w:tcPr>
                <w:p w14:paraId="026545A1">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lang w:eastAsia="zh-CN"/>
                    </w:rPr>
                    <w:t>动植物油</w:t>
                  </w:r>
                </w:p>
              </w:tc>
              <w:tc>
                <w:tcPr>
                  <w:tcW w:w="278" w:type="pct"/>
                  <w:vMerge w:val="continue"/>
                  <w:vAlign w:val="center"/>
                </w:tcPr>
                <w:p w14:paraId="5EBDBD7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7" w:type="pct"/>
                  <w:vMerge w:val="continue"/>
                  <w:vAlign w:val="center"/>
                </w:tcPr>
                <w:p w14:paraId="15723ADB">
                  <w:pPr>
                    <w:keepNext w:val="0"/>
                    <w:keepLines w:val="0"/>
                    <w:suppressLineNumbers w:val="0"/>
                    <w:spacing w:before="0" w:beforeAutospacing="0" w:after="0" w:afterAutospacing="0"/>
                    <w:ind w:left="0" w:right="0"/>
                    <w:jc w:val="center"/>
                    <w:rPr>
                      <w:rFonts w:hAnsi="宋体"/>
                      <w:color w:val="auto"/>
                      <w:szCs w:val="21"/>
                      <w:highlight w:val="none"/>
                    </w:rPr>
                  </w:pPr>
                </w:p>
              </w:tc>
              <w:tc>
                <w:tcPr>
                  <w:tcW w:w="376" w:type="pct"/>
                  <w:vAlign w:val="center"/>
                </w:tcPr>
                <w:p w14:paraId="51E52E91">
                  <w:pPr>
                    <w:keepNext w:val="0"/>
                    <w:keepLines w:val="0"/>
                    <w:widowControl/>
                    <w:suppressLineNumbers w:val="0"/>
                    <w:spacing w:before="0" w:beforeAutospacing="0" w:after="0" w:afterAutospacing="0"/>
                    <w:ind w:left="0" w:right="0"/>
                    <w:jc w:val="center"/>
                    <w:textAlignment w:val="center"/>
                    <w:rPr>
                      <w:rFonts w:hint="default"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17.78 </w:t>
                  </w:r>
                </w:p>
              </w:tc>
              <w:tc>
                <w:tcPr>
                  <w:tcW w:w="500" w:type="pct"/>
                  <w:vAlign w:val="center"/>
                </w:tcPr>
                <w:p w14:paraId="27C4EE8B">
                  <w:pPr>
                    <w:keepNext w:val="0"/>
                    <w:keepLines w:val="0"/>
                    <w:widowControl/>
                    <w:suppressLineNumbers w:val="0"/>
                    <w:spacing w:before="0" w:beforeAutospacing="0" w:after="0" w:afterAutospacing="0"/>
                    <w:ind w:left="0" w:right="0"/>
                    <w:jc w:val="center"/>
                    <w:textAlignment w:val="center"/>
                    <w:rPr>
                      <w:rFonts w:hint="default" w:hAnsi="宋体"/>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0.0288 </w:t>
                  </w:r>
                </w:p>
              </w:tc>
              <w:tc>
                <w:tcPr>
                  <w:tcW w:w="364" w:type="pct"/>
                  <w:vMerge w:val="continue"/>
                  <w:vAlign w:val="center"/>
                </w:tcPr>
                <w:p w14:paraId="59D9637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3" w:type="pct"/>
                  <w:shd w:val="clear" w:color="auto" w:fill="auto"/>
                  <w:vAlign w:val="center"/>
                </w:tcPr>
                <w:p w14:paraId="4950E9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w:t>
                  </w:r>
                </w:p>
              </w:tc>
              <w:tc>
                <w:tcPr>
                  <w:tcW w:w="367" w:type="pct"/>
                  <w:vMerge w:val="continue"/>
                  <w:vAlign w:val="center"/>
                </w:tcPr>
                <w:p w14:paraId="1529670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6" w:type="pct"/>
                  <w:vMerge w:val="continue"/>
                  <w:vAlign w:val="center"/>
                </w:tcPr>
                <w:p w14:paraId="09628B40">
                  <w:pPr>
                    <w:keepNext w:val="0"/>
                    <w:keepLines w:val="0"/>
                    <w:suppressLineNumbers w:val="0"/>
                    <w:spacing w:before="0" w:beforeAutospacing="0" w:after="0" w:afterAutospacing="0"/>
                    <w:ind w:left="0" w:right="0"/>
                    <w:jc w:val="center"/>
                    <w:rPr>
                      <w:rFonts w:hAnsi="宋体"/>
                      <w:color w:val="auto"/>
                      <w:szCs w:val="21"/>
                      <w:highlight w:val="none"/>
                    </w:rPr>
                  </w:pPr>
                </w:p>
              </w:tc>
              <w:tc>
                <w:tcPr>
                  <w:tcW w:w="800" w:type="dxa"/>
                  <w:vAlign w:val="center"/>
                </w:tcPr>
                <w:p w14:paraId="6ABBA1EF">
                  <w:pPr>
                    <w:keepNext w:val="0"/>
                    <w:keepLines w:val="0"/>
                    <w:widowControl/>
                    <w:suppressLineNumbers w:val="0"/>
                    <w:spacing w:before="0" w:beforeAutospacing="0" w:after="0" w:afterAutospacing="0"/>
                    <w:ind w:left="0" w:right="0"/>
                    <w:jc w:val="center"/>
                    <w:textAlignment w:val="center"/>
                    <w:rPr>
                      <w:rFonts w:hint="default" w:hAnsi="宋体" w:eastAsiaTheme="minorEastAsia"/>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8.89 </w:t>
                  </w:r>
                </w:p>
              </w:tc>
              <w:tc>
                <w:tcPr>
                  <w:tcW w:w="821" w:type="dxa"/>
                  <w:shd w:val="clear" w:color="auto" w:fill="auto"/>
                  <w:vAlign w:val="center"/>
                </w:tcPr>
                <w:p w14:paraId="2A1AACAB">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0.0144</w:t>
                  </w:r>
                </w:p>
              </w:tc>
              <w:tc>
                <w:tcPr>
                  <w:tcW w:w="330" w:type="pct"/>
                  <w:vMerge w:val="continue"/>
                  <w:vAlign w:val="center"/>
                </w:tcPr>
                <w:p w14:paraId="0DD8B476">
                  <w:pPr>
                    <w:keepNext w:val="0"/>
                    <w:keepLines w:val="0"/>
                    <w:suppressLineNumbers w:val="0"/>
                    <w:spacing w:before="0" w:beforeAutospacing="0" w:after="0" w:afterAutospacing="0"/>
                    <w:ind w:left="0" w:right="0"/>
                    <w:jc w:val="center"/>
                    <w:rPr>
                      <w:rFonts w:hAnsi="宋体"/>
                      <w:color w:val="auto"/>
                      <w:szCs w:val="21"/>
                      <w:highlight w:val="none"/>
                    </w:rPr>
                  </w:pPr>
                </w:p>
              </w:tc>
            </w:tr>
          </w:tbl>
          <w:p w14:paraId="23E00898">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建设项目废水类别、污染物及污染治理设施情况见表4-1</w:t>
            </w:r>
            <w:r>
              <w:rPr>
                <w:rFonts w:hint="eastAsia" w:hAnsi="宋体"/>
                <w:color w:val="auto"/>
                <w:sz w:val="24"/>
                <w:highlight w:val="none"/>
                <w:lang w:val="en-US" w:eastAsia="zh-CN"/>
              </w:rPr>
              <w:t>4</w:t>
            </w:r>
            <w:r>
              <w:rPr>
                <w:rFonts w:hAnsi="宋体"/>
                <w:color w:val="auto"/>
                <w:sz w:val="24"/>
                <w:highlight w:val="none"/>
              </w:rPr>
              <w:t>。</w:t>
            </w:r>
          </w:p>
          <w:p w14:paraId="258AB63E">
            <w:pPr>
              <w:keepNext w:val="0"/>
              <w:keepLines w:val="0"/>
              <w:suppressLineNumbers w:val="0"/>
              <w:adjustRightInd w:val="0"/>
              <w:snapToGrid w:val="0"/>
              <w:spacing w:before="0" w:beforeAutospacing="0" w:after="0" w:afterAutospacing="0"/>
              <w:ind w:left="0" w:right="0" w:firstLine="361" w:firstLineChars="150"/>
              <w:contextualSpacing/>
              <w:jc w:val="center"/>
              <w:rPr>
                <w:b/>
                <w:bCs/>
                <w:color w:val="auto"/>
                <w:highlight w:val="none"/>
              </w:rPr>
            </w:pPr>
            <w:r>
              <w:rPr>
                <w:rFonts w:hAnsi="宋体"/>
                <w:b/>
                <w:bCs/>
                <w:color w:val="auto"/>
                <w:sz w:val="24"/>
                <w:highlight w:val="none"/>
              </w:rPr>
              <w:t>表4-1</w:t>
            </w:r>
            <w:r>
              <w:rPr>
                <w:rFonts w:hint="eastAsia" w:hAnsi="宋体"/>
                <w:b/>
                <w:bCs/>
                <w:color w:val="auto"/>
                <w:sz w:val="24"/>
                <w:highlight w:val="none"/>
                <w:lang w:val="en-US" w:eastAsia="zh-CN"/>
              </w:rPr>
              <w:t>4</w:t>
            </w:r>
            <w:r>
              <w:rPr>
                <w:rFonts w:hAnsi="宋体"/>
                <w:b/>
                <w:bCs/>
                <w:color w:val="auto"/>
                <w:sz w:val="24"/>
                <w:highlight w:val="none"/>
              </w:rPr>
              <w:t xml:space="preserve">  项目废水类别、污染物及污染防治措施信息表</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821"/>
              <w:gridCol w:w="648"/>
              <w:gridCol w:w="790"/>
              <w:gridCol w:w="648"/>
              <w:gridCol w:w="546"/>
              <w:gridCol w:w="501"/>
              <w:gridCol w:w="437"/>
              <w:gridCol w:w="1077"/>
              <w:gridCol w:w="671"/>
              <w:gridCol w:w="732"/>
              <w:gridCol w:w="929"/>
            </w:tblGrid>
            <w:tr w14:paraId="27533BE6">
              <w:trPr>
                <w:trHeight w:val="145" w:hRule="atLeast"/>
                <w:jc w:val="center"/>
              </w:trPr>
              <w:tc>
                <w:tcPr>
                  <w:tcW w:w="304" w:type="pct"/>
                  <w:vMerge w:val="restart"/>
                  <w:vAlign w:val="center"/>
                </w:tcPr>
                <w:p w14:paraId="2070B00E">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废水</w:t>
                  </w:r>
                </w:p>
                <w:p w14:paraId="1D45C676">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类别</w:t>
                  </w:r>
                </w:p>
              </w:tc>
              <w:tc>
                <w:tcPr>
                  <w:tcW w:w="510" w:type="pct"/>
                  <w:vMerge w:val="restart"/>
                  <w:vAlign w:val="center"/>
                </w:tcPr>
                <w:p w14:paraId="6049E9F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污染物种类</w:t>
                  </w:r>
                </w:p>
              </w:tc>
              <w:tc>
                <w:tcPr>
                  <w:tcW w:w="1555" w:type="pct"/>
                  <w:gridSpan w:val="4"/>
                  <w:vAlign w:val="center"/>
                </w:tcPr>
                <w:p w14:paraId="0EC73C17">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污染治理设施情况</w:t>
                  </w:r>
                </w:p>
              </w:tc>
              <w:tc>
                <w:tcPr>
                  <w:tcW w:w="317" w:type="pct"/>
                  <w:vMerge w:val="restart"/>
                  <w:vAlign w:val="center"/>
                </w:tcPr>
                <w:p w14:paraId="5D38797A">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排放去向</w:t>
                  </w:r>
                </w:p>
              </w:tc>
              <w:tc>
                <w:tcPr>
                  <w:tcW w:w="278" w:type="pct"/>
                  <w:vMerge w:val="restart"/>
                  <w:vAlign w:val="center"/>
                </w:tcPr>
                <w:p w14:paraId="230DF5B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排放方式</w:t>
                  </w:r>
                </w:p>
              </w:tc>
              <w:tc>
                <w:tcPr>
                  <w:tcW w:w="664" w:type="pct"/>
                  <w:vMerge w:val="restart"/>
                  <w:vAlign w:val="center"/>
                </w:tcPr>
                <w:p w14:paraId="2A32C3C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w:t>
                  </w:r>
                </w:p>
                <w:p w14:paraId="3407655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规律</w:t>
                  </w:r>
                </w:p>
              </w:tc>
              <w:tc>
                <w:tcPr>
                  <w:tcW w:w="336" w:type="pct"/>
                  <w:vMerge w:val="restart"/>
                  <w:vAlign w:val="center"/>
                </w:tcPr>
                <w:p w14:paraId="6B8F333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排放口编号</w:t>
                  </w:r>
                </w:p>
              </w:tc>
              <w:tc>
                <w:tcPr>
                  <w:tcW w:w="456" w:type="pct"/>
                  <w:vMerge w:val="restart"/>
                  <w:vAlign w:val="center"/>
                </w:tcPr>
                <w:p w14:paraId="382BF05C">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排放口</w:t>
                  </w:r>
                </w:p>
                <w:p w14:paraId="4D942614">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类型</w:t>
                  </w:r>
                </w:p>
              </w:tc>
              <w:tc>
                <w:tcPr>
                  <w:tcW w:w="575" w:type="pct"/>
                  <w:vMerge w:val="restart"/>
                  <w:vAlign w:val="center"/>
                </w:tcPr>
                <w:p w14:paraId="4663FAE1">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执行标准</w:t>
                  </w:r>
                </w:p>
              </w:tc>
            </w:tr>
            <w:tr w14:paraId="4A3FFE65">
              <w:trPr>
                <w:trHeight w:val="623" w:hRule="atLeast"/>
                <w:jc w:val="center"/>
              </w:trPr>
              <w:tc>
                <w:tcPr>
                  <w:tcW w:w="304" w:type="pct"/>
                  <w:vMerge w:val="continue"/>
                  <w:vAlign w:val="center"/>
                </w:tcPr>
                <w:p w14:paraId="53444AE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510" w:type="pct"/>
                  <w:vMerge w:val="continue"/>
                  <w:vAlign w:val="center"/>
                </w:tcPr>
                <w:p w14:paraId="4E51376A">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383" w:type="pct"/>
                  <w:vAlign w:val="center"/>
                </w:tcPr>
                <w:p w14:paraId="18EDCCD3">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污染治理设施编号</w:t>
                  </w:r>
                </w:p>
              </w:tc>
              <w:tc>
                <w:tcPr>
                  <w:tcW w:w="491" w:type="pct"/>
                  <w:vAlign w:val="center"/>
                </w:tcPr>
                <w:p w14:paraId="082A8762">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污染治理设施工艺</w:t>
                  </w:r>
                </w:p>
              </w:tc>
              <w:tc>
                <w:tcPr>
                  <w:tcW w:w="337" w:type="pct"/>
                  <w:vAlign w:val="center"/>
                </w:tcPr>
                <w:p w14:paraId="0C2D6E1C">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处理能力</w:t>
                  </w:r>
                </w:p>
              </w:tc>
              <w:tc>
                <w:tcPr>
                  <w:tcW w:w="342" w:type="pct"/>
                  <w:vAlign w:val="center"/>
                </w:tcPr>
                <w:p w14:paraId="643D958E">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是否为可行技术</w:t>
                  </w:r>
                </w:p>
              </w:tc>
              <w:tc>
                <w:tcPr>
                  <w:tcW w:w="317" w:type="pct"/>
                  <w:vMerge w:val="continue"/>
                  <w:vAlign w:val="center"/>
                </w:tcPr>
                <w:p w14:paraId="471A92C9">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278" w:type="pct"/>
                  <w:vMerge w:val="continue"/>
                  <w:vAlign w:val="center"/>
                </w:tcPr>
                <w:p w14:paraId="57781454">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664" w:type="pct"/>
                  <w:vMerge w:val="continue"/>
                  <w:vAlign w:val="center"/>
                </w:tcPr>
                <w:p w14:paraId="3B872BA1">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336" w:type="pct"/>
                  <w:vMerge w:val="continue"/>
                  <w:vAlign w:val="center"/>
                </w:tcPr>
                <w:p w14:paraId="1827E21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456" w:type="pct"/>
                  <w:vMerge w:val="continue"/>
                  <w:vAlign w:val="center"/>
                </w:tcPr>
                <w:p w14:paraId="12AEF32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575" w:type="pct"/>
                  <w:vMerge w:val="continue"/>
                  <w:vAlign w:val="center"/>
                </w:tcPr>
                <w:p w14:paraId="0782F787">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r>
            <w:tr w14:paraId="5D516A93">
              <w:trPr>
                <w:trHeight w:val="145" w:hRule="atLeast"/>
                <w:jc w:val="center"/>
              </w:trPr>
              <w:tc>
                <w:tcPr>
                  <w:tcW w:w="304" w:type="pct"/>
                  <w:vAlign w:val="center"/>
                </w:tcPr>
                <w:p w14:paraId="1536EA56">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hAnsi="宋体"/>
                      <w:color w:val="auto"/>
                      <w:szCs w:val="21"/>
                      <w:highlight w:val="none"/>
                      <w:lang w:val="en-US" w:eastAsia="zh-CN"/>
                    </w:rPr>
                    <w:t>综合生活污水</w:t>
                  </w:r>
                </w:p>
              </w:tc>
              <w:tc>
                <w:tcPr>
                  <w:tcW w:w="510" w:type="pct"/>
                  <w:vAlign w:val="center"/>
                </w:tcPr>
                <w:p w14:paraId="3546D4B5">
                  <w:pPr>
                    <w:keepNext w:val="0"/>
                    <w:keepLines w:val="0"/>
                    <w:suppressLineNumbers w:val="0"/>
                    <w:adjustRightInd w:val="0"/>
                    <w:spacing w:before="0" w:beforeAutospacing="0" w:after="0" w:afterAutospacing="0"/>
                    <w:ind w:left="-105" w:leftChars="-50" w:right="-105" w:rightChars="-50"/>
                    <w:contextualSpacing/>
                    <w:jc w:val="center"/>
                    <w:rPr>
                      <w:rFonts w:hint="default" w:hAnsi="宋体" w:eastAsiaTheme="minorEastAsia"/>
                      <w:color w:val="auto"/>
                      <w:szCs w:val="21"/>
                      <w:highlight w:val="none"/>
                      <w:lang w:val="en-US" w:eastAsia="zh-CN"/>
                    </w:rPr>
                  </w:pPr>
                  <w:r>
                    <w:rPr>
                      <w:rFonts w:hAnsi="宋体"/>
                      <w:color w:val="auto"/>
                      <w:szCs w:val="21"/>
                      <w:highlight w:val="none"/>
                    </w:rPr>
                    <w:t>COD、SS、NH</w:t>
                  </w:r>
                  <w:r>
                    <w:rPr>
                      <w:rFonts w:hAnsi="宋体"/>
                      <w:color w:val="auto"/>
                      <w:szCs w:val="21"/>
                      <w:highlight w:val="none"/>
                      <w:vertAlign w:val="subscript"/>
                    </w:rPr>
                    <w:t>3</w:t>
                  </w:r>
                  <w:r>
                    <w:rPr>
                      <w:rFonts w:hAnsi="宋体"/>
                      <w:color w:val="auto"/>
                      <w:szCs w:val="21"/>
                      <w:highlight w:val="none"/>
                    </w:rPr>
                    <w:t>-N、TN、TP</w:t>
                  </w:r>
                  <w:r>
                    <w:rPr>
                      <w:rFonts w:hint="eastAsia" w:hAnsi="宋体"/>
                      <w:color w:val="auto"/>
                      <w:szCs w:val="21"/>
                      <w:highlight w:val="none"/>
                      <w:lang w:eastAsia="zh-CN"/>
                    </w:rPr>
                    <w:t>、</w:t>
                  </w:r>
                  <w:r>
                    <w:rPr>
                      <w:rFonts w:hint="eastAsia" w:hAnsi="宋体"/>
                      <w:color w:val="auto"/>
                      <w:szCs w:val="21"/>
                      <w:highlight w:val="none"/>
                      <w:lang w:val="en-US" w:eastAsia="zh-CN"/>
                    </w:rPr>
                    <w:t>动植物油</w:t>
                  </w:r>
                </w:p>
              </w:tc>
              <w:tc>
                <w:tcPr>
                  <w:tcW w:w="383" w:type="pct"/>
                  <w:vAlign w:val="center"/>
                </w:tcPr>
                <w:p w14:paraId="0DEBC002">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TW00</w:t>
                  </w:r>
                  <w:r>
                    <w:rPr>
                      <w:rFonts w:hint="eastAsia" w:hAnsi="宋体"/>
                      <w:color w:val="auto"/>
                      <w:szCs w:val="21"/>
                      <w:highlight w:val="none"/>
                    </w:rPr>
                    <w:t>1</w:t>
                  </w:r>
                </w:p>
              </w:tc>
              <w:tc>
                <w:tcPr>
                  <w:tcW w:w="491" w:type="pct"/>
                  <w:vAlign w:val="center"/>
                </w:tcPr>
                <w:p w14:paraId="2D233203">
                  <w:pPr>
                    <w:keepNext w:val="0"/>
                    <w:keepLines w:val="0"/>
                    <w:suppressLineNumbers w:val="0"/>
                    <w:adjustRightInd w:val="0"/>
                    <w:spacing w:before="0" w:beforeAutospacing="0" w:after="0" w:afterAutospacing="0"/>
                    <w:ind w:left="-105" w:leftChars="-50" w:right="-105" w:rightChars="-50"/>
                    <w:contextualSpacing/>
                    <w:jc w:val="center"/>
                    <w:rPr>
                      <w:rFonts w:hint="default" w:hAnsi="宋体" w:eastAsiaTheme="minorEastAsia"/>
                      <w:color w:val="auto"/>
                      <w:szCs w:val="21"/>
                      <w:highlight w:val="none"/>
                      <w:lang w:val="en-US" w:eastAsia="zh-CN"/>
                    </w:rPr>
                  </w:pPr>
                  <w:r>
                    <w:rPr>
                      <w:rFonts w:hint="eastAsia" w:ascii="Times New Roman" w:hAnsi="Times New Roman" w:cs="Times New Roman"/>
                      <w:color w:val="auto"/>
                      <w:kern w:val="0"/>
                      <w:sz w:val="21"/>
                      <w:szCs w:val="21"/>
                      <w:lang w:val="zh-CN"/>
                    </w:rPr>
                    <w:t>隔油</w:t>
                  </w: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沉淀</w:t>
                  </w:r>
                </w:p>
              </w:tc>
              <w:tc>
                <w:tcPr>
                  <w:tcW w:w="337" w:type="pct"/>
                  <w:vAlign w:val="center"/>
                </w:tcPr>
                <w:p w14:paraId="79F75340">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default" w:ascii="Times New Roman" w:hAnsi="Times New Roman" w:cs="Times New Roman"/>
                      <w:color w:val="auto"/>
                      <w:kern w:val="0"/>
                      <w:sz w:val="21"/>
                      <w:szCs w:val="21"/>
                      <w:lang w:val="zh-CN"/>
                    </w:rPr>
                    <w:t>化粪池</w:t>
                  </w: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0</w:t>
                  </w:r>
                  <w:r>
                    <w:rPr>
                      <w:rFonts w:hint="eastAsia" w:ascii="Times New Roman" w:hAnsi="Times New Roman" w:cs="Times New Roman"/>
                      <w:color w:val="auto"/>
                      <w:kern w:val="0"/>
                      <w:sz w:val="21"/>
                      <w:szCs w:val="21"/>
                      <w:lang w:val="en-US" w:eastAsia="zh-CN"/>
                    </w:rPr>
                    <w:t>t</w:t>
                  </w:r>
                  <w:r>
                    <w:rPr>
                      <w:rFonts w:hint="default" w:ascii="Times New Roman" w:hAnsi="Times New Roman" w:cs="Times New Roman"/>
                      <w:color w:val="auto"/>
                      <w:kern w:val="0"/>
                      <w:sz w:val="21"/>
                      <w:szCs w:val="21"/>
                      <w:lang w:val="zh-CN"/>
                    </w:rPr>
                    <w:t>/d</w:t>
                  </w:r>
                  <w:r>
                    <w:rPr>
                      <w:rFonts w:hint="eastAsia" w:ascii="Times New Roman" w:hAnsi="Times New Roman" w:cs="Times New Roman"/>
                      <w:color w:val="auto"/>
                      <w:kern w:val="0"/>
                      <w:sz w:val="21"/>
                      <w:szCs w:val="21"/>
                      <w:lang w:val="zh-CN"/>
                    </w:rPr>
                    <w:t>、隔油池</w:t>
                  </w:r>
                  <w:r>
                    <w:rPr>
                      <w:rFonts w:hint="eastAsia" w:ascii="Times New Roman" w:hAnsi="Times New Roman" w:cs="Times New Roman"/>
                      <w:color w:val="auto"/>
                      <w:kern w:val="0"/>
                      <w:sz w:val="21"/>
                      <w:szCs w:val="21"/>
                      <w:lang w:val="en-US" w:eastAsia="zh-CN"/>
                    </w:rPr>
                    <w:t>5t</w:t>
                  </w:r>
                  <w:r>
                    <w:rPr>
                      <w:rFonts w:hint="default" w:ascii="Times New Roman" w:hAnsi="Times New Roman" w:cs="Times New Roman"/>
                      <w:color w:val="auto"/>
                      <w:kern w:val="0"/>
                      <w:sz w:val="21"/>
                      <w:szCs w:val="21"/>
                      <w:lang w:val="zh-CN"/>
                    </w:rPr>
                    <w:t>/d</w:t>
                  </w:r>
                </w:p>
              </w:tc>
              <w:tc>
                <w:tcPr>
                  <w:tcW w:w="342" w:type="pct"/>
                  <w:vAlign w:val="center"/>
                </w:tcPr>
                <w:p w14:paraId="1AD72E77">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hAnsi="宋体"/>
                      <w:color w:val="auto"/>
                      <w:szCs w:val="21"/>
                      <w:highlight w:val="none"/>
                    </w:rPr>
                    <w:t>是</w:t>
                  </w:r>
                </w:p>
              </w:tc>
              <w:tc>
                <w:tcPr>
                  <w:tcW w:w="317" w:type="pct"/>
                  <w:vMerge w:val="restart"/>
                  <w:vAlign w:val="center"/>
                </w:tcPr>
                <w:p w14:paraId="110405D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ascii="宋体" w:hAnsi="宋体"/>
                      <w:color w:val="auto"/>
                      <w:sz w:val="21"/>
                      <w:szCs w:val="21"/>
                      <w:highlight w:val="none"/>
                    </w:rPr>
                    <w:t>涟水经济开发区西区污水处理厂</w:t>
                  </w:r>
                </w:p>
              </w:tc>
              <w:tc>
                <w:tcPr>
                  <w:tcW w:w="278" w:type="pct"/>
                  <w:vMerge w:val="restart"/>
                  <w:vAlign w:val="center"/>
                </w:tcPr>
                <w:p w14:paraId="45333EB9">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hAnsi="宋体"/>
                      <w:color w:val="auto"/>
                      <w:szCs w:val="21"/>
                      <w:highlight w:val="none"/>
                    </w:rPr>
                    <w:t>间接排放</w:t>
                  </w:r>
                </w:p>
              </w:tc>
              <w:tc>
                <w:tcPr>
                  <w:tcW w:w="664" w:type="pct"/>
                  <w:vMerge w:val="restart"/>
                  <w:vAlign w:val="center"/>
                </w:tcPr>
                <w:p w14:paraId="0D86DA3A">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间断排放，排放期间流量不稳定，但有规律，且不属于非周期性规律</w:t>
                  </w:r>
                </w:p>
              </w:tc>
              <w:tc>
                <w:tcPr>
                  <w:tcW w:w="336" w:type="pct"/>
                  <w:vMerge w:val="restart"/>
                  <w:vAlign w:val="center"/>
                </w:tcPr>
                <w:p w14:paraId="005583D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DW001</w:t>
                  </w:r>
                </w:p>
              </w:tc>
              <w:tc>
                <w:tcPr>
                  <w:tcW w:w="456" w:type="pct"/>
                  <w:vMerge w:val="restart"/>
                  <w:vAlign w:val="center"/>
                </w:tcPr>
                <w:p w14:paraId="30E301F6">
                  <w:pPr>
                    <w:keepNext w:val="0"/>
                    <w:keepLines w:val="0"/>
                    <w:suppressLineNumbers w:val="0"/>
                    <w:adjustRightInd w:val="0"/>
                    <w:spacing w:before="0" w:beforeAutospacing="0" w:after="0" w:afterAutospacing="0" w:line="276" w:lineRule="auto"/>
                    <w:ind w:left="0" w:right="0"/>
                    <w:jc w:val="center"/>
                    <w:rPr>
                      <w:rFonts w:hAnsi="宋体"/>
                      <w:color w:val="auto"/>
                      <w:szCs w:val="21"/>
                      <w:highlight w:val="none"/>
                    </w:rPr>
                  </w:pPr>
                  <w:r>
                    <w:rPr>
                      <w:rFonts w:hint="eastAsia" w:hAnsi="宋体"/>
                      <w:color w:val="auto"/>
                      <w:szCs w:val="21"/>
                      <w:highlight w:val="none"/>
                    </w:rPr>
                    <w:t>一般排放口</w:t>
                  </w:r>
                </w:p>
              </w:tc>
              <w:tc>
                <w:tcPr>
                  <w:tcW w:w="575" w:type="pct"/>
                  <w:vMerge w:val="restart"/>
                  <w:vAlign w:val="center"/>
                </w:tcPr>
                <w:p w14:paraId="36ACFF40">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ascii="宋体" w:hAnsi="宋体"/>
                      <w:color w:val="auto"/>
                      <w:sz w:val="21"/>
                      <w:szCs w:val="21"/>
                      <w:highlight w:val="none"/>
                    </w:rPr>
                    <w:t>涟水经济开发区西区污水处理厂</w:t>
                  </w:r>
                </w:p>
              </w:tc>
            </w:tr>
            <w:tr w14:paraId="2FAA3F15">
              <w:trPr>
                <w:trHeight w:val="145" w:hRule="atLeast"/>
                <w:jc w:val="center"/>
              </w:trPr>
              <w:tc>
                <w:tcPr>
                  <w:tcW w:w="304" w:type="pct"/>
                  <w:vAlign w:val="center"/>
                </w:tcPr>
                <w:p w14:paraId="409A8B38">
                  <w:pPr>
                    <w:keepNext w:val="0"/>
                    <w:keepLines w:val="0"/>
                    <w:suppressLineNumbers w:val="0"/>
                    <w:adjustRightInd w:val="0"/>
                    <w:spacing w:before="0" w:beforeAutospacing="0" w:after="0" w:afterAutospacing="0"/>
                    <w:ind w:left="-105" w:leftChars="-50" w:right="-105" w:rightChars="-50"/>
                    <w:contextualSpacing/>
                    <w:jc w:val="center"/>
                    <w:rPr>
                      <w:rFonts w:hint="default" w:hAnsi="宋体"/>
                      <w:color w:val="auto"/>
                      <w:szCs w:val="21"/>
                      <w:highlight w:val="none"/>
                      <w:lang w:val="en-US" w:eastAsia="zh-CN"/>
                    </w:rPr>
                  </w:pPr>
                  <w:r>
                    <w:rPr>
                      <w:rFonts w:hint="eastAsia" w:hAnsi="宋体"/>
                      <w:color w:val="auto"/>
                      <w:szCs w:val="21"/>
                      <w:highlight w:val="none"/>
                      <w:lang w:val="en-US" w:eastAsia="zh-CN"/>
                    </w:rPr>
                    <w:t>超声波清洗废水</w:t>
                  </w:r>
                </w:p>
              </w:tc>
              <w:tc>
                <w:tcPr>
                  <w:tcW w:w="510" w:type="pct"/>
                  <w:vAlign w:val="center"/>
                </w:tcPr>
                <w:p w14:paraId="5DF9A97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COD、SS</w:t>
                  </w:r>
                  <w:r>
                    <w:rPr>
                      <w:rFonts w:hint="eastAsia" w:hAnsi="宋体"/>
                      <w:color w:val="auto"/>
                      <w:szCs w:val="21"/>
                      <w:highlight w:val="none"/>
                      <w:lang w:val="en-US" w:eastAsia="zh-CN"/>
                    </w:rPr>
                    <w:t>、石油类</w:t>
                  </w:r>
                </w:p>
              </w:tc>
              <w:tc>
                <w:tcPr>
                  <w:tcW w:w="383" w:type="pct"/>
                  <w:vAlign w:val="center"/>
                </w:tcPr>
                <w:p w14:paraId="3E22EE37">
                  <w:pPr>
                    <w:keepNext w:val="0"/>
                    <w:keepLines w:val="0"/>
                    <w:suppressLineNumbers w:val="0"/>
                    <w:adjustRightInd w:val="0"/>
                    <w:spacing w:before="0" w:beforeAutospacing="0" w:after="0" w:afterAutospacing="0"/>
                    <w:ind w:left="-105" w:leftChars="-50" w:right="-105" w:rightChars="-50"/>
                    <w:contextualSpacing/>
                    <w:jc w:val="center"/>
                    <w:rPr>
                      <w:rFonts w:hint="eastAsia" w:hAnsi="宋体" w:eastAsiaTheme="minorEastAsia"/>
                      <w:color w:val="auto"/>
                      <w:szCs w:val="21"/>
                      <w:highlight w:val="none"/>
                      <w:lang w:eastAsia="zh-CN"/>
                    </w:rPr>
                  </w:pPr>
                  <w:r>
                    <w:rPr>
                      <w:rFonts w:hAnsi="宋体"/>
                      <w:color w:val="auto"/>
                      <w:szCs w:val="21"/>
                      <w:highlight w:val="none"/>
                    </w:rPr>
                    <w:t>TW00</w:t>
                  </w:r>
                  <w:r>
                    <w:rPr>
                      <w:rFonts w:hint="eastAsia" w:hAnsi="宋体"/>
                      <w:color w:val="auto"/>
                      <w:szCs w:val="21"/>
                      <w:highlight w:val="none"/>
                      <w:lang w:val="en-US" w:eastAsia="zh-CN"/>
                    </w:rPr>
                    <w:t>2</w:t>
                  </w:r>
                </w:p>
              </w:tc>
              <w:tc>
                <w:tcPr>
                  <w:tcW w:w="491" w:type="pct"/>
                  <w:vAlign w:val="center"/>
                </w:tcPr>
                <w:p w14:paraId="55FFBE08">
                  <w:pPr>
                    <w:keepNext w:val="0"/>
                    <w:keepLines w:val="0"/>
                    <w:suppressLineNumbers w:val="0"/>
                    <w:adjustRightInd w:val="0"/>
                    <w:spacing w:before="0" w:beforeAutospacing="0" w:after="0" w:afterAutospacing="0"/>
                    <w:ind w:left="-105" w:leftChars="-50" w:right="-105" w:rightChars="-50"/>
                    <w:contextualSpacing/>
                    <w:jc w:val="center"/>
                    <w:rPr>
                      <w:rFonts w:hint="eastAsia" w:ascii="Times New Roman" w:hAnsi="Times New Roman" w:cs="Times New Roman"/>
                      <w:color w:val="auto"/>
                      <w:kern w:val="0"/>
                      <w:sz w:val="21"/>
                      <w:szCs w:val="21"/>
                      <w:lang w:val="zh-CN"/>
                    </w:rPr>
                  </w:pPr>
                  <w:r>
                    <w:rPr>
                      <w:rFonts w:hint="eastAsia" w:cs="Times New Roman"/>
                      <w:color w:val="auto"/>
                      <w:sz w:val="21"/>
                      <w:szCs w:val="21"/>
                      <w:lang w:val="en-US" w:eastAsia="zh-CN"/>
                    </w:rPr>
                    <w:t>气浮+混凝沉淀池</w:t>
                  </w:r>
                </w:p>
              </w:tc>
              <w:tc>
                <w:tcPr>
                  <w:tcW w:w="337" w:type="pct"/>
                  <w:vAlign w:val="center"/>
                </w:tcPr>
                <w:p w14:paraId="1B7D539A">
                  <w:pPr>
                    <w:keepNext w:val="0"/>
                    <w:keepLines w:val="0"/>
                    <w:suppressLineNumbers w:val="0"/>
                    <w:adjustRightInd w:val="0"/>
                    <w:spacing w:before="0" w:beforeAutospacing="0" w:after="0" w:afterAutospacing="0"/>
                    <w:ind w:left="-105" w:leftChars="-50" w:right="-105" w:rightChars="-50"/>
                    <w:contextualSpacing/>
                    <w:jc w:val="center"/>
                    <w:rPr>
                      <w:rFonts w:hint="default" w:ascii="Times New Roman" w:hAnsi="Times New Roman" w:cs="Times New Roman"/>
                      <w:color w:val="auto"/>
                      <w:kern w:val="0"/>
                      <w:sz w:val="21"/>
                      <w:szCs w:val="21"/>
                      <w:lang w:val="zh-CN"/>
                    </w:rPr>
                  </w:pPr>
                  <w:r>
                    <w:rPr>
                      <w:rFonts w:hint="eastAsia" w:cs="Times New Roman"/>
                      <w:color w:val="auto"/>
                      <w:kern w:val="0"/>
                      <w:sz w:val="21"/>
                      <w:szCs w:val="21"/>
                      <w:lang w:val="en-US" w:eastAsia="zh-CN"/>
                    </w:rPr>
                    <w:t>2</w:t>
                  </w:r>
                  <w:r>
                    <w:rPr>
                      <w:rFonts w:hint="eastAsia" w:ascii="Times New Roman" w:hAnsi="Times New Roman" w:cs="Times New Roman"/>
                      <w:color w:val="auto"/>
                      <w:kern w:val="0"/>
                      <w:sz w:val="21"/>
                      <w:szCs w:val="21"/>
                      <w:lang w:val="en-US" w:eastAsia="zh-CN"/>
                    </w:rPr>
                    <w:t>t</w:t>
                  </w:r>
                  <w:r>
                    <w:rPr>
                      <w:rFonts w:hint="default" w:ascii="Times New Roman" w:hAnsi="Times New Roman" w:cs="Times New Roman"/>
                      <w:color w:val="auto"/>
                      <w:kern w:val="0"/>
                      <w:sz w:val="21"/>
                      <w:szCs w:val="21"/>
                      <w:lang w:val="zh-CN"/>
                    </w:rPr>
                    <w:t>/d</w:t>
                  </w:r>
                </w:p>
              </w:tc>
              <w:tc>
                <w:tcPr>
                  <w:tcW w:w="342" w:type="pct"/>
                  <w:vAlign w:val="center"/>
                </w:tcPr>
                <w:p w14:paraId="33681B7D">
                  <w:pPr>
                    <w:keepNext w:val="0"/>
                    <w:keepLines w:val="0"/>
                    <w:suppressLineNumbers w:val="0"/>
                    <w:adjustRightInd w:val="0"/>
                    <w:spacing w:before="0" w:beforeAutospacing="0" w:after="0" w:afterAutospacing="0"/>
                    <w:ind w:left="-105" w:leftChars="-50" w:right="-105" w:rightChars="-50"/>
                    <w:contextualSpacing/>
                    <w:jc w:val="center"/>
                    <w:rPr>
                      <w:rFonts w:hint="eastAsia" w:hAnsi="宋体"/>
                      <w:color w:val="auto"/>
                      <w:szCs w:val="21"/>
                      <w:highlight w:val="none"/>
                    </w:rPr>
                  </w:pPr>
                  <w:r>
                    <w:rPr>
                      <w:rFonts w:hint="eastAsia" w:hAnsi="宋体"/>
                      <w:color w:val="auto"/>
                      <w:szCs w:val="21"/>
                      <w:highlight w:val="none"/>
                    </w:rPr>
                    <w:t>是</w:t>
                  </w:r>
                </w:p>
              </w:tc>
              <w:tc>
                <w:tcPr>
                  <w:tcW w:w="317" w:type="pct"/>
                  <w:vMerge w:val="continue"/>
                  <w:vAlign w:val="center"/>
                </w:tcPr>
                <w:p w14:paraId="5B506661">
                  <w:pPr>
                    <w:keepNext w:val="0"/>
                    <w:keepLines w:val="0"/>
                    <w:suppressLineNumbers w:val="0"/>
                    <w:adjustRightInd w:val="0"/>
                    <w:spacing w:before="0" w:beforeAutospacing="0" w:after="0" w:afterAutospacing="0"/>
                    <w:ind w:left="-105" w:leftChars="-50" w:right="-105" w:rightChars="-50"/>
                    <w:contextualSpacing/>
                    <w:jc w:val="center"/>
                    <w:rPr>
                      <w:rFonts w:hint="eastAsia" w:ascii="宋体" w:hAnsi="宋体"/>
                      <w:color w:val="auto"/>
                      <w:sz w:val="21"/>
                      <w:szCs w:val="21"/>
                      <w:highlight w:val="none"/>
                    </w:rPr>
                  </w:pPr>
                </w:p>
              </w:tc>
              <w:tc>
                <w:tcPr>
                  <w:tcW w:w="278" w:type="pct"/>
                  <w:vMerge w:val="continue"/>
                  <w:vAlign w:val="center"/>
                </w:tcPr>
                <w:p w14:paraId="2527A364">
                  <w:pPr>
                    <w:keepNext w:val="0"/>
                    <w:keepLines w:val="0"/>
                    <w:suppressLineNumbers w:val="0"/>
                    <w:adjustRightInd w:val="0"/>
                    <w:spacing w:before="0" w:beforeAutospacing="0" w:after="0" w:afterAutospacing="0"/>
                    <w:ind w:left="-105" w:leftChars="-50" w:right="-105" w:rightChars="-50"/>
                    <w:contextualSpacing/>
                    <w:jc w:val="center"/>
                    <w:rPr>
                      <w:rFonts w:hint="eastAsia" w:hAnsi="宋体"/>
                      <w:color w:val="auto"/>
                      <w:szCs w:val="21"/>
                      <w:highlight w:val="none"/>
                    </w:rPr>
                  </w:pPr>
                </w:p>
              </w:tc>
              <w:tc>
                <w:tcPr>
                  <w:tcW w:w="664" w:type="pct"/>
                  <w:vMerge w:val="continue"/>
                  <w:vAlign w:val="center"/>
                </w:tcPr>
                <w:p w14:paraId="161A3C3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336" w:type="pct"/>
                  <w:vMerge w:val="continue"/>
                  <w:vAlign w:val="center"/>
                </w:tcPr>
                <w:p w14:paraId="2292119C">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456" w:type="pct"/>
                  <w:vMerge w:val="continue"/>
                  <w:vAlign w:val="center"/>
                </w:tcPr>
                <w:p w14:paraId="557DC256">
                  <w:pPr>
                    <w:keepNext w:val="0"/>
                    <w:keepLines w:val="0"/>
                    <w:suppressLineNumbers w:val="0"/>
                    <w:adjustRightInd w:val="0"/>
                    <w:spacing w:before="0" w:beforeAutospacing="0" w:after="0" w:afterAutospacing="0" w:line="276" w:lineRule="auto"/>
                    <w:ind w:left="0" w:right="0"/>
                    <w:jc w:val="center"/>
                    <w:rPr>
                      <w:rFonts w:hint="eastAsia" w:hAnsi="宋体"/>
                      <w:color w:val="auto"/>
                      <w:szCs w:val="21"/>
                      <w:highlight w:val="none"/>
                    </w:rPr>
                  </w:pPr>
                </w:p>
              </w:tc>
              <w:tc>
                <w:tcPr>
                  <w:tcW w:w="575" w:type="pct"/>
                  <w:vMerge w:val="continue"/>
                  <w:vAlign w:val="center"/>
                </w:tcPr>
                <w:p w14:paraId="357E0CCC">
                  <w:pPr>
                    <w:keepNext w:val="0"/>
                    <w:keepLines w:val="0"/>
                    <w:suppressLineNumbers w:val="0"/>
                    <w:adjustRightInd w:val="0"/>
                    <w:spacing w:before="0" w:beforeAutospacing="0" w:after="0" w:afterAutospacing="0"/>
                    <w:ind w:left="-105" w:leftChars="-50" w:right="-105" w:rightChars="-50"/>
                    <w:contextualSpacing/>
                    <w:jc w:val="center"/>
                    <w:rPr>
                      <w:rFonts w:hint="eastAsia" w:ascii="宋体" w:hAnsi="宋体"/>
                      <w:color w:val="auto"/>
                      <w:sz w:val="21"/>
                      <w:szCs w:val="21"/>
                      <w:highlight w:val="none"/>
                    </w:rPr>
                  </w:pPr>
                </w:p>
              </w:tc>
            </w:tr>
          </w:tbl>
          <w:p w14:paraId="7FCF187A">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（2）废水污染防治措施可行性分析</w:t>
            </w:r>
          </w:p>
          <w:p w14:paraId="333BEFF5">
            <w:pPr>
              <w:keepNext w:val="0"/>
              <w:keepLines w:val="0"/>
              <w:suppressLineNumbers w:val="0"/>
              <w:adjustRightInd w:val="0"/>
              <w:snapToGrid w:val="0"/>
              <w:spacing w:before="0" w:beforeAutospacing="0" w:after="0" w:afterAutospacing="0" w:line="360" w:lineRule="auto"/>
              <w:ind w:left="0" w:right="0" w:firstLine="480" w:firstLineChars="200"/>
              <w:jc w:val="both"/>
              <w:rPr>
                <w:color w:val="auto"/>
                <w:highlight w:val="none"/>
              </w:rPr>
            </w:pPr>
            <w:r>
              <w:rPr>
                <w:rFonts w:hint="eastAsia" w:hAnsi="宋体"/>
                <w:color w:val="auto"/>
                <w:sz w:val="24"/>
                <w:highlight w:val="none"/>
              </w:rPr>
              <w:t>1）</w:t>
            </w:r>
            <w:r>
              <w:rPr>
                <w:rFonts w:hint="eastAsia" w:hAnsi="宋体"/>
                <w:color w:val="auto"/>
                <w:sz w:val="24"/>
                <w:highlight w:val="none"/>
                <w:lang w:val="en-US" w:eastAsia="zh-CN"/>
              </w:rPr>
              <w:t>综合生活污水</w:t>
            </w:r>
            <w:r>
              <w:rPr>
                <w:rFonts w:hint="default" w:ascii="Times New Roman" w:hAnsi="Times New Roman" w:cs="Times New Roman"/>
                <w:color w:val="auto"/>
                <w:kern w:val="0"/>
                <w:sz w:val="24"/>
                <w:szCs w:val="24"/>
                <w:lang w:val="zh-CN"/>
              </w:rPr>
              <w:t>处理可行性分析</w:t>
            </w:r>
            <w:r>
              <w:rPr>
                <w:rFonts w:hAnsi="宋体"/>
                <w:color w:val="auto"/>
                <w:sz w:val="24"/>
                <w:highlight w:val="none"/>
              </w:rPr>
              <w:t xml:space="preserve"> </w:t>
            </w:r>
            <w:r>
              <w:rPr>
                <w:rFonts w:hint="eastAsia" w:ascii="宋体" w:hAnsi="宋体" w:eastAsia="宋体" w:cs="宋体"/>
                <w:color w:val="auto"/>
                <w:kern w:val="0"/>
                <w:sz w:val="24"/>
                <w:highlight w:val="none"/>
              </w:rPr>
              <w:t xml:space="preserve"> </w:t>
            </w:r>
          </w:p>
          <w:p w14:paraId="2F1754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bookmarkStart w:id="47" w:name="_Toc144664217"/>
            <w:r>
              <w:rPr>
                <w:rFonts w:hint="default" w:ascii="Times New Roman" w:hAnsi="Times New Roman" w:cs="Times New Roman"/>
                <w:color w:val="auto"/>
                <w:sz w:val="24"/>
              </w:rPr>
              <w:t>本项目实行“雨污分流、清污分流”。</w:t>
            </w:r>
            <w:r>
              <w:rPr>
                <w:rFonts w:hint="eastAsia" w:hAnsi="宋体"/>
                <w:color w:val="auto"/>
                <w:sz w:val="24"/>
                <w:highlight w:val="none"/>
                <w:lang w:val="en-US" w:eastAsia="zh-CN"/>
              </w:rPr>
              <w:t>综合生活污水</w:t>
            </w:r>
            <w:r>
              <w:rPr>
                <w:rFonts w:hint="eastAsia" w:cs="Times New Roman"/>
                <w:color w:val="auto"/>
                <w:sz w:val="24"/>
                <w:lang w:val="en-US" w:eastAsia="zh-CN"/>
              </w:rPr>
              <w:t>采用</w:t>
            </w:r>
            <w:r>
              <w:rPr>
                <w:rFonts w:hint="default" w:ascii="Times New Roman" w:hAnsi="Times New Roman" w:cs="Times New Roman"/>
                <w:color w:val="auto"/>
                <w:sz w:val="24"/>
              </w:rPr>
              <w:t>隔油池</w:t>
            </w:r>
            <w:r>
              <w:rPr>
                <w:rFonts w:hint="eastAsia" w:cs="Times New Roman"/>
                <w:color w:val="auto"/>
                <w:sz w:val="24"/>
                <w:lang w:val="en-US" w:eastAsia="zh-CN"/>
              </w:rPr>
              <w:t>+</w:t>
            </w:r>
            <w:r>
              <w:rPr>
                <w:rFonts w:hint="default" w:ascii="Times New Roman" w:hAnsi="Times New Roman" w:cs="Times New Roman"/>
                <w:color w:val="auto"/>
                <w:sz w:val="24"/>
              </w:rPr>
              <w:t>化粪池处理，参照</w:t>
            </w:r>
            <w:r>
              <w:rPr>
                <w:rFonts w:hAnsi="宋体"/>
                <w:color w:val="auto"/>
                <w:sz w:val="24"/>
                <w:highlight w:val="none"/>
              </w:rPr>
              <w:t>《排污许可证申请与核发技术规范工业固体废物和危险废物治理》（HJ1033-2019）</w:t>
            </w:r>
            <w:r>
              <w:rPr>
                <w:rFonts w:hint="eastAsia" w:cs="Times New Roman"/>
                <w:color w:val="auto"/>
                <w:sz w:val="24"/>
                <w:lang w:eastAsia="zh-CN"/>
              </w:rPr>
              <w:t>，</w:t>
            </w:r>
            <w:r>
              <w:rPr>
                <w:rFonts w:hint="default" w:ascii="Times New Roman" w:hAnsi="Times New Roman" w:cs="Times New Roman"/>
                <w:color w:val="auto"/>
                <w:sz w:val="24"/>
              </w:rPr>
              <w:t>化粪池采用“沉淀、厌氧”，隔油池采用“隔油”，均属于“可行技术”。因此，本项目</w:t>
            </w:r>
            <w:r>
              <w:rPr>
                <w:rFonts w:hint="eastAsia" w:hAnsi="宋体"/>
                <w:color w:val="auto"/>
                <w:sz w:val="24"/>
                <w:highlight w:val="none"/>
                <w:lang w:val="en-US" w:eastAsia="zh-CN"/>
              </w:rPr>
              <w:t>综合生活污水</w:t>
            </w:r>
            <w:r>
              <w:rPr>
                <w:rFonts w:hint="default" w:ascii="Times New Roman" w:hAnsi="Times New Roman" w:cs="Times New Roman"/>
                <w:color w:val="auto"/>
                <w:sz w:val="24"/>
              </w:rPr>
              <w:t>经隔油池</w:t>
            </w:r>
            <w:r>
              <w:rPr>
                <w:rFonts w:hint="eastAsia" w:cs="Times New Roman"/>
                <w:color w:val="auto"/>
                <w:sz w:val="24"/>
                <w:lang w:val="en-US" w:eastAsia="zh-CN"/>
              </w:rPr>
              <w:t>+</w:t>
            </w:r>
            <w:r>
              <w:rPr>
                <w:rFonts w:hint="default" w:ascii="Times New Roman" w:hAnsi="Times New Roman" w:cs="Times New Roman"/>
                <w:color w:val="auto"/>
                <w:sz w:val="24"/>
              </w:rPr>
              <w:t>化粪池处理，在技术上是可行的。</w:t>
            </w:r>
          </w:p>
          <w:bookmarkEnd w:id="47"/>
          <w:p w14:paraId="1138D22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szCs w:val="24"/>
                <w:lang w:val="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cs="Times New Roman"/>
                <w:color w:val="auto"/>
                <w:sz w:val="24"/>
              </w:rPr>
              <w:t>隔油池</w:t>
            </w:r>
            <w:r>
              <w:rPr>
                <w:rFonts w:hint="eastAsia" w:cs="Times New Roman"/>
                <w:color w:val="auto"/>
                <w:sz w:val="24"/>
                <w:lang w:val="en-US" w:eastAsia="zh-CN"/>
              </w:rPr>
              <w:t>+</w:t>
            </w:r>
            <w:r>
              <w:rPr>
                <w:rFonts w:hint="default" w:ascii="Times New Roman" w:hAnsi="Times New Roman" w:cs="Times New Roman"/>
                <w:color w:val="auto"/>
                <w:sz w:val="24"/>
              </w:rPr>
              <w:t>化粪池</w:t>
            </w:r>
            <w:r>
              <w:rPr>
                <w:rFonts w:hint="default" w:ascii="Times New Roman" w:hAnsi="Times New Roman" w:cs="Times New Roman"/>
                <w:color w:val="auto"/>
                <w:kern w:val="0"/>
                <w:sz w:val="24"/>
                <w:szCs w:val="24"/>
                <w:lang w:val="zh-CN"/>
              </w:rPr>
              <w:t>可行性分析</w:t>
            </w:r>
          </w:p>
          <w:p w14:paraId="21F4F16B">
            <w:pPr>
              <w:keepNext w:val="0"/>
              <w:keepLines w:val="0"/>
              <w:suppressLineNumbers w:val="0"/>
              <w:adjustRightInd w:val="0"/>
              <w:snapToGrid w:val="0"/>
              <w:spacing w:before="0" w:beforeAutospacing="0" w:after="0" w:afterAutospacing="0" w:line="360" w:lineRule="auto"/>
              <w:ind w:left="0" w:right="0" w:firstLine="480" w:firstLineChars="200"/>
              <w:jc w:val="both"/>
              <w:rPr>
                <w:color w:val="auto"/>
              </w:rPr>
            </w:pPr>
            <w:r>
              <w:rPr>
                <w:rFonts w:hint="eastAsia" w:hAnsi="宋体" w:eastAsia="宋体"/>
                <w:color w:val="auto"/>
                <w:kern w:val="0"/>
                <w:sz w:val="24"/>
                <w:lang w:val="en-US" w:eastAsia="zh-CN"/>
              </w:rPr>
              <w:t>本项目综合生活污水经</w:t>
            </w:r>
            <w:r>
              <w:rPr>
                <w:rFonts w:hint="default" w:ascii="Times New Roman" w:hAnsi="Times New Roman" w:cs="Times New Roman"/>
                <w:color w:val="auto"/>
                <w:sz w:val="24"/>
              </w:rPr>
              <w:t>隔油池</w:t>
            </w:r>
            <w:r>
              <w:rPr>
                <w:rFonts w:hint="eastAsia" w:cs="Times New Roman"/>
                <w:color w:val="auto"/>
                <w:sz w:val="24"/>
                <w:lang w:val="en-US" w:eastAsia="zh-CN"/>
              </w:rPr>
              <w:t>+</w:t>
            </w:r>
            <w:r>
              <w:rPr>
                <w:rFonts w:hint="default" w:ascii="Times New Roman" w:hAnsi="Times New Roman" w:cs="Times New Roman"/>
                <w:color w:val="auto"/>
                <w:sz w:val="24"/>
              </w:rPr>
              <w:t>化粪池</w:t>
            </w:r>
            <w:r>
              <w:rPr>
                <w:rFonts w:hint="eastAsia" w:hAnsi="宋体" w:eastAsia="宋体"/>
                <w:color w:val="auto"/>
                <w:kern w:val="0"/>
                <w:sz w:val="24"/>
                <w:lang w:val="en-US" w:eastAsia="zh-CN"/>
              </w:rPr>
              <w:t>处理</w:t>
            </w:r>
            <w:r>
              <w:rPr>
                <w:rFonts w:hAnsi="宋体" w:eastAsia="宋体"/>
                <w:color w:val="auto"/>
                <w:kern w:val="0"/>
                <w:sz w:val="24"/>
                <w:lang w:val="zh-CN"/>
              </w:rPr>
              <w:t>，</w:t>
            </w:r>
            <w:r>
              <w:rPr>
                <w:rFonts w:hint="default" w:ascii="Times New Roman" w:hAnsi="Times New Roman" w:cs="Times New Roman"/>
                <w:color w:val="auto"/>
                <w:sz w:val="24"/>
                <w:szCs w:val="24"/>
              </w:rPr>
              <w:t>厂区化粪池处理能力为</w:t>
            </w:r>
            <w:r>
              <w:rPr>
                <w:rFonts w:hint="eastAsia" w:cs="Times New Roman"/>
                <w:color w:val="auto"/>
                <w:sz w:val="24"/>
                <w:szCs w:val="24"/>
                <w:lang w:val="en-US" w:eastAsia="zh-CN"/>
              </w:rPr>
              <w:t>1</w:t>
            </w:r>
            <w:r>
              <w:rPr>
                <w:rFonts w:hint="eastAsia" w:ascii="Times New Roman" w:hAnsi="Times New Roman" w:cs="Times New Roman"/>
                <w:color w:val="auto"/>
                <w:sz w:val="24"/>
                <w:szCs w:val="24"/>
                <w:lang w:val="en-US" w:eastAsia="zh-CN"/>
              </w:rPr>
              <w:t>0t</w:t>
            </w:r>
            <w:r>
              <w:rPr>
                <w:rFonts w:hint="default" w:ascii="Times New Roman" w:hAnsi="Times New Roman" w:cs="Times New Roman"/>
                <w:color w:val="auto"/>
                <w:sz w:val="24"/>
                <w:szCs w:val="24"/>
              </w:rPr>
              <w:t>/d，年处理量为</w:t>
            </w:r>
            <w:r>
              <w:rPr>
                <w:rFonts w:hint="eastAsia" w:cs="Times New Roman"/>
                <w:color w:val="auto"/>
                <w:sz w:val="24"/>
                <w:szCs w:val="24"/>
                <w:lang w:val="en-US" w:eastAsia="zh-CN"/>
              </w:rPr>
              <w:t>30</w:t>
            </w:r>
            <w:r>
              <w:rPr>
                <w:rFonts w:hint="default" w:ascii="Times New Roman" w:hAnsi="Times New Roman" w:cs="Times New Roman"/>
                <w:color w:val="auto"/>
                <w:sz w:val="24"/>
                <w:szCs w:val="24"/>
                <w:lang w:val="en-US" w:eastAsia="zh-CN"/>
              </w:rPr>
              <w:t>00</w:t>
            </w:r>
            <w:r>
              <w:rPr>
                <w:rFonts w:hint="eastAsia" w:cs="Times New Roman"/>
                <w:color w:val="auto"/>
                <w:sz w:val="24"/>
                <w:szCs w:val="24"/>
                <w:lang w:val="en-US" w:eastAsia="zh-CN"/>
              </w:rPr>
              <w:t>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厂区</w:t>
            </w:r>
            <w:r>
              <w:rPr>
                <w:rFonts w:hint="eastAsia" w:ascii="Times New Roman" w:hAnsi="Times New Roman" w:cs="Times New Roman"/>
                <w:color w:val="auto"/>
                <w:sz w:val="24"/>
                <w:szCs w:val="24"/>
                <w:lang w:eastAsia="zh-CN"/>
              </w:rPr>
              <w:t>隔油池</w:t>
            </w:r>
            <w:r>
              <w:rPr>
                <w:rFonts w:hint="default" w:ascii="Times New Roman" w:hAnsi="Times New Roman" w:cs="Times New Roman"/>
                <w:color w:val="auto"/>
                <w:sz w:val="24"/>
                <w:szCs w:val="24"/>
              </w:rPr>
              <w:t>处理能力为</w:t>
            </w: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/d，年处理量为</w:t>
            </w:r>
            <w:r>
              <w:rPr>
                <w:rFonts w:hint="eastAsia" w:cs="Times New Roman"/>
                <w:color w:val="auto"/>
                <w:sz w:val="24"/>
                <w:szCs w:val="24"/>
                <w:lang w:val="en-US" w:eastAsia="zh-CN"/>
              </w:rPr>
              <w:t>1500t</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项目</w:t>
            </w:r>
            <w:r>
              <w:rPr>
                <w:rFonts w:hint="eastAsia" w:cs="Times New Roman"/>
                <w:color w:val="auto"/>
                <w:sz w:val="24"/>
                <w:szCs w:val="24"/>
                <w:lang w:val="en-US" w:eastAsia="zh-CN"/>
              </w:rPr>
              <w:t>综合生活污水</w:t>
            </w:r>
            <w:r>
              <w:rPr>
                <w:rFonts w:hint="eastAsia" w:ascii="Times New Roman" w:hAnsi="Times New Roman" w:cs="Times New Roman"/>
                <w:color w:val="auto"/>
                <w:sz w:val="24"/>
                <w:szCs w:val="24"/>
                <w:lang w:val="en-US" w:eastAsia="zh-CN"/>
              </w:rPr>
              <w:t>产生量为</w:t>
            </w:r>
            <w:r>
              <w:rPr>
                <w:rFonts w:hint="eastAsia" w:cs="Times New Roman"/>
                <w:color w:val="auto"/>
                <w:sz w:val="24"/>
                <w:szCs w:val="24"/>
                <w:lang w:val="en-US" w:eastAsia="zh-CN"/>
              </w:rPr>
              <w:t>114</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t</w:t>
            </w:r>
            <w:r>
              <w:rPr>
                <w:rFonts w:hint="eastAsia" w:ascii="Times New Roman" w:hAnsi="Times New Roman" w:cs="Times New Roman"/>
                <w:color w:val="auto"/>
                <w:sz w:val="24"/>
                <w:szCs w:val="24"/>
                <w:lang w:val="en-US" w:eastAsia="zh-CN"/>
              </w:rPr>
              <w:t>/a，</w:t>
            </w:r>
            <w:r>
              <w:rPr>
                <w:rFonts w:hint="eastAsia" w:cs="Times New Roman"/>
                <w:color w:val="auto"/>
                <w:sz w:val="24"/>
                <w:szCs w:val="24"/>
                <w:lang w:val="en-US" w:eastAsia="zh-CN"/>
              </w:rPr>
              <w:t>均</w:t>
            </w:r>
            <w:r>
              <w:rPr>
                <w:rFonts w:hint="default" w:ascii="Times New Roman" w:hAnsi="Times New Roman" w:cs="Times New Roman"/>
                <w:color w:val="auto"/>
                <w:sz w:val="24"/>
                <w:szCs w:val="24"/>
              </w:rPr>
              <w:t>不会超过</w:t>
            </w:r>
            <w:r>
              <w:rPr>
                <w:rFonts w:hint="default" w:ascii="Times New Roman" w:hAnsi="Times New Roman" w:cs="Times New Roman"/>
                <w:color w:val="auto"/>
                <w:sz w:val="24"/>
              </w:rPr>
              <w:t>隔油池</w:t>
            </w:r>
            <w:r>
              <w:rPr>
                <w:rFonts w:hint="eastAsia" w:cs="Times New Roman"/>
                <w:color w:val="auto"/>
                <w:sz w:val="24"/>
                <w:lang w:val="en-US" w:eastAsia="zh-CN"/>
              </w:rPr>
              <w:t>+</w:t>
            </w:r>
            <w:r>
              <w:rPr>
                <w:rFonts w:hint="default" w:ascii="Times New Roman" w:hAnsi="Times New Roman" w:cs="Times New Roman"/>
                <w:color w:val="auto"/>
                <w:sz w:val="24"/>
              </w:rPr>
              <w:t>化粪池</w:t>
            </w:r>
            <w:r>
              <w:rPr>
                <w:rFonts w:hint="eastAsia" w:cs="Times New Roman"/>
                <w:color w:val="auto"/>
                <w:sz w:val="24"/>
                <w:szCs w:val="24"/>
                <w:lang w:val="en-US" w:eastAsia="zh-CN"/>
              </w:rPr>
              <w:t>的</w:t>
            </w:r>
            <w:r>
              <w:rPr>
                <w:rFonts w:hint="default" w:ascii="Times New Roman" w:hAnsi="Times New Roman" w:cs="Times New Roman"/>
                <w:color w:val="auto"/>
                <w:sz w:val="24"/>
                <w:szCs w:val="24"/>
              </w:rPr>
              <w:t>处理能力，因此，</w:t>
            </w:r>
            <w:r>
              <w:rPr>
                <w:rFonts w:hint="default" w:ascii="Times New Roman" w:hAnsi="Times New Roman" w:cs="Times New Roman"/>
                <w:color w:val="auto"/>
                <w:sz w:val="24"/>
              </w:rPr>
              <w:t>隔油池</w:t>
            </w:r>
            <w:r>
              <w:rPr>
                <w:rFonts w:hint="eastAsia" w:cs="Times New Roman"/>
                <w:color w:val="auto"/>
                <w:sz w:val="24"/>
                <w:lang w:val="en-US" w:eastAsia="zh-CN"/>
              </w:rPr>
              <w:t>+</w:t>
            </w:r>
            <w:r>
              <w:rPr>
                <w:rFonts w:hint="default" w:ascii="Times New Roman" w:hAnsi="Times New Roman" w:cs="Times New Roman"/>
                <w:color w:val="auto"/>
                <w:sz w:val="24"/>
              </w:rPr>
              <w:t>化粪池</w:t>
            </w:r>
            <w:r>
              <w:rPr>
                <w:rFonts w:hint="default" w:ascii="Times New Roman" w:hAnsi="Times New Roman" w:cs="Times New Roman"/>
                <w:color w:val="auto"/>
                <w:sz w:val="24"/>
                <w:szCs w:val="24"/>
              </w:rPr>
              <w:t>处理是可行的。</w:t>
            </w:r>
          </w:p>
          <w:p w14:paraId="6A8B8317">
            <w:pPr>
              <w:pStyle w:val="34"/>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超声波清洗废水处理可行性分析</w:t>
            </w:r>
          </w:p>
          <w:p w14:paraId="509E750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rFonts w:hint="eastAsia" w:ascii="宋体" w:hAnsi="宋体"/>
                <w:color w:val="auto"/>
                <w:sz w:val="24"/>
                <w:lang w:val="en-US" w:eastAsia="zh-CN"/>
              </w:rPr>
              <w:t>A.</w:t>
            </w:r>
            <w:r>
              <w:rPr>
                <w:rFonts w:hAnsi="宋体"/>
                <w:color w:val="auto"/>
                <w:sz w:val="24"/>
              </w:rPr>
              <w:t>处理工艺</w:t>
            </w:r>
          </w:p>
          <w:p w14:paraId="7366EFC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lang w:val="en-US" w:eastAsia="zh-CN"/>
              </w:rPr>
            </w:pPr>
            <w:r>
              <w:rPr>
                <w:rFonts w:hint="default" w:ascii="Times New Roman" w:hAnsi="Times New Roman" w:cs="Times New Roman"/>
                <w:color w:val="auto"/>
                <w:sz w:val="24"/>
                <w:szCs w:val="24"/>
              </w:rPr>
              <w:t>企业拟</w:t>
            </w:r>
            <w:r>
              <w:rPr>
                <w:rFonts w:hint="default" w:ascii="Times New Roman" w:hAnsi="Times New Roman" w:cs="Times New Roman"/>
                <w:color w:val="auto"/>
                <w:sz w:val="24"/>
                <w:szCs w:val="24"/>
                <w:lang w:val="en-US" w:eastAsia="zh-CN"/>
              </w:rPr>
              <w:t>采用气浮</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混凝沉淀</w:t>
            </w:r>
            <w:r>
              <w:rPr>
                <w:rFonts w:hint="default" w:ascii="Times New Roman" w:hAnsi="Times New Roman" w:cs="Times New Roman"/>
                <w:color w:val="auto"/>
                <w:sz w:val="24"/>
                <w:szCs w:val="24"/>
              </w:rPr>
              <w:t>处理</w:t>
            </w:r>
            <w:r>
              <w:rPr>
                <w:rFonts w:hint="eastAsia" w:cs="Times New Roman"/>
                <w:color w:val="auto"/>
                <w:sz w:val="24"/>
                <w:szCs w:val="24"/>
                <w:lang w:eastAsia="zh-CN"/>
              </w:rPr>
              <w:t>超声波清洗废水</w:t>
            </w:r>
            <w:r>
              <w:rPr>
                <w:rFonts w:hint="default" w:ascii="Times New Roman" w:hAnsi="Times New Roman" w:cs="Times New Roman"/>
                <w:color w:val="auto"/>
                <w:sz w:val="24"/>
                <w:szCs w:val="24"/>
              </w:rPr>
              <w:t>，建设项目</w:t>
            </w:r>
            <w:r>
              <w:rPr>
                <w:rFonts w:hint="eastAsia" w:cs="Times New Roman"/>
                <w:color w:val="auto"/>
                <w:sz w:val="24"/>
                <w:szCs w:val="24"/>
                <w:lang w:eastAsia="zh-CN"/>
              </w:rPr>
              <w:t>超声波清洗废水</w:t>
            </w:r>
            <w:r>
              <w:rPr>
                <w:rFonts w:hint="default" w:ascii="Times New Roman" w:hAnsi="Times New Roman" w:cs="Times New Roman"/>
                <w:color w:val="auto"/>
                <w:sz w:val="24"/>
                <w:szCs w:val="24"/>
              </w:rPr>
              <w:t>量约为</w:t>
            </w:r>
            <w:r>
              <w:rPr>
                <w:rFonts w:hint="eastAsia" w:cs="Times New Roman"/>
                <w:color w:val="auto"/>
                <w:sz w:val="24"/>
                <w:szCs w:val="24"/>
                <w:lang w:val="en-US" w:eastAsia="zh-CN"/>
              </w:rPr>
              <w:t>1.6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/d，故污水处理站处理能力满足废水处理需求。清洗废水水质主要成分为COD、SS、石油类，污水处理采取“</w:t>
            </w:r>
            <w:r>
              <w:rPr>
                <w:rFonts w:hint="default" w:ascii="Times New Roman" w:hAnsi="Times New Roman" w:cs="Times New Roman"/>
                <w:bCs/>
                <w:color w:val="auto"/>
                <w:kern w:val="0"/>
                <w:sz w:val="24"/>
                <w:szCs w:val="24"/>
                <w:lang w:val="en-US" w:eastAsia="zh-CN"/>
              </w:rPr>
              <w:t>气浮</w:t>
            </w:r>
            <w:r>
              <w:rPr>
                <w:rFonts w:hint="default" w:ascii="Times New Roman" w:hAnsi="Times New Roman" w:cs="Times New Roman"/>
                <w:bCs/>
                <w:color w:val="auto"/>
                <w:kern w:val="0"/>
                <w:sz w:val="24"/>
                <w:szCs w:val="24"/>
              </w:rPr>
              <w:t>+</w:t>
            </w:r>
            <w:r>
              <w:rPr>
                <w:rFonts w:hint="default" w:ascii="Times New Roman" w:hAnsi="Times New Roman" w:cs="Times New Roman"/>
                <w:bCs/>
                <w:color w:val="auto"/>
                <w:kern w:val="0"/>
                <w:sz w:val="24"/>
                <w:szCs w:val="24"/>
                <w:lang w:val="en-US" w:eastAsia="zh-CN"/>
              </w:rPr>
              <w:t>混</w:t>
            </w:r>
            <w:r>
              <w:rPr>
                <w:rFonts w:hint="default" w:ascii="Times New Roman" w:hAnsi="Times New Roman" w:cs="Times New Roman"/>
                <w:bCs/>
                <w:color w:val="auto"/>
                <w:kern w:val="0"/>
                <w:sz w:val="24"/>
                <w:szCs w:val="24"/>
              </w:rPr>
              <w:t>凝沉淀</w:t>
            </w:r>
            <w:r>
              <w:rPr>
                <w:rFonts w:hint="default" w:ascii="Times New Roman" w:hAnsi="Times New Roman" w:cs="Times New Roman"/>
                <w:color w:val="auto"/>
                <w:sz w:val="24"/>
                <w:szCs w:val="24"/>
              </w:rPr>
              <w:t>”，废水处理工艺流程见下图。</w:t>
            </w:r>
          </w:p>
          <w:p w14:paraId="70545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color w:val="auto"/>
                <w:sz w:val="24"/>
                <w:szCs w:val="24"/>
                <w:lang w:val="en-US" w:eastAsia="zh-CN"/>
              </w:rPr>
            </w:pPr>
            <w:r>
              <w:rPr>
                <w:rFonts w:hint="eastAsia"/>
                <w:color w:val="auto"/>
                <w:sz w:val="24"/>
                <w:szCs w:val="24"/>
                <w:lang w:val="en-US" w:eastAsia="zh-CN"/>
              </w:rPr>
              <w:object>
                <v:shape id="_x0000_i1029" o:spt="75" type="#_x0000_t75" style="height:131.5pt;width:183.5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p>
          <w:p w14:paraId="7AA5C985">
            <w:pPr>
              <w:keepNext w:val="0"/>
              <w:keepLines w:val="0"/>
              <w:suppressLineNumbers w:val="0"/>
              <w:adjustRightInd w:val="0"/>
              <w:snapToGrid w:val="0"/>
              <w:spacing w:before="120" w:beforeLines="50" w:beforeAutospacing="0" w:after="0" w:afterAutospacing="0"/>
              <w:ind w:left="0" w:right="0"/>
              <w:jc w:val="center"/>
              <w:rPr>
                <w:b/>
                <w:color w:val="auto"/>
                <w:sz w:val="24"/>
                <w:lang w:val="en-GB"/>
              </w:rPr>
            </w:pPr>
            <w:r>
              <w:rPr>
                <w:rFonts w:hint="eastAsia"/>
                <w:b/>
                <w:color w:val="auto"/>
                <w:sz w:val="24"/>
                <w:lang w:val="en-GB"/>
              </w:rPr>
              <w:t>图</w:t>
            </w:r>
            <w:r>
              <w:rPr>
                <w:b/>
                <w:color w:val="auto"/>
                <w:sz w:val="24"/>
                <w:lang w:val="en-GB"/>
              </w:rPr>
              <w:t>4-</w:t>
            </w:r>
            <w:r>
              <w:rPr>
                <w:rFonts w:hint="eastAsia"/>
                <w:b/>
                <w:color w:val="auto"/>
                <w:sz w:val="24"/>
                <w:lang w:val="en-US" w:eastAsia="zh-CN"/>
              </w:rPr>
              <w:t>2</w:t>
            </w:r>
            <w:r>
              <w:rPr>
                <w:rFonts w:hint="eastAsia"/>
                <w:b/>
                <w:color w:val="auto"/>
                <w:sz w:val="24"/>
                <w:lang w:val="en-GB"/>
              </w:rPr>
              <w:t>项目</w:t>
            </w:r>
            <w:r>
              <w:rPr>
                <w:rFonts w:hint="eastAsia"/>
                <w:b/>
                <w:color w:val="auto"/>
                <w:sz w:val="24"/>
                <w:lang w:val="en-US" w:eastAsia="zh-CN"/>
              </w:rPr>
              <w:t>清洗</w:t>
            </w:r>
            <w:r>
              <w:rPr>
                <w:rFonts w:hint="eastAsia"/>
                <w:b/>
                <w:color w:val="auto"/>
                <w:sz w:val="24"/>
                <w:lang w:val="en-GB"/>
              </w:rPr>
              <w:t>废水处理工艺流程图</w:t>
            </w:r>
          </w:p>
          <w:p w14:paraId="214D11FD">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rPr>
                <w:color w:val="auto"/>
                <w:sz w:val="24"/>
              </w:rPr>
            </w:pPr>
            <w:r>
              <w:rPr>
                <w:rFonts w:hint="eastAsia"/>
                <w:color w:val="auto"/>
                <w:sz w:val="24"/>
              </w:rPr>
              <w:t>工艺流程说明：</w:t>
            </w:r>
          </w:p>
          <w:p w14:paraId="24B7E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auto"/>
                <w:sz w:val="24"/>
              </w:rPr>
            </w:pPr>
            <w:r>
              <w:rPr>
                <w:rFonts w:hint="eastAsia" w:ascii="宋体" w:hAnsi="宋体" w:cs="宋体"/>
                <w:color w:val="auto"/>
                <w:sz w:val="24"/>
              </w:rPr>
              <w:t>①</w:t>
            </w:r>
            <w:r>
              <w:rPr>
                <w:rFonts w:hint="eastAsia"/>
                <w:color w:val="auto"/>
                <w:sz w:val="24"/>
                <w:lang w:val="en-US" w:eastAsia="zh-CN"/>
              </w:rPr>
              <w:t>气浮</w:t>
            </w:r>
            <w:r>
              <w:rPr>
                <w:color w:val="auto"/>
                <w:sz w:val="24"/>
              </w:rPr>
              <w:t>池是利用</w:t>
            </w:r>
            <w:r>
              <w:rPr>
                <w:rFonts w:ascii="Arial" w:hAnsi="Arial" w:eastAsia="宋体" w:cs="Arial"/>
                <w:i w:val="0"/>
                <w:iCs w:val="0"/>
                <w:caps w:val="0"/>
                <w:color w:val="auto"/>
                <w:spacing w:val="0"/>
                <w:sz w:val="24"/>
                <w:szCs w:val="24"/>
                <w:shd w:val="clear" w:fill="FFFFFF"/>
              </w:rPr>
              <w:t>水中的絮状物在气浮的作用下渐渐上浮，由于一个正向的水流与一定量的空气冲入，使细小气泡在污水中产生浮力，吸附在悬浮颗粒物表面并带着悬浮颗粒物一同上浮。最终气泡与悬浮颗粒物聚集到一定浮力后，将其上浮到水面。水中继续加气，形成聚集气泡，在水面形成气泡泡沫层。最终的泡沫层通过滚动往下分离，达到固液分离的目的</w:t>
            </w:r>
            <w:r>
              <w:rPr>
                <w:color w:val="auto"/>
                <w:sz w:val="24"/>
              </w:rPr>
              <w:t>。</w:t>
            </w:r>
          </w:p>
          <w:p w14:paraId="6FC6BAE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rPr>
            </w:pPr>
            <w:r>
              <w:rPr>
                <w:rFonts w:hint="eastAsia" w:ascii="宋体" w:hAnsi="宋体" w:cs="宋体"/>
                <w:color w:val="auto"/>
                <w:sz w:val="24"/>
              </w:rPr>
              <w:t>②</w:t>
            </w:r>
            <w:r>
              <w:rPr>
                <w:rFonts w:hint="eastAsia"/>
                <w:color w:val="auto"/>
                <w:sz w:val="24"/>
                <w:lang w:val="en-US" w:eastAsia="zh-CN"/>
              </w:rPr>
              <w:t>混</w:t>
            </w:r>
            <w:r>
              <w:rPr>
                <w:rFonts w:hint="eastAsia"/>
                <w:color w:val="auto"/>
                <w:sz w:val="24"/>
              </w:rPr>
              <w:t>凝沉淀处理指的是</w:t>
            </w:r>
            <w:r>
              <w:rPr>
                <w:rFonts w:hint="eastAsia"/>
                <w:color w:val="auto"/>
                <w:sz w:val="24"/>
                <w:lang w:val="en-US" w:eastAsia="zh-CN"/>
              </w:rPr>
              <w:t>混</w:t>
            </w:r>
            <w:r>
              <w:rPr>
                <w:rFonts w:hint="eastAsia"/>
                <w:color w:val="auto"/>
                <w:sz w:val="24"/>
              </w:rPr>
              <w:t>凝剂使水中悬浮颗粒发生凝聚沉淀的水处理过程</w:t>
            </w:r>
            <w:r>
              <w:rPr>
                <w:color w:val="auto"/>
                <w:sz w:val="24"/>
              </w:rPr>
              <w:t>。水中投加混凝剂后，其中悬浮物的胶体及分散颗粒由于分子吸引力的作用，相互碰撞凝聚生成絮状体，在沉降过程中尺寸与质量不断变大，让水中细小悬浮物缓慢聚集成大颗粒，之后大颗粒沉入池底</w:t>
            </w:r>
            <w:r>
              <w:rPr>
                <w:rFonts w:hint="eastAsia"/>
                <w:color w:val="auto"/>
                <w:sz w:val="24"/>
              </w:rPr>
              <w:t>，最终</w:t>
            </w:r>
            <w:r>
              <w:rPr>
                <w:color w:val="auto"/>
                <w:sz w:val="24"/>
              </w:rPr>
              <w:t>泥水分离</w:t>
            </w:r>
            <w:r>
              <w:rPr>
                <w:rFonts w:hint="eastAsia"/>
                <w:color w:val="auto"/>
                <w:sz w:val="24"/>
              </w:rPr>
              <w:t>。</w:t>
            </w:r>
          </w:p>
          <w:p w14:paraId="78D5710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szCs w:val="24"/>
              </w:rPr>
            </w:pPr>
            <w:r>
              <w:rPr>
                <w:rFonts w:hint="eastAsia"/>
                <w:color w:val="auto"/>
                <w:sz w:val="24"/>
                <w:szCs w:val="24"/>
                <w:lang w:val="en-US" w:eastAsia="zh-CN"/>
              </w:rPr>
              <w:t>B</w:t>
            </w:r>
            <w:r>
              <w:rPr>
                <w:color w:val="auto"/>
                <w:sz w:val="24"/>
                <w:szCs w:val="24"/>
              </w:rPr>
              <w:t>.</w:t>
            </w:r>
            <w:r>
              <w:rPr>
                <w:rFonts w:hAnsi="宋体"/>
                <w:color w:val="auto"/>
                <w:sz w:val="24"/>
                <w:szCs w:val="24"/>
              </w:rPr>
              <w:t>技术可行性论证</w:t>
            </w:r>
          </w:p>
          <w:p w14:paraId="53C7D45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rFonts w:hAnsi="宋体"/>
                <w:color w:val="auto"/>
                <w:sz w:val="24"/>
              </w:rPr>
              <w:t>根据《污水混凝与絮凝处理工程技术规范》（</w:t>
            </w:r>
            <w:r>
              <w:rPr>
                <w:color w:val="auto"/>
                <w:sz w:val="24"/>
              </w:rPr>
              <w:t>HJ2006-2010</w:t>
            </w:r>
            <w:r>
              <w:rPr>
                <w:rFonts w:hAnsi="宋体"/>
                <w:color w:val="auto"/>
                <w:sz w:val="24"/>
              </w:rPr>
              <w:t>），混凝工艺可用于各种水量的城镇污水处理和工业废水处理，对原水悬浮颗粒、胶体颗粒及相关有机物、色度物质、油类物质的浓度均无限制；对悬浮颗粒、胶体颗粒、疏水性污染物有良好的去除效果；当污水量不大时（如</w:t>
            </w:r>
            <w:r>
              <w:rPr>
                <w:color w:val="auto"/>
                <w:sz w:val="24"/>
              </w:rPr>
              <w:t>Q</w:t>
            </w:r>
            <w:r>
              <w:rPr>
                <w:rFonts w:hAnsi="宋体"/>
                <w:color w:val="auto"/>
                <w:sz w:val="24"/>
              </w:rPr>
              <w:t>＜</w:t>
            </w:r>
            <w:r>
              <w:rPr>
                <w:color w:val="auto"/>
                <w:sz w:val="24"/>
              </w:rPr>
              <w:t>100m</w:t>
            </w:r>
            <w:r>
              <w:rPr>
                <w:color w:val="auto"/>
                <w:sz w:val="24"/>
                <w:vertAlign w:val="superscript"/>
              </w:rPr>
              <w:t>3</w:t>
            </w:r>
            <w:r>
              <w:rPr>
                <w:color w:val="auto"/>
                <w:sz w:val="24"/>
              </w:rPr>
              <w:t>/h</w:t>
            </w:r>
            <w:r>
              <w:rPr>
                <w:rFonts w:hAnsi="宋体"/>
                <w:color w:val="auto"/>
                <w:sz w:val="24"/>
              </w:rPr>
              <w:t>），混凝工艺宜与沉淀池或气浮池合建。</w:t>
            </w:r>
          </w:p>
          <w:p w14:paraId="2DE2A1D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rFonts w:hAnsi="宋体"/>
                <w:color w:val="auto"/>
                <w:sz w:val="24"/>
              </w:rPr>
              <w:t>本项目废水水质经气浮</w:t>
            </w:r>
            <w:r>
              <w:rPr>
                <w:color w:val="auto"/>
                <w:sz w:val="24"/>
              </w:rPr>
              <w:t>+</w:t>
            </w:r>
            <w:r>
              <w:rPr>
                <w:rFonts w:hint="eastAsia"/>
                <w:color w:val="auto"/>
                <w:sz w:val="24"/>
                <w:lang w:eastAsia="zh-CN"/>
              </w:rPr>
              <w:t>混凝</w:t>
            </w:r>
            <w:r>
              <w:rPr>
                <w:rFonts w:hAnsi="宋体"/>
                <w:color w:val="auto"/>
                <w:sz w:val="24"/>
              </w:rPr>
              <w:t>沉淀池处理后出水浓度满足污水处理厂接管标准要求，需要去除的污染物主要为</w:t>
            </w:r>
            <w:r>
              <w:rPr>
                <w:rFonts w:hint="eastAsia" w:hAnsi="宋体"/>
                <w:color w:val="auto"/>
                <w:sz w:val="24"/>
                <w:lang w:eastAsia="zh-CN"/>
              </w:rPr>
              <w:t>石油类、悬浮物</w:t>
            </w:r>
            <w:r>
              <w:rPr>
                <w:rFonts w:hAnsi="宋体"/>
                <w:color w:val="auto"/>
                <w:sz w:val="24"/>
              </w:rPr>
              <w:t>，属于疏水性污染物</w:t>
            </w:r>
            <w:r>
              <w:rPr>
                <w:rFonts w:hint="eastAsia" w:hAnsi="宋体"/>
                <w:color w:val="auto"/>
                <w:sz w:val="24"/>
                <w:lang w:eastAsia="zh-CN"/>
              </w:rPr>
              <w:t>、油类污染物</w:t>
            </w:r>
            <w:r>
              <w:rPr>
                <w:rFonts w:hAnsi="宋体"/>
                <w:color w:val="auto"/>
                <w:sz w:val="24"/>
              </w:rPr>
              <w:t>，因此采用气浮</w:t>
            </w:r>
            <w:r>
              <w:rPr>
                <w:color w:val="auto"/>
                <w:sz w:val="24"/>
              </w:rPr>
              <w:t>+</w:t>
            </w:r>
            <w:r>
              <w:rPr>
                <w:rFonts w:hAnsi="宋体"/>
                <w:color w:val="auto"/>
                <w:sz w:val="24"/>
              </w:rPr>
              <w:t>混凝沉淀，达到</w:t>
            </w:r>
            <w:r>
              <w:rPr>
                <w:rFonts w:hint="eastAsia" w:hAnsi="宋体"/>
                <w:color w:val="auto"/>
                <w:sz w:val="24"/>
                <w:lang w:eastAsia="zh-CN"/>
              </w:rPr>
              <w:t>涟水县西区</w:t>
            </w:r>
            <w:r>
              <w:rPr>
                <w:rFonts w:hAnsi="宋体"/>
                <w:color w:val="auto"/>
                <w:sz w:val="24"/>
              </w:rPr>
              <w:t>污水处理厂接管标准，治理措施在技术上是可行的。</w:t>
            </w:r>
          </w:p>
          <w:p w14:paraId="3D084A5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
                <w:color w:val="auto"/>
                <w:sz w:val="24"/>
              </w:rPr>
            </w:pPr>
            <w:r>
              <w:rPr>
                <w:rFonts w:hint="eastAsia"/>
                <w:color w:val="auto"/>
                <w:sz w:val="24"/>
              </w:rPr>
              <w:t>清洗废水经</w:t>
            </w:r>
            <w:r>
              <w:rPr>
                <w:rFonts w:hint="eastAsia"/>
                <w:color w:val="auto"/>
                <w:sz w:val="24"/>
                <w:lang w:eastAsia="zh-CN"/>
              </w:rPr>
              <w:t>气浮</w:t>
            </w:r>
            <w:r>
              <w:rPr>
                <w:rFonts w:hint="eastAsia"/>
                <w:color w:val="auto"/>
                <w:sz w:val="24"/>
              </w:rPr>
              <w:t>+</w:t>
            </w:r>
            <w:r>
              <w:rPr>
                <w:rFonts w:hint="eastAsia"/>
                <w:color w:val="auto"/>
                <w:sz w:val="24"/>
                <w:lang w:eastAsia="zh-CN"/>
              </w:rPr>
              <w:t>混凝</w:t>
            </w:r>
            <w:r>
              <w:rPr>
                <w:rFonts w:hint="eastAsia"/>
                <w:color w:val="auto"/>
                <w:sz w:val="24"/>
              </w:rPr>
              <w:t>沉淀预处理，处理前后水质参数及处理效率预测具体见表</w:t>
            </w:r>
            <w:r>
              <w:rPr>
                <w:color w:val="auto"/>
                <w:sz w:val="24"/>
              </w:rPr>
              <w:t>4</w:t>
            </w:r>
            <w:r>
              <w:rPr>
                <w:rFonts w:hint="eastAsia"/>
                <w:color w:val="auto"/>
                <w:sz w:val="24"/>
              </w:rPr>
              <w:t>.2-5。</w:t>
            </w:r>
          </w:p>
          <w:p w14:paraId="0219C52E">
            <w:pPr>
              <w:keepNext w:val="0"/>
              <w:keepLines w:val="0"/>
              <w:suppressLineNumbers w:val="0"/>
              <w:tabs>
                <w:tab w:val="left" w:pos="0"/>
              </w:tabs>
              <w:adjustRightInd w:val="0"/>
              <w:snapToGrid w:val="0"/>
              <w:spacing w:before="0" w:beforeAutospacing="0" w:after="0" w:afterAutospacing="0"/>
              <w:ind w:left="0" w:right="0"/>
              <w:jc w:val="center"/>
              <w:rPr>
                <w:b/>
                <w:color w:val="auto"/>
                <w:sz w:val="24"/>
              </w:rPr>
            </w:pPr>
            <w:r>
              <w:rPr>
                <w:rFonts w:hint="eastAsia"/>
                <w:b/>
                <w:color w:val="auto"/>
                <w:sz w:val="24"/>
              </w:rPr>
              <w:t>表</w:t>
            </w:r>
            <w:r>
              <w:rPr>
                <w:b/>
                <w:color w:val="auto"/>
                <w:sz w:val="24"/>
              </w:rPr>
              <w:t>4</w:t>
            </w:r>
            <w:r>
              <w:rPr>
                <w:rFonts w:hint="eastAsia"/>
                <w:b/>
                <w:color w:val="auto"/>
                <w:sz w:val="24"/>
              </w:rPr>
              <w:t>.2-5建设项目废水处理效果预测表</w:t>
            </w:r>
            <w:r>
              <w:rPr>
                <w:rFonts w:hint="eastAsia"/>
                <w:color w:val="auto"/>
                <w:sz w:val="24"/>
              </w:rPr>
              <w:t>单位：</w:t>
            </w:r>
            <w:r>
              <w:rPr>
                <w:color w:val="auto"/>
                <w:sz w:val="24"/>
              </w:rPr>
              <w:t>mg/L</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201"/>
              <w:gridCol w:w="1549"/>
              <w:gridCol w:w="1404"/>
              <w:gridCol w:w="1404"/>
              <w:gridCol w:w="1458"/>
            </w:tblGrid>
            <w:tr w14:paraId="19FDA69A">
              <w:trPr>
                <w:trHeight w:val="340" w:hRule="atLeast"/>
              </w:trPr>
              <w:tc>
                <w:tcPr>
                  <w:tcW w:w="762" w:type="pct"/>
                  <w:tcBorders>
                    <w:tl2br w:val="nil"/>
                    <w:tr2bl w:val="nil"/>
                  </w:tcBorders>
                  <w:vAlign w:val="center"/>
                </w:tcPr>
                <w:p w14:paraId="31AE1EB3">
                  <w:pPr>
                    <w:keepNext w:val="0"/>
                    <w:keepLines w:val="0"/>
                    <w:suppressLineNumbers w:val="0"/>
                    <w:tabs>
                      <w:tab w:val="left" w:pos="0"/>
                    </w:tabs>
                    <w:adjustRightInd w:val="0"/>
                    <w:snapToGrid w:val="0"/>
                    <w:spacing w:before="0" w:beforeAutospacing="0" w:after="0" w:afterAutospacing="0"/>
                    <w:ind w:left="0" w:right="0"/>
                    <w:jc w:val="center"/>
                    <w:rPr>
                      <w:b/>
                      <w:color w:val="auto"/>
                      <w:sz w:val="21"/>
                      <w:szCs w:val="21"/>
                    </w:rPr>
                  </w:pPr>
                  <w:r>
                    <w:rPr>
                      <w:rFonts w:hint="eastAsia"/>
                      <w:b/>
                      <w:color w:val="auto"/>
                      <w:sz w:val="21"/>
                      <w:szCs w:val="21"/>
                    </w:rPr>
                    <w:t>废水来源</w:t>
                  </w:r>
                </w:p>
              </w:tc>
              <w:tc>
                <w:tcPr>
                  <w:tcW w:w="725" w:type="pct"/>
                  <w:tcBorders>
                    <w:tl2br w:val="nil"/>
                    <w:tr2bl w:val="nil"/>
                  </w:tcBorders>
                  <w:vAlign w:val="center"/>
                </w:tcPr>
                <w:p w14:paraId="7FDC7A37">
                  <w:pPr>
                    <w:keepNext w:val="0"/>
                    <w:keepLines w:val="0"/>
                    <w:suppressLineNumbers w:val="0"/>
                    <w:tabs>
                      <w:tab w:val="left" w:pos="0"/>
                    </w:tabs>
                    <w:adjustRightInd w:val="0"/>
                    <w:snapToGrid w:val="0"/>
                    <w:spacing w:before="0" w:beforeAutospacing="0" w:after="0" w:afterAutospacing="0"/>
                    <w:ind w:left="0" w:right="0"/>
                    <w:jc w:val="center"/>
                    <w:rPr>
                      <w:b/>
                      <w:color w:val="auto"/>
                      <w:sz w:val="21"/>
                      <w:szCs w:val="21"/>
                    </w:rPr>
                  </w:pPr>
                  <w:r>
                    <w:rPr>
                      <w:rFonts w:hint="eastAsia"/>
                      <w:b/>
                      <w:color w:val="auto"/>
                      <w:sz w:val="21"/>
                      <w:szCs w:val="21"/>
                    </w:rPr>
                    <w:t>处理工艺</w:t>
                  </w:r>
                </w:p>
              </w:tc>
              <w:tc>
                <w:tcPr>
                  <w:tcW w:w="934" w:type="pct"/>
                  <w:tcBorders>
                    <w:tl2br w:val="nil"/>
                    <w:tr2bl w:val="nil"/>
                  </w:tcBorders>
                  <w:vAlign w:val="center"/>
                </w:tcPr>
                <w:p w14:paraId="484981DF">
                  <w:pPr>
                    <w:keepNext w:val="0"/>
                    <w:keepLines w:val="0"/>
                    <w:suppressLineNumbers w:val="0"/>
                    <w:tabs>
                      <w:tab w:val="left" w:pos="0"/>
                    </w:tabs>
                    <w:adjustRightInd w:val="0"/>
                    <w:snapToGrid w:val="0"/>
                    <w:spacing w:before="0" w:beforeAutospacing="0" w:after="0" w:afterAutospacing="0"/>
                    <w:ind w:left="0" w:right="0"/>
                    <w:jc w:val="center"/>
                    <w:rPr>
                      <w:b/>
                      <w:color w:val="auto"/>
                      <w:sz w:val="21"/>
                      <w:szCs w:val="21"/>
                    </w:rPr>
                  </w:pPr>
                  <w:r>
                    <w:rPr>
                      <w:rFonts w:hint="eastAsia"/>
                      <w:b/>
                      <w:color w:val="auto"/>
                      <w:sz w:val="21"/>
                      <w:szCs w:val="21"/>
                    </w:rPr>
                    <w:t>污染物指标</w:t>
                  </w:r>
                </w:p>
              </w:tc>
              <w:tc>
                <w:tcPr>
                  <w:tcW w:w="848" w:type="pct"/>
                  <w:tcBorders>
                    <w:tl2br w:val="nil"/>
                    <w:tr2bl w:val="nil"/>
                  </w:tcBorders>
                  <w:vAlign w:val="center"/>
                </w:tcPr>
                <w:p w14:paraId="1E9173A9">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rPr>
                    <w:t>COD</w:t>
                  </w:r>
                </w:p>
              </w:tc>
              <w:tc>
                <w:tcPr>
                  <w:tcW w:w="848" w:type="pct"/>
                  <w:tcBorders>
                    <w:tl2br w:val="nil"/>
                    <w:tr2bl w:val="nil"/>
                  </w:tcBorders>
                  <w:vAlign w:val="center"/>
                </w:tcPr>
                <w:p w14:paraId="4D0EEDCA">
                  <w:pPr>
                    <w:keepNext w:val="0"/>
                    <w:keepLines w:val="0"/>
                    <w:suppressLineNumbers w:val="0"/>
                    <w:adjustRightInd w:val="0"/>
                    <w:snapToGrid w:val="0"/>
                    <w:spacing w:before="0" w:beforeAutospacing="0" w:after="0" w:afterAutospacing="0"/>
                    <w:ind w:left="0" w:right="0"/>
                    <w:jc w:val="center"/>
                    <w:rPr>
                      <w:b/>
                      <w:color w:val="auto"/>
                      <w:sz w:val="21"/>
                      <w:szCs w:val="21"/>
                    </w:rPr>
                  </w:pPr>
                  <w:r>
                    <w:rPr>
                      <w:b/>
                      <w:color w:val="auto"/>
                      <w:sz w:val="21"/>
                      <w:szCs w:val="21"/>
                    </w:rPr>
                    <w:t>SS</w:t>
                  </w:r>
                </w:p>
              </w:tc>
              <w:tc>
                <w:tcPr>
                  <w:tcW w:w="880" w:type="pct"/>
                  <w:tcBorders>
                    <w:tl2br w:val="nil"/>
                    <w:tr2bl w:val="nil"/>
                  </w:tcBorders>
                  <w:vAlign w:val="center"/>
                </w:tcPr>
                <w:p w14:paraId="0817EF56">
                  <w:pPr>
                    <w:keepNext w:val="0"/>
                    <w:keepLines w:val="0"/>
                    <w:suppressLineNumbers w:val="0"/>
                    <w:adjustRightInd w:val="0"/>
                    <w:snapToGrid w:val="0"/>
                    <w:spacing w:before="0" w:beforeAutospacing="0" w:after="0" w:afterAutospacing="0"/>
                    <w:ind w:left="0" w:right="0"/>
                    <w:jc w:val="center"/>
                    <w:rPr>
                      <w:b/>
                      <w:color w:val="auto"/>
                      <w:sz w:val="21"/>
                      <w:szCs w:val="21"/>
                    </w:rPr>
                  </w:pPr>
                  <w:r>
                    <w:rPr>
                      <w:rFonts w:hint="eastAsia"/>
                      <w:b/>
                      <w:color w:val="auto"/>
                      <w:sz w:val="21"/>
                      <w:szCs w:val="21"/>
                    </w:rPr>
                    <w:t>石油类</w:t>
                  </w:r>
                </w:p>
              </w:tc>
            </w:tr>
            <w:tr w14:paraId="4A6DFE1F">
              <w:trPr>
                <w:trHeight w:val="340" w:hRule="atLeast"/>
              </w:trPr>
              <w:tc>
                <w:tcPr>
                  <w:tcW w:w="762" w:type="pct"/>
                  <w:vMerge w:val="restart"/>
                  <w:tcBorders>
                    <w:tl2br w:val="nil"/>
                    <w:tr2bl w:val="nil"/>
                  </w:tcBorders>
                  <w:vAlign w:val="center"/>
                </w:tcPr>
                <w:p w14:paraId="32ED14D3">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清洗废水</w:t>
                  </w:r>
                </w:p>
              </w:tc>
              <w:tc>
                <w:tcPr>
                  <w:tcW w:w="725" w:type="pct"/>
                  <w:vMerge w:val="restart"/>
                  <w:tcBorders>
                    <w:tl2br w:val="nil"/>
                    <w:tr2bl w:val="nil"/>
                  </w:tcBorders>
                  <w:vAlign w:val="center"/>
                </w:tcPr>
                <w:p w14:paraId="4C44A2F1">
                  <w:pPr>
                    <w:keepNext w:val="0"/>
                    <w:keepLines w:val="0"/>
                    <w:suppressLineNumbers w:val="0"/>
                    <w:tabs>
                      <w:tab w:val="left" w:pos="0"/>
                    </w:tabs>
                    <w:adjustRightInd w:val="0"/>
                    <w:snapToGrid w:val="0"/>
                    <w:spacing w:before="0" w:beforeAutospacing="0" w:after="0" w:afterAutospacing="0"/>
                    <w:ind w:left="0" w:right="0"/>
                    <w:jc w:val="center"/>
                    <w:rPr>
                      <w:rFonts w:hint="eastAsia" w:eastAsiaTheme="minorEastAsia"/>
                      <w:color w:val="auto"/>
                      <w:sz w:val="21"/>
                      <w:szCs w:val="21"/>
                      <w:lang w:eastAsia="zh-CN"/>
                    </w:rPr>
                  </w:pPr>
                  <w:r>
                    <w:rPr>
                      <w:rFonts w:hint="eastAsia"/>
                      <w:color w:val="auto"/>
                      <w:sz w:val="21"/>
                      <w:szCs w:val="21"/>
                      <w:lang w:eastAsia="zh-CN"/>
                    </w:rPr>
                    <w:t>气浮</w:t>
                  </w:r>
                </w:p>
              </w:tc>
              <w:tc>
                <w:tcPr>
                  <w:tcW w:w="934" w:type="pct"/>
                  <w:tcBorders>
                    <w:tl2br w:val="nil"/>
                    <w:tr2bl w:val="nil"/>
                  </w:tcBorders>
                  <w:vAlign w:val="center"/>
                </w:tcPr>
                <w:p w14:paraId="002BCB8D">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进水</w:t>
                  </w:r>
                </w:p>
              </w:tc>
              <w:tc>
                <w:tcPr>
                  <w:tcW w:w="848" w:type="pct"/>
                  <w:tcBorders>
                    <w:tl2br w:val="nil"/>
                    <w:tr2bl w:val="nil"/>
                  </w:tcBorders>
                  <w:vAlign w:val="center"/>
                </w:tcPr>
                <w:p w14:paraId="65FA84EB">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358</w:t>
                  </w:r>
                </w:p>
              </w:tc>
              <w:tc>
                <w:tcPr>
                  <w:tcW w:w="848" w:type="pct"/>
                  <w:tcBorders>
                    <w:tl2br w:val="nil"/>
                    <w:tr2bl w:val="nil"/>
                  </w:tcBorders>
                  <w:vAlign w:val="center"/>
                </w:tcPr>
                <w:p w14:paraId="56CA111F">
                  <w:pPr>
                    <w:keepNext w:val="0"/>
                    <w:keepLines w:val="0"/>
                    <w:suppressLineNumbers w:val="0"/>
                    <w:spacing w:before="0" w:beforeAutospacing="0" w:after="0" w:afterAutospacing="0"/>
                    <w:ind w:left="0" w:right="0"/>
                    <w:jc w:val="center"/>
                    <w:rPr>
                      <w:color w:val="auto"/>
                      <w:sz w:val="21"/>
                      <w:szCs w:val="21"/>
                    </w:rPr>
                  </w:pPr>
                  <w:r>
                    <w:rPr>
                      <w:color w:val="auto"/>
                      <w:sz w:val="21"/>
                      <w:szCs w:val="21"/>
                    </w:rPr>
                    <w:t>1125</w:t>
                  </w:r>
                </w:p>
              </w:tc>
              <w:tc>
                <w:tcPr>
                  <w:tcW w:w="880" w:type="pct"/>
                  <w:tcBorders>
                    <w:tl2br w:val="nil"/>
                    <w:tr2bl w:val="nil"/>
                  </w:tcBorders>
                  <w:vAlign w:val="center"/>
                </w:tcPr>
                <w:p w14:paraId="3C1955E5">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40</w:t>
                  </w:r>
                </w:p>
              </w:tc>
            </w:tr>
            <w:tr w14:paraId="7C481658">
              <w:trPr>
                <w:trHeight w:val="340" w:hRule="atLeast"/>
              </w:trPr>
              <w:tc>
                <w:tcPr>
                  <w:tcW w:w="762" w:type="pct"/>
                  <w:vMerge w:val="continue"/>
                  <w:tcBorders>
                    <w:tl2br w:val="nil"/>
                    <w:tr2bl w:val="nil"/>
                  </w:tcBorders>
                  <w:vAlign w:val="center"/>
                </w:tcPr>
                <w:p w14:paraId="78BAC313">
                  <w:pPr>
                    <w:keepNext w:val="0"/>
                    <w:keepLines w:val="0"/>
                    <w:widowControl/>
                    <w:suppressLineNumbers w:val="0"/>
                    <w:spacing w:before="0" w:beforeAutospacing="0" w:after="0" w:afterAutospacing="0"/>
                    <w:ind w:left="0" w:right="0"/>
                    <w:jc w:val="left"/>
                    <w:rPr>
                      <w:color w:val="auto"/>
                      <w:sz w:val="21"/>
                      <w:szCs w:val="21"/>
                    </w:rPr>
                  </w:pPr>
                </w:p>
              </w:tc>
              <w:tc>
                <w:tcPr>
                  <w:tcW w:w="725" w:type="pct"/>
                  <w:vMerge w:val="continue"/>
                  <w:tcBorders>
                    <w:tl2br w:val="nil"/>
                    <w:tr2bl w:val="nil"/>
                  </w:tcBorders>
                  <w:vAlign w:val="center"/>
                </w:tcPr>
                <w:p w14:paraId="2FDAAB9C">
                  <w:pPr>
                    <w:keepNext w:val="0"/>
                    <w:keepLines w:val="0"/>
                    <w:widowControl/>
                    <w:suppressLineNumbers w:val="0"/>
                    <w:spacing w:before="0" w:beforeAutospacing="0" w:after="0" w:afterAutospacing="0"/>
                    <w:ind w:left="0" w:right="0"/>
                    <w:jc w:val="left"/>
                    <w:rPr>
                      <w:color w:val="auto"/>
                      <w:sz w:val="21"/>
                      <w:szCs w:val="21"/>
                    </w:rPr>
                  </w:pPr>
                </w:p>
              </w:tc>
              <w:tc>
                <w:tcPr>
                  <w:tcW w:w="934" w:type="pct"/>
                  <w:tcBorders>
                    <w:tl2br w:val="nil"/>
                    <w:tr2bl w:val="nil"/>
                  </w:tcBorders>
                  <w:vAlign w:val="center"/>
                </w:tcPr>
                <w:p w14:paraId="72F65550">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出水</w:t>
                  </w:r>
                </w:p>
              </w:tc>
              <w:tc>
                <w:tcPr>
                  <w:tcW w:w="848" w:type="pct"/>
                  <w:tcBorders>
                    <w:tl2br w:val="nil"/>
                    <w:tr2bl w:val="nil"/>
                  </w:tcBorders>
                  <w:vAlign w:val="center"/>
                </w:tcPr>
                <w:p w14:paraId="31AC6201">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322</w:t>
                  </w:r>
                </w:p>
              </w:tc>
              <w:tc>
                <w:tcPr>
                  <w:tcW w:w="848" w:type="pct"/>
                  <w:tcBorders>
                    <w:tl2br w:val="nil"/>
                    <w:tr2bl w:val="nil"/>
                  </w:tcBorders>
                  <w:vAlign w:val="center"/>
                </w:tcPr>
                <w:p w14:paraId="3D38879F">
                  <w:pPr>
                    <w:keepNext w:val="0"/>
                    <w:keepLines w:val="0"/>
                    <w:suppressLineNumbers w:val="0"/>
                    <w:spacing w:before="0" w:beforeAutospacing="0" w:after="0" w:afterAutospacing="0"/>
                    <w:ind w:left="0" w:right="0"/>
                    <w:jc w:val="center"/>
                    <w:rPr>
                      <w:color w:val="auto"/>
                      <w:sz w:val="21"/>
                      <w:szCs w:val="21"/>
                    </w:rPr>
                  </w:pPr>
                  <w:r>
                    <w:rPr>
                      <w:color w:val="auto"/>
                      <w:sz w:val="21"/>
                      <w:szCs w:val="21"/>
                    </w:rPr>
                    <w:t>1125</w:t>
                  </w:r>
                </w:p>
              </w:tc>
              <w:tc>
                <w:tcPr>
                  <w:tcW w:w="880" w:type="pct"/>
                  <w:tcBorders>
                    <w:tl2br w:val="nil"/>
                    <w:tr2bl w:val="nil"/>
                  </w:tcBorders>
                  <w:vAlign w:val="center"/>
                </w:tcPr>
                <w:p w14:paraId="17AF2C55">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16</w:t>
                  </w:r>
                </w:p>
              </w:tc>
            </w:tr>
            <w:tr w14:paraId="0CBFE78B">
              <w:trPr>
                <w:trHeight w:val="340" w:hRule="atLeast"/>
              </w:trPr>
              <w:tc>
                <w:tcPr>
                  <w:tcW w:w="762" w:type="pct"/>
                  <w:vMerge w:val="continue"/>
                  <w:tcBorders>
                    <w:tl2br w:val="nil"/>
                    <w:tr2bl w:val="nil"/>
                  </w:tcBorders>
                  <w:vAlign w:val="center"/>
                </w:tcPr>
                <w:p w14:paraId="748E3104">
                  <w:pPr>
                    <w:keepNext w:val="0"/>
                    <w:keepLines w:val="0"/>
                    <w:widowControl/>
                    <w:suppressLineNumbers w:val="0"/>
                    <w:spacing w:before="0" w:beforeAutospacing="0" w:after="0" w:afterAutospacing="0"/>
                    <w:ind w:left="0" w:right="0"/>
                    <w:jc w:val="left"/>
                    <w:rPr>
                      <w:color w:val="auto"/>
                      <w:sz w:val="21"/>
                      <w:szCs w:val="21"/>
                    </w:rPr>
                  </w:pPr>
                </w:p>
              </w:tc>
              <w:tc>
                <w:tcPr>
                  <w:tcW w:w="725" w:type="pct"/>
                  <w:vMerge w:val="continue"/>
                  <w:tcBorders>
                    <w:tl2br w:val="nil"/>
                    <w:tr2bl w:val="nil"/>
                  </w:tcBorders>
                  <w:vAlign w:val="center"/>
                </w:tcPr>
                <w:p w14:paraId="0DFB5AD2">
                  <w:pPr>
                    <w:keepNext w:val="0"/>
                    <w:keepLines w:val="0"/>
                    <w:widowControl/>
                    <w:suppressLineNumbers w:val="0"/>
                    <w:spacing w:before="0" w:beforeAutospacing="0" w:after="0" w:afterAutospacing="0"/>
                    <w:ind w:left="0" w:right="0"/>
                    <w:jc w:val="left"/>
                    <w:rPr>
                      <w:color w:val="auto"/>
                      <w:sz w:val="21"/>
                      <w:szCs w:val="21"/>
                    </w:rPr>
                  </w:pPr>
                </w:p>
              </w:tc>
              <w:tc>
                <w:tcPr>
                  <w:tcW w:w="934" w:type="pct"/>
                  <w:tcBorders>
                    <w:tl2br w:val="nil"/>
                    <w:tr2bl w:val="nil"/>
                  </w:tcBorders>
                  <w:vAlign w:val="center"/>
                </w:tcPr>
                <w:p w14:paraId="7ED7E135">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去除率</w:t>
                  </w:r>
                </w:p>
              </w:tc>
              <w:tc>
                <w:tcPr>
                  <w:tcW w:w="848" w:type="pct"/>
                  <w:tcBorders>
                    <w:tl2br w:val="nil"/>
                    <w:tr2bl w:val="nil"/>
                  </w:tcBorders>
                  <w:vAlign w:val="center"/>
                </w:tcPr>
                <w:p w14:paraId="65EE66BC">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10%</w:t>
                  </w:r>
                </w:p>
              </w:tc>
              <w:tc>
                <w:tcPr>
                  <w:tcW w:w="848" w:type="pct"/>
                  <w:tcBorders>
                    <w:tl2br w:val="nil"/>
                    <w:tr2bl w:val="nil"/>
                  </w:tcBorders>
                  <w:vAlign w:val="center"/>
                </w:tcPr>
                <w:p w14:paraId="05E819C2">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0</w:t>
                  </w:r>
                </w:p>
              </w:tc>
              <w:tc>
                <w:tcPr>
                  <w:tcW w:w="880" w:type="pct"/>
                  <w:tcBorders>
                    <w:tl2br w:val="nil"/>
                    <w:tr2bl w:val="nil"/>
                  </w:tcBorders>
                  <w:vAlign w:val="center"/>
                </w:tcPr>
                <w:p w14:paraId="77A5777D">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60%</w:t>
                  </w:r>
                </w:p>
              </w:tc>
            </w:tr>
            <w:tr w14:paraId="243501A0">
              <w:trPr>
                <w:trHeight w:val="340" w:hRule="atLeast"/>
              </w:trPr>
              <w:tc>
                <w:tcPr>
                  <w:tcW w:w="762" w:type="pct"/>
                  <w:vMerge w:val="continue"/>
                  <w:tcBorders>
                    <w:tl2br w:val="nil"/>
                    <w:tr2bl w:val="nil"/>
                  </w:tcBorders>
                  <w:vAlign w:val="center"/>
                </w:tcPr>
                <w:p w14:paraId="39227AFD">
                  <w:pPr>
                    <w:keepNext w:val="0"/>
                    <w:keepLines w:val="0"/>
                    <w:widowControl/>
                    <w:suppressLineNumbers w:val="0"/>
                    <w:spacing w:before="0" w:beforeAutospacing="0" w:after="0" w:afterAutospacing="0"/>
                    <w:ind w:left="0" w:right="0"/>
                    <w:jc w:val="left"/>
                    <w:rPr>
                      <w:color w:val="auto"/>
                      <w:sz w:val="21"/>
                      <w:szCs w:val="21"/>
                    </w:rPr>
                  </w:pPr>
                </w:p>
              </w:tc>
              <w:tc>
                <w:tcPr>
                  <w:tcW w:w="725" w:type="pct"/>
                  <w:vMerge w:val="restart"/>
                  <w:tcBorders>
                    <w:tl2br w:val="nil"/>
                    <w:tr2bl w:val="nil"/>
                  </w:tcBorders>
                  <w:vAlign w:val="center"/>
                </w:tcPr>
                <w:p w14:paraId="7AD51E4A">
                  <w:pPr>
                    <w:keepNext w:val="0"/>
                    <w:keepLines w:val="0"/>
                    <w:widowControl/>
                    <w:suppressLineNumbers w:val="0"/>
                    <w:spacing w:before="0" w:beforeAutospacing="0" w:after="0" w:afterAutospacing="0"/>
                    <w:ind w:left="0" w:right="0"/>
                    <w:jc w:val="center"/>
                    <w:rPr>
                      <w:color w:val="auto"/>
                      <w:sz w:val="21"/>
                      <w:szCs w:val="21"/>
                    </w:rPr>
                  </w:pPr>
                  <w:r>
                    <w:rPr>
                      <w:rFonts w:hint="eastAsia"/>
                      <w:color w:val="auto"/>
                      <w:sz w:val="21"/>
                      <w:szCs w:val="21"/>
                      <w:lang w:eastAsia="zh-CN"/>
                    </w:rPr>
                    <w:t>混凝</w:t>
                  </w:r>
                  <w:r>
                    <w:rPr>
                      <w:rFonts w:hint="eastAsia"/>
                      <w:color w:val="auto"/>
                      <w:sz w:val="21"/>
                      <w:szCs w:val="21"/>
                    </w:rPr>
                    <w:t>沉淀</w:t>
                  </w:r>
                </w:p>
              </w:tc>
              <w:tc>
                <w:tcPr>
                  <w:tcW w:w="934" w:type="pct"/>
                  <w:tcBorders>
                    <w:tl2br w:val="nil"/>
                    <w:tr2bl w:val="nil"/>
                  </w:tcBorders>
                  <w:vAlign w:val="center"/>
                </w:tcPr>
                <w:p w14:paraId="5CF7E9AD">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进水</w:t>
                  </w:r>
                </w:p>
              </w:tc>
              <w:tc>
                <w:tcPr>
                  <w:tcW w:w="848" w:type="pct"/>
                  <w:tcBorders>
                    <w:tl2br w:val="nil"/>
                    <w:tr2bl w:val="nil"/>
                  </w:tcBorders>
                  <w:vAlign w:val="center"/>
                </w:tcPr>
                <w:p w14:paraId="1A905F78">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322</w:t>
                  </w:r>
                </w:p>
              </w:tc>
              <w:tc>
                <w:tcPr>
                  <w:tcW w:w="848" w:type="pct"/>
                  <w:tcBorders>
                    <w:tl2br w:val="nil"/>
                    <w:tr2bl w:val="nil"/>
                  </w:tcBorders>
                  <w:vAlign w:val="center"/>
                </w:tcPr>
                <w:p w14:paraId="2FAB3884">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1125</w:t>
                  </w:r>
                </w:p>
              </w:tc>
              <w:tc>
                <w:tcPr>
                  <w:tcW w:w="880" w:type="pct"/>
                  <w:tcBorders>
                    <w:tl2br w:val="nil"/>
                    <w:tr2bl w:val="nil"/>
                  </w:tcBorders>
                  <w:vAlign w:val="center"/>
                </w:tcPr>
                <w:p w14:paraId="3C1C3764">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16</w:t>
                  </w:r>
                </w:p>
              </w:tc>
            </w:tr>
            <w:tr w14:paraId="08E3F735">
              <w:trPr>
                <w:trHeight w:val="340" w:hRule="atLeast"/>
              </w:trPr>
              <w:tc>
                <w:tcPr>
                  <w:tcW w:w="762" w:type="pct"/>
                  <w:vMerge w:val="continue"/>
                  <w:tcBorders>
                    <w:tl2br w:val="nil"/>
                    <w:tr2bl w:val="nil"/>
                  </w:tcBorders>
                  <w:vAlign w:val="center"/>
                </w:tcPr>
                <w:p w14:paraId="208C194A">
                  <w:pPr>
                    <w:keepNext w:val="0"/>
                    <w:keepLines w:val="0"/>
                    <w:widowControl/>
                    <w:suppressLineNumbers w:val="0"/>
                    <w:spacing w:before="0" w:beforeAutospacing="0" w:after="0" w:afterAutospacing="0"/>
                    <w:ind w:left="0" w:right="0"/>
                    <w:jc w:val="left"/>
                    <w:rPr>
                      <w:color w:val="auto"/>
                      <w:sz w:val="21"/>
                      <w:szCs w:val="21"/>
                    </w:rPr>
                  </w:pPr>
                </w:p>
              </w:tc>
              <w:tc>
                <w:tcPr>
                  <w:tcW w:w="725" w:type="pct"/>
                  <w:vMerge w:val="continue"/>
                  <w:tcBorders>
                    <w:tl2br w:val="nil"/>
                    <w:tr2bl w:val="nil"/>
                  </w:tcBorders>
                  <w:vAlign w:val="center"/>
                </w:tcPr>
                <w:p w14:paraId="39B2EE45">
                  <w:pPr>
                    <w:keepNext w:val="0"/>
                    <w:keepLines w:val="0"/>
                    <w:widowControl/>
                    <w:suppressLineNumbers w:val="0"/>
                    <w:spacing w:before="0" w:beforeAutospacing="0" w:after="0" w:afterAutospacing="0"/>
                    <w:ind w:left="0" w:right="0"/>
                    <w:jc w:val="left"/>
                    <w:rPr>
                      <w:color w:val="auto"/>
                      <w:sz w:val="21"/>
                      <w:szCs w:val="21"/>
                    </w:rPr>
                  </w:pPr>
                </w:p>
              </w:tc>
              <w:tc>
                <w:tcPr>
                  <w:tcW w:w="934" w:type="pct"/>
                  <w:tcBorders>
                    <w:tl2br w:val="nil"/>
                    <w:tr2bl w:val="nil"/>
                  </w:tcBorders>
                  <w:vAlign w:val="center"/>
                </w:tcPr>
                <w:p w14:paraId="206BA45C">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出水</w:t>
                  </w:r>
                </w:p>
              </w:tc>
              <w:tc>
                <w:tcPr>
                  <w:tcW w:w="848" w:type="pct"/>
                  <w:tcBorders>
                    <w:tl2br w:val="nil"/>
                    <w:tr2bl w:val="nil"/>
                  </w:tcBorders>
                  <w:vAlign w:val="center"/>
                </w:tcPr>
                <w:p w14:paraId="2E51D0C0">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290</w:t>
                  </w:r>
                </w:p>
              </w:tc>
              <w:tc>
                <w:tcPr>
                  <w:tcW w:w="848" w:type="pct"/>
                  <w:tcBorders>
                    <w:tl2br w:val="nil"/>
                    <w:tr2bl w:val="nil"/>
                  </w:tcBorders>
                  <w:vAlign w:val="center"/>
                </w:tcPr>
                <w:p w14:paraId="13C2173E">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225</w:t>
                  </w:r>
                </w:p>
              </w:tc>
              <w:tc>
                <w:tcPr>
                  <w:tcW w:w="880" w:type="pct"/>
                  <w:tcBorders>
                    <w:tl2br w:val="nil"/>
                    <w:tr2bl w:val="nil"/>
                  </w:tcBorders>
                  <w:vAlign w:val="center"/>
                </w:tcPr>
                <w:p w14:paraId="0BB94FA7">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16</w:t>
                  </w:r>
                </w:p>
              </w:tc>
            </w:tr>
            <w:tr w14:paraId="6D3BA9ED">
              <w:trPr>
                <w:trHeight w:val="340" w:hRule="atLeast"/>
              </w:trPr>
              <w:tc>
                <w:tcPr>
                  <w:tcW w:w="762" w:type="pct"/>
                  <w:vMerge w:val="continue"/>
                  <w:tcBorders>
                    <w:tl2br w:val="nil"/>
                    <w:tr2bl w:val="nil"/>
                  </w:tcBorders>
                  <w:vAlign w:val="center"/>
                </w:tcPr>
                <w:p w14:paraId="2C8F6BCB">
                  <w:pPr>
                    <w:keepNext w:val="0"/>
                    <w:keepLines w:val="0"/>
                    <w:widowControl/>
                    <w:suppressLineNumbers w:val="0"/>
                    <w:spacing w:before="0" w:beforeAutospacing="0" w:after="0" w:afterAutospacing="0"/>
                    <w:ind w:left="0" w:right="0"/>
                    <w:jc w:val="left"/>
                    <w:rPr>
                      <w:color w:val="auto"/>
                      <w:sz w:val="21"/>
                      <w:szCs w:val="21"/>
                    </w:rPr>
                  </w:pPr>
                </w:p>
              </w:tc>
              <w:tc>
                <w:tcPr>
                  <w:tcW w:w="725" w:type="pct"/>
                  <w:vMerge w:val="continue"/>
                  <w:tcBorders>
                    <w:tl2br w:val="nil"/>
                    <w:tr2bl w:val="nil"/>
                  </w:tcBorders>
                  <w:vAlign w:val="center"/>
                </w:tcPr>
                <w:p w14:paraId="152725C9">
                  <w:pPr>
                    <w:keepNext w:val="0"/>
                    <w:keepLines w:val="0"/>
                    <w:widowControl/>
                    <w:suppressLineNumbers w:val="0"/>
                    <w:spacing w:before="0" w:beforeAutospacing="0" w:after="0" w:afterAutospacing="0"/>
                    <w:ind w:left="0" w:right="0"/>
                    <w:jc w:val="left"/>
                    <w:rPr>
                      <w:color w:val="auto"/>
                      <w:sz w:val="21"/>
                      <w:szCs w:val="21"/>
                    </w:rPr>
                  </w:pPr>
                </w:p>
              </w:tc>
              <w:tc>
                <w:tcPr>
                  <w:tcW w:w="934" w:type="pct"/>
                  <w:tcBorders>
                    <w:tl2br w:val="nil"/>
                    <w:tr2bl w:val="nil"/>
                  </w:tcBorders>
                  <w:vAlign w:val="center"/>
                </w:tcPr>
                <w:p w14:paraId="19E15E19">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去除率</w:t>
                  </w:r>
                </w:p>
              </w:tc>
              <w:tc>
                <w:tcPr>
                  <w:tcW w:w="848" w:type="pct"/>
                  <w:tcBorders>
                    <w:tl2br w:val="nil"/>
                    <w:tr2bl w:val="nil"/>
                  </w:tcBorders>
                  <w:vAlign w:val="center"/>
                </w:tcPr>
                <w:p w14:paraId="38ED25C6">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10%</w:t>
                  </w:r>
                </w:p>
              </w:tc>
              <w:tc>
                <w:tcPr>
                  <w:tcW w:w="848" w:type="pct"/>
                  <w:tcBorders>
                    <w:tl2br w:val="nil"/>
                    <w:tr2bl w:val="nil"/>
                  </w:tcBorders>
                  <w:vAlign w:val="center"/>
                </w:tcPr>
                <w:p w14:paraId="7CCEFD0F">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color w:val="auto"/>
                      <w:sz w:val="21"/>
                      <w:szCs w:val="21"/>
                    </w:rPr>
                    <w:t>80%</w:t>
                  </w:r>
                </w:p>
              </w:tc>
              <w:tc>
                <w:tcPr>
                  <w:tcW w:w="880" w:type="pct"/>
                  <w:tcBorders>
                    <w:tl2br w:val="nil"/>
                    <w:tr2bl w:val="nil"/>
                  </w:tcBorders>
                  <w:vAlign w:val="center"/>
                </w:tcPr>
                <w:p w14:paraId="2C710639">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0</w:t>
                  </w:r>
                </w:p>
              </w:tc>
            </w:tr>
            <w:tr w14:paraId="4C5BD056">
              <w:trPr>
                <w:trHeight w:val="340" w:hRule="atLeast"/>
              </w:trPr>
              <w:tc>
                <w:tcPr>
                  <w:tcW w:w="2422" w:type="pct"/>
                  <w:gridSpan w:val="3"/>
                  <w:tcBorders>
                    <w:tl2br w:val="nil"/>
                    <w:tr2bl w:val="nil"/>
                  </w:tcBorders>
                  <w:vAlign w:val="center"/>
                </w:tcPr>
                <w:p w14:paraId="24F2ED33">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综合</w:t>
                  </w:r>
                  <w:r>
                    <w:rPr>
                      <w:color w:val="auto"/>
                      <w:sz w:val="21"/>
                      <w:szCs w:val="21"/>
                    </w:rPr>
                    <w:t>处理效率</w:t>
                  </w:r>
                </w:p>
              </w:tc>
              <w:tc>
                <w:tcPr>
                  <w:tcW w:w="848" w:type="pct"/>
                  <w:tcBorders>
                    <w:tl2br w:val="nil"/>
                    <w:tr2bl w:val="nil"/>
                  </w:tcBorders>
                  <w:vAlign w:val="center"/>
                </w:tcPr>
                <w:p w14:paraId="268EF585">
                  <w:pPr>
                    <w:keepNext w:val="0"/>
                    <w:keepLines w:val="0"/>
                    <w:suppressLineNumbers w:val="0"/>
                    <w:spacing w:before="0" w:beforeAutospacing="0" w:after="0" w:afterAutospacing="0"/>
                    <w:ind w:left="0" w:right="0"/>
                    <w:jc w:val="center"/>
                    <w:rPr>
                      <w:color w:val="auto"/>
                      <w:sz w:val="21"/>
                      <w:szCs w:val="21"/>
                    </w:rPr>
                  </w:pPr>
                  <w:r>
                    <w:rPr>
                      <w:color w:val="auto"/>
                      <w:sz w:val="21"/>
                      <w:szCs w:val="21"/>
                    </w:rPr>
                    <w:t>19%</w:t>
                  </w:r>
                </w:p>
              </w:tc>
              <w:tc>
                <w:tcPr>
                  <w:tcW w:w="848" w:type="pct"/>
                  <w:tcBorders>
                    <w:tl2br w:val="nil"/>
                    <w:tr2bl w:val="nil"/>
                  </w:tcBorders>
                  <w:vAlign w:val="center"/>
                </w:tcPr>
                <w:p w14:paraId="556DA68A">
                  <w:pPr>
                    <w:keepNext w:val="0"/>
                    <w:keepLines w:val="0"/>
                    <w:suppressLineNumbers w:val="0"/>
                    <w:spacing w:before="0" w:beforeAutospacing="0" w:after="0" w:afterAutospacing="0"/>
                    <w:ind w:left="0" w:right="0"/>
                    <w:jc w:val="center"/>
                    <w:rPr>
                      <w:color w:val="auto"/>
                      <w:sz w:val="21"/>
                      <w:szCs w:val="21"/>
                    </w:rPr>
                  </w:pPr>
                  <w:r>
                    <w:rPr>
                      <w:color w:val="auto"/>
                      <w:sz w:val="21"/>
                      <w:szCs w:val="21"/>
                    </w:rPr>
                    <w:t>80%</w:t>
                  </w:r>
                </w:p>
              </w:tc>
              <w:tc>
                <w:tcPr>
                  <w:tcW w:w="880" w:type="pct"/>
                  <w:tcBorders>
                    <w:tl2br w:val="nil"/>
                    <w:tr2bl w:val="nil"/>
                  </w:tcBorders>
                  <w:vAlign w:val="center"/>
                </w:tcPr>
                <w:p w14:paraId="7EB8ABB3">
                  <w:pPr>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rPr>
                    <w:t>60</w:t>
                  </w:r>
                  <w:r>
                    <w:rPr>
                      <w:color w:val="auto"/>
                      <w:sz w:val="21"/>
                      <w:szCs w:val="21"/>
                    </w:rPr>
                    <w:t>%</w:t>
                  </w:r>
                </w:p>
              </w:tc>
            </w:tr>
            <w:tr w14:paraId="438DD8CD">
              <w:trPr>
                <w:trHeight w:val="340" w:hRule="atLeast"/>
              </w:trPr>
              <w:tc>
                <w:tcPr>
                  <w:tcW w:w="2422" w:type="pct"/>
                  <w:gridSpan w:val="3"/>
                  <w:tcBorders>
                    <w:tl2br w:val="nil"/>
                    <w:tr2bl w:val="nil"/>
                  </w:tcBorders>
                  <w:vAlign w:val="center"/>
                </w:tcPr>
                <w:p w14:paraId="795445A9">
                  <w:pPr>
                    <w:keepNext w:val="0"/>
                    <w:keepLines w:val="0"/>
                    <w:suppressLineNumbers w:val="0"/>
                    <w:tabs>
                      <w:tab w:val="left" w:pos="0"/>
                    </w:tabs>
                    <w:adjustRightInd w:val="0"/>
                    <w:snapToGrid w:val="0"/>
                    <w:spacing w:before="0" w:beforeAutospacing="0" w:after="0" w:afterAutospacing="0"/>
                    <w:ind w:left="0" w:right="0"/>
                    <w:jc w:val="center"/>
                    <w:rPr>
                      <w:color w:val="auto"/>
                      <w:sz w:val="21"/>
                      <w:szCs w:val="21"/>
                    </w:rPr>
                  </w:pPr>
                  <w:r>
                    <w:rPr>
                      <w:rFonts w:hint="eastAsia"/>
                      <w:color w:val="auto"/>
                      <w:sz w:val="21"/>
                      <w:szCs w:val="21"/>
                    </w:rPr>
                    <w:t>接管标准</w:t>
                  </w:r>
                </w:p>
              </w:tc>
              <w:tc>
                <w:tcPr>
                  <w:tcW w:w="848" w:type="pct"/>
                  <w:tcBorders>
                    <w:tl2br w:val="nil"/>
                    <w:tr2bl w:val="nil"/>
                  </w:tcBorders>
                  <w:vAlign w:val="center"/>
                </w:tcPr>
                <w:p w14:paraId="1C5DA044">
                  <w:pPr>
                    <w:keepNext w:val="0"/>
                    <w:keepLines w:val="0"/>
                    <w:suppressLineNumbers w:val="0"/>
                    <w:spacing w:before="0" w:beforeAutospacing="0" w:after="0" w:afterAutospacing="0"/>
                    <w:ind w:left="0" w:right="0"/>
                    <w:jc w:val="center"/>
                    <w:rPr>
                      <w:color w:val="auto"/>
                      <w:sz w:val="21"/>
                      <w:szCs w:val="21"/>
                    </w:rPr>
                  </w:pPr>
                  <w:r>
                    <w:rPr>
                      <w:rFonts w:hint="eastAsia"/>
                      <w:color w:val="auto"/>
                      <w:sz w:val="21"/>
                      <w:szCs w:val="21"/>
                      <w:lang w:val="en-US" w:eastAsia="zh-CN"/>
                    </w:rPr>
                    <w:t>50</w:t>
                  </w:r>
                  <w:r>
                    <w:rPr>
                      <w:color w:val="auto"/>
                      <w:sz w:val="21"/>
                      <w:szCs w:val="21"/>
                    </w:rPr>
                    <w:t>0</w:t>
                  </w:r>
                </w:p>
              </w:tc>
              <w:tc>
                <w:tcPr>
                  <w:tcW w:w="848" w:type="pct"/>
                  <w:tcBorders>
                    <w:tl2br w:val="nil"/>
                    <w:tr2bl w:val="nil"/>
                  </w:tcBorders>
                  <w:vAlign w:val="center"/>
                </w:tcPr>
                <w:p w14:paraId="4EDA00CE">
                  <w:pPr>
                    <w:keepNext w:val="0"/>
                    <w:keepLines w:val="0"/>
                    <w:suppressLineNumbers w:val="0"/>
                    <w:spacing w:before="0" w:beforeAutospacing="0" w:after="0" w:afterAutospacing="0"/>
                    <w:ind w:left="0" w:right="0"/>
                    <w:jc w:val="center"/>
                    <w:rPr>
                      <w:rFonts w:hint="default" w:eastAsiaTheme="minorEastAsia"/>
                      <w:color w:val="auto"/>
                      <w:sz w:val="21"/>
                      <w:szCs w:val="21"/>
                      <w:lang w:val="en-US" w:eastAsia="zh-CN"/>
                    </w:rPr>
                  </w:pPr>
                  <w:r>
                    <w:rPr>
                      <w:rFonts w:hint="eastAsia"/>
                      <w:color w:val="auto"/>
                      <w:sz w:val="21"/>
                      <w:szCs w:val="21"/>
                      <w:lang w:val="en-US" w:eastAsia="zh-CN"/>
                    </w:rPr>
                    <w:t>400</w:t>
                  </w:r>
                </w:p>
              </w:tc>
              <w:tc>
                <w:tcPr>
                  <w:tcW w:w="880" w:type="pct"/>
                  <w:tcBorders>
                    <w:tl2br w:val="nil"/>
                    <w:tr2bl w:val="nil"/>
                  </w:tcBorders>
                  <w:vAlign w:val="center"/>
                </w:tcPr>
                <w:p w14:paraId="39332760">
                  <w:pPr>
                    <w:keepNext w:val="0"/>
                    <w:keepLines w:val="0"/>
                    <w:suppressLineNumbers w:val="0"/>
                    <w:spacing w:before="0" w:beforeAutospacing="0" w:after="0" w:afterAutospacing="0"/>
                    <w:ind w:left="0" w:right="0"/>
                    <w:jc w:val="center"/>
                    <w:rPr>
                      <w:color w:val="auto"/>
                      <w:sz w:val="21"/>
                      <w:szCs w:val="21"/>
                    </w:rPr>
                  </w:pPr>
                  <w:r>
                    <w:rPr>
                      <w:color w:val="auto"/>
                      <w:sz w:val="21"/>
                      <w:szCs w:val="21"/>
                    </w:rPr>
                    <w:t>20</w:t>
                  </w:r>
                </w:p>
              </w:tc>
            </w:tr>
          </w:tbl>
          <w:p w14:paraId="0E598CE3">
            <w:pPr>
              <w:keepNext w:val="0"/>
              <w:keepLines w:val="0"/>
              <w:suppressLineNumbers w:val="0"/>
              <w:adjustRightInd w:val="0"/>
              <w:snapToGrid w:val="0"/>
              <w:spacing w:before="120" w:beforeLines="50" w:beforeAutospacing="0" w:after="0" w:afterAutospacing="0" w:line="360" w:lineRule="auto"/>
              <w:ind w:left="0" w:right="0" w:firstLine="480" w:firstLineChars="200"/>
              <w:rPr>
                <w:color w:val="auto"/>
                <w:sz w:val="24"/>
                <w:szCs w:val="24"/>
              </w:rPr>
            </w:pPr>
            <w:r>
              <w:rPr>
                <w:rFonts w:hAnsi="宋体"/>
                <w:color w:val="auto"/>
                <w:sz w:val="24"/>
                <w:szCs w:val="24"/>
              </w:rPr>
              <w:t>综上，项目废水经污水处理设施处理后可</w:t>
            </w:r>
            <w:r>
              <w:rPr>
                <w:rFonts w:hint="eastAsia" w:hAnsi="宋体"/>
                <w:color w:val="auto"/>
                <w:sz w:val="24"/>
                <w:szCs w:val="24"/>
                <w:lang w:eastAsia="zh-CN"/>
              </w:rPr>
              <w:t>以按</w:t>
            </w:r>
            <w:r>
              <w:rPr>
                <w:rFonts w:hAnsi="宋体"/>
                <w:color w:val="auto"/>
                <w:sz w:val="24"/>
                <w:szCs w:val="24"/>
              </w:rPr>
              <w:t>相关标准的要求，污水处理措施是可行的。</w:t>
            </w:r>
          </w:p>
          <w:p w14:paraId="086F2386">
            <w:pPr>
              <w:keepNext w:val="0"/>
              <w:keepLines w:val="0"/>
              <w:suppressLineNumbers w:val="0"/>
              <w:adjustRightInd w:val="0"/>
              <w:snapToGrid w:val="0"/>
              <w:spacing w:before="0" w:beforeAutospacing="0" w:after="0" w:afterAutospacing="0" w:line="360" w:lineRule="auto"/>
              <w:ind w:left="0" w:right="0" w:firstLine="480" w:firstLineChars="200"/>
              <w:rPr>
                <w:b w:val="0"/>
                <w:bCs w:val="0"/>
                <w:color w:val="auto"/>
                <w:kern w:val="21"/>
                <w:sz w:val="24"/>
                <w:highlight w:val="none"/>
              </w:rPr>
            </w:pPr>
            <w:r>
              <w:rPr>
                <w:rFonts w:hint="eastAsia" w:hAnsi="宋体"/>
                <w:b w:val="0"/>
                <w:bCs w:val="0"/>
                <w:color w:val="auto"/>
                <w:sz w:val="24"/>
                <w:highlight w:val="none"/>
                <w:lang w:eastAsia="zh-CN"/>
              </w:rPr>
              <w:t>（</w:t>
            </w:r>
            <w:r>
              <w:rPr>
                <w:rFonts w:hint="eastAsia" w:hAnsi="宋体"/>
                <w:b w:val="0"/>
                <w:bCs w:val="0"/>
                <w:color w:val="auto"/>
                <w:sz w:val="24"/>
                <w:highlight w:val="none"/>
                <w:lang w:val="en-US" w:eastAsia="zh-CN"/>
              </w:rPr>
              <w:t>3）</w:t>
            </w:r>
            <w:r>
              <w:rPr>
                <w:rFonts w:ascii="宋体" w:hAnsi="宋体"/>
                <w:b w:val="0"/>
                <w:bCs w:val="0"/>
                <w:color w:val="auto"/>
                <w:sz w:val="24"/>
                <w:szCs w:val="24"/>
                <w:highlight w:val="none"/>
              </w:rPr>
              <w:t>涟水县经济开发区西区污水处理厂依托可行性分析</w:t>
            </w:r>
          </w:p>
          <w:p w14:paraId="5DBFCE1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涟水县经济开发区西区污水处理厂位于江苏涟水经济开发区西区祁六路西侧涟麻路南侧，远期处理总规模6万t/d，现处理能力为3万t/d，目前已接管水量接近2万m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/d，涟水县经济开发区西区污水处理厂工程服务为江苏涟水经济开发区西区内的工业废水及生活污水，服务范围为西至连淮扬镇铁路、北至北环路、东至盐河和涟西一干渠、南至清涟大道和生态路。</w:t>
            </w:r>
          </w:p>
          <w:p w14:paraId="4837626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涟水县经济开发区西区污水处理厂污水处理工艺流程如下。</w:t>
            </w:r>
          </w:p>
          <w:p w14:paraId="0D9CDC95">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ascii="宋体" w:hAnsi="宋体"/>
                <w:bCs/>
                <w:color w:val="auto"/>
                <w:szCs w:val="21"/>
                <w:highlight w:val="none"/>
              </w:rPr>
            </w:pPr>
            <w:r>
              <w:rPr>
                <w:rFonts w:ascii="宋体" w:hAnsi="宋体"/>
                <w:bCs/>
                <w:color w:val="auto"/>
                <w:szCs w:val="21"/>
                <w:highlight w:val="none"/>
              </w:rPr>
              <w:object>
                <v:shape id="_x0000_i1030" o:spt="75" type="#_x0000_t75" style="height:229.95pt;width:301.7pt;" o:ole="t" filled="f" o:preferrelative="t" stroked="f" coordsize="21600,21600">
                  <v:path/>
                  <v:fill on="f" focussize="0,0"/>
                  <v:stroke on="f"/>
                  <v:imagedata r:id="rId23" o:title=""/>
                  <o:lock v:ext="edit" aspectratio="t"/>
                  <w10:wrap type="none"/>
                  <w10:anchorlock/>
                </v:shape>
                <o:OLEObject Type="Embed" ProgID="Visio.Drawing.15" ShapeID="_x0000_i1030" DrawAspect="Content" ObjectID="_1468075730" r:id="rId22">
                  <o:LockedField>false</o:LockedField>
                </o:OLEObject>
              </w:object>
            </w:r>
          </w:p>
          <w:p w14:paraId="412FF16C">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图4-</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 xml:space="preserve">  涟水经济开发区西区污水处理厂处理工艺流程图</w:t>
            </w:r>
          </w:p>
          <w:p w14:paraId="4CFDA6D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①废水污染物浓度接管可行性分析</w:t>
            </w:r>
          </w:p>
          <w:p w14:paraId="5CB88A02">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项目产生的</w:t>
            </w:r>
            <w:r>
              <w:rPr>
                <w:rFonts w:hint="eastAsia" w:ascii="宋体" w:hAnsi="宋体"/>
                <w:color w:val="auto"/>
                <w:sz w:val="24"/>
                <w:szCs w:val="24"/>
                <w:highlight w:val="none"/>
                <w:lang w:val="en-US" w:eastAsia="zh-CN"/>
              </w:rPr>
              <w:t>综合生活污水</w:t>
            </w:r>
            <w:r>
              <w:rPr>
                <w:rFonts w:hint="eastAsia" w:ascii="宋体" w:hAnsi="宋体"/>
                <w:color w:val="auto"/>
                <w:sz w:val="24"/>
                <w:szCs w:val="24"/>
                <w:highlight w:val="none"/>
              </w:rPr>
              <w:t>经</w:t>
            </w:r>
            <w:r>
              <w:rPr>
                <w:rFonts w:hint="eastAsia" w:ascii="宋体" w:hAnsi="宋体"/>
                <w:color w:val="auto"/>
                <w:sz w:val="24"/>
                <w:szCs w:val="24"/>
                <w:highlight w:val="none"/>
                <w:lang w:val="en-US" w:eastAsia="zh-CN"/>
              </w:rPr>
              <w:t>隔油池+化粪池</w:t>
            </w:r>
            <w:r>
              <w:rPr>
                <w:rFonts w:hint="eastAsia" w:ascii="宋体" w:hAnsi="宋体"/>
                <w:color w:val="auto"/>
                <w:sz w:val="24"/>
                <w:szCs w:val="24"/>
                <w:highlight w:val="none"/>
              </w:rPr>
              <w:t>处理后</w:t>
            </w:r>
            <w:r>
              <w:rPr>
                <w:rFonts w:hint="eastAsia" w:ascii="宋体" w:hAnsi="宋体"/>
                <w:color w:val="auto"/>
                <w:sz w:val="24"/>
                <w:szCs w:val="24"/>
                <w:highlight w:val="none"/>
                <w:lang w:val="en-US" w:eastAsia="zh-CN"/>
              </w:rPr>
              <w:t>和清洗废水经</w:t>
            </w:r>
            <w:r>
              <w:rPr>
                <w:rFonts w:hint="eastAsia"/>
                <w:color w:val="auto"/>
                <w:sz w:val="24"/>
                <w:szCs w:val="24"/>
                <w:lang w:val="en-US" w:eastAsia="zh-CN"/>
              </w:rPr>
              <w:t>气浮混凝沉淀一体化设备</w:t>
            </w:r>
            <w:r>
              <w:rPr>
                <w:rFonts w:hint="default" w:ascii="Times New Roman" w:hAnsi="Times New Roman" w:cs="Times New Roman"/>
                <w:color w:val="auto"/>
                <w:sz w:val="24"/>
              </w:rPr>
              <w:t>处理</w:t>
            </w:r>
            <w:r>
              <w:rPr>
                <w:rFonts w:hint="eastAsia" w:ascii="Times New Roman" w:hAnsi="Times New Roman" w:cs="Times New Roman"/>
                <w:color w:val="auto"/>
                <w:sz w:val="24"/>
                <w:lang w:val="en-US" w:eastAsia="zh-CN"/>
              </w:rPr>
              <w:t>后</w:t>
            </w:r>
            <w:r>
              <w:rPr>
                <w:rFonts w:hint="eastAsia" w:ascii="宋体" w:hAnsi="宋体"/>
                <w:color w:val="auto"/>
                <w:sz w:val="24"/>
                <w:szCs w:val="24"/>
                <w:highlight w:val="none"/>
              </w:rPr>
              <w:t>，可以达到涟水经济开发区西区污水处理厂接管浓度要求，不会影响污水处理厂的正常运营。</w:t>
            </w:r>
          </w:p>
          <w:p w14:paraId="094713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0"/>
              <w:rPr>
                <w:rFonts w:hint="default" w:ascii="Times New Roman" w:hAnsi="Times New Roman" w:cs="Times New Roman"/>
                <w:color w:val="auto"/>
                <w:sz w:val="24"/>
                <w:szCs w:val="24"/>
                <w:highlight w:val="none"/>
              </w:rPr>
            </w:pPr>
            <w:bookmarkStart w:id="48" w:name="_Toc21577"/>
            <w:r>
              <w:rPr>
                <w:rFonts w:hint="default" w:ascii="Times New Roman" w:hAnsi="Times New Roman" w:cs="Times New Roman"/>
                <w:color w:val="auto"/>
                <w:sz w:val="24"/>
                <w:szCs w:val="24"/>
                <w:highlight w:val="none"/>
              </w:rPr>
              <w:t>②水量接管可行性</w:t>
            </w:r>
            <w:bookmarkEnd w:id="48"/>
          </w:p>
          <w:p w14:paraId="5F8AAA7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涟水经济开发区西区污水处理厂处理能力为3万m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/d，处理</w:t>
            </w:r>
            <w:r>
              <w:rPr>
                <w:rFonts w:hint="eastAsia" w:cs="Times New Roman"/>
                <w:color w:val="auto"/>
                <w:sz w:val="24"/>
                <w:szCs w:val="24"/>
                <w:highlight w:val="none"/>
                <w:lang w:eastAsia="zh-CN"/>
              </w:rPr>
              <w:t>达到</w:t>
            </w:r>
            <w:r>
              <w:rPr>
                <w:rFonts w:hint="default" w:ascii="Times New Roman" w:hAnsi="Times New Roman" w:cs="Times New Roman"/>
                <w:color w:val="auto"/>
                <w:sz w:val="24"/>
                <w:szCs w:val="24"/>
                <w:highlight w:val="none"/>
              </w:rPr>
              <w:t>《城镇污水处理厂污染物排放标准》（GB18918-2002）一级A标准，最终排入公兴河。</w:t>
            </w:r>
          </w:p>
          <w:p w14:paraId="7FA283E5">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③水质接管可行性</w:t>
            </w:r>
          </w:p>
          <w:p w14:paraId="4B57562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r>
              <w:rPr>
                <w:rFonts w:hint="eastAsia" w:cs="Times New Roman"/>
                <w:color w:val="auto"/>
                <w:sz w:val="24"/>
                <w:szCs w:val="24"/>
                <w:highlight w:val="none"/>
                <w:lang w:val="en-US" w:eastAsia="zh-CN"/>
              </w:rPr>
              <w:t>综合废水</w:t>
            </w:r>
            <w:r>
              <w:rPr>
                <w:rFonts w:hint="default" w:ascii="Times New Roman" w:hAnsi="Times New Roman" w:cs="Times New Roman"/>
                <w:color w:val="auto"/>
                <w:sz w:val="24"/>
                <w:szCs w:val="24"/>
                <w:highlight w:val="none"/>
              </w:rPr>
              <w:t>主要污染物为COD、SS、NH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-N、TN、TP</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动植物油、石油类</w:t>
            </w:r>
            <w:r>
              <w:rPr>
                <w:rFonts w:hint="default" w:ascii="Times New Roman" w:hAnsi="Times New Roman" w:cs="Times New Roman"/>
                <w:color w:val="auto"/>
                <w:sz w:val="24"/>
                <w:szCs w:val="24"/>
                <w:highlight w:val="none"/>
              </w:rPr>
              <w:t>等常规因子，各污染物排放浓度均低于接管标准限值，满足涟水经济开发区西区污水处理厂的接管要求，不会影响污水处理厂正常运行。</w:t>
            </w:r>
          </w:p>
          <w:p w14:paraId="246B6C52">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本项目</w:t>
            </w:r>
            <w:r>
              <w:rPr>
                <w:rFonts w:hint="eastAsia" w:ascii="宋体" w:hAnsi="宋体"/>
                <w:color w:val="auto"/>
                <w:sz w:val="24"/>
                <w:szCs w:val="24"/>
                <w:highlight w:val="none"/>
                <w:lang w:val="en-US" w:eastAsia="zh-CN"/>
              </w:rPr>
              <w:t>综合生活污水</w:t>
            </w:r>
            <w:r>
              <w:rPr>
                <w:rFonts w:hint="eastAsia" w:ascii="宋体" w:hAnsi="宋体"/>
                <w:color w:val="auto"/>
                <w:sz w:val="24"/>
                <w:szCs w:val="24"/>
                <w:highlight w:val="none"/>
              </w:rPr>
              <w:t>经</w:t>
            </w:r>
            <w:r>
              <w:rPr>
                <w:rFonts w:hint="eastAsia" w:ascii="宋体" w:hAnsi="宋体"/>
                <w:color w:val="auto"/>
                <w:sz w:val="24"/>
                <w:szCs w:val="24"/>
                <w:highlight w:val="none"/>
                <w:lang w:val="en-US" w:eastAsia="zh-CN"/>
              </w:rPr>
              <w:t>隔油池+化粪池</w:t>
            </w:r>
            <w:r>
              <w:rPr>
                <w:rFonts w:hint="eastAsia" w:ascii="宋体" w:hAnsi="宋体"/>
                <w:color w:val="auto"/>
                <w:sz w:val="24"/>
                <w:szCs w:val="24"/>
                <w:highlight w:val="none"/>
              </w:rPr>
              <w:t>处理</w:t>
            </w:r>
            <w:r>
              <w:rPr>
                <w:rFonts w:hint="eastAsia" w:ascii="宋体" w:hAnsi="宋体"/>
                <w:color w:val="auto"/>
                <w:sz w:val="24"/>
                <w:szCs w:val="24"/>
                <w:highlight w:val="none"/>
                <w:lang w:val="en-US" w:eastAsia="zh-CN"/>
              </w:rPr>
              <w:t>和清洗废水经</w:t>
            </w:r>
            <w:r>
              <w:rPr>
                <w:rFonts w:hint="eastAsia"/>
                <w:color w:val="auto"/>
                <w:sz w:val="24"/>
                <w:szCs w:val="24"/>
                <w:lang w:val="en-US" w:eastAsia="zh-CN"/>
              </w:rPr>
              <w:t>气浮混凝沉淀一体化设备</w:t>
            </w:r>
            <w:r>
              <w:rPr>
                <w:rFonts w:hint="default" w:ascii="Times New Roman" w:hAnsi="Times New Roman" w:cs="Times New Roman"/>
                <w:color w:val="auto"/>
                <w:sz w:val="24"/>
              </w:rPr>
              <w:t>处理</w:t>
            </w:r>
            <w:r>
              <w:rPr>
                <w:rFonts w:hint="eastAsia" w:ascii="宋体" w:hAnsi="宋体"/>
                <w:color w:val="auto"/>
                <w:sz w:val="24"/>
                <w:szCs w:val="24"/>
                <w:highlight w:val="none"/>
              </w:rPr>
              <w:t>达标后，接管涟水经济开发区西区污水处理厂，不会对污水处理厂的正常运行产生冲击。涟水经济开发区西区污水处理厂采用的处理工艺能够进一步降解拟建项目排放废水中的污染物浓度，处理</w:t>
            </w:r>
            <w:r>
              <w:rPr>
                <w:rFonts w:hint="eastAsia" w:ascii="宋体" w:hAnsi="宋体"/>
                <w:color w:val="auto"/>
                <w:sz w:val="24"/>
                <w:szCs w:val="24"/>
                <w:highlight w:val="none"/>
                <w:lang w:eastAsia="zh-CN"/>
              </w:rPr>
              <w:t>达到</w:t>
            </w:r>
            <w:r>
              <w:rPr>
                <w:rFonts w:hint="eastAsia" w:ascii="宋体" w:hAnsi="宋体"/>
                <w:color w:val="auto"/>
                <w:sz w:val="24"/>
                <w:szCs w:val="24"/>
                <w:highlight w:val="none"/>
              </w:rPr>
              <w:t>《城镇污水处理厂污染物排放标准》</w:t>
            </w:r>
            <w:r>
              <w:rPr>
                <w:rFonts w:hint="default" w:ascii="Times New Roman" w:hAnsi="Times New Roman" w:cs="Times New Roman"/>
                <w:color w:val="auto"/>
                <w:sz w:val="24"/>
                <w:szCs w:val="24"/>
                <w:highlight w:val="none"/>
              </w:rPr>
              <w:t>（GB 18918-2002）一级A</w:t>
            </w:r>
            <w:r>
              <w:rPr>
                <w:rFonts w:hint="eastAsia" w:ascii="宋体" w:hAnsi="宋体"/>
                <w:color w:val="auto"/>
                <w:sz w:val="24"/>
                <w:szCs w:val="24"/>
                <w:highlight w:val="none"/>
              </w:rPr>
              <w:t>标准</w:t>
            </w:r>
            <w:r>
              <w:rPr>
                <w:rFonts w:ascii="宋体" w:hAnsi="宋体"/>
                <w:color w:val="auto"/>
                <w:sz w:val="24"/>
                <w:szCs w:val="24"/>
                <w:highlight w:val="none"/>
              </w:rPr>
              <w:t>，最终排入</w:t>
            </w:r>
            <w:r>
              <w:rPr>
                <w:rFonts w:hint="eastAsia" w:ascii="宋体" w:hAnsi="宋体"/>
                <w:color w:val="auto"/>
                <w:sz w:val="24"/>
                <w:szCs w:val="24"/>
                <w:highlight w:val="none"/>
              </w:rPr>
              <w:t>公兴河</w:t>
            </w:r>
            <w:r>
              <w:rPr>
                <w:rFonts w:ascii="宋体" w:hAnsi="宋体"/>
                <w:color w:val="auto"/>
                <w:sz w:val="24"/>
                <w:szCs w:val="24"/>
                <w:highlight w:val="none"/>
              </w:rPr>
              <w:t>。</w:t>
            </w:r>
          </w:p>
          <w:p w14:paraId="787B7608">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④管网可行性</w:t>
            </w:r>
          </w:p>
          <w:p w14:paraId="3A4A3D8B">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目前所在地主干管网及提升泵站已建成，本项目产生的</w:t>
            </w:r>
            <w:r>
              <w:rPr>
                <w:rFonts w:hint="eastAsia" w:ascii="宋体" w:hAnsi="宋体"/>
                <w:color w:val="auto"/>
                <w:sz w:val="24"/>
                <w:szCs w:val="24"/>
                <w:highlight w:val="none"/>
                <w:lang w:val="en-US" w:eastAsia="zh-CN"/>
              </w:rPr>
              <w:t>综合废水经各自处理设施</w:t>
            </w:r>
            <w:r>
              <w:rPr>
                <w:rFonts w:hint="eastAsia" w:ascii="宋体" w:hAnsi="宋体"/>
                <w:color w:val="auto"/>
                <w:sz w:val="24"/>
                <w:szCs w:val="24"/>
                <w:highlight w:val="none"/>
              </w:rPr>
              <w:t>处理后接管市政管网，再经管网排至涟水经济开发区西区污水处理厂处理。</w:t>
            </w:r>
          </w:p>
          <w:p w14:paraId="14B04D3B">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综上所述，涟水经济开发区西区污水处理厂从处理能力、服务范围、接管水质等方面均能够满足本项目排水要求。由此可见，本项目排放的废水无论水量、水质均能满足涟水经济开发区西区污水处理厂的接管要求，且接管量较少，对其负荷冲击较小，不会影响污水处理厂的正常运行，根据污水处理厂目前运行情况，运行稳定，出水能够达标排放，对受纳水体公兴河的影响较小，不会改变其现有的水质功能类别，因而废水进行接管处理是可行的。</w:t>
            </w:r>
          </w:p>
          <w:p w14:paraId="01691A76">
            <w:pPr>
              <w:keepNext w:val="0"/>
              <w:keepLines w:val="0"/>
              <w:suppressLineNumbers w:val="0"/>
              <w:adjustRightInd w:val="0"/>
              <w:snapToGrid w:val="0"/>
              <w:spacing w:before="0" w:beforeAutospacing="0" w:after="0" w:afterAutospacing="0" w:line="360" w:lineRule="auto"/>
              <w:ind w:left="0" w:right="0" w:firstLine="480" w:firstLineChars="200"/>
              <w:rPr>
                <w:bCs/>
                <w:color w:val="auto"/>
                <w:kern w:val="21"/>
                <w:sz w:val="24"/>
                <w:highlight w:val="none"/>
              </w:rPr>
            </w:pPr>
            <w:r>
              <w:rPr>
                <w:rFonts w:hint="eastAsia" w:ascii="宋体" w:hAnsi="宋体"/>
                <w:color w:val="auto"/>
                <w:sz w:val="24"/>
                <w:szCs w:val="24"/>
                <w:highlight w:val="none"/>
              </w:rPr>
              <w:t>本项目</w:t>
            </w:r>
            <w:r>
              <w:rPr>
                <w:rFonts w:hint="eastAsia" w:ascii="宋体" w:hAnsi="宋体"/>
                <w:color w:val="auto"/>
                <w:sz w:val="24"/>
                <w:szCs w:val="24"/>
                <w:highlight w:val="none"/>
                <w:lang w:val="en-US" w:eastAsia="zh-CN"/>
              </w:rPr>
              <w:t>综合生活污水</w:t>
            </w:r>
            <w:r>
              <w:rPr>
                <w:rFonts w:hint="eastAsia" w:ascii="宋体" w:hAnsi="宋体"/>
                <w:color w:val="auto"/>
                <w:sz w:val="24"/>
                <w:szCs w:val="24"/>
                <w:highlight w:val="none"/>
              </w:rPr>
              <w:t>经</w:t>
            </w:r>
            <w:r>
              <w:rPr>
                <w:rFonts w:hint="eastAsia" w:ascii="宋体" w:hAnsi="宋体"/>
                <w:color w:val="auto"/>
                <w:sz w:val="24"/>
                <w:szCs w:val="24"/>
                <w:highlight w:val="none"/>
                <w:lang w:val="en-US" w:eastAsia="zh-CN"/>
              </w:rPr>
              <w:t>隔油池+化粪池</w:t>
            </w:r>
            <w:r>
              <w:rPr>
                <w:rFonts w:hint="eastAsia" w:ascii="宋体" w:hAnsi="宋体"/>
                <w:color w:val="auto"/>
                <w:sz w:val="24"/>
                <w:szCs w:val="24"/>
                <w:highlight w:val="none"/>
              </w:rPr>
              <w:t>处理</w:t>
            </w:r>
            <w:r>
              <w:rPr>
                <w:rFonts w:hint="eastAsia" w:ascii="宋体" w:hAnsi="宋体"/>
                <w:color w:val="auto"/>
                <w:sz w:val="24"/>
                <w:szCs w:val="24"/>
                <w:highlight w:val="none"/>
                <w:lang w:val="en-US" w:eastAsia="zh-CN"/>
              </w:rPr>
              <w:t>和清洗废水经</w:t>
            </w:r>
            <w:r>
              <w:rPr>
                <w:rFonts w:hint="eastAsia"/>
                <w:color w:val="auto"/>
                <w:sz w:val="24"/>
                <w:szCs w:val="24"/>
                <w:lang w:val="en-US" w:eastAsia="zh-CN"/>
              </w:rPr>
              <w:t>气浮混凝沉淀一体化设备</w:t>
            </w:r>
            <w:r>
              <w:rPr>
                <w:rFonts w:hint="default" w:ascii="Times New Roman" w:hAnsi="Times New Roman" w:cs="Times New Roman"/>
                <w:color w:val="auto"/>
                <w:sz w:val="24"/>
              </w:rPr>
              <w:t>处理</w:t>
            </w:r>
            <w:r>
              <w:rPr>
                <w:rFonts w:hint="eastAsia" w:ascii="宋体" w:hAnsi="宋体"/>
                <w:color w:val="auto"/>
                <w:sz w:val="24"/>
                <w:szCs w:val="24"/>
                <w:highlight w:val="none"/>
              </w:rPr>
              <w:t>达标后，满足涟水经济开发区西区污水处理厂接管标准；所依托的涟水经济开发区西区污水处理厂有足够的处理余量收纳本项目废水，因此项目污水依托涟水经济开发区西区污水处理厂间接排放，具有环境可行性。</w:t>
            </w:r>
          </w:p>
          <w:p w14:paraId="4877D20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w:t>
            </w:r>
            <w:r>
              <w:rPr>
                <w:rFonts w:hint="eastAsia" w:hAnsi="宋体"/>
                <w:color w:val="auto"/>
                <w:sz w:val="24"/>
                <w:highlight w:val="none"/>
              </w:rPr>
              <w:t>4</w:t>
            </w:r>
            <w:r>
              <w:rPr>
                <w:rFonts w:hAnsi="宋体"/>
                <w:color w:val="auto"/>
                <w:sz w:val="24"/>
                <w:highlight w:val="none"/>
              </w:rPr>
              <w:t>）废水监测要求</w:t>
            </w:r>
          </w:p>
          <w:p w14:paraId="6473B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根据《排污单位自行监测技术指南 总则》（HJ819-2017）及</w:t>
            </w:r>
            <w:r>
              <w:rPr>
                <w:rFonts w:hint="default" w:ascii="Times New Roman" w:hAnsi="Times New Roman" w:cs="Times New Roman"/>
                <w:color w:val="auto"/>
                <w:sz w:val="24"/>
                <w:szCs w:val="24"/>
              </w:rPr>
              <w:t>《排污许可证申请与核发技术规范 水处理通用工序》（HJ1120-2020）</w:t>
            </w:r>
            <w:r>
              <w:rPr>
                <w:rFonts w:hint="default" w:ascii="Times New Roman" w:hAnsi="Times New Roman" w:cs="Times New Roman"/>
                <w:color w:val="auto"/>
                <w:kern w:val="0"/>
                <w:sz w:val="24"/>
              </w:rPr>
              <w:t>中的相关要求对本项目废水排放进行监测，监测的实施可以根据实际情况由厂方自测或委托有资质的环境监测单位进行监测。本项目废水排放监测方案见表</w:t>
            </w:r>
            <w:r>
              <w:rPr>
                <w:rFonts w:hint="default" w:ascii="Times New Roman" w:hAnsi="Times New Roman" w:cs="Times New Roman"/>
                <w:color w:val="auto"/>
                <w:sz w:val="24"/>
              </w:rPr>
              <w:t>4-</w:t>
            </w:r>
            <w:r>
              <w:rPr>
                <w:rFonts w:hint="default" w:ascii="Times New Roman" w:hAnsi="Times New Roman" w:cs="Times New Roman"/>
                <w:color w:val="auto"/>
                <w:sz w:val="24"/>
                <w:lang w:val="en-US" w:eastAsia="zh-CN"/>
              </w:rPr>
              <w:t>15</w:t>
            </w:r>
            <w:r>
              <w:rPr>
                <w:rFonts w:hint="default" w:ascii="Times New Roman" w:hAnsi="Times New Roman" w:cs="Times New Roman"/>
                <w:color w:val="auto"/>
                <w:sz w:val="24"/>
              </w:rPr>
              <w:t>。</w:t>
            </w:r>
          </w:p>
          <w:p w14:paraId="336EE9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表4-</w:t>
            </w:r>
            <w:r>
              <w:rPr>
                <w:rFonts w:hint="default" w:ascii="Times New Roman" w:hAnsi="Times New Roman" w:cs="Times New Roman"/>
                <w:b/>
                <w:bCs/>
                <w:color w:val="auto"/>
                <w:kern w:val="0"/>
                <w:sz w:val="24"/>
                <w:lang w:val="en-US" w:eastAsia="zh-CN"/>
              </w:rPr>
              <w:t>15</w:t>
            </w:r>
            <w:r>
              <w:rPr>
                <w:rFonts w:hint="default" w:ascii="Times New Roman" w:hAnsi="Times New Roman" w:cs="Times New Roman"/>
                <w:b/>
                <w:bCs/>
                <w:color w:val="auto"/>
                <w:kern w:val="0"/>
                <w:sz w:val="24"/>
              </w:rPr>
              <w:t xml:space="preserve"> 废水排放监测方案表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728"/>
              <w:gridCol w:w="2425"/>
              <w:gridCol w:w="1609"/>
              <w:gridCol w:w="2516"/>
            </w:tblGrid>
            <w:tr w14:paraId="6F3C490F">
              <w:trPr>
                <w:trHeight w:val="397" w:hRule="atLeast"/>
                <w:jc w:val="center"/>
              </w:trPr>
              <w:tc>
                <w:tcPr>
                  <w:tcW w:w="1043" w:type="pct"/>
                  <w:tcBorders>
                    <w:tl2br w:val="nil"/>
                    <w:tr2bl w:val="nil"/>
                  </w:tcBorders>
                  <w:noWrap w:val="0"/>
                  <w:vAlign w:val="center"/>
                </w:tcPr>
                <w:p w14:paraId="7CACE9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监测点位</w:t>
                  </w:r>
                </w:p>
              </w:tc>
              <w:tc>
                <w:tcPr>
                  <w:tcW w:w="1464" w:type="pct"/>
                  <w:tcBorders>
                    <w:tl2br w:val="nil"/>
                    <w:tr2bl w:val="nil"/>
                  </w:tcBorders>
                  <w:noWrap w:val="0"/>
                  <w:vAlign w:val="center"/>
                </w:tcPr>
                <w:p w14:paraId="57823B3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监测指标</w:t>
                  </w:r>
                </w:p>
              </w:tc>
              <w:tc>
                <w:tcPr>
                  <w:tcW w:w="971" w:type="pct"/>
                  <w:tcBorders>
                    <w:tl2br w:val="nil"/>
                    <w:tr2bl w:val="nil"/>
                  </w:tcBorders>
                  <w:noWrap w:val="0"/>
                  <w:vAlign w:val="center"/>
                </w:tcPr>
                <w:p w14:paraId="59F909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监测频次</w:t>
                  </w:r>
                </w:p>
              </w:tc>
              <w:tc>
                <w:tcPr>
                  <w:tcW w:w="1519" w:type="pct"/>
                  <w:tcBorders>
                    <w:tl2br w:val="nil"/>
                    <w:tr2bl w:val="nil"/>
                  </w:tcBorders>
                  <w:noWrap w:val="0"/>
                  <w:vAlign w:val="center"/>
                </w:tcPr>
                <w:p w14:paraId="42B5EFDD">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排放标准</w:t>
                  </w:r>
                </w:p>
              </w:tc>
            </w:tr>
            <w:tr w14:paraId="4DA9AF8C">
              <w:trPr>
                <w:trHeight w:val="397" w:hRule="atLeast"/>
                <w:jc w:val="center"/>
              </w:trPr>
              <w:tc>
                <w:tcPr>
                  <w:tcW w:w="1043" w:type="pct"/>
                  <w:tcBorders>
                    <w:tl2br w:val="nil"/>
                    <w:tr2bl w:val="nil"/>
                  </w:tcBorders>
                  <w:noWrap w:val="0"/>
                  <w:vAlign w:val="center"/>
                </w:tcPr>
                <w:p w14:paraId="5C7114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厂区总排口（DW001）</w:t>
                  </w:r>
                </w:p>
              </w:tc>
              <w:tc>
                <w:tcPr>
                  <w:tcW w:w="1464" w:type="pct"/>
                  <w:tcBorders>
                    <w:tl2br w:val="nil"/>
                    <w:tr2bl w:val="nil"/>
                  </w:tcBorders>
                  <w:noWrap w:val="0"/>
                  <w:vAlign w:val="center"/>
                </w:tcPr>
                <w:p w14:paraId="79350F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kern w:val="0"/>
                      <w:sz w:val="21"/>
                      <w:szCs w:val="21"/>
                      <w:lang w:bidi="ar"/>
                    </w:rPr>
                    <w:t>COD、SS、氨氮、总氮、总磷</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val="en-US" w:eastAsia="zh-CN" w:bidi="ar"/>
                    </w:rPr>
                    <w:t>动植物油、石油类</w:t>
                  </w:r>
                </w:p>
              </w:tc>
              <w:tc>
                <w:tcPr>
                  <w:tcW w:w="971" w:type="pct"/>
                  <w:tcBorders>
                    <w:tl2br w:val="nil"/>
                    <w:tr2bl w:val="nil"/>
                  </w:tcBorders>
                  <w:noWrap w:val="0"/>
                  <w:vAlign w:val="center"/>
                </w:tcPr>
                <w:p w14:paraId="2BAD0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color w:val="auto"/>
                      <w:kern w:val="0"/>
                      <w:sz w:val="21"/>
                      <w:szCs w:val="21"/>
                      <w:lang w:bidi="ar"/>
                    </w:rPr>
                    <w:t>1次/</w:t>
                  </w:r>
                  <w:r>
                    <w:rPr>
                      <w:rFonts w:hint="default" w:ascii="Times New Roman" w:hAnsi="Times New Roman" w:cs="Times New Roman"/>
                      <w:color w:val="auto"/>
                      <w:kern w:val="0"/>
                      <w:sz w:val="21"/>
                      <w:szCs w:val="21"/>
                      <w:lang w:val="en-US" w:eastAsia="zh-CN" w:bidi="ar"/>
                    </w:rPr>
                    <w:t>季度</w:t>
                  </w:r>
                </w:p>
              </w:tc>
              <w:tc>
                <w:tcPr>
                  <w:tcW w:w="1519" w:type="pct"/>
                  <w:tcBorders>
                    <w:tl2br w:val="nil"/>
                    <w:tr2bl w:val="nil"/>
                  </w:tcBorders>
                  <w:noWrap w:val="0"/>
                  <w:vAlign w:val="center"/>
                </w:tcPr>
                <w:p w14:paraId="643A92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highlight w:val="none"/>
                    </w:rPr>
                    <w:t>涟水经济开发区西区污水处理厂</w:t>
                  </w:r>
                  <w:r>
                    <w:rPr>
                      <w:rFonts w:hint="default" w:ascii="Times New Roman" w:hAnsi="Times New Roman" w:cs="Times New Roman"/>
                      <w:bCs/>
                      <w:color w:val="auto"/>
                      <w:sz w:val="21"/>
                      <w:szCs w:val="21"/>
                    </w:rPr>
                    <w:t>接管标准</w:t>
                  </w:r>
                </w:p>
              </w:tc>
            </w:tr>
          </w:tbl>
          <w:p w14:paraId="221B2A58">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3.噪声环境影响及防治措施分析</w:t>
            </w:r>
          </w:p>
          <w:p w14:paraId="76537E77">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（1）噪声源强及污染防治措施</w:t>
            </w:r>
          </w:p>
          <w:p w14:paraId="65111D44">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①噪声源强分析</w:t>
            </w:r>
          </w:p>
          <w:p w14:paraId="3B96F30B">
            <w:pPr>
              <w:keepNext w:val="0"/>
              <w:keepLines w:val="0"/>
              <w:suppressLineNumbers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工程噪声主要由机械振动和空气湍动引起，机械振动噪声主要由设备运行以及机械操作运行过程中产生的噪声。主要的噪声设备有</w:t>
            </w:r>
            <w:r>
              <w:rPr>
                <w:rFonts w:hint="eastAsia" w:hAnsi="宋体"/>
                <w:color w:val="auto"/>
                <w:sz w:val="24"/>
                <w:highlight w:val="none"/>
                <w:lang w:val="en-US" w:eastAsia="zh-CN"/>
              </w:rPr>
              <w:t>激光切割机、喷涂设备、加工中心</w:t>
            </w:r>
            <w:r>
              <w:rPr>
                <w:rFonts w:hAnsi="宋体"/>
                <w:color w:val="auto"/>
                <w:sz w:val="24"/>
                <w:highlight w:val="none"/>
              </w:rPr>
              <w:t>等，噪声在</w:t>
            </w:r>
            <w:r>
              <w:rPr>
                <w:rFonts w:hint="eastAsia" w:hAnsi="宋体"/>
                <w:color w:val="auto"/>
                <w:sz w:val="24"/>
                <w:highlight w:val="none"/>
                <w:lang w:val="en-US" w:eastAsia="zh-CN"/>
              </w:rPr>
              <w:t>65</w:t>
            </w:r>
            <w:r>
              <w:rPr>
                <w:rFonts w:hAnsi="宋体"/>
                <w:color w:val="auto"/>
                <w:sz w:val="24"/>
                <w:highlight w:val="none"/>
              </w:rPr>
              <w:t>-9</w:t>
            </w:r>
            <w:r>
              <w:rPr>
                <w:rFonts w:hint="eastAsia" w:hAnsi="宋体"/>
                <w:color w:val="auto"/>
                <w:sz w:val="24"/>
                <w:highlight w:val="none"/>
              </w:rPr>
              <w:t>0</w:t>
            </w:r>
            <w:r>
              <w:rPr>
                <w:rFonts w:hAnsi="宋体"/>
                <w:color w:val="auto"/>
                <w:sz w:val="24"/>
                <w:highlight w:val="none"/>
              </w:rPr>
              <w:t>dB(A</w:t>
            </w:r>
            <w:r>
              <w:rPr>
                <w:rFonts w:hint="eastAsia" w:hAnsi="宋体"/>
                <w:color w:val="auto"/>
                <w:sz w:val="24"/>
                <w:highlight w:val="none"/>
                <w:lang w:eastAsia="zh-CN"/>
              </w:rPr>
              <w:t>）</w:t>
            </w:r>
            <w:r>
              <w:rPr>
                <w:rFonts w:hAnsi="宋体"/>
                <w:color w:val="auto"/>
                <w:sz w:val="24"/>
                <w:highlight w:val="none"/>
              </w:rPr>
              <w:t>之间。</w:t>
            </w:r>
          </w:p>
          <w:p w14:paraId="12259575">
            <w:pPr>
              <w:pStyle w:val="100"/>
              <w:keepNext w:val="0"/>
              <w:keepLines w:val="0"/>
              <w:suppressLineNumbers w:val="0"/>
              <w:spacing w:before="0" w:beforeAutospacing="0" w:after="0" w:afterAutospacing="0"/>
              <w:ind w:left="0" w:leftChars="0" w:right="0" w:firstLine="0" w:firstLineChars="0"/>
              <w:rPr>
                <w:color w:val="auto"/>
                <w:highlight w:val="none"/>
              </w:rPr>
            </w:pPr>
          </w:p>
        </w:tc>
      </w:tr>
    </w:tbl>
    <w:p w14:paraId="3DA57A25">
      <w:pPr>
        <w:adjustRightInd w:val="0"/>
        <w:snapToGrid w:val="0"/>
        <w:jc w:val="center"/>
        <w:rPr>
          <w:bCs/>
          <w:color w:val="auto"/>
          <w:sz w:val="24"/>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3130"/>
      </w:tblGrid>
      <w:tr w14:paraId="6DA3415C">
        <w:trPr>
          <w:trHeight w:val="6810" w:hRule="atLeast"/>
          <w:jc w:val="center"/>
        </w:trPr>
        <w:tc>
          <w:tcPr>
            <w:tcW w:w="163" w:type="pct"/>
            <w:tcMar>
              <w:left w:w="28" w:type="dxa"/>
              <w:right w:w="28" w:type="dxa"/>
            </w:tcMar>
            <w:vAlign w:val="center"/>
          </w:tcPr>
          <w:p w14:paraId="53952275">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2687DBBB">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4C7D4FE3">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2F2F342B">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0AA22274">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2054864D">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措施</w:t>
            </w:r>
          </w:p>
        </w:tc>
        <w:tc>
          <w:tcPr>
            <w:tcW w:w="4837" w:type="pct"/>
            <w:vAlign w:val="center"/>
          </w:tcPr>
          <w:p w14:paraId="23DF1EEC">
            <w:pPr>
              <w:pStyle w:val="100"/>
              <w:keepNext w:val="0"/>
              <w:keepLines w:val="0"/>
              <w:suppressLineNumbers w:val="0"/>
              <w:spacing w:before="0" w:beforeAutospacing="0" w:after="0" w:afterAutospacing="0" w:line="240" w:lineRule="auto"/>
              <w:ind w:left="0" w:right="0" w:firstLine="480"/>
              <w:jc w:val="center"/>
              <w:rPr>
                <w:b/>
                <w:bCs/>
                <w:color w:val="auto"/>
                <w:highlight w:val="none"/>
              </w:rPr>
            </w:pPr>
            <w:r>
              <w:rPr>
                <w:b/>
                <w:bCs/>
                <w:color w:val="auto"/>
                <w:highlight w:val="none"/>
              </w:rPr>
              <w:t>表4-1</w:t>
            </w:r>
            <w:r>
              <w:rPr>
                <w:rFonts w:hint="eastAsia"/>
                <w:b/>
                <w:bCs/>
                <w:color w:val="auto"/>
                <w:highlight w:val="none"/>
                <w:lang w:val="en-US" w:eastAsia="zh-CN"/>
              </w:rPr>
              <w:t>5</w:t>
            </w:r>
            <w:r>
              <w:rPr>
                <w:rFonts w:hint="eastAsia"/>
                <w:b/>
                <w:bCs/>
                <w:color w:val="auto"/>
                <w:highlight w:val="none"/>
              </w:rPr>
              <w:t xml:space="preserve">  </w:t>
            </w:r>
            <w:r>
              <w:rPr>
                <w:b/>
                <w:bCs/>
                <w:color w:val="auto"/>
                <w:highlight w:val="none"/>
              </w:rPr>
              <w:t>拟建项目噪声产生及治理情况（室内声源）单位：dB（A）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4"/>
              <w:gridCol w:w="468"/>
              <w:gridCol w:w="1470"/>
              <w:gridCol w:w="1310"/>
              <w:gridCol w:w="858"/>
              <w:gridCol w:w="636"/>
              <w:gridCol w:w="1205"/>
              <w:gridCol w:w="1110"/>
              <w:gridCol w:w="481"/>
              <w:gridCol w:w="543"/>
              <w:gridCol w:w="750"/>
              <w:gridCol w:w="1210"/>
              <w:gridCol w:w="641"/>
              <w:gridCol w:w="707"/>
              <w:gridCol w:w="601"/>
              <w:gridCol w:w="500"/>
            </w:tblGrid>
            <w:tr w14:paraId="38B7C4A3">
              <w:tc>
                <w:tcPr>
                  <w:tcW w:w="164" w:type="pct"/>
                  <w:vMerge w:val="restart"/>
                  <w:vAlign w:val="center"/>
                </w:tcPr>
                <w:p w14:paraId="5AD596D5">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序号</w:t>
                  </w:r>
                </w:p>
              </w:tc>
              <w:tc>
                <w:tcPr>
                  <w:tcW w:w="181" w:type="pct"/>
                  <w:vMerge w:val="restart"/>
                  <w:vAlign w:val="center"/>
                </w:tcPr>
                <w:p w14:paraId="41EA572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建筑物名称</w:t>
                  </w:r>
                </w:p>
              </w:tc>
              <w:tc>
                <w:tcPr>
                  <w:tcW w:w="569" w:type="pct"/>
                  <w:vMerge w:val="restart"/>
                  <w:vAlign w:val="center"/>
                </w:tcPr>
                <w:p w14:paraId="7205271B">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声源名称</w:t>
                  </w:r>
                </w:p>
              </w:tc>
              <w:tc>
                <w:tcPr>
                  <w:tcW w:w="507" w:type="pct"/>
                  <w:vMerge w:val="restart"/>
                  <w:vAlign w:val="center"/>
                </w:tcPr>
                <w:p w14:paraId="394DCA7F">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型号</w:t>
                  </w:r>
                </w:p>
              </w:tc>
              <w:tc>
                <w:tcPr>
                  <w:tcW w:w="332" w:type="pct"/>
                  <w:vMerge w:val="restart"/>
                  <w:vAlign w:val="center"/>
                </w:tcPr>
                <w:p w14:paraId="576423F3">
                  <w:pPr>
                    <w:keepNext w:val="0"/>
                    <w:keepLines w:val="0"/>
                    <w:suppressLineNumbers w:val="0"/>
                    <w:spacing w:before="0" w:beforeAutospacing="0" w:after="0" w:afterAutospacing="0"/>
                    <w:ind w:left="0" w:right="0"/>
                    <w:jc w:val="center"/>
                    <w:rPr>
                      <w:color w:val="auto"/>
                      <w:highlight w:val="none"/>
                    </w:rPr>
                  </w:pPr>
                  <w:r>
                    <w:rPr>
                      <w:rFonts w:hint="eastAsia" w:eastAsia="宋体"/>
                      <w:color w:val="auto"/>
                      <w:highlight w:val="none"/>
                    </w:rPr>
                    <w:t>声功率级</w:t>
                  </w:r>
                </w:p>
              </w:tc>
              <w:tc>
                <w:tcPr>
                  <w:tcW w:w="246" w:type="pct"/>
                  <w:vMerge w:val="restart"/>
                  <w:vAlign w:val="center"/>
                </w:tcPr>
                <w:p w14:paraId="27A4B3A4">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声源控制措施</w:t>
                  </w:r>
                </w:p>
              </w:tc>
              <w:tc>
                <w:tcPr>
                  <w:tcW w:w="1082" w:type="pct"/>
                  <w:gridSpan w:val="3"/>
                  <w:vAlign w:val="center"/>
                </w:tcPr>
                <w:p w14:paraId="21F454EB">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空间相对位置/m</w:t>
                  </w:r>
                </w:p>
              </w:tc>
              <w:tc>
                <w:tcPr>
                  <w:tcW w:w="210" w:type="pct"/>
                  <w:vMerge w:val="restart"/>
                  <w:vAlign w:val="center"/>
                </w:tcPr>
                <w:p w14:paraId="4F5A8450">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距室内边界距离/m</w:t>
                  </w:r>
                </w:p>
              </w:tc>
              <w:tc>
                <w:tcPr>
                  <w:tcW w:w="290" w:type="pct"/>
                  <w:vMerge w:val="restart"/>
                  <w:vAlign w:val="center"/>
                </w:tcPr>
                <w:p w14:paraId="66E36203">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室内边界声级</w:t>
                  </w:r>
                </w:p>
              </w:tc>
              <w:tc>
                <w:tcPr>
                  <w:tcW w:w="468" w:type="pct"/>
                  <w:vMerge w:val="restart"/>
                  <w:vAlign w:val="center"/>
                </w:tcPr>
                <w:p w14:paraId="75F5D1DE">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运行时段</w:t>
                  </w:r>
                </w:p>
              </w:tc>
              <w:tc>
                <w:tcPr>
                  <w:tcW w:w="248" w:type="pct"/>
                  <w:vMerge w:val="restart"/>
                  <w:vAlign w:val="center"/>
                </w:tcPr>
                <w:p w14:paraId="098ACC65">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建筑物插入损失</w:t>
                  </w:r>
                </w:p>
              </w:tc>
              <w:tc>
                <w:tcPr>
                  <w:tcW w:w="506" w:type="pct"/>
                  <w:gridSpan w:val="2"/>
                  <w:vAlign w:val="center"/>
                </w:tcPr>
                <w:p w14:paraId="19C10034">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建筑物外噪声</w:t>
                  </w:r>
                </w:p>
              </w:tc>
              <w:tc>
                <w:tcPr>
                  <w:tcW w:w="193" w:type="pct"/>
                  <w:vMerge w:val="restart"/>
                  <w:vAlign w:val="center"/>
                </w:tcPr>
                <w:p w14:paraId="58B69C37">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rPr>
                    <w:t>数量</w:t>
                  </w:r>
                  <w:r>
                    <w:rPr>
                      <w:rFonts w:hint="eastAsia"/>
                      <w:color w:val="auto"/>
                      <w:highlight w:val="none"/>
                      <w:lang w:eastAsia="zh-CN"/>
                    </w:rPr>
                    <w:t>（</w:t>
                  </w:r>
                  <w:r>
                    <w:rPr>
                      <w:rFonts w:hint="eastAsia"/>
                      <w:color w:val="auto"/>
                      <w:highlight w:val="none"/>
                      <w:lang w:val="en-US" w:eastAsia="zh-CN"/>
                    </w:rPr>
                    <w:t>台/套）</w:t>
                  </w:r>
                </w:p>
              </w:tc>
            </w:tr>
            <w:tr w14:paraId="3915DC4D">
              <w:tc>
                <w:tcPr>
                  <w:tcW w:w="164" w:type="pct"/>
                  <w:vMerge w:val="continue"/>
                  <w:vAlign w:val="center"/>
                </w:tcPr>
                <w:p w14:paraId="7022ED8F">
                  <w:pPr>
                    <w:keepNext w:val="0"/>
                    <w:keepLines w:val="0"/>
                    <w:suppressLineNumbers w:val="0"/>
                    <w:spacing w:before="0" w:beforeAutospacing="0" w:after="0" w:afterAutospacing="0"/>
                    <w:ind w:left="0" w:right="0"/>
                    <w:jc w:val="center"/>
                    <w:rPr>
                      <w:color w:val="auto"/>
                      <w:highlight w:val="none"/>
                    </w:rPr>
                  </w:pPr>
                </w:p>
              </w:tc>
              <w:tc>
                <w:tcPr>
                  <w:tcW w:w="181" w:type="pct"/>
                  <w:vMerge w:val="continue"/>
                  <w:vAlign w:val="center"/>
                </w:tcPr>
                <w:p w14:paraId="26E32F49">
                  <w:pPr>
                    <w:keepNext w:val="0"/>
                    <w:keepLines w:val="0"/>
                    <w:suppressLineNumbers w:val="0"/>
                    <w:spacing w:before="0" w:beforeAutospacing="0" w:after="0" w:afterAutospacing="0"/>
                    <w:ind w:left="0" w:right="0"/>
                    <w:jc w:val="center"/>
                    <w:rPr>
                      <w:color w:val="auto"/>
                      <w:highlight w:val="none"/>
                    </w:rPr>
                  </w:pPr>
                </w:p>
              </w:tc>
              <w:tc>
                <w:tcPr>
                  <w:tcW w:w="569" w:type="pct"/>
                  <w:vMerge w:val="continue"/>
                  <w:vAlign w:val="center"/>
                </w:tcPr>
                <w:p w14:paraId="1454E58A">
                  <w:pPr>
                    <w:keepNext w:val="0"/>
                    <w:keepLines w:val="0"/>
                    <w:suppressLineNumbers w:val="0"/>
                    <w:spacing w:before="0" w:beforeAutospacing="0" w:after="0" w:afterAutospacing="0"/>
                    <w:ind w:left="0" w:right="0"/>
                    <w:jc w:val="center"/>
                    <w:rPr>
                      <w:color w:val="auto"/>
                      <w:highlight w:val="none"/>
                    </w:rPr>
                  </w:pPr>
                </w:p>
              </w:tc>
              <w:tc>
                <w:tcPr>
                  <w:tcW w:w="507" w:type="pct"/>
                  <w:vMerge w:val="continue"/>
                  <w:vAlign w:val="center"/>
                </w:tcPr>
                <w:p w14:paraId="5869E2EB">
                  <w:pPr>
                    <w:keepNext w:val="0"/>
                    <w:keepLines w:val="0"/>
                    <w:suppressLineNumbers w:val="0"/>
                    <w:spacing w:before="0" w:beforeAutospacing="0" w:after="0" w:afterAutospacing="0"/>
                    <w:ind w:left="0" w:right="0"/>
                    <w:jc w:val="center"/>
                    <w:rPr>
                      <w:color w:val="auto"/>
                      <w:highlight w:val="none"/>
                    </w:rPr>
                  </w:pPr>
                </w:p>
              </w:tc>
              <w:tc>
                <w:tcPr>
                  <w:tcW w:w="332" w:type="pct"/>
                  <w:vMerge w:val="continue"/>
                  <w:vAlign w:val="center"/>
                </w:tcPr>
                <w:p w14:paraId="5074EB42">
                  <w:pPr>
                    <w:keepNext w:val="0"/>
                    <w:keepLines w:val="0"/>
                    <w:suppressLineNumbers w:val="0"/>
                    <w:spacing w:before="0" w:beforeAutospacing="0" w:after="0" w:afterAutospacing="0"/>
                    <w:ind w:left="0" w:right="0"/>
                    <w:jc w:val="center"/>
                    <w:rPr>
                      <w:color w:val="auto"/>
                      <w:highlight w:val="none"/>
                    </w:rPr>
                  </w:pPr>
                </w:p>
              </w:tc>
              <w:tc>
                <w:tcPr>
                  <w:tcW w:w="246" w:type="pct"/>
                  <w:vMerge w:val="continue"/>
                  <w:vAlign w:val="center"/>
                </w:tcPr>
                <w:p w14:paraId="78E270E1">
                  <w:pPr>
                    <w:keepNext w:val="0"/>
                    <w:keepLines w:val="0"/>
                    <w:suppressLineNumbers w:val="0"/>
                    <w:spacing w:before="0" w:beforeAutospacing="0" w:after="0" w:afterAutospacing="0"/>
                    <w:ind w:left="0" w:right="0"/>
                    <w:jc w:val="center"/>
                    <w:rPr>
                      <w:color w:val="auto"/>
                      <w:highlight w:val="none"/>
                    </w:rPr>
                  </w:pPr>
                </w:p>
              </w:tc>
              <w:tc>
                <w:tcPr>
                  <w:tcW w:w="466" w:type="pct"/>
                  <w:vAlign w:val="center"/>
                </w:tcPr>
                <w:p w14:paraId="35DB080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X</w:t>
                  </w:r>
                </w:p>
              </w:tc>
              <w:tc>
                <w:tcPr>
                  <w:tcW w:w="429" w:type="pct"/>
                  <w:vAlign w:val="center"/>
                </w:tcPr>
                <w:p w14:paraId="0CFE435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Y</w:t>
                  </w:r>
                </w:p>
              </w:tc>
              <w:tc>
                <w:tcPr>
                  <w:tcW w:w="186" w:type="pct"/>
                  <w:vAlign w:val="center"/>
                </w:tcPr>
                <w:p w14:paraId="14BE890C">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Z</w:t>
                  </w:r>
                </w:p>
              </w:tc>
              <w:tc>
                <w:tcPr>
                  <w:tcW w:w="210" w:type="pct"/>
                  <w:vMerge w:val="continue"/>
                  <w:vAlign w:val="center"/>
                </w:tcPr>
                <w:p w14:paraId="0BF30138">
                  <w:pPr>
                    <w:keepNext w:val="0"/>
                    <w:keepLines w:val="0"/>
                    <w:suppressLineNumbers w:val="0"/>
                    <w:spacing w:before="0" w:beforeAutospacing="0" w:after="0" w:afterAutospacing="0"/>
                    <w:ind w:left="0" w:right="0"/>
                    <w:jc w:val="center"/>
                    <w:rPr>
                      <w:color w:val="auto"/>
                      <w:highlight w:val="none"/>
                    </w:rPr>
                  </w:pPr>
                </w:p>
              </w:tc>
              <w:tc>
                <w:tcPr>
                  <w:tcW w:w="290" w:type="pct"/>
                  <w:vMerge w:val="continue"/>
                  <w:vAlign w:val="center"/>
                </w:tcPr>
                <w:p w14:paraId="37020016">
                  <w:pPr>
                    <w:keepNext w:val="0"/>
                    <w:keepLines w:val="0"/>
                    <w:suppressLineNumbers w:val="0"/>
                    <w:spacing w:before="0" w:beforeAutospacing="0" w:after="0" w:afterAutospacing="0"/>
                    <w:ind w:left="0" w:right="0"/>
                    <w:jc w:val="center"/>
                    <w:rPr>
                      <w:color w:val="auto"/>
                      <w:highlight w:val="none"/>
                    </w:rPr>
                  </w:pPr>
                </w:p>
              </w:tc>
              <w:tc>
                <w:tcPr>
                  <w:tcW w:w="468" w:type="pct"/>
                  <w:vMerge w:val="continue"/>
                  <w:vAlign w:val="center"/>
                </w:tcPr>
                <w:p w14:paraId="0BAC5ADA">
                  <w:pPr>
                    <w:keepNext w:val="0"/>
                    <w:keepLines w:val="0"/>
                    <w:suppressLineNumbers w:val="0"/>
                    <w:spacing w:before="0" w:beforeAutospacing="0" w:after="0" w:afterAutospacing="0"/>
                    <w:ind w:left="0" w:right="0"/>
                    <w:jc w:val="center"/>
                    <w:rPr>
                      <w:color w:val="auto"/>
                      <w:highlight w:val="none"/>
                    </w:rPr>
                  </w:pPr>
                </w:p>
              </w:tc>
              <w:tc>
                <w:tcPr>
                  <w:tcW w:w="248" w:type="pct"/>
                  <w:vMerge w:val="continue"/>
                  <w:vAlign w:val="center"/>
                </w:tcPr>
                <w:p w14:paraId="5573E0EC">
                  <w:pPr>
                    <w:keepNext w:val="0"/>
                    <w:keepLines w:val="0"/>
                    <w:suppressLineNumbers w:val="0"/>
                    <w:spacing w:before="0" w:beforeAutospacing="0" w:after="0" w:afterAutospacing="0"/>
                    <w:ind w:left="0" w:right="0"/>
                    <w:jc w:val="center"/>
                    <w:rPr>
                      <w:color w:val="auto"/>
                      <w:highlight w:val="none"/>
                    </w:rPr>
                  </w:pPr>
                </w:p>
              </w:tc>
              <w:tc>
                <w:tcPr>
                  <w:tcW w:w="273" w:type="pct"/>
                  <w:vAlign w:val="center"/>
                </w:tcPr>
                <w:p w14:paraId="78A7ABF2">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声压级</w:t>
                  </w:r>
                </w:p>
              </w:tc>
              <w:tc>
                <w:tcPr>
                  <w:tcW w:w="232" w:type="pct"/>
                  <w:vAlign w:val="center"/>
                </w:tcPr>
                <w:p w14:paraId="526B26D1">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建筑物外距离</w:t>
                  </w:r>
                </w:p>
              </w:tc>
              <w:tc>
                <w:tcPr>
                  <w:tcW w:w="193" w:type="pct"/>
                  <w:vMerge w:val="continue"/>
                  <w:vAlign w:val="center"/>
                </w:tcPr>
                <w:p w14:paraId="230791D1">
                  <w:pPr>
                    <w:keepNext w:val="0"/>
                    <w:keepLines w:val="0"/>
                    <w:suppressLineNumbers w:val="0"/>
                    <w:spacing w:before="0" w:beforeAutospacing="0" w:after="0" w:afterAutospacing="0"/>
                    <w:ind w:left="0" w:right="0"/>
                    <w:jc w:val="center"/>
                    <w:rPr>
                      <w:color w:val="auto"/>
                      <w:highlight w:val="none"/>
                    </w:rPr>
                  </w:pPr>
                </w:p>
              </w:tc>
            </w:tr>
            <w:tr w14:paraId="1DE11D35">
              <w:trPr>
                <w:trHeight w:val="397" w:hRule="atLeast"/>
              </w:trPr>
              <w:tc>
                <w:tcPr>
                  <w:tcW w:w="164" w:type="pct"/>
                  <w:shd w:val="clear" w:color="auto" w:fill="auto"/>
                  <w:vAlign w:val="center"/>
                </w:tcPr>
                <w:p w14:paraId="38D7B4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1</w:t>
                  </w:r>
                </w:p>
              </w:tc>
              <w:tc>
                <w:tcPr>
                  <w:tcW w:w="181" w:type="pct"/>
                  <w:vMerge w:val="restart"/>
                  <w:vAlign w:val="center"/>
                </w:tcPr>
                <w:p w14:paraId="7724FEC8">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生产车间</w:t>
                  </w:r>
                </w:p>
              </w:tc>
              <w:tc>
                <w:tcPr>
                  <w:tcW w:w="569" w:type="pct"/>
                  <w:shd w:val="clear" w:color="auto" w:fill="auto"/>
                  <w:vAlign w:val="center"/>
                </w:tcPr>
                <w:p w14:paraId="554B2EE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激光切割机</w:t>
                  </w:r>
                </w:p>
              </w:tc>
              <w:tc>
                <w:tcPr>
                  <w:tcW w:w="507" w:type="pct"/>
                  <w:shd w:val="clear" w:color="auto" w:fill="auto"/>
                  <w:vAlign w:val="center"/>
                </w:tcPr>
                <w:p w14:paraId="283AB86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T20000</w:t>
                  </w:r>
                </w:p>
              </w:tc>
              <w:tc>
                <w:tcPr>
                  <w:tcW w:w="332" w:type="pct"/>
                  <w:vAlign w:val="center"/>
                </w:tcPr>
                <w:p w14:paraId="776ED4E4">
                  <w:pPr>
                    <w:keepNext w:val="0"/>
                    <w:keepLines w:val="0"/>
                    <w:suppressLineNumbers w:val="0"/>
                    <w:spacing w:before="0" w:beforeAutospacing="0" w:after="0" w:afterAutospacing="0"/>
                    <w:ind w:left="0" w:right="0"/>
                    <w:jc w:val="center"/>
                    <w:rPr>
                      <w:color w:val="auto"/>
                      <w:highlight w:val="none"/>
                    </w:rPr>
                  </w:pPr>
                  <w:r>
                    <w:rPr>
                      <w:color w:val="auto"/>
                      <w:szCs w:val="21"/>
                      <w:highlight w:val="none"/>
                    </w:rPr>
                    <w:t>80~9</w:t>
                  </w:r>
                  <w:r>
                    <w:rPr>
                      <w:rFonts w:hint="eastAsia"/>
                      <w:color w:val="auto"/>
                      <w:szCs w:val="21"/>
                      <w:highlight w:val="none"/>
                    </w:rPr>
                    <w:t>0</w:t>
                  </w:r>
                </w:p>
              </w:tc>
              <w:tc>
                <w:tcPr>
                  <w:tcW w:w="246" w:type="pct"/>
                  <w:vMerge w:val="restart"/>
                  <w:vAlign w:val="center"/>
                </w:tcPr>
                <w:p w14:paraId="35D1D530">
                  <w:pPr>
                    <w:keepNext w:val="0"/>
                    <w:keepLines w:val="0"/>
                    <w:suppressLineNumbers w:val="0"/>
                    <w:spacing w:before="0" w:beforeAutospacing="0" w:after="0" w:afterAutospacing="0"/>
                    <w:ind w:left="0" w:right="0"/>
                    <w:jc w:val="center"/>
                    <w:rPr>
                      <w:color w:val="auto"/>
                      <w:highlight w:val="none"/>
                    </w:rPr>
                  </w:pPr>
                  <w:r>
                    <w:rPr>
                      <w:rFonts w:hint="eastAsia" w:eastAsia="宋体"/>
                      <w:bCs/>
                      <w:color w:val="auto"/>
                      <w:szCs w:val="21"/>
                      <w:highlight w:val="none"/>
                    </w:rPr>
                    <w:t>选用低噪音设备；消声减震；加强操作管理和维护；合理布局等</w:t>
                  </w:r>
                </w:p>
              </w:tc>
              <w:tc>
                <w:tcPr>
                  <w:tcW w:w="466" w:type="pct"/>
                  <w:vAlign w:val="center"/>
                </w:tcPr>
                <w:p w14:paraId="156BCF1A">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rPr>
                    <w:t>119.</w:t>
                  </w:r>
                  <w:r>
                    <w:rPr>
                      <w:rFonts w:hint="eastAsia"/>
                      <w:color w:val="auto"/>
                      <w:szCs w:val="21"/>
                      <w:highlight w:val="none"/>
                      <w:lang w:val="en-US" w:eastAsia="zh-CN"/>
                    </w:rPr>
                    <w:t>2403</w:t>
                  </w:r>
                </w:p>
              </w:tc>
              <w:tc>
                <w:tcPr>
                  <w:tcW w:w="429" w:type="pct"/>
                  <w:vAlign w:val="center"/>
                </w:tcPr>
                <w:p w14:paraId="0DA52235">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rPr>
                    <w:t>33.</w:t>
                  </w:r>
                  <w:r>
                    <w:rPr>
                      <w:rFonts w:hint="eastAsia"/>
                      <w:color w:val="auto"/>
                      <w:szCs w:val="21"/>
                      <w:highlight w:val="none"/>
                      <w:lang w:val="en-US" w:eastAsia="zh-CN"/>
                    </w:rPr>
                    <w:t>8166</w:t>
                  </w:r>
                </w:p>
              </w:tc>
              <w:tc>
                <w:tcPr>
                  <w:tcW w:w="186" w:type="pct"/>
                  <w:vAlign w:val="center"/>
                </w:tcPr>
                <w:p w14:paraId="2591A71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28F3103A">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rPr>
                    <w:t>1</w:t>
                  </w:r>
                  <w:r>
                    <w:rPr>
                      <w:rFonts w:hint="eastAsia"/>
                      <w:color w:val="auto"/>
                      <w:highlight w:val="none"/>
                      <w:lang w:val="en-US" w:eastAsia="zh-CN"/>
                    </w:rPr>
                    <w:t>6</w:t>
                  </w:r>
                </w:p>
              </w:tc>
              <w:tc>
                <w:tcPr>
                  <w:tcW w:w="290" w:type="pct"/>
                  <w:vAlign w:val="center"/>
                </w:tcPr>
                <w:p w14:paraId="4239FC0E">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szCs w:val="21"/>
                      <w:highlight w:val="none"/>
                      <w:lang w:val="en-US" w:eastAsia="zh-CN"/>
                    </w:rPr>
                    <w:t>56</w:t>
                  </w:r>
                  <w:r>
                    <w:rPr>
                      <w:color w:val="auto"/>
                      <w:szCs w:val="21"/>
                      <w:highlight w:val="none"/>
                    </w:rPr>
                    <w:t>~</w:t>
                  </w:r>
                  <w:r>
                    <w:rPr>
                      <w:rFonts w:hint="eastAsia"/>
                      <w:color w:val="auto"/>
                      <w:szCs w:val="21"/>
                      <w:highlight w:val="none"/>
                      <w:lang w:val="en-US" w:eastAsia="zh-CN"/>
                    </w:rPr>
                    <w:t>66</w:t>
                  </w:r>
                </w:p>
              </w:tc>
              <w:tc>
                <w:tcPr>
                  <w:tcW w:w="468" w:type="pct"/>
                  <w:vMerge w:val="restart"/>
                  <w:vAlign w:val="center"/>
                </w:tcPr>
                <w:p w14:paraId="64FA618F">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间断运行</w:t>
                  </w:r>
                </w:p>
              </w:tc>
              <w:tc>
                <w:tcPr>
                  <w:tcW w:w="248" w:type="pct"/>
                  <w:vAlign w:val="center"/>
                </w:tcPr>
                <w:p w14:paraId="60E69D93">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776F9A82">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bCs/>
                      <w:color w:val="auto"/>
                      <w:szCs w:val="21"/>
                      <w:highlight w:val="none"/>
                      <w:lang w:val="en-US" w:eastAsia="zh-CN"/>
                    </w:rPr>
                    <w:t>41</w:t>
                  </w:r>
                  <w:r>
                    <w:rPr>
                      <w:rFonts w:hint="eastAsia"/>
                      <w:bCs/>
                      <w:color w:val="auto"/>
                      <w:szCs w:val="21"/>
                      <w:highlight w:val="none"/>
                    </w:rPr>
                    <w:t>-</w:t>
                  </w:r>
                  <w:r>
                    <w:rPr>
                      <w:rFonts w:hint="eastAsia"/>
                      <w:bCs/>
                      <w:color w:val="auto"/>
                      <w:szCs w:val="21"/>
                      <w:highlight w:val="none"/>
                      <w:lang w:val="en-US" w:eastAsia="zh-CN"/>
                    </w:rPr>
                    <w:t>51</w:t>
                  </w:r>
                </w:p>
              </w:tc>
              <w:tc>
                <w:tcPr>
                  <w:tcW w:w="232" w:type="pct"/>
                  <w:vAlign w:val="center"/>
                </w:tcPr>
                <w:p w14:paraId="6227076C">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5E997A0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1B45780D">
              <w:trPr>
                <w:trHeight w:val="397" w:hRule="atLeast"/>
              </w:trPr>
              <w:tc>
                <w:tcPr>
                  <w:tcW w:w="164" w:type="pct"/>
                  <w:shd w:val="clear" w:color="auto" w:fill="auto"/>
                  <w:vAlign w:val="center"/>
                </w:tcPr>
                <w:p w14:paraId="2C6D11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2</w:t>
                  </w:r>
                </w:p>
              </w:tc>
              <w:tc>
                <w:tcPr>
                  <w:tcW w:w="181" w:type="pct"/>
                  <w:vMerge w:val="continue"/>
                  <w:vAlign w:val="center"/>
                </w:tcPr>
                <w:p w14:paraId="4BAAE54B">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58ADE5F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数控折弯机</w:t>
                  </w:r>
                </w:p>
              </w:tc>
              <w:tc>
                <w:tcPr>
                  <w:tcW w:w="507" w:type="pct"/>
                  <w:shd w:val="clear" w:color="auto" w:fill="auto"/>
                  <w:vAlign w:val="center"/>
                </w:tcPr>
                <w:p w14:paraId="1B53CB2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WE67K</w:t>
                  </w:r>
                </w:p>
              </w:tc>
              <w:tc>
                <w:tcPr>
                  <w:tcW w:w="332" w:type="pct"/>
                  <w:vAlign w:val="center"/>
                </w:tcPr>
                <w:p w14:paraId="5003640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vAlign w:val="center"/>
                </w:tcPr>
                <w:p w14:paraId="59B2AF5B">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016B73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2411</w:t>
                  </w:r>
                </w:p>
              </w:tc>
              <w:tc>
                <w:tcPr>
                  <w:tcW w:w="429" w:type="pct"/>
                  <w:shd w:val="clear" w:color="auto" w:fill="auto"/>
                  <w:vAlign w:val="center"/>
                </w:tcPr>
                <w:p w14:paraId="64833C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8168</w:t>
                  </w:r>
                </w:p>
              </w:tc>
              <w:tc>
                <w:tcPr>
                  <w:tcW w:w="186" w:type="pct"/>
                  <w:vAlign w:val="center"/>
                </w:tcPr>
                <w:p w14:paraId="0D22DFEA">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149DBBCC">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rPr>
                    <w:t>1</w:t>
                  </w:r>
                  <w:r>
                    <w:rPr>
                      <w:rFonts w:hint="eastAsia"/>
                      <w:color w:val="auto"/>
                      <w:highlight w:val="none"/>
                      <w:lang w:val="en-US" w:eastAsia="zh-CN"/>
                    </w:rPr>
                    <w:t>8</w:t>
                  </w:r>
                </w:p>
              </w:tc>
              <w:tc>
                <w:tcPr>
                  <w:tcW w:w="290" w:type="pct"/>
                  <w:vAlign w:val="center"/>
                </w:tcPr>
                <w:p w14:paraId="36261EFA">
                  <w:pPr>
                    <w:keepNext w:val="0"/>
                    <w:keepLines w:val="0"/>
                    <w:suppressLineNumbers w:val="0"/>
                    <w:spacing w:before="0" w:beforeAutospacing="0" w:after="0" w:afterAutospacing="0"/>
                    <w:ind w:left="0" w:right="0"/>
                    <w:jc w:val="center"/>
                    <w:rPr>
                      <w:color w:val="auto"/>
                      <w:highlight w:val="none"/>
                    </w:rPr>
                  </w:pPr>
                  <w:r>
                    <w:rPr>
                      <w:rFonts w:hint="eastAsia"/>
                      <w:color w:val="auto"/>
                      <w:szCs w:val="21"/>
                      <w:highlight w:val="none"/>
                      <w:lang w:val="en-US" w:eastAsia="zh-CN"/>
                    </w:rPr>
                    <w:t>45</w:t>
                  </w:r>
                  <w:r>
                    <w:rPr>
                      <w:color w:val="auto"/>
                      <w:szCs w:val="21"/>
                      <w:highlight w:val="none"/>
                    </w:rPr>
                    <w:t>~</w:t>
                  </w:r>
                  <w:r>
                    <w:rPr>
                      <w:rFonts w:hint="eastAsia"/>
                      <w:color w:val="auto"/>
                      <w:szCs w:val="21"/>
                      <w:highlight w:val="none"/>
                      <w:lang w:val="en-US" w:eastAsia="zh-CN"/>
                    </w:rPr>
                    <w:t>55</w:t>
                  </w:r>
                </w:p>
              </w:tc>
              <w:tc>
                <w:tcPr>
                  <w:tcW w:w="468" w:type="pct"/>
                  <w:vMerge w:val="continue"/>
                  <w:vAlign w:val="center"/>
                </w:tcPr>
                <w:p w14:paraId="07CDAF90">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608D8620">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794CBF84">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bCs/>
                      <w:color w:val="auto"/>
                      <w:szCs w:val="21"/>
                      <w:highlight w:val="none"/>
                      <w:lang w:val="en-US" w:eastAsia="zh-CN"/>
                    </w:rPr>
                    <w:t>30</w:t>
                  </w:r>
                  <w:r>
                    <w:rPr>
                      <w:rFonts w:hint="eastAsia"/>
                      <w:bCs/>
                      <w:color w:val="auto"/>
                      <w:szCs w:val="21"/>
                      <w:highlight w:val="none"/>
                    </w:rPr>
                    <w:t>-</w:t>
                  </w:r>
                  <w:r>
                    <w:rPr>
                      <w:rFonts w:hint="eastAsia"/>
                      <w:bCs/>
                      <w:color w:val="auto"/>
                      <w:szCs w:val="21"/>
                      <w:highlight w:val="none"/>
                      <w:lang w:val="en-US" w:eastAsia="zh-CN"/>
                    </w:rPr>
                    <w:t>40</w:t>
                  </w:r>
                </w:p>
              </w:tc>
              <w:tc>
                <w:tcPr>
                  <w:tcW w:w="232" w:type="pct"/>
                  <w:vAlign w:val="center"/>
                </w:tcPr>
                <w:p w14:paraId="7A5B35FD">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2E7A81D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6DB23388">
              <w:trPr>
                <w:trHeight w:val="397" w:hRule="atLeast"/>
              </w:trPr>
              <w:tc>
                <w:tcPr>
                  <w:tcW w:w="164" w:type="pct"/>
                  <w:shd w:val="clear" w:color="auto" w:fill="auto"/>
                  <w:vAlign w:val="center"/>
                </w:tcPr>
                <w:p w14:paraId="39D363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3</w:t>
                  </w:r>
                </w:p>
              </w:tc>
              <w:tc>
                <w:tcPr>
                  <w:tcW w:w="181" w:type="pct"/>
                  <w:vMerge w:val="continue"/>
                  <w:vAlign w:val="center"/>
                </w:tcPr>
                <w:p w14:paraId="7BEF9E81">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5EBC3801">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自动喷涂线</w:t>
                  </w:r>
                </w:p>
              </w:tc>
              <w:tc>
                <w:tcPr>
                  <w:tcW w:w="507" w:type="pct"/>
                  <w:shd w:val="clear" w:color="auto" w:fill="auto"/>
                  <w:vAlign w:val="center"/>
                </w:tcPr>
                <w:p w14:paraId="27C82D4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t>
                  </w:r>
                </w:p>
              </w:tc>
              <w:tc>
                <w:tcPr>
                  <w:tcW w:w="332" w:type="pct"/>
                  <w:vAlign w:val="center"/>
                </w:tcPr>
                <w:p w14:paraId="18BD8D42">
                  <w:pPr>
                    <w:keepNext w:val="0"/>
                    <w:keepLines w:val="0"/>
                    <w:suppressLineNumbers w:val="0"/>
                    <w:spacing w:before="0" w:beforeAutospacing="0" w:after="0" w:afterAutospacing="0"/>
                    <w:ind w:left="0" w:right="0"/>
                    <w:jc w:val="center"/>
                    <w:rPr>
                      <w:color w:val="auto"/>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5546841D">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793035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2515</w:t>
                  </w:r>
                </w:p>
              </w:tc>
              <w:tc>
                <w:tcPr>
                  <w:tcW w:w="429" w:type="pct"/>
                  <w:shd w:val="clear" w:color="auto" w:fill="auto"/>
                  <w:vAlign w:val="center"/>
                </w:tcPr>
                <w:p w14:paraId="64B84D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8221</w:t>
                  </w:r>
                </w:p>
              </w:tc>
              <w:tc>
                <w:tcPr>
                  <w:tcW w:w="186" w:type="pct"/>
                  <w:vAlign w:val="center"/>
                </w:tcPr>
                <w:p w14:paraId="70D7AB65">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77B2A423">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22</w:t>
                  </w:r>
                </w:p>
              </w:tc>
              <w:tc>
                <w:tcPr>
                  <w:tcW w:w="290" w:type="pct"/>
                  <w:vAlign w:val="center"/>
                </w:tcPr>
                <w:p w14:paraId="0B28CA8F">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szCs w:val="21"/>
                      <w:highlight w:val="none"/>
                    </w:rPr>
                    <w:t>48</w:t>
                  </w:r>
                  <w:r>
                    <w:rPr>
                      <w:color w:val="auto"/>
                      <w:szCs w:val="21"/>
                      <w:highlight w:val="none"/>
                    </w:rPr>
                    <w:t>~</w:t>
                  </w:r>
                  <w:r>
                    <w:rPr>
                      <w:rFonts w:hint="eastAsia"/>
                      <w:color w:val="auto"/>
                      <w:szCs w:val="21"/>
                      <w:highlight w:val="none"/>
                    </w:rPr>
                    <w:t>58</w:t>
                  </w:r>
                </w:p>
              </w:tc>
              <w:tc>
                <w:tcPr>
                  <w:tcW w:w="468" w:type="pct"/>
                  <w:vMerge w:val="continue"/>
                  <w:vAlign w:val="center"/>
                </w:tcPr>
                <w:p w14:paraId="4F329240">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730B62C9">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1978F490">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bCs/>
                      <w:color w:val="auto"/>
                      <w:szCs w:val="21"/>
                      <w:highlight w:val="none"/>
                      <w:lang w:val="en-US" w:eastAsia="zh-CN"/>
                    </w:rPr>
                    <w:t>33</w:t>
                  </w:r>
                  <w:r>
                    <w:rPr>
                      <w:rFonts w:hint="eastAsia"/>
                      <w:bCs/>
                      <w:color w:val="auto"/>
                      <w:szCs w:val="21"/>
                      <w:highlight w:val="none"/>
                    </w:rPr>
                    <w:t>-</w:t>
                  </w:r>
                  <w:r>
                    <w:rPr>
                      <w:rFonts w:hint="eastAsia"/>
                      <w:bCs/>
                      <w:color w:val="auto"/>
                      <w:szCs w:val="21"/>
                      <w:highlight w:val="none"/>
                      <w:lang w:val="en-US" w:eastAsia="zh-CN"/>
                    </w:rPr>
                    <w:t>43</w:t>
                  </w:r>
                </w:p>
              </w:tc>
              <w:tc>
                <w:tcPr>
                  <w:tcW w:w="232" w:type="pct"/>
                  <w:vAlign w:val="center"/>
                </w:tcPr>
                <w:p w14:paraId="395BC191">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1023BE7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w:t>
                  </w:r>
                </w:p>
              </w:tc>
            </w:tr>
            <w:tr w14:paraId="697D71D8">
              <w:trPr>
                <w:trHeight w:val="397" w:hRule="atLeast"/>
              </w:trPr>
              <w:tc>
                <w:tcPr>
                  <w:tcW w:w="164" w:type="pct"/>
                  <w:shd w:val="clear" w:color="auto" w:fill="auto"/>
                  <w:vAlign w:val="center"/>
                </w:tcPr>
                <w:p w14:paraId="3D0A62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4</w:t>
                  </w:r>
                </w:p>
              </w:tc>
              <w:tc>
                <w:tcPr>
                  <w:tcW w:w="181" w:type="pct"/>
                  <w:vMerge w:val="continue"/>
                  <w:vAlign w:val="center"/>
                </w:tcPr>
                <w:p w14:paraId="0DEC924B">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14DE72C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压铆机</w:t>
                  </w:r>
                </w:p>
              </w:tc>
              <w:tc>
                <w:tcPr>
                  <w:tcW w:w="507" w:type="pct"/>
                  <w:shd w:val="clear" w:color="auto" w:fill="auto"/>
                  <w:vAlign w:val="center"/>
                </w:tcPr>
                <w:p w14:paraId="4A05244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M820</w:t>
                  </w:r>
                </w:p>
              </w:tc>
              <w:tc>
                <w:tcPr>
                  <w:tcW w:w="332" w:type="pct"/>
                  <w:vAlign w:val="center"/>
                </w:tcPr>
                <w:p w14:paraId="2C2285B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vAlign w:val="center"/>
                </w:tcPr>
                <w:p w14:paraId="4D538D35">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65D499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2436</w:t>
                  </w:r>
                </w:p>
              </w:tc>
              <w:tc>
                <w:tcPr>
                  <w:tcW w:w="429" w:type="pct"/>
                  <w:shd w:val="clear" w:color="auto" w:fill="auto"/>
                  <w:vAlign w:val="center"/>
                </w:tcPr>
                <w:p w14:paraId="041DD3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8172</w:t>
                  </w:r>
                </w:p>
              </w:tc>
              <w:tc>
                <w:tcPr>
                  <w:tcW w:w="186" w:type="pct"/>
                  <w:vAlign w:val="center"/>
                </w:tcPr>
                <w:p w14:paraId="12724344">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5D6978FC">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rPr>
                    <w:t>1</w:t>
                  </w:r>
                  <w:r>
                    <w:rPr>
                      <w:rFonts w:hint="eastAsia"/>
                      <w:color w:val="auto"/>
                      <w:highlight w:val="none"/>
                      <w:lang w:val="en-US" w:eastAsia="zh-CN"/>
                    </w:rPr>
                    <w:t>5</w:t>
                  </w:r>
                </w:p>
              </w:tc>
              <w:tc>
                <w:tcPr>
                  <w:tcW w:w="290" w:type="pct"/>
                  <w:vAlign w:val="center"/>
                </w:tcPr>
                <w:p w14:paraId="2F9D9EB6">
                  <w:pPr>
                    <w:keepNext w:val="0"/>
                    <w:keepLines w:val="0"/>
                    <w:suppressLineNumbers w:val="0"/>
                    <w:spacing w:before="0" w:beforeAutospacing="0" w:after="0" w:afterAutospacing="0"/>
                    <w:ind w:left="0" w:right="0"/>
                    <w:jc w:val="center"/>
                    <w:rPr>
                      <w:color w:val="auto"/>
                      <w:highlight w:val="none"/>
                    </w:rPr>
                  </w:pPr>
                  <w:r>
                    <w:rPr>
                      <w:rFonts w:hint="eastAsia"/>
                      <w:color w:val="auto"/>
                      <w:szCs w:val="21"/>
                      <w:highlight w:val="none"/>
                    </w:rPr>
                    <w:t>4</w:t>
                  </w:r>
                  <w:r>
                    <w:rPr>
                      <w:rFonts w:hint="eastAsia"/>
                      <w:color w:val="auto"/>
                      <w:szCs w:val="21"/>
                      <w:highlight w:val="none"/>
                      <w:lang w:val="en-US" w:eastAsia="zh-CN"/>
                    </w:rPr>
                    <w:t>6</w:t>
                  </w:r>
                  <w:r>
                    <w:rPr>
                      <w:color w:val="auto"/>
                      <w:szCs w:val="21"/>
                      <w:highlight w:val="none"/>
                    </w:rPr>
                    <w:t>~</w:t>
                  </w:r>
                  <w:r>
                    <w:rPr>
                      <w:rFonts w:hint="eastAsia"/>
                      <w:color w:val="auto"/>
                      <w:szCs w:val="21"/>
                      <w:highlight w:val="none"/>
                    </w:rPr>
                    <w:t>5</w:t>
                  </w:r>
                  <w:r>
                    <w:rPr>
                      <w:rFonts w:hint="eastAsia"/>
                      <w:color w:val="auto"/>
                      <w:szCs w:val="21"/>
                      <w:highlight w:val="none"/>
                      <w:lang w:val="en-US" w:eastAsia="zh-CN"/>
                    </w:rPr>
                    <w:t>6</w:t>
                  </w:r>
                </w:p>
              </w:tc>
              <w:tc>
                <w:tcPr>
                  <w:tcW w:w="468" w:type="pct"/>
                  <w:vMerge w:val="continue"/>
                  <w:vAlign w:val="center"/>
                </w:tcPr>
                <w:p w14:paraId="496D8E8D">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7D385CAE">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46149EFA">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bCs/>
                      <w:color w:val="auto"/>
                      <w:szCs w:val="21"/>
                      <w:highlight w:val="none"/>
                      <w:lang w:val="en-US" w:eastAsia="zh-CN"/>
                    </w:rPr>
                    <w:t>31</w:t>
                  </w:r>
                  <w:r>
                    <w:rPr>
                      <w:rFonts w:hint="eastAsia"/>
                      <w:bCs/>
                      <w:color w:val="auto"/>
                      <w:szCs w:val="21"/>
                      <w:highlight w:val="none"/>
                    </w:rPr>
                    <w:t>-</w:t>
                  </w:r>
                  <w:r>
                    <w:rPr>
                      <w:rFonts w:hint="eastAsia"/>
                      <w:bCs/>
                      <w:color w:val="auto"/>
                      <w:szCs w:val="21"/>
                      <w:highlight w:val="none"/>
                      <w:lang w:val="en-US" w:eastAsia="zh-CN"/>
                    </w:rPr>
                    <w:t>41</w:t>
                  </w:r>
                </w:p>
              </w:tc>
              <w:tc>
                <w:tcPr>
                  <w:tcW w:w="232" w:type="pct"/>
                  <w:vAlign w:val="center"/>
                </w:tcPr>
                <w:p w14:paraId="0CF096D7">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4E6A528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7B9D4BEE">
              <w:trPr>
                <w:trHeight w:val="397" w:hRule="atLeast"/>
              </w:trPr>
              <w:tc>
                <w:tcPr>
                  <w:tcW w:w="164" w:type="pct"/>
                  <w:shd w:val="clear" w:color="auto" w:fill="auto"/>
                  <w:vAlign w:val="center"/>
                </w:tcPr>
                <w:p w14:paraId="01796E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5</w:t>
                  </w:r>
                </w:p>
              </w:tc>
              <w:tc>
                <w:tcPr>
                  <w:tcW w:w="181" w:type="pct"/>
                  <w:vMerge w:val="continue"/>
                  <w:vAlign w:val="center"/>
                </w:tcPr>
                <w:p w14:paraId="3C3D6FC9">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4A573FC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焊机</w:t>
                  </w:r>
                </w:p>
              </w:tc>
              <w:tc>
                <w:tcPr>
                  <w:tcW w:w="507" w:type="pct"/>
                  <w:shd w:val="clear" w:color="auto" w:fill="auto"/>
                  <w:vAlign w:val="center"/>
                </w:tcPr>
                <w:p w14:paraId="5D4FAB4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YD350D</w:t>
                  </w:r>
                </w:p>
              </w:tc>
              <w:tc>
                <w:tcPr>
                  <w:tcW w:w="332" w:type="pct"/>
                  <w:vAlign w:val="center"/>
                </w:tcPr>
                <w:p w14:paraId="3A7243BA">
                  <w:pPr>
                    <w:keepNext w:val="0"/>
                    <w:keepLines w:val="0"/>
                    <w:suppressLineNumbers w:val="0"/>
                    <w:spacing w:before="0" w:beforeAutospacing="0" w:after="0" w:afterAutospacing="0"/>
                    <w:ind w:left="0" w:right="0"/>
                    <w:jc w:val="center"/>
                    <w:rPr>
                      <w:color w:val="auto"/>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vAlign w:val="center"/>
                </w:tcPr>
                <w:p w14:paraId="418F0BE5">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7B0D361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2447</w:t>
                  </w:r>
                </w:p>
              </w:tc>
              <w:tc>
                <w:tcPr>
                  <w:tcW w:w="429" w:type="pct"/>
                  <w:shd w:val="clear" w:color="auto" w:fill="auto"/>
                  <w:vAlign w:val="center"/>
                </w:tcPr>
                <w:p w14:paraId="32BF47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8165</w:t>
                  </w:r>
                </w:p>
              </w:tc>
              <w:tc>
                <w:tcPr>
                  <w:tcW w:w="186" w:type="pct"/>
                  <w:vAlign w:val="center"/>
                </w:tcPr>
                <w:p w14:paraId="05E238FF">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48AD11B9">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17</w:t>
                  </w:r>
                </w:p>
              </w:tc>
              <w:tc>
                <w:tcPr>
                  <w:tcW w:w="290" w:type="pct"/>
                  <w:vAlign w:val="center"/>
                </w:tcPr>
                <w:p w14:paraId="6B7B2DF4">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szCs w:val="21"/>
                      <w:highlight w:val="none"/>
                      <w:lang w:val="en-US" w:eastAsia="zh-CN"/>
                    </w:rPr>
                    <w:t>40</w:t>
                  </w:r>
                  <w:r>
                    <w:rPr>
                      <w:color w:val="auto"/>
                      <w:szCs w:val="21"/>
                      <w:highlight w:val="none"/>
                    </w:rPr>
                    <w:t>~</w:t>
                  </w:r>
                  <w:r>
                    <w:rPr>
                      <w:rFonts w:hint="eastAsia"/>
                      <w:color w:val="auto"/>
                      <w:szCs w:val="21"/>
                      <w:highlight w:val="none"/>
                      <w:lang w:val="en-US" w:eastAsia="zh-CN"/>
                    </w:rPr>
                    <w:t>50</w:t>
                  </w:r>
                </w:p>
              </w:tc>
              <w:tc>
                <w:tcPr>
                  <w:tcW w:w="468" w:type="pct"/>
                  <w:vMerge w:val="continue"/>
                  <w:vAlign w:val="center"/>
                </w:tcPr>
                <w:p w14:paraId="18479537">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36BE3082">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74860AD2">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bCs/>
                      <w:color w:val="auto"/>
                      <w:szCs w:val="21"/>
                      <w:highlight w:val="none"/>
                      <w:lang w:val="en-US" w:eastAsia="zh-CN"/>
                    </w:rPr>
                    <w:t>25</w:t>
                  </w:r>
                  <w:r>
                    <w:rPr>
                      <w:rFonts w:hint="eastAsia"/>
                      <w:bCs/>
                      <w:color w:val="auto"/>
                      <w:szCs w:val="21"/>
                      <w:highlight w:val="none"/>
                    </w:rPr>
                    <w:t>-</w:t>
                  </w:r>
                  <w:r>
                    <w:rPr>
                      <w:rFonts w:hint="eastAsia"/>
                      <w:bCs/>
                      <w:color w:val="auto"/>
                      <w:szCs w:val="21"/>
                      <w:highlight w:val="none"/>
                      <w:lang w:val="en-US" w:eastAsia="zh-CN"/>
                    </w:rPr>
                    <w:t>35</w:t>
                  </w:r>
                </w:p>
              </w:tc>
              <w:tc>
                <w:tcPr>
                  <w:tcW w:w="232" w:type="pct"/>
                  <w:vAlign w:val="center"/>
                </w:tcPr>
                <w:p w14:paraId="535CCC0F">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29635DE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5105E87E">
              <w:trPr>
                <w:trHeight w:val="397" w:hRule="atLeast"/>
              </w:trPr>
              <w:tc>
                <w:tcPr>
                  <w:tcW w:w="164" w:type="pct"/>
                  <w:shd w:val="clear" w:color="auto" w:fill="auto"/>
                  <w:vAlign w:val="center"/>
                </w:tcPr>
                <w:p w14:paraId="5A2F25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6</w:t>
                  </w:r>
                </w:p>
              </w:tc>
              <w:tc>
                <w:tcPr>
                  <w:tcW w:w="181" w:type="pct"/>
                  <w:vMerge w:val="continue"/>
                  <w:vAlign w:val="center"/>
                </w:tcPr>
                <w:p w14:paraId="25524C78">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0B819D9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烤箱</w:t>
                  </w:r>
                </w:p>
              </w:tc>
              <w:tc>
                <w:tcPr>
                  <w:tcW w:w="507" w:type="pct"/>
                  <w:shd w:val="clear" w:color="auto" w:fill="auto"/>
                  <w:vAlign w:val="center"/>
                </w:tcPr>
                <w:p w14:paraId="4233F20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JB8000</w:t>
                  </w:r>
                </w:p>
              </w:tc>
              <w:tc>
                <w:tcPr>
                  <w:tcW w:w="332" w:type="pct"/>
                  <w:vAlign w:val="center"/>
                </w:tcPr>
                <w:p w14:paraId="606E3EA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vAlign w:val="center"/>
                </w:tcPr>
                <w:p w14:paraId="542D175B">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651C08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2505</w:t>
                  </w:r>
                </w:p>
              </w:tc>
              <w:tc>
                <w:tcPr>
                  <w:tcW w:w="429" w:type="pct"/>
                  <w:shd w:val="clear" w:color="auto" w:fill="auto"/>
                  <w:vAlign w:val="center"/>
                </w:tcPr>
                <w:p w14:paraId="55EC52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8242</w:t>
                  </w:r>
                </w:p>
              </w:tc>
              <w:tc>
                <w:tcPr>
                  <w:tcW w:w="186" w:type="pct"/>
                  <w:vAlign w:val="center"/>
                </w:tcPr>
                <w:p w14:paraId="7F5843F6">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698BCFEA">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24</w:t>
                  </w:r>
                </w:p>
              </w:tc>
              <w:tc>
                <w:tcPr>
                  <w:tcW w:w="290" w:type="pct"/>
                  <w:vAlign w:val="center"/>
                </w:tcPr>
                <w:p w14:paraId="0459CCD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42</w:t>
                  </w:r>
                  <w:r>
                    <w:rPr>
                      <w:color w:val="auto"/>
                      <w:szCs w:val="21"/>
                      <w:highlight w:val="none"/>
                    </w:rPr>
                    <w:t>~</w:t>
                  </w:r>
                  <w:r>
                    <w:rPr>
                      <w:rFonts w:hint="eastAsia"/>
                      <w:color w:val="auto"/>
                      <w:szCs w:val="21"/>
                      <w:highlight w:val="none"/>
                      <w:lang w:val="en-US" w:eastAsia="zh-CN"/>
                    </w:rPr>
                    <w:t>52</w:t>
                  </w:r>
                </w:p>
              </w:tc>
              <w:tc>
                <w:tcPr>
                  <w:tcW w:w="468" w:type="pct"/>
                  <w:vMerge w:val="continue"/>
                  <w:vAlign w:val="center"/>
                </w:tcPr>
                <w:p w14:paraId="6B6BF6F4">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0A11E7B9">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3D659047">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27</w:t>
                  </w:r>
                  <w:r>
                    <w:rPr>
                      <w:bCs/>
                      <w:color w:val="auto"/>
                      <w:szCs w:val="21"/>
                      <w:highlight w:val="none"/>
                    </w:rPr>
                    <w:t>-</w:t>
                  </w:r>
                  <w:r>
                    <w:rPr>
                      <w:rFonts w:hint="eastAsia"/>
                      <w:bCs/>
                      <w:color w:val="auto"/>
                      <w:szCs w:val="21"/>
                      <w:highlight w:val="none"/>
                      <w:lang w:val="en-US" w:eastAsia="zh-CN"/>
                    </w:rPr>
                    <w:t>37</w:t>
                  </w:r>
                </w:p>
              </w:tc>
              <w:tc>
                <w:tcPr>
                  <w:tcW w:w="232" w:type="pct"/>
                  <w:vAlign w:val="center"/>
                </w:tcPr>
                <w:p w14:paraId="7F7A66C6">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1A2836B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117B7F36">
              <w:trPr>
                <w:trHeight w:val="397" w:hRule="atLeast"/>
              </w:trPr>
              <w:tc>
                <w:tcPr>
                  <w:tcW w:w="164" w:type="pct"/>
                  <w:shd w:val="clear" w:color="auto" w:fill="auto"/>
                  <w:vAlign w:val="center"/>
                </w:tcPr>
                <w:p w14:paraId="24E09F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7</w:t>
                  </w:r>
                </w:p>
              </w:tc>
              <w:tc>
                <w:tcPr>
                  <w:tcW w:w="181" w:type="pct"/>
                  <w:vMerge w:val="continue"/>
                  <w:vAlign w:val="center"/>
                </w:tcPr>
                <w:p w14:paraId="040E5486">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47D1E50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金属超声波清洗线</w:t>
                  </w:r>
                </w:p>
              </w:tc>
              <w:tc>
                <w:tcPr>
                  <w:tcW w:w="507" w:type="pct"/>
                  <w:shd w:val="clear" w:color="auto" w:fill="auto"/>
                  <w:vAlign w:val="center"/>
                </w:tcPr>
                <w:p w14:paraId="6C934D2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t>
                  </w:r>
                </w:p>
              </w:tc>
              <w:tc>
                <w:tcPr>
                  <w:tcW w:w="332" w:type="pct"/>
                  <w:vAlign w:val="center"/>
                </w:tcPr>
                <w:p w14:paraId="6819BF54">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vAlign w:val="center"/>
                </w:tcPr>
                <w:p w14:paraId="479CC847">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2C05CD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2417</w:t>
                  </w:r>
                </w:p>
              </w:tc>
              <w:tc>
                <w:tcPr>
                  <w:tcW w:w="429" w:type="pct"/>
                  <w:shd w:val="clear" w:color="auto" w:fill="auto"/>
                  <w:vAlign w:val="center"/>
                </w:tcPr>
                <w:p w14:paraId="29092F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8127</w:t>
                  </w:r>
                </w:p>
              </w:tc>
              <w:tc>
                <w:tcPr>
                  <w:tcW w:w="186" w:type="pct"/>
                  <w:vAlign w:val="center"/>
                </w:tcPr>
                <w:p w14:paraId="3ED7DEF1">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7244D349">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20</w:t>
                  </w:r>
                </w:p>
              </w:tc>
              <w:tc>
                <w:tcPr>
                  <w:tcW w:w="290" w:type="pct"/>
                  <w:vAlign w:val="center"/>
                </w:tcPr>
                <w:p w14:paraId="2CE70663">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44</w:t>
                  </w:r>
                  <w:r>
                    <w:rPr>
                      <w:color w:val="auto"/>
                      <w:szCs w:val="21"/>
                      <w:highlight w:val="none"/>
                    </w:rPr>
                    <w:t>~</w:t>
                  </w:r>
                  <w:r>
                    <w:rPr>
                      <w:rFonts w:hint="eastAsia"/>
                      <w:color w:val="auto"/>
                      <w:szCs w:val="21"/>
                      <w:highlight w:val="none"/>
                      <w:lang w:val="en-US" w:eastAsia="zh-CN"/>
                    </w:rPr>
                    <w:t>54</w:t>
                  </w:r>
                </w:p>
              </w:tc>
              <w:tc>
                <w:tcPr>
                  <w:tcW w:w="468" w:type="pct"/>
                  <w:vMerge w:val="continue"/>
                  <w:vAlign w:val="center"/>
                </w:tcPr>
                <w:p w14:paraId="1E1C37E1">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57510AA1">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3FE35800">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29</w:t>
                  </w:r>
                  <w:r>
                    <w:rPr>
                      <w:rFonts w:hint="eastAsia"/>
                      <w:bCs/>
                      <w:color w:val="auto"/>
                      <w:szCs w:val="21"/>
                      <w:highlight w:val="none"/>
                    </w:rPr>
                    <w:t>-</w:t>
                  </w:r>
                  <w:r>
                    <w:rPr>
                      <w:rFonts w:hint="eastAsia"/>
                      <w:bCs/>
                      <w:color w:val="auto"/>
                      <w:szCs w:val="21"/>
                      <w:highlight w:val="none"/>
                      <w:lang w:val="en-US" w:eastAsia="zh-CN"/>
                    </w:rPr>
                    <w:t>39</w:t>
                  </w:r>
                </w:p>
              </w:tc>
              <w:tc>
                <w:tcPr>
                  <w:tcW w:w="232" w:type="pct"/>
                  <w:vAlign w:val="center"/>
                </w:tcPr>
                <w:p w14:paraId="33459DA5">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705D6AD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186D3234">
              <w:trPr>
                <w:trHeight w:val="397" w:hRule="atLeast"/>
              </w:trPr>
              <w:tc>
                <w:tcPr>
                  <w:tcW w:w="164" w:type="pct"/>
                  <w:shd w:val="clear" w:color="auto" w:fill="auto"/>
                  <w:vAlign w:val="center"/>
                </w:tcPr>
                <w:p w14:paraId="125090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8</w:t>
                  </w:r>
                </w:p>
              </w:tc>
              <w:tc>
                <w:tcPr>
                  <w:tcW w:w="181" w:type="pct"/>
                  <w:vMerge w:val="continue"/>
                  <w:vAlign w:val="center"/>
                </w:tcPr>
                <w:p w14:paraId="2A3D161B">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5A30B25A">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507" w:type="pct"/>
                  <w:shd w:val="clear" w:color="auto" w:fill="auto"/>
                  <w:vAlign w:val="center"/>
                </w:tcPr>
                <w:p w14:paraId="3A94F73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V8</w:t>
                  </w:r>
                </w:p>
              </w:tc>
              <w:tc>
                <w:tcPr>
                  <w:tcW w:w="332" w:type="pct"/>
                  <w:vAlign w:val="center"/>
                </w:tcPr>
                <w:p w14:paraId="376D5AA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76EB803D">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372886D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2526</w:t>
                  </w:r>
                </w:p>
              </w:tc>
              <w:tc>
                <w:tcPr>
                  <w:tcW w:w="429" w:type="pct"/>
                  <w:shd w:val="clear" w:color="auto" w:fill="auto"/>
                  <w:vAlign w:val="center"/>
                </w:tcPr>
                <w:p w14:paraId="17CDE09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8229</w:t>
                  </w:r>
                </w:p>
              </w:tc>
              <w:tc>
                <w:tcPr>
                  <w:tcW w:w="186" w:type="pct"/>
                  <w:vAlign w:val="center"/>
                </w:tcPr>
                <w:p w14:paraId="3B44264C">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0A2CBA3A">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rPr>
                    <w:t>1</w:t>
                  </w:r>
                  <w:r>
                    <w:rPr>
                      <w:rFonts w:hint="eastAsia"/>
                      <w:color w:val="auto"/>
                      <w:highlight w:val="none"/>
                      <w:lang w:val="en-US" w:eastAsia="zh-CN"/>
                    </w:rPr>
                    <w:t>8</w:t>
                  </w:r>
                </w:p>
              </w:tc>
              <w:tc>
                <w:tcPr>
                  <w:tcW w:w="290" w:type="pct"/>
                  <w:vAlign w:val="center"/>
                </w:tcPr>
                <w:p w14:paraId="224FDA2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r>
                    <w:rPr>
                      <w:color w:val="auto"/>
                      <w:szCs w:val="21"/>
                      <w:highlight w:val="none"/>
                    </w:rPr>
                    <w:t>~</w:t>
                  </w:r>
                  <w:r>
                    <w:rPr>
                      <w:rFonts w:hint="eastAsia"/>
                      <w:color w:val="auto"/>
                      <w:szCs w:val="21"/>
                      <w:highlight w:val="none"/>
                    </w:rPr>
                    <w:t>6</w:t>
                  </w:r>
                  <w:r>
                    <w:rPr>
                      <w:rFonts w:hint="eastAsia"/>
                      <w:color w:val="auto"/>
                      <w:szCs w:val="21"/>
                      <w:highlight w:val="none"/>
                      <w:lang w:val="en-US" w:eastAsia="zh-CN"/>
                    </w:rPr>
                    <w:t>0</w:t>
                  </w:r>
                </w:p>
              </w:tc>
              <w:tc>
                <w:tcPr>
                  <w:tcW w:w="468" w:type="pct"/>
                  <w:vMerge w:val="continue"/>
                  <w:vAlign w:val="center"/>
                </w:tcPr>
                <w:p w14:paraId="7A8A5440">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1B00C478">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2B8875A7">
                  <w:pPr>
                    <w:keepNext w:val="0"/>
                    <w:keepLines w:val="0"/>
                    <w:suppressLineNumbers w:val="0"/>
                    <w:spacing w:before="0" w:beforeAutospacing="0" w:after="0" w:afterAutospacing="0"/>
                    <w:ind w:left="0" w:right="0"/>
                    <w:jc w:val="center"/>
                    <w:rPr>
                      <w:rFonts w:hint="eastAsia" w:eastAsiaTheme="minorEastAsia"/>
                      <w:bCs/>
                      <w:color w:val="auto"/>
                      <w:szCs w:val="21"/>
                      <w:highlight w:val="none"/>
                      <w:lang w:eastAsia="zh-CN"/>
                    </w:rPr>
                  </w:pPr>
                  <w:r>
                    <w:rPr>
                      <w:rFonts w:hint="eastAsia"/>
                      <w:bCs/>
                      <w:color w:val="auto"/>
                      <w:szCs w:val="21"/>
                      <w:highlight w:val="none"/>
                    </w:rPr>
                    <w:t>3</w:t>
                  </w:r>
                  <w:r>
                    <w:rPr>
                      <w:rFonts w:hint="eastAsia"/>
                      <w:bCs/>
                      <w:color w:val="auto"/>
                      <w:szCs w:val="21"/>
                      <w:highlight w:val="none"/>
                      <w:lang w:val="en-US" w:eastAsia="zh-CN"/>
                    </w:rPr>
                    <w:t>5</w:t>
                  </w:r>
                  <w:r>
                    <w:rPr>
                      <w:rFonts w:hint="eastAsia"/>
                      <w:bCs/>
                      <w:color w:val="auto"/>
                      <w:szCs w:val="21"/>
                      <w:highlight w:val="none"/>
                    </w:rPr>
                    <w:t>-4</w:t>
                  </w:r>
                  <w:r>
                    <w:rPr>
                      <w:rFonts w:hint="eastAsia"/>
                      <w:bCs/>
                      <w:color w:val="auto"/>
                      <w:szCs w:val="21"/>
                      <w:highlight w:val="none"/>
                      <w:lang w:val="en-US" w:eastAsia="zh-CN"/>
                    </w:rPr>
                    <w:t>5</w:t>
                  </w:r>
                </w:p>
              </w:tc>
              <w:tc>
                <w:tcPr>
                  <w:tcW w:w="232" w:type="pct"/>
                  <w:vAlign w:val="center"/>
                </w:tcPr>
                <w:p w14:paraId="288BD028">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418C1E9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80</w:t>
                  </w:r>
                </w:p>
              </w:tc>
            </w:tr>
            <w:tr w14:paraId="67927816">
              <w:trPr>
                <w:trHeight w:val="397" w:hRule="atLeast"/>
              </w:trPr>
              <w:tc>
                <w:tcPr>
                  <w:tcW w:w="164" w:type="pct"/>
                  <w:shd w:val="clear" w:color="auto" w:fill="auto"/>
                  <w:vAlign w:val="center"/>
                </w:tcPr>
                <w:p w14:paraId="434D7E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9</w:t>
                  </w:r>
                </w:p>
              </w:tc>
              <w:tc>
                <w:tcPr>
                  <w:tcW w:w="181" w:type="pct"/>
                  <w:vMerge w:val="continue"/>
                  <w:vAlign w:val="center"/>
                </w:tcPr>
                <w:p w14:paraId="404C8917">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5BB86BE5">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507" w:type="pct"/>
                  <w:shd w:val="clear" w:color="auto" w:fill="auto"/>
                  <w:vAlign w:val="center"/>
                </w:tcPr>
                <w:p w14:paraId="5EA3F18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V10</w:t>
                  </w:r>
                </w:p>
              </w:tc>
              <w:tc>
                <w:tcPr>
                  <w:tcW w:w="332" w:type="pct"/>
                  <w:vAlign w:val="center"/>
                </w:tcPr>
                <w:p w14:paraId="5E1DDA73">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50D9E137">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44BE9AF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2529</w:t>
                  </w:r>
                </w:p>
              </w:tc>
              <w:tc>
                <w:tcPr>
                  <w:tcW w:w="429" w:type="pct"/>
                  <w:shd w:val="clear" w:color="auto" w:fill="auto"/>
                  <w:vAlign w:val="center"/>
                </w:tcPr>
                <w:p w14:paraId="6CDA4E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8233</w:t>
                  </w:r>
                </w:p>
              </w:tc>
              <w:tc>
                <w:tcPr>
                  <w:tcW w:w="186" w:type="pct"/>
                  <w:vAlign w:val="center"/>
                </w:tcPr>
                <w:p w14:paraId="4EAEC44B">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1F084648">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rPr>
                    <w:t>1</w:t>
                  </w:r>
                  <w:r>
                    <w:rPr>
                      <w:rFonts w:hint="eastAsia"/>
                      <w:color w:val="auto"/>
                      <w:highlight w:val="none"/>
                      <w:lang w:val="en-US" w:eastAsia="zh-CN"/>
                    </w:rPr>
                    <w:t>8</w:t>
                  </w:r>
                </w:p>
              </w:tc>
              <w:tc>
                <w:tcPr>
                  <w:tcW w:w="290" w:type="pct"/>
                  <w:vAlign w:val="center"/>
                </w:tcPr>
                <w:p w14:paraId="1EF3E1FD">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szCs w:val="21"/>
                      <w:highlight w:val="none"/>
                    </w:rPr>
                    <w:t>5</w:t>
                  </w:r>
                  <w:r>
                    <w:rPr>
                      <w:rFonts w:hint="eastAsia"/>
                      <w:color w:val="auto"/>
                      <w:szCs w:val="21"/>
                      <w:highlight w:val="none"/>
                      <w:lang w:val="en-US" w:eastAsia="zh-CN"/>
                    </w:rPr>
                    <w:t>0</w:t>
                  </w:r>
                  <w:r>
                    <w:rPr>
                      <w:color w:val="auto"/>
                      <w:szCs w:val="21"/>
                      <w:highlight w:val="none"/>
                    </w:rPr>
                    <w:t>~</w:t>
                  </w:r>
                  <w:r>
                    <w:rPr>
                      <w:rFonts w:hint="eastAsia"/>
                      <w:color w:val="auto"/>
                      <w:szCs w:val="21"/>
                      <w:highlight w:val="none"/>
                    </w:rPr>
                    <w:t>6</w:t>
                  </w:r>
                  <w:r>
                    <w:rPr>
                      <w:rFonts w:hint="eastAsia"/>
                      <w:color w:val="auto"/>
                      <w:szCs w:val="21"/>
                      <w:highlight w:val="none"/>
                      <w:lang w:val="en-US" w:eastAsia="zh-CN"/>
                    </w:rPr>
                    <w:t>0</w:t>
                  </w:r>
                </w:p>
              </w:tc>
              <w:tc>
                <w:tcPr>
                  <w:tcW w:w="468" w:type="pct"/>
                  <w:vMerge w:val="continue"/>
                  <w:vAlign w:val="center"/>
                </w:tcPr>
                <w:p w14:paraId="19A43465">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418C5E13">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5C621205">
                  <w:pPr>
                    <w:keepNext w:val="0"/>
                    <w:keepLines w:val="0"/>
                    <w:suppressLineNumbers w:val="0"/>
                    <w:spacing w:before="0" w:beforeAutospacing="0" w:after="0" w:afterAutospacing="0"/>
                    <w:ind w:left="0" w:right="0"/>
                    <w:jc w:val="center"/>
                    <w:rPr>
                      <w:color w:val="auto"/>
                      <w:highlight w:val="none"/>
                    </w:rPr>
                  </w:pPr>
                  <w:r>
                    <w:rPr>
                      <w:rFonts w:hint="eastAsia"/>
                      <w:bCs/>
                      <w:color w:val="auto"/>
                      <w:szCs w:val="21"/>
                      <w:highlight w:val="none"/>
                    </w:rPr>
                    <w:t>3</w:t>
                  </w:r>
                  <w:r>
                    <w:rPr>
                      <w:rFonts w:hint="eastAsia"/>
                      <w:bCs/>
                      <w:color w:val="auto"/>
                      <w:szCs w:val="21"/>
                      <w:highlight w:val="none"/>
                      <w:lang w:val="en-US" w:eastAsia="zh-CN"/>
                    </w:rPr>
                    <w:t>5</w:t>
                  </w:r>
                  <w:r>
                    <w:rPr>
                      <w:rFonts w:hint="eastAsia"/>
                      <w:bCs/>
                      <w:color w:val="auto"/>
                      <w:szCs w:val="21"/>
                      <w:highlight w:val="none"/>
                    </w:rPr>
                    <w:t>-4</w:t>
                  </w:r>
                  <w:r>
                    <w:rPr>
                      <w:rFonts w:hint="eastAsia"/>
                      <w:bCs/>
                      <w:color w:val="auto"/>
                      <w:szCs w:val="21"/>
                      <w:highlight w:val="none"/>
                      <w:lang w:val="en-US" w:eastAsia="zh-CN"/>
                    </w:rPr>
                    <w:t>5</w:t>
                  </w:r>
                </w:p>
              </w:tc>
              <w:tc>
                <w:tcPr>
                  <w:tcW w:w="232" w:type="pct"/>
                  <w:vAlign w:val="center"/>
                </w:tcPr>
                <w:p w14:paraId="3915A47E">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4629B49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w:t>
                  </w:r>
                </w:p>
              </w:tc>
            </w:tr>
            <w:tr w14:paraId="161308B2">
              <w:trPr>
                <w:trHeight w:val="397" w:hRule="atLeast"/>
              </w:trPr>
              <w:tc>
                <w:tcPr>
                  <w:tcW w:w="164" w:type="pct"/>
                  <w:shd w:val="clear" w:color="auto" w:fill="auto"/>
                  <w:vAlign w:val="center"/>
                </w:tcPr>
                <w:p w14:paraId="3B2AA6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10</w:t>
                  </w:r>
                </w:p>
              </w:tc>
              <w:tc>
                <w:tcPr>
                  <w:tcW w:w="181" w:type="pct"/>
                  <w:vMerge w:val="continue"/>
                  <w:vAlign w:val="center"/>
                </w:tcPr>
                <w:p w14:paraId="4FB494A7">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79F624F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立式加工中心</w:t>
                  </w:r>
                </w:p>
              </w:tc>
              <w:tc>
                <w:tcPr>
                  <w:tcW w:w="507" w:type="pct"/>
                  <w:shd w:val="clear" w:color="auto" w:fill="auto"/>
                  <w:vAlign w:val="center"/>
                </w:tcPr>
                <w:p w14:paraId="5BFB31A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V16</w:t>
                  </w:r>
                </w:p>
              </w:tc>
              <w:tc>
                <w:tcPr>
                  <w:tcW w:w="332" w:type="pct"/>
                  <w:vAlign w:val="center"/>
                </w:tcPr>
                <w:p w14:paraId="749CEAFF">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43DC80B0">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57872BD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2529</w:t>
                  </w:r>
                </w:p>
              </w:tc>
              <w:tc>
                <w:tcPr>
                  <w:tcW w:w="429" w:type="pct"/>
                  <w:shd w:val="clear" w:color="auto" w:fill="auto"/>
                  <w:vAlign w:val="center"/>
                </w:tcPr>
                <w:p w14:paraId="13017E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8236</w:t>
                  </w:r>
                </w:p>
              </w:tc>
              <w:tc>
                <w:tcPr>
                  <w:tcW w:w="186" w:type="pct"/>
                  <w:vAlign w:val="center"/>
                </w:tcPr>
                <w:p w14:paraId="5C591DC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7250D256">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18</w:t>
                  </w:r>
                </w:p>
              </w:tc>
              <w:tc>
                <w:tcPr>
                  <w:tcW w:w="290" w:type="pct"/>
                  <w:vAlign w:val="center"/>
                </w:tcPr>
                <w:p w14:paraId="23929697">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5</w:t>
                  </w:r>
                  <w:r>
                    <w:rPr>
                      <w:rFonts w:hint="eastAsia"/>
                      <w:color w:val="auto"/>
                      <w:szCs w:val="21"/>
                      <w:highlight w:val="none"/>
                      <w:lang w:val="en-US" w:eastAsia="zh-CN"/>
                    </w:rPr>
                    <w:t>0</w:t>
                  </w:r>
                  <w:r>
                    <w:rPr>
                      <w:color w:val="auto"/>
                      <w:szCs w:val="21"/>
                      <w:highlight w:val="none"/>
                    </w:rPr>
                    <w:t>~</w:t>
                  </w:r>
                  <w:r>
                    <w:rPr>
                      <w:rFonts w:hint="eastAsia"/>
                      <w:color w:val="auto"/>
                      <w:szCs w:val="21"/>
                      <w:highlight w:val="none"/>
                    </w:rPr>
                    <w:t>6</w:t>
                  </w:r>
                  <w:r>
                    <w:rPr>
                      <w:rFonts w:hint="eastAsia"/>
                      <w:color w:val="auto"/>
                      <w:szCs w:val="21"/>
                      <w:highlight w:val="none"/>
                      <w:lang w:val="en-US" w:eastAsia="zh-CN"/>
                    </w:rPr>
                    <w:t>0</w:t>
                  </w:r>
                </w:p>
              </w:tc>
              <w:tc>
                <w:tcPr>
                  <w:tcW w:w="468" w:type="pct"/>
                  <w:vMerge w:val="continue"/>
                  <w:vAlign w:val="center"/>
                </w:tcPr>
                <w:p w14:paraId="3AEB19BB">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1755405E">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52ADBE3E">
                  <w:pPr>
                    <w:keepNext w:val="0"/>
                    <w:keepLines w:val="0"/>
                    <w:suppressLineNumbers w:val="0"/>
                    <w:spacing w:before="0" w:beforeAutospacing="0" w:after="0" w:afterAutospacing="0"/>
                    <w:ind w:left="0" w:right="0"/>
                    <w:jc w:val="center"/>
                    <w:rPr>
                      <w:bCs/>
                      <w:color w:val="auto"/>
                      <w:szCs w:val="21"/>
                      <w:highlight w:val="none"/>
                    </w:rPr>
                  </w:pPr>
                  <w:r>
                    <w:rPr>
                      <w:rFonts w:hint="eastAsia"/>
                      <w:bCs/>
                      <w:color w:val="auto"/>
                      <w:szCs w:val="21"/>
                      <w:highlight w:val="none"/>
                    </w:rPr>
                    <w:t>3</w:t>
                  </w:r>
                  <w:r>
                    <w:rPr>
                      <w:rFonts w:hint="eastAsia"/>
                      <w:bCs/>
                      <w:color w:val="auto"/>
                      <w:szCs w:val="21"/>
                      <w:highlight w:val="none"/>
                      <w:lang w:val="en-US" w:eastAsia="zh-CN"/>
                    </w:rPr>
                    <w:t>5</w:t>
                  </w:r>
                  <w:r>
                    <w:rPr>
                      <w:rFonts w:hint="eastAsia"/>
                      <w:bCs/>
                      <w:color w:val="auto"/>
                      <w:szCs w:val="21"/>
                      <w:highlight w:val="none"/>
                    </w:rPr>
                    <w:t>-4</w:t>
                  </w:r>
                  <w:r>
                    <w:rPr>
                      <w:rFonts w:hint="eastAsia"/>
                      <w:bCs/>
                      <w:color w:val="auto"/>
                      <w:szCs w:val="21"/>
                      <w:highlight w:val="none"/>
                      <w:lang w:val="en-US" w:eastAsia="zh-CN"/>
                    </w:rPr>
                    <w:t>5</w:t>
                  </w:r>
                </w:p>
              </w:tc>
              <w:tc>
                <w:tcPr>
                  <w:tcW w:w="232" w:type="pct"/>
                  <w:vAlign w:val="center"/>
                </w:tcPr>
                <w:p w14:paraId="20EACCB4">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6C39DA4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w:t>
                  </w:r>
                </w:p>
              </w:tc>
            </w:tr>
            <w:tr w14:paraId="5B9B16B2">
              <w:trPr>
                <w:trHeight w:val="397" w:hRule="atLeast"/>
              </w:trPr>
              <w:tc>
                <w:tcPr>
                  <w:tcW w:w="164" w:type="pct"/>
                  <w:shd w:val="clear" w:color="auto" w:fill="auto"/>
                  <w:vAlign w:val="center"/>
                </w:tcPr>
                <w:p w14:paraId="5AEF92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11</w:t>
                  </w:r>
                </w:p>
              </w:tc>
              <w:tc>
                <w:tcPr>
                  <w:tcW w:w="181" w:type="pct"/>
                  <w:vMerge w:val="continue"/>
                  <w:vAlign w:val="center"/>
                </w:tcPr>
                <w:p w14:paraId="1663D382">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7657C876">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立式钻攻中心</w:t>
                  </w:r>
                </w:p>
              </w:tc>
              <w:tc>
                <w:tcPr>
                  <w:tcW w:w="507" w:type="pct"/>
                  <w:shd w:val="clear" w:color="auto" w:fill="auto"/>
                  <w:vAlign w:val="center"/>
                </w:tcPr>
                <w:p w14:paraId="7356203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T7</w:t>
                  </w:r>
                </w:p>
              </w:tc>
              <w:tc>
                <w:tcPr>
                  <w:tcW w:w="332" w:type="pct"/>
                  <w:vAlign w:val="center"/>
                </w:tcPr>
                <w:p w14:paraId="54EA418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66D018BA">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0D21AEA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2537</w:t>
                  </w:r>
                </w:p>
              </w:tc>
              <w:tc>
                <w:tcPr>
                  <w:tcW w:w="429" w:type="pct"/>
                  <w:shd w:val="clear" w:color="auto" w:fill="auto"/>
                  <w:vAlign w:val="center"/>
                </w:tcPr>
                <w:p w14:paraId="18C723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8228</w:t>
                  </w:r>
                </w:p>
              </w:tc>
              <w:tc>
                <w:tcPr>
                  <w:tcW w:w="186" w:type="pct"/>
                  <w:vAlign w:val="center"/>
                </w:tcPr>
                <w:p w14:paraId="523C9356">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4163CE5E">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20</w:t>
                  </w:r>
                </w:p>
              </w:tc>
              <w:tc>
                <w:tcPr>
                  <w:tcW w:w="290" w:type="pct"/>
                  <w:vAlign w:val="center"/>
                </w:tcPr>
                <w:p w14:paraId="37296D35">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49</w:t>
                  </w:r>
                  <w:r>
                    <w:rPr>
                      <w:color w:val="auto"/>
                      <w:szCs w:val="21"/>
                      <w:highlight w:val="none"/>
                    </w:rPr>
                    <w:t>~</w:t>
                  </w:r>
                  <w:r>
                    <w:rPr>
                      <w:rFonts w:hint="eastAsia"/>
                      <w:color w:val="auto"/>
                      <w:szCs w:val="21"/>
                      <w:highlight w:val="none"/>
                      <w:lang w:val="en-US" w:eastAsia="zh-CN"/>
                    </w:rPr>
                    <w:t>59</w:t>
                  </w:r>
                </w:p>
              </w:tc>
              <w:tc>
                <w:tcPr>
                  <w:tcW w:w="468" w:type="pct"/>
                  <w:vMerge w:val="continue"/>
                  <w:vAlign w:val="center"/>
                </w:tcPr>
                <w:p w14:paraId="6F6386F0">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3E1356E2">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1DCA5958">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34</w:t>
                  </w:r>
                  <w:r>
                    <w:rPr>
                      <w:bCs/>
                      <w:color w:val="auto"/>
                      <w:szCs w:val="21"/>
                      <w:highlight w:val="none"/>
                    </w:rPr>
                    <w:t>-</w:t>
                  </w:r>
                  <w:r>
                    <w:rPr>
                      <w:rFonts w:hint="eastAsia"/>
                      <w:bCs/>
                      <w:color w:val="auto"/>
                      <w:szCs w:val="21"/>
                      <w:highlight w:val="none"/>
                      <w:lang w:val="en-US" w:eastAsia="zh-CN"/>
                    </w:rPr>
                    <w:t>44</w:t>
                  </w:r>
                </w:p>
              </w:tc>
              <w:tc>
                <w:tcPr>
                  <w:tcW w:w="232" w:type="pct"/>
                  <w:vAlign w:val="center"/>
                </w:tcPr>
                <w:p w14:paraId="73DCF911">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0B207A5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200</w:t>
                  </w:r>
                </w:p>
              </w:tc>
            </w:tr>
            <w:tr w14:paraId="51C8331D">
              <w:trPr>
                <w:trHeight w:val="397" w:hRule="atLeast"/>
              </w:trPr>
              <w:tc>
                <w:tcPr>
                  <w:tcW w:w="164" w:type="pct"/>
                  <w:shd w:val="clear" w:color="auto" w:fill="auto"/>
                  <w:vAlign w:val="center"/>
                </w:tcPr>
                <w:p w14:paraId="5AA319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12</w:t>
                  </w:r>
                </w:p>
              </w:tc>
              <w:tc>
                <w:tcPr>
                  <w:tcW w:w="181" w:type="pct"/>
                  <w:vMerge w:val="continue"/>
                  <w:vAlign w:val="center"/>
                </w:tcPr>
                <w:p w14:paraId="01DFABBD">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083618ED">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龙门加工中心</w:t>
                  </w:r>
                </w:p>
              </w:tc>
              <w:tc>
                <w:tcPr>
                  <w:tcW w:w="507" w:type="pct"/>
                  <w:shd w:val="clear" w:color="auto" w:fill="auto"/>
                  <w:vAlign w:val="center"/>
                </w:tcPr>
                <w:p w14:paraId="4668A13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GMC4025</w:t>
                  </w:r>
                </w:p>
              </w:tc>
              <w:tc>
                <w:tcPr>
                  <w:tcW w:w="332" w:type="pct"/>
                  <w:vAlign w:val="center"/>
                </w:tcPr>
                <w:p w14:paraId="7B1AB418">
                  <w:pPr>
                    <w:keepNext w:val="0"/>
                    <w:keepLines w:val="0"/>
                    <w:suppressLineNumbers w:val="0"/>
                    <w:spacing w:before="0" w:beforeAutospacing="0" w:after="0" w:afterAutospacing="0"/>
                    <w:ind w:left="0" w:right="0"/>
                    <w:jc w:val="center"/>
                    <w:rPr>
                      <w:color w:val="auto"/>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2CC1A395">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0A72B2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2531</w:t>
                  </w:r>
                </w:p>
              </w:tc>
              <w:tc>
                <w:tcPr>
                  <w:tcW w:w="429" w:type="pct"/>
                  <w:shd w:val="clear" w:color="auto" w:fill="auto"/>
                  <w:vAlign w:val="center"/>
                </w:tcPr>
                <w:p w14:paraId="78A93E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8226</w:t>
                  </w:r>
                </w:p>
              </w:tc>
              <w:tc>
                <w:tcPr>
                  <w:tcW w:w="186" w:type="pct"/>
                  <w:vAlign w:val="center"/>
                </w:tcPr>
                <w:p w14:paraId="0BFD9E47">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7D4F110C">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17</w:t>
                  </w:r>
                </w:p>
              </w:tc>
              <w:tc>
                <w:tcPr>
                  <w:tcW w:w="290" w:type="pct"/>
                  <w:vAlign w:val="center"/>
                </w:tcPr>
                <w:p w14:paraId="0F06CD60">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0</w:t>
                  </w:r>
                  <w:r>
                    <w:rPr>
                      <w:color w:val="auto"/>
                      <w:szCs w:val="21"/>
                      <w:highlight w:val="none"/>
                    </w:rPr>
                    <w:t>~</w:t>
                  </w:r>
                  <w:r>
                    <w:rPr>
                      <w:rFonts w:hint="eastAsia"/>
                      <w:color w:val="auto"/>
                      <w:szCs w:val="21"/>
                      <w:highlight w:val="none"/>
                    </w:rPr>
                    <w:t>6</w:t>
                  </w:r>
                  <w:r>
                    <w:rPr>
                      <w:rFonts w:hint="eastAsia"/>
                      <w:color w:val="auto"/>
                      <w:szCs w:val="21"/>
                      <w:highlight w:val="none"/>
                      <w:lang w:val="en-US" w:eastAsia="zh-CN"/>
                    </w:rPr>
                    <w:t>0</w:t>
                  </w:r>
                </w:p>
              </w:tc>
              <w:tc>
                <w:tcPr>
                  <w:tcW w:w="468" w:type="pct"/>
                  <w:vMerge w:val="continue"/>
                  <w:vAlign w:val="center"/>
                </w:tcPr>
                <w:p w14:paraId="0EF565F1">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108A5D57">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4233A1AE">
                  <w:pPr>
                    <w:keepNext w:val="0"/>
                    <w:keepLines w:val="0"/>
                    <w:suppressLineNumbers w:val="0"/>
                    <w:spacing w:before="0" w:beforeAutospacing="0" w:after="0" w:afterAutospacing="0"/>
                    <w:ind w:left="0" w:right="0"/>
                    <w:jc w:val="center"/>
                    <w:rPr>
                      <w:bCs/>
                      <w:color w:val="auto"/>
                      <w:szCs w:val="21"/>
                      <w:highlight w:val="none"/>
                    </w:rPr>
                  </w:pPr>
                  <w:r>
                    <w:rPr>
                      <w:rFonts w:hint="eastAsia"/>
                      <w:bCs/>
                      <w:color w:val="auto"/>
                      <w:szCs w:val="21"/>
                      <w:highlight w:val="none"/>
                    </w:rPr>
                    <w:t>3</w:t>
                  </w:r>
                  <w:r>
                    <w:rPr>
                      <w:rFonts w:hint="eastAsia"/>
                      <w:bCs/>
                      <w:color w:val="auto"/>
                      <w:szCs w:val="21"/>
                      <w:highlight w:val="none"/>
                      <w:lang w:val="en-US" w:eastAsia="zh-CN"/>
                    </w:rPr>
                    <w:t>5</w:t>
                  </w:r>
                  <w:r>
                    <w:rPr>
                      <w:rFonts w:hint="eastAsia"/>
                      <w:bCs/>
                      <w:color w:val="auto"/>
                      <w:szCs w:val="21"/>
                      <w:highlight w:val="none"/>
                    </w:rPr>
                    <w:t>-4</w:t>
                  </w:r>
                  <w:r>
                    <w:rPr>
                      <w:rFonts w:hint="eastAsia"/>
                      <w:bCs/>
                      <w:color w:val="auto"/>
                      <w:szCs w:val="21"/>
                      <w:highlight w:val="none"/>
                      <w:lang w:val="en-US" w:eastAsia="zh-CN"/>
                    </w:rPr>
                    <w:t>5</w:t>
                  </w:r>
                </w:p>
              </w:tc>
              <w:tc>
                <w:tcPr>
                  <w:tcW w:w="232" w:type="pct"/>
                  <w:vAlign w:val="center"/>
                </w:tcPr>
                <w:p w14:paraId="6DFCD5C1">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4FE3F7E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r>
            <w:tr w14:paraId="029BF3F5">
              <w:trPr>
                <w:trHeight w:val="397" w:hRule="atLeast"/>
              </w:trPr>
              <w:tc>
                <w:tcPr>
                  <w:tcW w:w="164" w:type="pct"/>
                  <w:shd w:val="clear" w:color="auto" w:fill="auto"/>
                  <w:vAlign w:val="center"/>
                </w:tcPr>
                <w:p w14:paraId="4016DA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13</w:t>
                  </w:r>
                </w:p>
              </w:tc>
              <w:tc>
                <w:tcPr>
                  <w:tcW w:w="181" w:type="pct"/>
                  <w:vMerge w:val="continue"/>
                  <w:vAlign w:val="center"/>
                </w:tcPr>
                <w:p w14:paraId="2710F4FA">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28FD675F">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龙门加工中心</w:t>
                  </w:r>
                </w:p>
              </w:tc>
              <w:tc>
                <w:tcPr>
                  <w:tcW w:w="507" w:type="pct"/>
                  <w:shd w:val="clear" w:color="auto" w:fill="auto"/>
                  <w:vAlign w:val="center"/>
                </w:tcPr>
                <w:p w14:paraId="444FDA28">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GMC2012</w:t>
                  </w:r>
                </w:p>
              </w:tc>
              <w:tc>
                <w:tcPr>
                  <w:tcW w:w="332" w:type="pct"/>
                  <w:vAlign w:val="center"/>
                </w:tcPr>
                <w:p w14:paraId="05BC110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6D77890F">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712D318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2535</w:t>
                  </w:r>
                </w:p>
              </w:tc>
              <w:tc>
                <w:tcPr>
                  <w:tcW w:w="429" w:type="pct"/>
                  <w:shd w:val="clear" w:color="auto" w:fill="auto"/>
                  <w:vAlign w:val="center"/>
                </w:tcPr>
                <w:p w14:paraId="08BA14B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8223</w:t>
                  </w:r>
                </w:p>
              </w:tc>
              <w:tc>
                <w:tcPr>
                  <w:tcW w:w="186" w:type="pct"/>
                  <w:vAlign w:val="center"/>
                </w:tcPr>
                <w:p w14:paraId="5A626E82">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6DEF0F49">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17</w:t>
                  </w:r>
                </w:p>
              </w:tc>
              <w:tc>
                <w:tcPr>
                  <w:tcW w:w="290" w:type="pct"/>
                  <w:vAlign w:val="center"/>
                </w:tcPr>
                <w:p w14:paraId="47E2F19F">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0</w:t>
                  </w:r>
                  <w:r>
                    <w:rPr>
                      <w:color w:val="auto"/>
                      <w:szCs w:val="21"/>
                      <w:highlight w:val="none"/>
                    </w:rPr>
                    <w:t>~</w:t>
                  </w:r>
                  <w:r>
                    <w:rPr>
                      <w:rFonts w:hint="eastAsia"/>
                      <w:color w:val="auto"/>
                      <w:szCs w:val="21"/>
                      <w:highlight w:val="none"/>
                    </w:rPr>
                    <w:t>6</w:t>
                  </w:r>
                  <w:r>
                    <w:rPr>
                      <w:rFonts w:hint="eastAsia"/>
                      <w:color w:val="auto"/>
                      <w:szCs w:val="21"/>
                      <w:highlight w:val="none"/>
                      <w:lang w:val="en-US" w:eastAsia="zh-CN"/>
                    </w:rPr>
                    <w:t>0</w:t>
                  </w:r>
                </w:p>
              </w:tc>
              <w:tc>
                <w:tcPr>
                  <w:tcW w:w="468" w:type="pct"/>
                  <w:vMerge w:val="continue"/>
                  <w:vAlign w:val="center"/>
                </w:tcPr>
                <w:p w14:paraId="58C7E0D3">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7B0B2E44">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366D485D">
                  <w:pPr>
                    <w:keepNext w:val="0"/>
                    <w:keepLines w:val="0"/>
                    <w:suppressLineNumbers w:val="0"/>
                    <w:spacing w:before="0" w:beforeAutospacing="0" w:after="0" w:afterAutospacing="0"/>
                    <w:ind w:left="0" w:right="0"/>
                    <w:jc w:val="center"/>
                    <w:rPr>
                      <w:rFonts w:hint="eastAsia" w:eastAsiaTheme="minorEastAsia"/>
                      <w:bCs/>
                      <w:color w:val="auto"/>
                      <w:szCs w:val="21"/>
                      <w:highlight w:val="none"/>
                      <w:lang w:eastAsia="zh-CN"/>
                    </w:rPr>
                  </w:pPr>
                  <w:r>
                    <w:rPr>
                      <w:rFonts w:hint="eastAsia"/>
                      <w:bCs/>
                      <w:color w:val="auto"/>
                      <w:szCs w:val="21"/>
                      <w:highlight w:val="none"/>
                    </w:rPr>
                    <w:t>3</w:t>
                  </w:r>
                  <w:r>
                    <w:rPr>
                      <w:rFonts w:hint="eastAsia"/>
                      <w:bCs/>
                      <w:color w:val="auto"/>
                      <w:szCs w:val="21"/>
                      <w:highlight w:val="none"/>
                      <w:lang w:val="en-US" w:eastAsia="zh-CN"/>
                    </w:rPr>
                    <w:t>5</w:t>
                  </w:r>
                  <w:r>
                    <w:rPr>
                      <w:rFonts w:hint="eastAsia"/>
                      <w:bCs/>
                      <w:color w:val="auto"/>
                      <w:szCs w:val="21"/>
                      <w:highlight w:val="none"/>
                    </w:rPr>
                    <w:t>-4</w:t>
                  </w:r>
                  <w:r>
                    <w:rPr>
                      <w:rFonts w:hint="eastAsia"/>
                      <w:bCs/>
                      <w:color w:val="auto"/>
                      <w:szCs w:val="21"/>
                      <w:highlight w:val="none"/>
                      <w:lang w:val="en-US" w:eastAsia="zh-CN"/>
                    </w:rPr>
                    <w:t>5</w:t>
                  </w:r>
                </w:p>
              </w:tc>
              <w:tc>
                <w:tcPr>
                  <w:tcW w:w="232" w:type="pct"/>
                  <w:vAlign w:val="center"/>
                </w:tcPr>
                <w:p w14:paraId="79DB0475">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2E728F7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r>
            <w:tr w14:paraId="258E1932">
              <w:trPr>
                <w:trHeight w:val="397" w:hRule="atLeast"/>
              </w:trPr>
              <w:tc>
                <w:tcPr>
                  <w:tcW w:w="164" w:type="pct"/>
                  <w:shd w:val="clear" w:color="auto" w:fill="auto"/>
                  <w:vAlign w:val="center"/>
                </w:tcPr>
                <w:p w14:paraId="72668E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14</w:t>
                  </w:r>
                </w:p>
              </w:tc>
              <w:tc>
                <w:tcPr>
                  <w:tcW w:w="181" w:type="pct"/>
                  <w:vMerge w:val="continue"/>
                  <w:vAlign w:val="center"/>
                </w:tcPr>
                <w:p w14:paraId="0045C048">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6958A597">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龙门导轨磨床</w:t>
                  </w:r>
                </w:p>
              </w:tc>
              <w:tc>
                <w:tcPr>
                  <w:tcW w:w="507" w:type="pct"/>
                  <w:shd w:val="clear" w:color="auto" w:fill="auto"/>
                  <w:vAlign w:val="center"/>
                </w:tcPr>
                <w:p w14:paraId="2610AA56">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FSG40160D</w:t>
                  </w:r>
                </w:p>
              </w:tc>
              <w:tc>
                <w:tcPr>
                  <w:tcW w:w="332" w:type="pct"/>
                  <w:vAlign w:val="center"/>
                </w:tcPr>
                <w:p w14:paraId="14B8D61A">
                  <w:pPr>
                    <w:keepNext w:val="0"/>
                    <w:keepLines w:val="0"/>
                    <w:suppressLineNumbers w:val="0"/>
                    <w:spacing w:before="0" w:beforeAutospacing="0" w:after="0" w:afterAutospacing="0"/>
                    <w:ind w:left="0" w:right="0"/>
                    <w:jc w:val="center"/>
                    <w:rPr>
                      <w:color w:val="auto"/>
                      <w:highlight w:val="none"/>
                    </w:rPr>
                  </w:pPr>
                  <w:r>
                    <w:rPr>
                      <w:color w:val="auto"/>
                      <w:szCs w:val="21"/>
                      <w:highlight w:val="none"/>
                    </w:rPr>
                    <w:t>70~8</w:t>
                  </w:r>
                  <w:r>
                    <w:rPr>
                      <w:rFonts w:hint="eastAsia"/>
                      <w:color w:val="auto"/>
                      <w:szCs w:val="21"/>
                      <w:highlight w:val="none"/>
                    </w:rPr>
                    <w:t>0</w:t>
                  </w:r>
                </w:p>
              </w:tc>
              <w:tc>
                <w:tcPr>
                  <w:tcW w:w="246" w:type="pct"/>
                  <w:vMerge w:val="continue"/>
                  <w:vAlign w:val="center"/>
                </w:tcPr>
                <w:p w14:paraId="1CF3C6A3">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46C12CC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2544</w:t>
                  </w:r>
                </w:p>
              </w:tc>
              <w:tc>
                <w:tcPr>
                  <w:tcW w:w="429" w:type="pct"/>
                  <w:shd w:val="clear" w:color="auto" w:fill="auto"/>
                  <w:vAlign w:val="center"/>
                </w:tcPr>
                <w:p w14:paraId="429555A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8229</w:t>
                  </w:r>
                </w:p>
              </w:tc>
              <w:tc>
                <w:tcPr>
                  <w:tcW w:w="186" w:type="pct"/>
                  <w:vAlign w:val="center"/>
                </w:tcPr>
                <w:p w14:paraId="73F1ADD2">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3D2E84BC">
                  <w:pPr>
                    <w:keepNext w:val="0"/>
                    <w:keepLines w:val="0"/>
                    <w:suppressLineNumbers w:val="0"/>
                    <w:spacing w:before="0" w:beforeAutospacing="0" w:after="0" w:afterAutospacing="0"/>
                    <w:ind w:left="0" w:right="0"/>
                    <w:jc w:val="center"/>
                    <w:rPr>
                      <w:rFonts w:hint="eastAsia" w:eastAsiaTheme="minorEastAsia"/>
                      <w:color w:val="auto"/>
                      <w:highlight w:val="none"/>
                      <w:lang w:eastAsia="zh-CN"/>
                    </w:rPr>
                  </w:pPr>
                  <w:r>
                    <w:rPr>
                      <w:rFonts w:hint="eastAsia"/>
                      <w:color w:val="auto"/>
                      <w:highlight w:val="none"/>
                    </w:rPr>
                    <w:t>1</w:t>
                  </w:r>
                  <w:r>
                    <w:rPr>
                      <w:rFonts w:hint="eastAsia"/>
                      <w:color w:val="auto"/>
                      <w:highlight w:val="none"/>
                      <w:lang w:val="en-US" w:eastAsia="zh-CN"/>
                    </w:rPr>
                    <w:t>6</w:t>
                  </w:r>
                </w:p>
              </w:tc>
              <w:tc>
                <w:tcPr>
                  <w:tcW w:w="290" w:type="pct"/>
                  <w:vAlign w:val="center"/>
                </w:tcPr>
                <w:p w14:paraId="636B3CDD">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4</w:t>
                  </w:r>
                  <w:r>
                    <w:rPr>
                      <w:rFonts w:hint="eastAsia"/>
                      <w:color w:val="auto"/>
                      <w:szCs w:val="21"/>
                      <w:highlight w:val="none"/>
                      <w:lang w:val="en-US" w:eastAsia="zh-CN"/>
                    </w:rPr>
                    <w:t>6</w:t>
                  </w:r>
                  <w:r>
                    <w:rPr>
                      <w:color w:val="auto"/>
                      <w:szCs w:val="21"/>
                      <w:highlight w:val="none"/>
                    </w:rPr>
                    <w:t>~</w:t>
                  </w:r>
                  <w:r>
                    <w:rPr>
                      <w:rFonts w:hint="eastAsia"/>
                      <w:color w:val="auto"/>
                      <w:szCs w:val="21"/>
                      <w:highlight w:val="none"/>
                    </w:rPr>
                    <w:t>5</w:t>
                  </w:r>
                  <w:r>
                    <w:rPr>
                      <w:rFonts w:hint="eastAsia"/>
                      <w:color w:val="auto"/>
                      <w:szCs w:val="21"/>
                      <w:highlight w:val="none"/>
                      <w:lang w:val="en-US" w:eastAsia="zh-CN"/>
                    </w:rPr>
                    <w:t>6</w:t>
                  </w:r>
                </w:p>
              </w:tc>
              <w:tc>
                <w:tcPr>
                  <w:tcW w:w="468" w:type="pct"/>
                  <w:vMerge w:val="continue"/>
                  <w:vAlign w:val="center"/>
                </w:tcPr>
                <w:p w14:paraId="27757983">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3CAF1400">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62417226">
                  <w:pPr>
                    <w:keepNext w:val="0"/>
                    <w:keepLines w:val="0"/>
                    <w:suppressLineNumbers w:val="0"/>
                    <w:spacing w:before="0" w:beforeAutospacing="0" w:after="0" w:afterAutospacing="0"/>
                    <w:ind w:left="0" w:right="0"/>
                    <w:jc w:val="center"/>
                    <w:rPr>
                      <w:rFonts w:hint="default"/>
                      <w:bCs/>
                      <w:color w:val="auto"/>
                      <w:szCs w:val="21"/>
                      <w:highlight w:val="none"/>
                      <w:lang w:val="en-US"/>
                    </w:rPr>
                  </w:pPr>
                  <w:r>
                    <w:rPr>
                      <w:rFonts w:hint="eastAsia"/>
                      <w:bCs/>
                      <w:color w:val="auto"/>
                      <w:szCs w:val="21"/>
                      <w:highlight w:val="none"/>
                      <w:lang w:val="en-US" w:eastAsia="zh-CN"/>
                    </w:rPr>
                    <w:t>31</w:t>
                  </w:r>
                  <w:r>
                    <w:rPr>
                      <w:bCs/>
                      <w:color w:val="auto"/>
                      <w:szCs w:val="21"/>
                      <w:highlight w:val="none"/>
                    </w:rPr>
                    <w:t>-</w:t>
                  </w:r>
                  <w:r>
                    <w:rPr>
                      <w:rFonts w:hint="eastAsia"/>
                      <w:bCs/>
                      <w:color w:val="auto"/>
                      <w:szCs w:val="21"/>
                      <w:highlight w:val="none"/>
                      <w:lang w:val="en-US" w:eastAsia="zh-CN"/>
                    </w:rPr>
                    <w:t>41</w:t>
                  </w:r>
                </w:p>
              </w:tc>
              <w:tc>
                <w:tcPr>
                  <w:tcW w:w="232" w:type="pct"/>
                  <w:vAlign w:val="center"/>
                </w:tcPr>
                <w:p w14:paraId="2557B52D">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75AEDBD4">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1584B1B3">
              <w:trPr>
                <w:trHeight w:val="397" w:hRule="atLeast"/>
              </w:trPr>
              <w:tc>
                <w:tcPr>
                  <w:tcW w:w="164" w:type="pct"/>
                  <w:shd w:val="clear" w:color="auto" w:fill="auto"/>
                  <w:vAlign w:val="center"/>
                </w:tcPr>
                <w:p w14:paraId="666A67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15</w:t>
                  </w:r>
                </w:p>
              </w:tc>
              <w:tc>
                <w:tcPr>
                  <w:tcW w:w="181" w:type="pct"/>
                  <w:vMerge w:val="continue"/>
                  <w:vAlign w:val="center"/>
                </w:tcPr>
                <w:p w14:paraId="24E83F02">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7B879A7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数控车床</w:t>
                  </w:r>
                </w:p>
              </w:tc>
              <w:tc>
                <w:tcPr>
                  <w:tcW w:w="507" w:type="pct"/>
                  <w:shd w:val="clear" w:color="auto" w:fill="auto"/>
                  <w:vAlign w:val="center"/>
                </w:tcPr>
                <w:p w14:paraId="60A5A254">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CK6150B</w:t>
                  </w:r>
                </w:p>
              </w:tc>
              <w:tc>
                <w:tcPr>
                  <w:tcW w:w="332" w:type="pct"/>
                  <w:vAlign w:val="center"/>
                </w:tcPr>
                <w:p w14:paraId="693C1FE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6840FD80">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61C59A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2546</w:t>
                  </w:r>
                </w:p>
              </w:tc>
              <w:tc>
                <w:tcPr>
                  <w:tcW w:w="429" w:type="pct"/>
                  <w:shd w:val="clear" w:color="auto" w:fill="auto"/>
                  <w:vAlign w:val="center"/>
                </w:tcPr>
                <w:p w14:paraId="19DE29D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8231</w:t>
                  </w:r>
                </w:p>
              </w:tc>
              <w:tc>
                <w:tcPr>
                  <w:tcW w:w="186" w:type="pct"/>
                  <w:vAlign w:val="center"/>
                </w:tcPr>
                <w:p w14:paraId="50B2009B">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78FF2144">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20</w:t>
                  </w:r>
                </w:p>
              </w:tc>
              <w:tc>
                <w:tcPr>
                  <w:tcW w:w="290" w:type="pct"/>
                  <w:vAlign w:val="center"/>
                </w:tcPr>
                <w:p w14:paraId="6F59D8E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49</w:t>
                  </w:r>
                  <w:r>
                    <w:rPr>
                      <w:color w:val="auto"/>
                      <w:szCs w:val="21"/>
                      <w:highlight w:val="none"/>
                    </w:rPr>
                    <w:t>~</w:t>
                  </w:r>
                  <w:r>
                    <w:rPr>
                      <w:rFonts w:hint="eastAsia"/>
                      <w:color w:val="auto"/>
                      <w:szCs w:val="21"/>
                      <w:highlight w:val="none"/>
                      <w:lang w:val="en-US" w:eastAsia="zh-CN"/>
                    </w:rPr>
                    <w:t>59</w:t>
                  </w:r>
                </w:p>
              </w:tc>
              <w:tc>
                <w:tcPr>
                  <w:tcW w:w="468" w:type="pct"/>
                  <w:vMerge w:val="continue"/>
                  <w:vAlign w:val="center"/>
                </w:tcPr>
                <w:p w14:paraId="19E63EA8">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32E91BD1">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12396383">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34</w:t>
                  </w:r>
                  <w:r>
                    <w:rPr>
                      <w:bCs/>
                      <w:color w:val="auto"/>
                      <w:szCs w:val="21"/>
                      <w:highlight w:val="none"/>
                    </w:rPr>
                    <w:t>-</w:t>
                  </w:r>
                  <w:r>
                    <w:rPr>
                      <w:rFonts w:hint="eastAsia"/>
                      <w:bCs/>
                      <w:color w:val="auto"/>
                      <w:szCs w:val="21"/>
                      <w:highlight w:val="none"/>
                      <w:lang w:val="en-US" w:eastAsia="zh-CN"/>
                    </w:rPr>
                    <w:t>44</w:t>
                  </w:r>
                </w:p>
              </w:tc>
              <w:tc>
                <w:tcPr>
                  <w:tcW w:w="232" w:type="pct"/>
                  <w:vAlign w:val="center"/>
                </w:tcPr>
                <w:p w14:paraId="78963A6C">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w:t>
                  </w:r>
                </w:p>
              </w:tc>
              <w:tc>
                <w:tcPr>
                  <w:tcW w:w="193" w:type="pct"/>
                  <w:shd w:val="clear" w:color="auto" w:fill="auto"/>
                  <w:vAlign w:val="center"/>
                </w:tcPr>
                <w:p w14:paraId="1C48E50E">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449AD982">
              <w:trPr>
                <w:trHeight w:val="397" w:hRule="atLeast"/>
              </w:trPr>
              <w:tc>
                <w:tcPr>
                  <w:tcW w:w="164" w:type="pct"/>
                  <w:shd w:val="clear" w:color="auto" w:fill="auto"/>
                  <w:vAlign w:val="center"/>
                </w:tcPr>
                <w:p w14:paraId="3B65D9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16</w:t>
                  </w:r>
                </w:p>
              </w:tc>
              <w:tc>
                <w:tcPr>
                  <w:tcW w:w="181" w:type="pct"/>
                  <w:vMerge w:val="continue"/>
                </w:tcPr>
                <w:p w14:paraId="426D1A32">
                  <w:pPr>
                    <w:keepNext w:val="0"/>
                    <w:keepLines w:val="0"/>
                    <w:suppressLineNumbers w:val="0"/>
                    <w:spacing w:before="0" w:beforeAutospacing="0" w:after="0" w:afterAutospacing="0"/>
                    <w:ind w:left="0" w:right="0"/>
                    <w:jc w:val="center"/>
                    <w:rPr>
                      <w:color w:val="auto"/>
                      <w:highlight w:val="none"/>
                    </w:rPr>
                  </w:pPr>
                </w:p>
              </w:tc>
              <w:tc>
                <w:tcPr>
                  <w:tcW w:w="569" w:type="pct"/>
                  <w:shd w:val="clear" w:color="auto" w:fill="auto"/>
                  <w:vAlign w:val="center"/>
                </w:tcPr>
                <w:p w14:paraId="49FE17E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普通车床</w:t>
                  </w:r>
                </w:p>
              </w:tc>
              <w:tc>
                <w:tcPr>
                  <w:tcW w:w="507" w:type="pct"/>
                  <w:shd w:val="clear" w:color="auto" w:fill="auto"/>
                  <w:vAlign w:val="center"/>
                </w:tcPr>
                <w:p w14:paraId="0E862F98">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CW6180</w:t>
                  </w:r>
                </w:p>
              </w:tc>
              <w:tc>
                <w:tcPr>
                  <w:tcW w:w="332" w:type="pct"/>
                  <w:vAlign w:val="center"/>
                </w:tcPr>
                <w:p w14:paraId="43DBA5E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75</w:t>
                  </w:r>
                  <w:r>
                    <w:rPr>
                      <w:color w:val="auto"/>
                      <w:szCs w:val="21"/>
                      <w:highlight w:val="none"/>
                    </w:rPr>
                    <w:t>~</w:t>
                  </w:r>
                  <w:r>
                    <w:rPr>
                      <w:rFonts w:hint="eastAsia"/>
                      <w:color w:val="auto"/>
                      <w:szCs w:val="21"/>
                      <w:highlight w:val="none"/>
                      <w:lang w:val="en-US" w:eastAsia="zh-CN"/>
                    </w:rPr>
                    <w:t>85</w:t>
                  </w:r>
                </w:p>
              </w:tc>
              <w:tc>
                <w:tcPr>
                  <w:tcW w:w="246" w:type="pct"/>
                  <w:vMerge w:val="continue"/>
                  <w:vAlign w:val="center"/>
                </w:tcPr>
                <w:p w14:paraId="0212A0B9">
                  <w:pPr>
                    <w:keepNext w:val="0"/>
                    <w:keepLines w:val="0"/>
                    <w:suppressLineNumbers w:val="0"/>
                    <w:spacing w:before="0" w:beforeAutospacing="0" w:after="0" w:afterAutospacing="0"/>
                    <w:ind w:left="0" w:right="0"/>
                    <w:jc w:val="center"/>
                    <w:rPr>
                      <w:color w:val="auto"/>
                      <w:highlight w:val="none"/>
                    </w:rPr>
                  </w:pPr>
                </w:p>
              </w:tc>
              <w:tc>
                <w:tcPr>
                  <w:tcW w:w="466" w:type="pct"/>
                  <w:shd w:val="clear" w:color="auto" w:fill="auto"/>
                  <w:vAlign w:val="center"/>
                </w:tcPr>
                <w:p w14:paraId="69BB25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2551</w:t>
                  </w:r>
                </w:p>
              </w:tc>
              <w:tc>
                <w:tcPr>
                  <w:tcW w:w="429" w:type="pct"/>
                  <w:shd w:val="clear" w:color="auto" w:fill="auto"/>
                  <w:vAlign w:val="center"/>
                </w:tcPr>
                <w:p w14:paraId="13D687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8237</w:t>
                  </w:r>
                </w:p>
              </w:tc>
              <w:tc>
                <w:tcPr>
                  <w:tcW w:w="186" w:type="pct"/>
                  <w:vAlign w:val="center"/>
                </w:tcPr>
                <w:p w14:paraId="47599649">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1.5</w:t>
                  </w:r>
                </w:p>
              </w:tc>
              <w:tc>
                <w:tcPr>
                  <w:tcW w:w="210" w:type="pct"/>
                  <w:vAlign w:val="center"/>
                </w:tcPr>
                <w:p w14:paraId="57BDA236">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20</w:t>
                  </w:r>
                </w:p>
              </w:tc>
              <w:tc>
                <w:tcPr>
                  <w:tcW w:w="290" w:type="pct"/>
                  <w:vAlign w:val="center"/>
                </w:tcPr>
                <w:p w14:paraId="393A5978">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49</w:t>
                  </w:r>
                  <w:r>
                    <w:rPr>
                      <w:color w:val="auto"/>
                      <w:szCs w:val="21"/>
                      <w:highlight w:val="none"/>
                    </w:rPr>
                    <w:t>~</w:t>
                  </w:r>
                  <w:r>
                    <w:rPr>
                      <w:rFonts w:hint="eastAsia"/>
                      <w:color w:val="auto"/>
                      <w:szCs w:val="21"/>
                      <w:highlight w:val="none"/>
                      <w:lang w:val="en-US" w:eastAsia="zh-CN"/>
                    </w:rPr>
                    <w:t>59</w:t>
                  </w:r>
                </w:p>
              </w:tc>
              <w:tc>
                <w:tcPr>
                  <w:tcW w:w="468" w:type="pct"/>
                  <w:vMerge w:val="continue"/>
                  <w:vAlign w:val="center"/>
                </w:tcPr>
                <w:p w14:paraId="5BB5580E">
                  <w:pPr>
                    <w:keepNext w:val="0"/>
                    <w:keepLines w:val="0"/>
                    <w:suppressLineNumbers w:val="0"/>
                    <w:spacing w:before="0" w:beforeAutospacing="0" w:after="0" w:afterAutospacing="0"/>
                    <w:ind w:left="0" w:right="0"/>
                    <w:jc w:val="center"/>
                    <w:rPr>
                      <w:color w:val="auto"/>
                      <w:highlight w:val="none"/>
                    </w:rPr>
                  </w:pPr>
                </w:p>
              </w:tc>
              <w:tc>
                <w:tcPr>
                  <w:tcW w:w="248" w:type="pct"/>
                  <w:vAlign w:val="center"/>
                </w:tcPr>
                <w:p w14:paraId="3EDCEE3D">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273" w:type="pct"/>
                  <w:vAlign w:val="center"/>
                </w:tcPr>
                <w:p w14:paraId="0836715C">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34</w:t>
                  </w:r>
                  <w:r>
                    <w:rPr>
                      <w:bCs/>
                      <w:color w:val="auto"/>
                      <w:szCs w:val="21"/>
                      <w:highlight w:val="none"/>
                    </w:rPr>
                    <w:t>-</w:t>
                  </w:r>
                  <w:r>
                    <w:rPr>
                      <w:rFonts w:hint="eastAsia"/>
                      <w:bCs/>
                      <w:color w:val="auto"/>
                      <w:szCs w:val="21"/>
                      <w:highlight w:val="none"/>
                      <w:lang w:val="en-US" w:eastAsia="zh-CN"/>
                    </w:rPr>
                    <w:t>44</w:t>
                  </w:r>
                </w:p>
              </w:tc>
              <w:tc>
                <w:tcPr>
                  <w:tcW w:w="232" w:type="pct"/>
                  <w:vAlign w:val="center"/>
                </w:tcPr>
                <w:p w14:paraId="6110531A">
                  <w:pPr>
                    <w:keepNext w:val="0"/>
                    <w:keepLines w:val="0"/>
                    <w:suppressLineNumbers w:val="0"/>
                    <w:spacing w:before="0" w:beforeAutospacing="0" w:after="0" w:afterAutospacing="0"/>
                    <w:ind w:left="0" w:right="0"/>
                    <w:jc w:val="center"/>
                    <w:rPr>
                      <w:rFonts w:hint="eastAsia" w:eastAsiaTheme="minorEastAsia"/>
                      <w:color w:val="auto"/>
                      <w:highlight w:val="none"/>
                      <w:lang w:val="en-US" w:eastAsia="zh-CN"/>
                    </w:rPr>
                  </w:pPr>
                  <w:r>
                    <w:rPr>
                      <w:rFonts w:hint="eastAsia"/>
                      <w:color w:val="auto"/>
                      <w:highlight w:val="none"/>
                      <w:lang w:val="en-US" w:eastAsia="zh-CN"/>
                    </w:rPr>
                    <w:t>1</w:t>
                  </w:r>
                </w:p>
              </w:tc>
              <w:tc>
                <w:tcPr>
                  <w:tcW w:w="193" w:type="pct"/>
                  <w:shd w:val="clear" w:color="auto" w:fill="auto"/>
                  <w:vAlign w:val="center"/>
                </w:tcPr>
                <w:p w14:paraId="64B2EA4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0BE2C197">
              <w:trPr>
                <w:trHeight w:val="397" w:hRule="atLeast"/>
              </w:trPr>
              <w:tc>
                <w:tcPr>
                  <w:tcW w:w="0" w:type="auto"/>
                  <w:shd w:val="clear" w:color="auto" w:fill="auto"/>
                  <w:vAlign w:val="center"/>
                </w:tcPr>
                <w:p w14:paraId="333BCA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17</w:t>
                  </w:r>
                </w:p>
              </w:tc>
              <w:tc>
                <w:tcPr>
                  <w:tcW w:w="181" w:type="pct"/>
                  <w:vMerge w:val="continue"/>
                  <w:vAlign w:val="center"/>
                </w:tcPr>
                <w:p w14:paraId="7FBEFC4F">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490CD81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炮塔铣床</w:t>
                  </w:r>
                </w:p>
              </w:tc>
              <w:tc>
                <w:tcPr>
                  <w:tcW w:w="0" w:type="auto"/>
                  <w:shd w:val="clear" w:color="auto" w:fill="auto"/>
                  <w:vAlign w:val="center"/>
                </w:tcPr>
                <w:p w14:paraId="76B6D526">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X52K</w:t>
                  </w:r>
                </w:p>
              </w:tc>
              <w:tc>
                <w:tcPr>
                  <w:tcW w:w="0" w:type="auto"/>
                  <w:vAlign w:val="center"/>
                </w:tcPr>
                <w:p w14:paraId="499BBE2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tcPr>
                <w:p w14:paraId="17F09073">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27E337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2553</w:t>
                  </w:r>
                </w:p>
              </w:tc>
              <w:tc>
                <w:tcPr>
                  <w:tcW w:w="429" w:type="pct"/>
                  <w:shd w:val="clear" w:color="auto" w:fill="auto"/>
                  <w:vAlign w:val="center"/>
                </w:tcPr>
                <w:p w14:paraId="248352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8235</w:t>
                  </w:r>
                </w:p>
              </w:tc>
              <w:tc>
                <w:tcPr>
                  <w:tcW w:w="186" w:type="pct"/>
                  <w:shd w:val="clear" w:color="auto" w:fill="auto"/>
                  <w:vAlign w:val="center"/>
                </w:tcPr>
                <w:p w14:paraId="12D96599">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321F00CB">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23</w:t>
                  </w:r>
                </w:p>
              </w:tc>
              <w:tc>
                <w:tcPr>
                  <w:tcW w:w="0" w:type="auto"/>
                  <w:vAlign w:val="center"/>
                </w:tcPr>
                <w:p w14:paraId="2B2945DF">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43</w:t>
                  </w:r>
                  <w:r>
                    <w:rPr>
                      <w:color w:val="auto"/>
                      <w:szCs w:val="21"/>
                      <w:highlight w:val="none"/>
                    </w:rPr>
                    <w:t>~</w:t>
                  </w:r>
                  <w:r>
                    <w:rPr>
                      <w:rFonts w:hint="eastAsia"/>
                      <w:color w:val="auto"/>
                      <w:szCs w:val="21"/>
                      <w:highlight w:val="none"/>
                      <w:lang w:val="en-US" w:eastAsia="zh-CN"/>
                    </w:rPr>
                    <w:t>53</w:t>
                  </w:r>
                </w:p>
              </w:tc>
              <w:tc>
                <w:tcPr>
                  <w:tcW w:w="468" w:type="pct"/>
                  <w:vMerge w:val="continue"/>
                  <w:vAlign w:val="center"/>
                </w:tcPr>
                <w:p w14:paraId="7F0E5421">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2D9C36B">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4260C6D4">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28</w:t>
                  </w:r>
                  <w:r>
                    <w:rPr>
                      <w:rFonts w:hint="eastAsia"/>
                      <w:bCs/>
                      <w:color w:val="auto"/>
                      <w:szCs w:val="21"/>
                      <w:highlight w:val="none"/>
                    </w:rPr>
                    <w:t>-</w:t>
                  </w:r>
                  <w:r>
                    <w:rPr>
                      <w:rFonts w:hint="eastAsia"/>
                      <w:bCs/>
                      <w:color w:val="auto"/>
                      <w:szCs w:val="21"/>
                      <w:highlight w:val="none"/>
                      <w:lang w:val="en-US" w:eastAsia="zh-CN"/>
                    </w:rPr>
                    <w:t>38</w:t>
                  </w:r>
                </w:p>
              </w:tc>
              <w:tc>
                <w:tcPr>
                  <w:tcW w:w="0" w:type="auto"/>
                  <w:shd w:val="clear" w:color="auto" w:fill="auto"/>
                  <w:vAlign w:val="center"/>
                </w:tcPr>
                <w:p w14:paraId="7BC3D97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w:t>
                  </w:r>
                </w:p>
              </w:tc>
              <w:tc>
                <w:tcPr>
                  <w:tcW w:w="193" w:type="pct"/>
                  <w:shd w:val="clear" w:color="auto" w:fill="auto"/>
                  <w:vAlign w:val="center"/>
                </w:tcPr>
                <w:p w14:paraId="2458B7D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46945323">
              <w:trPr>
                <w:trHeight w:val="397" w:hRule="atLeast"/>
              </w:trPr>
              <w:tc>
                <w:tcPr>
                  <w:tcW w:w="0" w:type="auto"/>
                  <w:shd w:val="clear" w:color="auto" w:fill="auto"/>
                  <w:vAlign w:val="center"/>
                </w:tcPr>
                <w:p w14:paraId="087242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18</w:t>
                  </w:r>
                </w:p>
              </w:tc>
              <w:tc>
                <w:tcPr>
                  <w:tcW w:w="181" w:type="pct"/>
                  <w:vMerge w:val="continue"/>
                  <w:vAlign w:val="center"/>
                </w:tcPr>
                <w:p w14:paraId="4F34439E">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724D3EB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摇臂钻床</w:t>
                  </w:r>
                </w:p>
              </w:tc>
              <w:tc>
                <w:tcPr>
                  <w:tcW w:w="0" w:type="auto"/>
                  <w:shd w:val="clear" w:color="auto" w:fill="auto"/>
                  <w:vAlign w:val="center"/>
                </w:tcPr>
                <w:p w14:paraId="7CEA9D01">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Z3050</w:t>
                  </w:r>
                </w:p>
              </w:tc>
              <w:tc>
                <w:tcPr>
                  <w:tcW w:w="0" w:type="auto"/>
                  <w:vAlign w:val="center"/>
                </w:tcPr>
                <w:p w14:paraId="77C4E9C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tcPr>
                <w:p w14:paraId="78F14ECB">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9E6FEE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2552</w:t>
                  </w:r>
                </w:p>
              </w:tc>
              <w:tc>
                <w:tcPr>
                  <w:tcW w:w="429" w:type="pct"/>
                  <w:shd w:val="clear" w:color="auto" w:fill="auto"/>
                  <w:vAlign w:val="center"/>
                </w:tcPr>
                <w:p w14:paraId="627EFB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8238</w:t>
                  </w:r>
                </w:p>
              </w:tc>
              <w:tc>
                <w:tcPr>
                  <w:tcW w:w="186" w:type="pct"/>
                  <w:shd w:val="clear" w:color="auto" w:fill="auto"/>
                  <w:vAlign w:val="center"/>
                </w:tcPr>
                <w:p w14:paraId="3DFE7902">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22D00316">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21</w:t>
                  </w:r>
                </w:p>
              </w:tc>
              <w:tc>
                <w:tcPr>
                  <w:tcW w:w="0" w:type="auto"/>
                  <w:vAlign w:val="center"/>
                </w:tcPr>
                <w:p w14:paraId="451102D6">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44</w:t>
                  </w:r>
                  <w:r>
                    <w:rPr>
                      <w:color w:val="auto"/>
                      <w:szCs w:val="21"/>
                      <w:highlight w:val="none"/>
                    </w:rPr>
                    <w:t>~</w:t>
                  </w:r>
                  <w:r>
                    <w:rPr>
                      <w:rFonts w:hint="eastAsia"/>
                      <w:color w:val="auto"/>
                      <w:szCs w:val="21"/>
                      <w:highlight w:val="none"/>
                      <w:lang w:val="en-US" w:eastAsia="zh-CN"/>
                    </w:rPr>
                    <w:t>54</w:t>
                  </w:r>
                </w:p>
              </w:tc>
              <w:tc>
                <w:tcPr>
                  <w:tcW w:w="468" w:type="pct"/>
                  <w:vMerge w:val="continue"/>
                  <w:vAlign w:val="center"/>
                </w:tcPr>
                <w:p w14:paraId="7F30A688">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20186E7A">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74A01704">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29</w:t>
                  </w:r>
                  <w:r>
                    <w:rPr>
                      <w:rFonts w:hint="eastAsia"/>
                      <w:bCs/>
                      <w:color w:val="auto"/>
                      <w:szCs w:val="21"/>
                      <w:highlight w:val="none"/>
                    </w:rPr>
                    <w:t>-</w:t>
                  </w:r>
                  <w:r>
                    <w:rPr>
                      <w:rFonts w:hint="eastAsia"/>
                      <w:bCs/>
                      <w:color w:val="auto"/>
                      <w:szCs w:val="21"/>
                      <w:highlight w:val="none"/>
                      <w:lang w:val="en-US" w:eastAsia="zh-CN"/>
                    </w:rPr>
                    <w:t>39</w:t>
                  </w:r>
                </w:p>
              </w:tc>
              <w:tc>
                <w:tcPr>
                  <w:tcW w:w="0" w:type="auto"/>
                  <w:shd w:val="clear" w:color="auto" w:fill="auto"/>
                  <w:vAlign w:val="center"/>
                </w:tcPr>
                <w:p w14:paraId="7EBF0D7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lang w:val="en-US" w:eastAsia="zh-CN"/>
                    </w:rPr>
                    <w:t>1</w:t>
                  </w:r>
                </w:p>
              </w:tc>
              <w:tc>
                <w:tcPr>
                  <w:tcW w:w="193" w:type="pct"/>
                  <w:shd w:val="clear" w:color="auto" w:fill="auto"/>
                  <w:vAlign w:val="center"/>
                </w:tcPr>
                <w:p w14:paraId="75FFD14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596A1BEC">
              <w:trPr>
                <w:trHeight w:val="397" w:hRule="atLeast"/>
              </w:trPr>
              <w:tc>
                <w:tcPr>
                  <w:tcW w:w="0" w:type="auto"/>
                  <w:shd w:val="clear" w:color="auto" w:fill="auto"/>
                  <w:vAlign w:val="center"/>
                </w:tcPr>
                <w:p w14:paraId="3AA6B8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19</w:t>
                  </w:r>
                </w:p>
              </w:tc>
              <w:tc>
                <w:tcPr>
                  <w:tcW w:w="181" w:type="pct"/>
                  <w:vMerge w:val="continue"/>
                  <w:vAlign w:val="center"/>
                </w:tcPr>
                <w:p w14:paraId="1BF38D0D">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5D202A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平面磨床</w:t>
                  </w:r>
                </w:p>
              </w:tc>
              <w:tc>
                <w:tcPr>
                  <w:tcW w:w="0" w:type="auto"/>
                  <w:shd w:val="clear" w:color="auto" w:fill="auto"/>
                  <w:vAlign w:val="center"/>
                </w:tcPr>
                <w:p w14:paraId="2937F545">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M7150</w:t>
                  </w:r>
                </w:p>
              </w:tc>
              <w:tc>
                <w:tcPr>
                  <w:tcW w:w="0" w:type="auto"/>
                  <w:vAlign w:val="center"/>
                </w:tcPr>
                <w:p w14:paraId="5949E44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tcPr>
                <w:p w14:paraId="7C4A035C">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6B6257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2553</w:t>
                  </w:r>
                </w:p>
              </w:tc>
              <w:tc>
                <w:tcPr>
                  <w:tcW w:w="429" w:type="pct"/>
                  <w:shd w:val="clear" w:color="auto" w:fill="auto"/>
                  <w:vAlign w:val="center"/>
                </w:tcPr>
                <w:p w14:paraId="127C48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8240</w:t>
                  </w:r>
                </w:p>
              </w:tc>
              <w:tc>
                <w:tcPr>
                  <w:tcW w:w="186" w:type="pct"/>
                  <w:shd w:val="clear" w:color="auto" w:fill="auto"/>
                  <w:vAlign w:val="center"/>
                </w:tcPr>
                <w:p w14:paraId="46EF366F">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34901C65">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20</w:t>
                  </w:r>
                </w:p>
              </w:tc>
              <w:tc>
                <w:tcPr>
                  <w:tcW w:w="0" w:type="auto"/>
                  <w:vAlign w:val="center"/>
                </w:tcPr>
                <w:p w14:paraId="0CB0DCA9">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44</w:t>
                  </w:r>
                  <w:r>
                    <w:rPr>
                      <w:color w:val="auto"/>
                      <w:szCs w:val="21"/>
                      <w:highlight w:val="none"/>
                    </w:rPr>
                    <w:t>~</w:t>
                  </w:r>
                  <w:r>
                    <w:rPr>
                      <w:rFonts w:hint="eastAsia"/>
                      <w:color w:val="auto"/>
                      <w:szCs w:val="21"/>
                      <w:highlight w:val="none"/>
                      <w:lang w:val="en-US" w:eastAsia="zh-CN"/>
                    </w:rPr>
                    <w:t>54</w:t>
                  </w:r>
                </w:p>
              </w:tc>
              <w:tc>
                <w:tcPr>
                  <w:tcW w:w="468" w:type="pct"/>
                  <w:vMerge w:val="continue"/>
                  <w:vAlign w:val="center"/>
                </w:tcPr>
                <w:p w14:paraId="37178362">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FD0DABC">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065AE170">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29</w:t>
                  </w:r>
                  <w:r>
                    <w:rPr>
                      <w:rFonts w:hint="eastAsia"/>
                      <w:bCs/>
                      <w:color w:val="auto"/>
                      <w:szCs w:val="21"/>
                      <w:highlight w:val="none"/>
                    </w:rPr>
                    <w:t>-</w:t>
                  </w:r>
                  <w:r>
                    <w:rPr>
                      <w:rFonts w:hint="eastAsia"/>
                      <w:bCs/>
                      <w:color w:val="auto"/>
                      <w:szCs w:val="21"/>
                      <w:highlight w:val="none"/>
                      <w:lang w:val="en-US" w:eastAsia="zh-CN"/>
                    </w:rPr>
                    <w:t>39</w:t>
                  </w:r>
                </w:p>
              </w:tc>
              <w:tc>
                <w:tcPr>
                  <w:tcW w:w="0" w:type="auto"/>
                  <w:shd w:val="clear" w:color="auto" w:fill="auto"/>
                  <w:vAlign w:val="center"/>
                </w:tcPr>
                <w:p w14:paraId="322C071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w:t>
                  </w:r>
                </w:p>
              </w:tc>
              <w:tc>
                <w:tcPr>
                  <w:tcW w:w="193" w:type="pct"/>
                  <w:shd w:val="clear" w:color="auto" w:fill="auto"/>
                  <w:vAlign w:val="center"/>
                </w:tcPr>
                <w:p w14:paraId="1DFAEF7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r>
            <w:tr w14:paraId="1A8BC21A">
              <w:trPr>
                <w:trHeight w:val="397" w:hRule="atLeast"/>
              </w:trPr>
              <w:tc>
                <w:tcPr>
                  <w:tcW w:w="0" w:type="auto"/>
                  <w:shd w:val="clear" w:color="auto" w:fill="auto"/>
                  <w:vAlign w:val="center"/>
                </w:tcPr>
                <w:p w14:paraId="35ADE8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20</w:t>
                  </w:r>
                </w:p>
              </w:tc>
              <w:tc>
                <w:tcPr>
                  <w:tcW w:w="181" w:type="pct"/>
                  <w:vMerge w:val="continue"/>
                  <w:vAlign w:val="center"/>
                </w:tcPr>
                <w:p w14:paraId="4868811C">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61A432B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平面磨床</w:t>
                  </w:r>
                </w:p>
              </w:tc>
              <w:tc>
                <w:tcPr>
                  <w:tcW w:w="0" w:type="auto"/>
                  <w:shd w:val="clear" w:color="auto" w:fill="auto"/>
                  <w:vAlign w:val="center"/>
                </w:tcPr>
                <w:p w14:paraId="0B420ED1">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MY3270</w:t>
                  </w:r>
                </w:p>
              </w:tc>
              <w:tc>
                <w:tcPr>
                  <w:tcW w:w="0" w:type="auto"/>
                  <w:vAlign w:val="center"/>
                </w:tcPr>
                <w:p w14:paraId="0FE97E34">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tcPr>
                <w:p w14:paraId="3080BACE">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403A672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2553</w:t>
                  </w:r>
                </w:p>
              </w:tc>
              <w:tc>
                <w:tcPr>
                  <w:tcW w:w="429" w:type="pct"/>
                  <w:shd w:val="clear" w:color="auto" w:fill="auto"/>
                  <w:vAlign w:val="center"/>
                </w:tcPr>
                <w:p w14:paraId="38D4F88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8236</w:t>
                  </w:r>
                </w:p>
              </w:tc>
              <w:tc>
                <w:tcPr>
                  <w:tcW w:w="186" w:type="pct"/>
                  <w:shd w:val="clear" w:color="auto" w:fill="auto"/>
                  <w:vAlign w:val="center"/>
                </w:tcPr>
                <w:p w14:paraId="3E7C6AA4">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76068176">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20</w:t>
                  </w:r>
                </w:p>
              </w:tc>
              <w:tc>
                <w:tcPr>
                  <w:tcW w:w="0" w:type="auto"/>
                  <w:vAlign w:val="center"/>
                </w:tcPr>
                <w:p w14:paraId="304659F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44</w:t>
                  </w:r>
                  <w:r>
                    <w:rPr>
                      <w:color w:val="auto"/>
                      <w:szCs w:val="21"/>
                      <w:highlight w:val="none"/>
                    </w:rPr>
                    <w:t>~</w:t>
                  </w:r>
                  <w:r>
                    <w:rPr>
                      <w:rFonts w:hint="eastAsia"/>
                      <w:color w:val="auto"/>
                      <w:szCs w:val="21"/>
                      <w:highlight w:val="none"/>
                      <w:lang w:val="en-US" w:eastAsia="zh-CN"/>
                    </w:rPr>
                    <w:t>54</w:t>
                  </w:r>
                </w:p>
              </w:tc>
              <w:tc>
                <w:tcPr>
                  <w:tcW w:w="468" w:type="pct"/>
                  <w:vMerge w:val="continue"/>
                  <w:vAlign w:val="center"/>
                </w:tcPr>
                <w:p w14:paraId="0F9861AD">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4BC5811E">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61D7157D">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29</w:t>
                  </w:r>
                  <w:r>
                    <w:rPr>
                      <w:rFonts w:hint="eastAsia"/>
                      <w:bCs/>
                      <w:color w:val="auto"/>
                      <w:szCs w:val="21"/>
                      <w:highlight w:val="none"/>
                    </w:rPr>
                    <w:t>-</w:t>
                  </w:r>
                  <w:r>
                    <w:rPr>
                      <w:rFonts w:hint="eastAsia"/>
                      <w:bCs/>
                      <w:color w:val="auto"/>
                      <w:szCs w:val="21"/>
                      <w:highlight w:val="none"/>
                      <w:lang w:val="en-US" w:eastAsia="zh-CN"/>
                    </w:rPr>
                    <w:t>39</w:t>
                  </w:r>
                </w:p>
              </w:tc>
              <w:tc>
                <w:tcPr>
                  <w:tcW w:w="0" w:type="auto"/>
                  <w:shd w:val="clear" w:color="auto" w:fill="auto"/>
                  <w:vAlign w:val="center"/>
                </w:tcPr>
                <w:p w14:paraId="20DECDF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lang w:val="en-US" w:eastAsia="zh-CN"/>
                    </w:rPr>
                    <w:t>1</w:t>
                  </w:r>
                </w:p>
              </w:tc>
              <w:tc>
                <w:tcPr>
                  <w:tcW w:w="193" w:type="pct"/>
                  <w:shd w:val="clear" w:color="auto" w:fill="auto"/>
                  <w:vAlign w:val="center"/>
                </w:tcPr>
                <w:p w14:paraId="1B844B9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133E1850">
              <w:trPr>
                <w:trHeight w:val="397" w:hRule="atLeast"/>
              </w:trPr>
              <w:tc>
                <w:tcPr>
                  <w:tcW w:w="0" w:type="auto"/>
                  <w:shd w:val="clear" w:color="auto" w:fill="auto"/>
                  <w:vAlign w:val="center"/>
                </w:tcPr>
                <w:p w14:paraId="5A8EE8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21</w:t>
                  </w:r>
                </w:p>
              </w:tc>
              <w:tc>
                <w:tcPr>
                  <w:tcW w:w="181" w:type="pct"/>
                  <w:vMerge w:val="continue"/>
                  <w:vAlign w:val="center"/>
                </w:tcPr>
                <w:p w14:paraId="59999FD8">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785D789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攻丝机</w:t>
                  </w:r>
                </w:p>
              </w:tc>
              <w:tc>
                <w:tcPr>
                  <w:tcW w:w="0" w:type="auto"/>
                  <w:shd w:val="clear" w:color="auto" w:fill="auto"/>
                  <w:vAlign w:val="center"/>
                </w:tcPr>
                <w:p w14:paraId="3DAB7E86">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SWJ-15</w:t>
                  </w:r>
                </w:p>
              </w:tc>
              <w:tc>
                <w:tcPr>
                  <w:tcW w:w="0" w:type="auto"/>
                  <w:vAlign w:val="center"/>
                </w:tcPr>
                <w:p w14:paraId="1EA2AC71">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tcPr>
                <w:p w14:paraId="57EE2AB4">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6C83A53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2562</w:t>
                  </w:r>
                </w:p>
              </w:tc>
              <w:tc>
                <w:tcPr>
                  <w:tcW w:w="429" w:type="pct"/>
                  <w:shd w:val="clear" w:color="auto" w:fill="auto"/>
                  <w:vAlign w:val="center"/>
                </w:tcPr>
                <w:p w14:paraId="645264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8222</w:t>
                  </w:r>
                </w:p>
              </w:tc>
              <w:tc>
                <w:tcPr>
                  <w:tcW w:w="186" w:type="pct"/>
                  <w:shd w:val="clear" w:color="auto" w:fill="auto"/>
                  <w:vAlign w:val="center"/>
                </w:tcPr>
                <w:p w14:paraId="3710DBA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201AFBA2">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15</w:t>
                  </w:r>
                </w:p>
              </w:tc>
              <w:tc>
                <w:tcPr>
                  <w:tcW w:w="0" w:type="auto"/>
                  <w:vAlign w:val="center"/>
                </w:tcPr>
                <w:p w14:paraId="6AC0CEC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41</w:t>
                  </w:r>
                  <w:r>
                    <w:rPr>
                      <w:color w:val="auto"/>
                      <w:szCs w:val="21"/>
                      <w:highlight w:val="none"/>
                    </w:rPr>
                    <w:t>~</w:t>
                  </w:r>
                  <w:r>
                    <w:rPr>
                      <w:rFonts w:hint="eastAsia"/>
                      <w:color w:val="auto"/>
                      <w:szCs w:val="21"/>
                      <w:highlight w:val="none"/>
                      <w:lang w:val="en-US" w:eastAsia="zh-CN"/>
                    </w:rPr>
                    <w:t>51</w:t>
                  </w:r>
                </w:p>
              </w:tc>
              <w:tc>
                <w:tcPr>
                  <w:tcW w:w="468" w:type="pct"/>
                  <w:vMerge w:val="continue"/>
                  <w:vAlign w:val="center"/>
                </w:tcPr>
                <w:p w14:paraId="760F2BC8">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0CEDABA3">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6722009D">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26</w:t>
                  </w:r>
                  <w:r>
                    <w:rPr>
                      <w:rFonts w:hint="eastAsia"/>
                      <w:bCs/>
                      <w:color w:val="auto"/>
                      <w:szCs w:val="21"/>
                      <w:highlight w:val="none"/>
                    </w:rPr>
                    <w:t>-</w:t>
                  </w:r>
                  <w:r>
                    <w:rPr>
                      <w:rFonts w:hint="eastAsia"/>
                      <w:bCs/>
                      <w:color w:val="auto"/>
                      <w:szCs w:val="21"/>
                      <w:highlight w:val="none"/>
                      <w:lang w:val="en-US" w:eastAsia="zh-CN"/>
                    </w:rPr>
                    <w:t>36</w:t>
                  </w:r>
                </w:p>
              </w:tc>
              <w:tc>
                <w:tcPr>
                  <w:tcW w:w="0" w:type="auto"/>
                  <w:shd w:val="clear" w:color="auto" w:fill="auto"/>
                  <w:vAlign w:val="center"/>
                </w:tcPr>
                <w:p w14:paraId="0C2FD22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w:t>
                  </w:r>
                </w:p>
              </w:tc>
              <w:tc>
                <w:tcPr>
                  <w:tcW w:w="193" w:type="pct"/>
                  <w:shd w:val="clear" w:color="auto" w:fill="auto"/>
                  <w:vAlign w:val="center"/>
                </w:tcPr>
                <w:p w14:paraId="2AE5A23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787F781E">
              <w:trPr>
                <w:trHeight w:val="397" w:hRule="atLeast"/>
              </w:trPr>
              <w:tc>
                <w:tcPr>
                  <w:tcW w:w="0" w:type="auto"/>
                  <w:shd w:val="clear" w:color="auto" w:fill="auto"/>
                  <w:vAlign w:val="center"/>
                </w:tcPr>
                <w:p w14:paraId="0B4CA8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22</w:t>
                  </w:r>
                </w:p>
              </w:tc>
              <w:tc>
                <w:tcPr>
                  <w:tcW w:w="181" w:type="pct"/>
                  <w:vMerge w:val="continue"/>
                  <w:vAlign w:val="center"/>
                </w:tcPr>
                <w:p w14:paraId="456DE8DE">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3672621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台式钻床</w:t>
                  </w:r>
                </w:p>
              </w:tc>
              <w:tc>
                <w:tcPr>
                  <w:tcW w:w="0" w:type="auto"/>
                  <w:shd w:val="clear" w:color="auto" w:fill="auto"/>
                  <w:vAlign w:val="center"/>
                </w:tcPr>
                <w:p w14:paraId="012FDB2C">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ZQS4116</w:t>
                  </w:r>
                </w:p>
              </w:tc>
              <w:tc>
                <w:tcPr>
                  <w:tcW w:w="0" w:type="auto"/>
                  <w:vAlign w:val="center"/>
                </w:tcPr>
                <w:p w14:paraId="3745DC6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70~8</w:t>
                  </w:r>
                  <w:r>
                    <w:rPr>
                      <w:rFonts w:hint="eastAsia"/>
                      <w:color w:val="auto"/>
                      <w:szCs w:val="21"/>
                      <w:highlight w:val="none"/>
                    </w:rPr>
                    <w:t>0</w:t>
                  </w:r>
                </w:p>
              </w:tc>
              <w:tc>
                <w:tcPr>
                  <w:tcW w:w="246" w:type="pct"/>
                  <w:vMerge w:val="continue"/>
                </w:tcPr>
                <w:p w14:paraId="2734C672">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3401623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2568</w:t>
                  </w:r>
                </w:p>
              </w:tc>
              <w:tc>
                <w:tcPr>
                  <w:tcW w:w="429" w:type="pct"/>
                  <w:shd w:val="clear" w:color="auto" w:fill="auto"/>
                  <w:vAlign w:val="center"/>
                </w:tcPr>
                <w:p w14:paraId="4CC3DE8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8227</w:t>
                  </w:r>
                </w:p>
              </w:tc>
              <w:tc>
                <w:tcPr>
                  <w:tcW w:w="186" w:type="pct"/>
                  <w:shd w:val="clear" w:color="auto" w:fill="auto"/>
                  <w:vAlign w:val="center"/>
                </w:tcPr>
                <w:p w14:paraId="5B4533B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5DF630EC">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17</w:t>
                  </w:r>
                </w:p>
              </w:tc>
              <w:tc>
                <w:tcPr>
                  <w:tcW w:w="0" w:type="auto"/>
                  <w:vAlign w:val="center"/>
                </w:tcPr>
                <w:p w14:paraId="779B1E9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45</w:t>
                  </w:r>
                  <w:r>
                    <w:rPr>
                      <w:color w:val="auto"/>
                      <w:szCs w:val="21"/>
                      <w:highlight w:val="none"/>
                    </w:rPr>
                    <w:t>~</w:t>
                  </w:r>
                  <w:r>
                    <w:rPr>
                      <w:rFonts w:hint="eastAsia"/>
                      <w:color w:val="auto"/>
                      <w:szCs w:val="21"/>
                      <w:highlight w:val="none"/>
                      <w:lang w:val="en-US" w:eastAsia="zh-CN"/>
                    </w:rPr>
                    <w:t>55</w:t>
                  </w:r>
                </w:p>
              </w:tc>
              <w:tc>
                <w:tcPr>
                  <w:tcW w:w="468" w:type="pct"/>
                  <w:vMerge w:val="continue"/>
                  <w:vAlign w:val="center"/>
                </w:tcPr>
                <w:p w14:paraId="79CC9677">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4DB776B8">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52600C2E">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30</w:t>
                  </w:r>
                  <w:r>
                    <w:rPr>
                      <w:bCs/>
                      <w:color w:val="auto"/>
                      <w:szCs w:val="21"/>
                      <w:highlight w:val="none"/>
                    </w:rPr>
                    <w:t>-</w:t>
                  </w:r>
                  <w:r>
                    <w:rPr>
                      <w:rFonts w:hint="eastAsia"/>
                      <w:bCs/>
                      <w:color w:val="auto"/>
                      <w:szCs w:val="21"/>
                      <w:highlight w:val="none"/>
                      <w:lang w:val="en-US" w:eastAsia="zh-CN"/>
                    </w:rPr>
                    <w:t>40</w:t>
                  </w:r>
                </w:p>
              </w:tc>
              <w:tc>
                <w:tcPr>
                  <w:tcW w:w="0" w:type="auto"/>
                  <w:shd w:val="clear" w:color="auto" w:fill="auto"/>
                  <w:vAlign w:val="center"/>
                </w:tcPr>
                <w:p w14:paraId="70D504C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lang w:val="en-US" w:eastAsia="zh-CN"/>
                    </w:rPr>
                    <w:t>1</w:t>
                  </w:r>
                </w:p>
              </w:tc>
              <w:tc>
                <w:tcPr>
                  <w:tcW w:w="193" w:type="pct"/>
                  <w:shd w:val="clear" w:color="auto" w:fill="auto"/>
                  <w:vAlign w:val="center"/>
                </w:tcPr>
                <w:p w14:paraId="6EE930E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5</w:t>
                  </w:r>
                </w:p>
              </w:tc>
            </w:tr>
            <w:tr w14:paraId="3BD5F768">
              <w:trPr>
                <w:trHeight w:val="397" w:hRule="atLeast"/>
              </w:trPr>
              <w:tc>
                <w:tcPr>
                  <w:tcW w:w="0" w:type="auto"/>
                  <w:shd w:val="clear" w:color="auto" w:fill="auto"/>
                  <w:vAlign w:val="center"/>
                </w:tcPr>
                <w:p w14:paraId="7FE323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23</w:t>
                  </w:r>
                </w:p>
              </w:tc>
              <w:tc>
                <w:tcPr>
                  <w:tcW w:w="181" w:type="pct"/>
                  <w:vMerge w:val="continue"/>
                  <w:vAlign w:val="center"/>
                </w:tcPr>
                <w:p w14:paraId="6BA77770">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25CD4BB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自动磨刀机</w:t>
                  </w:r>
                </w:p>
              </w:tc>
              <w:tc>
                <w:tcPr>
                  <w:tcW w:w="0" w:type="auto"/>
                  <w:shd w:val="clear" w:color="auto" w:fill="auto"/>
                  <w:vAlign w:val="center"/>
                </w:tcPr>
                <w:p w14:paraId="4F0173E0">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YA-AE12</w:t>
                  </w:r>
                </w:p>
              </w:tc>
              <w:tc>
                <w:tcPr>
                  <w:tcW w:w="0" w:type="auto"/>
                  <w:vAlign w:val="center"/>
                </w:tcPr>
                <w:p w14:paraId="385AC144">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tcPr>
                <w:p w14:paraId="733FA5AA">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24A94B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2565</w:t>
                  </w:r>
                </w:p>
              </w:tc>
              <w:tc>
                <w:tcPr>
                  <w:tcW w:w="429" w:type="pct"/>
                  <w:shd w:val="clear" w:color="auto" w:fill="auto"/>
                  <w:vAlign w:val="center"/>
                </w:tcPr>
                <w:p w14:paraId="43D285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8225</w:t>
                  </w:r>
                </w:p>
              </w:tc>
              <w:tc>
                <w:tcPr>
                  <w:tcW w:w="186" w:type="pct"/>
                  <w:shd w:val="clear" w:color="auto" w:fill="auto"/>
                  <w:vAlign w:val="center"/>
                </w:tcPr>
                <w:p w14:paraId="43D219F0">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694DAD2E">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19</w:t>
                  </w:r>
                </w:p>
              </w:tc>
              <w:tc>
                <w:tcPr>
                  <w:tcW w:w="0" w:type="auto"/>
                  <w:vAlign w:val="center"/>
                </w:tcPr>
                <w:p w14:paraId="03AA47C4">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39</w:t>
                  </w:r>
                  <w:r>
                    <w:rPr>
                      <w:color w:val="auto"/>
                      <w:szCs w:val="21"/>
                      <w:highlight w:val="none"/>
                    </w:rPr>
                    <w:t>~</w:t>
                  </w:r>
                  <w:r>
                    <w:rPr>
                      <w:rFonts w:hint="eastAsia"/>
                      <w:color w:val="auto"/>
                      <w:szCs w:val="21"/>
                      <w:highlight w:val="none"/>
                      <w:lang w:val="en-US" w:eastAsia="zh-CN"/>
                    </w:rPr>
                    <w:t>49</w:t>
                  </w:r>
                </w:p>
              </w:tc>
              <w:tc>
                <w:tcPr>
                  <w:tcW w:w="468" w:type="pct"/>
                  <w:vMerge w:val="continue"/>
                  <w:vAlign w:val="center"/>
                </w:tcPr>
                <w:p w14:paraId="132C67ED">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0F823450">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06D3BAB1">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24</w:t>
                  </w:r>
                  <w:r>
                    <w:rPr>
                      <w:rFonts w:hint="eastAsia"/>
                      <w:bCs/>
                      <w:color w:val="auto"/>
                      <w:szCs w:val="21"/>
                      <w:highlight w:val="none"/>
                    </w:rPr>
                    <w:t>-</w:t>
                  </w:r>
                  <w:r>
                    <w:rPr>
                      <w:rFonts w:hint="eastAsia"/>
                      <w:bCs/>
                      <w:color w:val="auto"/>
                      <w:szCs w:val="21"/>
                      <w:highlight w:val="none"/>
                      <w:lang w:val="en-US" w:eastAsia="zh-CN"/>
                    </w:rPr>
                    <w:t>34</w:t>
                  </w:r>
                </w:p>
              </w:tc>
              <w:tc>
                <w:tcPr>
                  <w:tcW w:w="0" w:type="auto"/>
                  <w:shd w:val="clear" w:color="auto" w:fill="auto"/>
                  <w:vAlign w:val="center"/>
                </w:tcPr>
                <w:p w14:paraId="0F8A237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w:t>
                  </w:r>
                </w:p>
              </w:tc>
              <w:tc>
                <w:tcPr>
                  <w:tcW w:w="193" w:type="pct"/>
                  <w:shd w:val="clear" w:color="auto" w:fill="auto"/>
                  <w:vAlign w:val="center"/>
                </w:tcPr>
                <w:p w14:paraId="4108839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12C07513">
              <w:trPr>
                <w:trHeight w:val="397" w:hRule="atLeast"/>
              </w:trPr>
              <w:tc>
                <w:tcPr>
                  <w:tcW w:w="0" w:type="auto"/>
                  <w:shd w:val="clear" w:color="auto" w:fill="auto"/>
                  <w:vAlign w:val="center"/>
                </w:tcPr>
                <w:p w14:paraId="08DF48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24</w:t>
                  </w:r>
                </w:p>
              </w:tc>
              <w:tc>
                <w:tcPr>
                  <w:tcW w:w="181" w:type="pct"/>
                  <w:vMerge w:val="continue"/>
                  <w:vAlign w:val="center"/>
                </w:tcPr>
                <w:p w14:paraId="505539CC">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A8BE5E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激光干涉仪</w:t>
                  </w:r>
                </w:p>
              </w:tc>
              <w:tc>
                <w:tcPr>
                  <w:tcW w:w="0" w:type="auto"/>
                  <w:shd w:val="clear" w:color="auto" w:fill="auto"/>
                  <w:vAlign w:val="center"/>
                </w:tcPr>
                <w:p w14:paraId="778446D3">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XL80</w:t>
                  </w:r>
                </w:p>
              </w:tc>
              <w:tc>
                <w:tcPr>
                  <w:tcW w:w="0" w:type="auto"/>
                  <w:vAlign w:val="center"/>
                </w:tcPr>
                <w:p w14:paraId="3FD6BC79">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tcPr>
                <w:p w14:paraId="2BAA81DF">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040789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2475</w:t>
                  </w:r>
                </w:p>
              </w:tc>
              <w:tc>
                <w:tcPr>
                  <w:tcW w:w="429" w:type="pct"/>
                  <w:shd w:val="clear" w:color="auto" w:fill="auto"/>
                  <w:vAlign w:val="center"/>
                </w:tcPr>
                <w:p w14:paraId="280102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8183</w:t>
                  </w:r>
                </w:p>
              </w:tc>
              <w:tc>
                <w:tcPr>
                  <w:tcW w:w="186" w:type="pct"/>
                  <w:shd w:val="clear" w:color="auto" w:fill="auto"/>
                  <w:vAlign w:val="center"/>
                </w:tcPr>
                <w:p w14:paraId="2B9C8A0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1CA8ECF1">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14</w:t>
                  </w:r>
                </w:p>
              </w:tc>
              <w:tc>
                <w:tcPr>
                  <w:tcW w:w="0" w:type="auto"/>
                  <w:vAlign w:val="center"/>
                </w:tcPr>
                <w:p w14:paraId="518DEDED">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42</w:t>
                  </w:r>
                  <w:r>
                    <w:rPr>
                      <w:color w:val="auto"/>
                      <w:szCs w:val="21"/>
                      <w:highlight w:val="none"/>
                    </w:rPr>
                    <w:t>~</w:t>
                  </w:r>
                  <w:r>
                    <w:rPr>
                      <w:rFonts w:hint="eastAsia"/>
                      <w:color w:val="auto"/>
                      <w:szCs w:val="21"/>
                      <w:highlight w:val="none"/>
                      <w:lang w:val="en-US" w:eastAsia="zh-CN"/>
                    </w:rPr>
                    <w:t>52</w:t>
                  </w:r>
                </w:p>
              </w:tc>
              <w:tc>
                <w:tcPr>
                  <w:tcW w:w="468" w:type="pct"/>
                  <w:vMerge w:val="continue"/>
                  <w:vAlign w:val="center"/>
                </w:tcPr>
                <w:p w14:paraId="41B91230">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B880383">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119E0AF3">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27</w:t>
                  </w:r>
                  <w:r>
                    <w:rPr>
                      <w:rFonts w:hint="eastAsia"/>
                      <w:bCs/>
                      <w:color w:val="auto"/>
                      <w:szCs w:val="21"/>
                      <w:highlight w:val="none"/>
                    </w:rPr>
                    <w:t>-</w:t>
                  </w:r>
                  <w:r>
                    <w:rPr>
                      <w:rFonts w:hint="eastAsia"/>
                      <w:bCs/>
                      <w:color w:val="auto"/>
                      <w:szCs w:val="21"/>
                      <w:highlight w:val="none"/>
                      <w:lang w:val="en-US" w:eastAsia="zh-CN"/>
                    </w:rPr>
                    <w:t>37</w:t>
                  </w:r>
                </w:p>
              </w:tc>
              <w:tc>
                <w:tcPr>
                  <w:tcW w:w="0" w:type="auto"/>
                  <w:shd w:val="clear" w:color="auto" w:fill="auto"/>
                  <w:vAlign w:val="center"/>
                </w:tcPr>
                <w:p w14:paraId="36F4E9F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lang w:val="en-US" w:eastAsia="zh-CN"/>
                    </w:rPr>
                    <w:t>1</w:t>
                  </w:r>
                </w:p>
              </w:tc>
              <w:tc>
                <w:tcPr>
                  <w:tcW w:w="193" w:type="pct"/>
                  <w:shd w:val="clear" w:color="auto" w:fill="auto"/>
                  <w:vAlign w:val="center"/>
                </w:tcPr>
                <w:p w14:paraId="77C1DCC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r>
            <w:tr w14:paraId="15130561">
              <w:trPr>
                <w:trHeight w:val="397" w:hRule="atLeast"/>
              </w:trPr>
              <w:tc>
                <w:tcPr>
                  <w:tcW w:w="0" w:type="auto"/>
                  <w:shd w:val="clear" w:color="auto" w:fill="auto"/>
                  <w:vAlign w:val="center"/>
                </w:tcPr>
                <w:p w14:paraId="761C51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25</w:t>
                  </w:r>
                </w:p>
              </w:tc>
              <w:tc>
                <w:tcPr>
                  <w:tcW w:w="181" w:type="pct"/>
                  <w:vMerge w:val="continue"/>
                  <w:vAlign w:val="center"/>
                </w:tcPr>
                <w:p w14:paraId="23FAF798">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3CF6976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球杆仪</w:t>
                  </w:r>
                </w:p>
              </w:tc>
              <w:tc>
                <w:tcPr>
                  <w:tcW w:w="0" w:type="auto"/>
                  <w:shd w:val="clear" w:color="auto" w:fill="auto"/>
                  <w:vAlign w:val="center"/>
                </w:tcPr>
                <w:p w14:paraId="11F4ABB4">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QC20-W</w:t>
                  </w:r>
                </w:p>
              </w:tc>
              <w:tc>
                <w:tcPr>
                  <w:tcW w:w="0" w:type="auto"/>
                  <w:vAlign w:val="center"/>
                </w:tcPr>
                <w:p w14:paraId="1EC89EA6">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tcPr>
                <w:p w14:paraId="5311641B">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50D628D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2474</w:t>
                  </w:r>
                </w:p>
              </w:tc>
              <w:tc>
                <w:tcPr>
                  <w:tcW w:w="429" w:type="pct"/>
                  <w:shd w:val="clear" w:color="auto" w:fill="auto"/>
                  <w:vAlign w:val="center"/>
                </w:tcPr>
                <w:p w14:paraId="5A2D9FA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8181</w:t>
                  </w:r>
                </w:p>
              </w:tc>
              <w:tc>
                <w:tcPr>
                  <w:tcW w:w="186" w:type="pct"/>
                  <w:shd w:val="clear" w:color="auto" w:fill="auto"/>
                  <w:vAlign w:val="center"/>
                </w:tcPr>
                <w:p w14:paraId="76CBC589">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1EFB1EA7">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14</w:t>
                  </w:r>
                </w:p>
              </w:tc>
              <w:tc>
                <w:tcPr>
                  <w:tcW w:w="0" w:type="auto"/>
                  <w:vAlign w:val="center"/>
                </w:tcPr>
                <w:p w14:paraId="76799C32">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42</w:t>
                  </w:r>
                  <w:r>
                    <w:rPr>
                      <w:color w:val="auto"/>
                      <w:szCs w:val="21"/>
                      <w:highlight w:val="none"/>
                    </w:rPr>
                    <w:t>~</w:t>
                  </w:r>
                  <w:r>
                    <w:rPr>
                      <w:rFonts w:hint="eastAsia"/>
                      <w:color w:val="auto"/>
                      <w:szCs w:val="21"/>
                      <w:highlight w:val="none"/>
                      <w:lang w:val="en-US" w:eastAsia="zh-CN"/>
                    </w:rPr>
                    <w:t>52</w:t>
                  </w:r>
                </w:p>
              </w:tc>
              <w:tc>
                <w:tcPr>
                  <w:tcW w:w="468" w:type="pct"/>
                  <w:vMerge w:val="continue"/>
                  <w:vAlign w:val="center"/>
                </w:tcPr>
                <w:p w14:paraId="7D545E94">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5C7ED51F">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554DA2A4">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27</w:t>
                  </w:r>
                  <w:r>
                    <w:rPr>
                      <w:rFonts w:hint="eastAsia"/>
                      <w:bCs/>
                      <w:color w:val="auto"/>
                      <w:szCs w:val="21"/>
                      <w:highlight w:val="none"/>
                    </w:rPr>
                    <w:t>-</w:t>
                  </w:r>
                  <w:r>
                    <w:rPr>
                      <w:rFonts w:hint="eastAsia"/>
                      <w:bCs/>
                      <w:color w:val="auto"/>
                      <w:szCs w:val="21"/>
                      <w:highlight w:val="none"/>
                      <w:lang w:val="en-US" w:eastAsia="zh-CN"/>
                    </w:rPr>
                    <w:t>37</w:t>
                  </w:r>
                </w:p>
              </w:tc>
              <w:tc>
                <w:tcPr>
                  <w:tcW w:w="0" w:type="auto"/>
                  <w:shd w:val="clear" w:color="auto" w:fill="auto"/>
                  <w:vAlign w:val="center"/>
                </w:tcPr>
                <w:p w14:paraId="6511E40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w:t>
                  </w:r>
                </w:p>
              </w:tc>
              <w:tc>
                <w:tcPr>
                  <w:tcW w:w="193" w:type="pct"/>
                  <w:shd w:val="clear" w:color="auto" w:fill="auto"/>
                  <w:vAlign w:val="center"/>
                </w:tcPr>
                <w:p w14:paraId="2A63F25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3</w:t>
                  </w:r>
                </w:p>
              </w:tc>
            </w:tr>
            <w:tr w14:paraId="6A6AFEC5">
              <w:trPr>
                <w:trHeight w:val="397" w:hRule="atLeast"/>
              </w:trPr>
              <w:tc>
                <w:tcPr>
                  <w:tcW w:w="0" w:type="auto"/>
                  <w:shd w:val="clear" w:color="auto" w:fill="auto"/>
                  <w:vAlign w:val="center"/>
                </w:tcPr>
                <w:p w14:paraId="12291F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26</w:t>
                  </w:r>
                </w:p>
              </w:tc>
              <w:tc>
                <w:tcPr>
                  <w:tcW w:w="181" w:type="pct"/>
                  <w:vMerge w:val="continue"/>
                  <w:vAlign w:val="center"/>
                </w:tcPr>
                <w:p w14:paraId="006A21DD">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765AB8D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盐雾测试仪</w:t>
                  </w:r>
                </w:p>
              </w:tc>
              <w:tc>
                <w:tcPr>
                  <w:tcW w:w="0" w:type="auto"/>
                  <w:shd w:val="clear" w:color="auto" w:fill="auto"/>
                  <w:vAlign w:val="center"/>
                </w:tcPr>
                <w:p w14:paraId="56219EED">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STP-30</w:t>
                  </w:r>
                </w:p>
              </w:tc>
              <w:tc>
                <w:tcPr>
                  <w:tcW w:w="0" w:type="auto"/>
                  <w:vAlign w:val="center"/>
                </w:tcPr>
                <w:p w14:paraId="4A234E14">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tcPr>
                <w:p w14:paraId="2938690E">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4A290E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2472</w:t>
                  </w:r>
                </w:p>
              </w:tc>
              <w:tc>
                <w:tcPr>
                  <w:tcW w:w="429" w:type="pct"/>
                  <w:shd w:val="clear" w:color="auto" w:fill="auto"/>
                  <w:vAlign w:val="center"/>
                </w:tcPr>
                <w:p w14:paraId="76BDA82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8185</w:t>
                  </w:r>
                </w:p>
              </w:tc>
              <w:tc>
                <w:tcPr>
                  <w:tcW w:w="186" w:type="pct"/>
                  <w:shd w:val="clear" w:color="auto" w:fill="auto"/>
                  <w:vAlign w:val="center"/>
                </w:tcPr>
                <w:p w14:paraId="66DF228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55BDE713">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13</w:t>
                  </w:r>
                </w:p>
              </w:tc>
              <w:tc>
                <w:tcPr>
                  <w:tcW w:w="0" w:type="auto"/>
                  <w:vAlign w:val="center"/>
                </w:tcPr>
                <w:p w14:paraId="167D6ED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43</w:t>
                  </w:r>
                  <w:r>
                    <w:rPr>
                      <w:color w:val="auto"/>
                      <w:szCs w:val="21"/>
                      <w:highlight w:val="none"/>
                    </w:rPr>
                    <w:t>~</w:t>
                  </w:r>
                  <w:r>
                    <w:rPr>
                      <w:rFonts w:hint="eastAsia"/>
                      <w:color w:val="auto"/>
                      <w:szCs w:val="21"/>
                      <w:highlight w:val="none"/>
                      <w:lang w:val="en-US" w:eastAsia="zh-CN"/>
                    </w:rPr>
                    <w:t>53</w:t>
                  </w:r>
                </w:p>
              </w:tc>
              <w:tc>
                <w:tcPr>
                  <w:tcW w:w="468" w:type="pct"/>
                  <w:vMerge w:val="continue"/>
                  <w:vAlign w:val="center"/>
                </w:tcPr>
                <w:p w14:paraId="2E9F7EDA">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2D76FB45">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63C2F82B">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28</w:t>
                  </w:r>
                  <w:r>
                    <w:rPr>
                      <w:rFonts w:hint="eastAsia"/>
                      <w:bCs/>
                      <w:color w:val="auto"/>
                      <w:szCs w:val="21"/>
                      <w:highlight w:val="none"/>
                    </w:rPr>
                    <w:t>-</w:t>
                  </w:r>
                  <w:r>
                    <w:rPr>
                      <w:rFonts w:hint="eastAsia"/>
                      <w:bCs/>
                      <w:color w:val="auto"/>
                      <w:szCs w:val="21"/>
                      <w:highlight w:val="none"/>
                      <w:lang w:val="en-US" w:eastAsia="zh-CN"/>
                    </w:rPr>
                    <w:t>38</w:t>
                  </w:r>
                </w:p>
              </w:tc>
              <w:tc>
                <w:tcPr>
                  <w:tcW w:w="0" w:type="auto"/>
                  <w:shd w:val="clear" w:color="auto" w:fill="auto"/>
                  <w:vAlign w:val="center"/>
                </w:tcPr>
                <w:p w14:paraId="1B762B2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w:t>
                  </w:r>
                </w:p>
              </w:tc>
              <w:tc>
                <w:tcPr>
                  <w:tcW w:w="193" w:type="pct"/>
                  <w:shd w:val="clear" w:color="auto" w:fill="auto"/>
                  <w:vAlign w:val="center"/>
                </w:tcPr>
                <w:p w14:paraId="374AC0C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r w14:paraId="15D8D693">
              <w:trPr>
                <w:trHeight w:val="397" w:hRule="atLeast"/>
              </w:trPr>
              <w:tc>
                <w:tcPr>
                  <w:tcW w:w="0" w:type="auto"/>
                  <w:shd w:val="clear" w:color="auto" w:fill="auto"/>
                  <w:vAlign w:val="center"/>
                </w:tcPr>
                <w:p w14:paraId="071A6F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27</w:t>
                  </w:r>
                </w:p>
              </w:tc>
              <w:tc>
                <w:tcPr>
                  <w:tcW w:w="181" w:type="pct"/>
                  <w:vMerge w:val="continue"/>
                  <w:vAlign w:val="center"/>
                </w:tcPr>
                <w:p w14:paraId="462BF988">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1C3BD26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三坐标检测仪</w:t>
                  </w:r>
                </w:p>
              </w:tc>
              <w:tc>
                <w:tcPr>
                  <w:tcW w:w="0" w:type="auto"/>
                  <w:shd w:val="clear" w:color="auto" w:fill="auto"/>
                  <w:vAlign w:val="center"/>
                </w:tcPr>
                <w:p w14:paraId="08B46A1F">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Croma Plus</w:t>
                  </w:r>
                </w:p>
              </w:tc>
              <w:tc>
                <w:tcPr>
                  <w:tcW w:w="0" w:type="auto"/>
                  <w:vAlign w:val="center"/>
                </w:tcPr>
                <w:p w14:paraId="0CEB9659">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int="eastAsia"/>
                      <w:color w:val="auto"/>
                      <w:szCs w:val="21"/>
                      <w:highlight w:val="none"/>
                    </w:rPr>
                    <w:t>5</w:t>
                  </w:r>
                  <w:r>
                    <w:rPr>
                      <w:color w:val="auto"/>
                      <w:szCs w:val="21"/>
                      <w:highlight w:val="none"/>
                    </w:rPr>
                    <w:t>~</w:t>
                  </w:r>
                  <w:r>
                    <w:rPr>
                      <w:rFonts w:hint="eastAsia"/>
                      <w:color w:val="auto"/>
                      <w:szCs w:val="21"/>
                      <w:highlight w:val="none"/>
                      <w:lang w:val="en-US" w:eastAsia="zh-CN"/>
                    </w:rPr>
                    <w:t>7</w:t>
                  </w:r>
                  <w:r>
                    <w:rPr>
                      <w:rFonts w:hint="eastAsia"/>
                      <w:color w:val="auto"/>
                      <w:szCs w:val="21"/>
                      <w:highlight w:val="none"/>
                    </w:rPr>
                    <w:t>5</w:t>
                  </w:r>
                </w:p>
              </w:tc>
              <w:tc>
                <w:tcPr>
                  <w:tcW w:w="246" w:type="pct"/>
                  <w:vMerge w:val="continue"/>
                </w:tcPr>
                <w:p w14:paraId="62DBE244">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4CDDD5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2470</w:t>
                  </w:r>
                </w:p>
              </w:tc>
              <w:tc>
                <w:tcPr>
                  <w:tcW w:w="429" w:type="pct"/>
                  <w:shd w:val="clear" w:color="auto" w:fill="auto"/>
                  <w:vAlign w:val="center"/>
                </w:tcPr>
                <w:p w14:paraId="7028DA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8187</w:t>
                  </w:r>
                </w:p>
              </w:tc>
              <w:tc>
                <w:tcPr>
                  <w:tcW w:w="186" w:type="pct"/>
                  <w:shd w:val="clear" w:color="auto" w:fill="auto"/>
                  <w:vAlign w:val="center"/>
                </w:tcPr>
                <w:p w14:paraId="161F3352">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rPr>
                    <w:t>1.5</w:t>
                  </w:r>
                </w:p>
              </w:tc>
              <w:tc>
                <w:tcPr>
                  <w:tcW w:w="0" w:type="auto"/>
                  <w:vAlign w:val="center"/>
                </w:tcPr>
                <w:p w14:paraId="3C520F24">
                  <w:pPr>
                    <w:keepNext w:val="0"/>
                    <w:keepLines w:val="0"/>
                    <w:suppressLineNumbers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13</w:t>
                  </w:r>
                </w:p>
              </w:tc>
              <w:tc>
                <w:tcPr>
                  <w:tcW w:w="0" w:type="auto"/>
                  <w:vAlign w:val="center"/>
                </w:tcPr>
                <w:p w14:paraId="1B03C77D">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43</w:t>
                  </w:r>
                  <w:r>
                    <w:rPr>
                      <w:color w:val="auto"/>
                      <w:szCs w:val="21"/>
                      <w:highlight w:val="none"/>
                    </w:rPr>
                    <w:t>~</w:t>
                  </w:r>
                  <w:r>
                    <w:rPr>
                      <w:rFonts w:hint="eastAsia"/>
                      <w:color w:val="auto"/>
                      <w:szCs w:val="21"/>
                      <w:highlight w:val="none"/>
                      <w:lang w:val="en-US" w:eastAsia="zh-CN"/>
                    </w:rPr>
                    <w:t>53</w:t>
                  </w:r>
                </w:p>
              </w:tc>
              <w:tc>
                <w:tcPr>
                  <w:tcW w:w="468" w:type="pct"/>
                  <w:vMerge w:val="continue"/>
                  <w:vAlign w:val="center"/>
                </w:tcPr>
                <w:p w14:paraId="4D048195">
                  <w:pPr>
                    <w:keepNext w:val="0"/>
                    <w:keepLines w:val="0"/>
                    <w:suppressLineNumbers w:val="0"/>
                    <w:spacing w:before="0" w:beforeAutospacing="0" w:after="0" w:afterAutospacing="0"/>
                    <w:ind w:left="0" w:right="0"/>
                    <w:jc w:val="center"/>
                    <w:rPr>
                      <w:color w:val="auto"/>
                      <w:highlight w:val="none"/>
                    </w:rPr>
                  </w:pPr>
                </w:p>
              </w:tc>
              <w:tc>
                <w:tcPr>
                  <w:tcW w:w="0" w:type="auto"/>
                  <w:shd w:val="clear" w:color="auto" w:fill="auto"/>
                  <w:vAlign w:val="center"/>
                </w:tcPr>
                <w:p w14:paraId="33C70FAC">
                  <w:pPr>
                    <w:keepNext w:val="0"/>
                    <w:keepLines w:val="0"/>
                    <w:suppressLineNumbers w:val="0"/>
                    <w:spacing w:before="0" w:beforeAutospacing="0" w:after="0" w:afterAutospacing="0"/>
                    <w:ind w:left="-105" w:leftChars="-50" w:right="-105" w:rightChars="-5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10</w:t>
                  </w:r>
                  <w:r>
                    <w:rPr>
                      <w:bCs/>
                      <w:color w:val="auto"/>
                      <w:szCs w:val="21"/>
                      <w:highlight w:val="none"/>
                    </w:rPr>
                    <w:t>~</w:t>
                  </w:r>
                  <w:r>
                    <w:rPr>
                      <w:rFonts w:hint="eastAsia"/>
                      <w:bCs/>
                      <w:color w:val="auto"/>
                      <w:szCs w:val="21"/>
                      <w:highlight w:val="none"/>
                    </w:rPr>
                    <w:t>15</w:t>
                  </w:r>
                </w:p>
              </w:tc>
              <w:tc>
                <w:tcPr>
                  <w:tcW w:w="0" w:type="auto"/>
                  <w:vAlign w:val="center"/>
                </w:tcPr>
                <w:p w14:paraId="70C31439">
                  <w:pPr>
                    <w:keepNext w:val="0"/>
                    <w:keepLines w:val="0"/>
                    <w:suppressLineNumbers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28</w:t>
                  </w:r>
                  <w:r>
                    <w:rPr>
                      <w:rFonts w:hint="eastAsia"/>
                      <w:bCs/>
                      <w:color w:val="auto"/>
                      <w:szCs w:val="21"/>
                      <w:highlight w:val="none"/>
                    </w:rPr>
                    <w:t>-</w:t>
                  </w:r>
                  <w:r>
                    <w:rPr>
                      <w:rFonts w:hint="eastAsia"/>
                      <w:bCs/>
                      <w:color w:val="auto"/>
                      <w:szCs w:val="21"/>
                      <w:highlight w:val="none"/>
                      <w:lang w:val="en-US" w:eastAsia="zh-CN"/>
                    </w:rPr>
                    <w:t>38</w:t>
                  </w:r>
                </w:p>
              </w:tc>
              <w:tc>
                <w:tcPr>
                  <w:tcW w:w="0" w:type="auto"/>
                  <w:shd w:val="clear" w:color="auto" w:fill="auto"/>
                  <w:vAlign w:val="center"/>
                </w:tcPr>
                <w:p w14:paraId="1D40F6A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4"/>
                      <w:highlight w:val="none"/>
                      <w:lang w:val="en-US" w:eastAsia="zh-CN" w:bidi="ar-SA"/>
                    </w:rPr>
                  </w:pPr>
                  <w:r>
                    <w:rPr>
                      <w:rFonts w:hint="eastAsia"/>
                      <w:color w:val="auto"/>
                      <w:highlight w:val="none"/>
                      <w:lang w:val="en-US" w:eastAsia="zh-CN"/>
                    </w:rPr>
                    <w:t>1</w:t>
                  </w:r>
                </w:p>
              </w:tc>
              <w:tc>
                <w:tcPr>
                  <w:tcW w:w="193" w:type="pct"/>
                  <w:shd w:val="clear" w:color="auto" w:fill="auto"/>
                  <w:vAlign w:val="center"/>
                </w:tcPr>
                <w:p w14:paraId="79F9A65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w:t>
                  </w:r>
                </w:p>
              </w:tc>
            </w:tr>
          </w:tbl>
          <w:p w14:paraId="39F5F04D">
            <w:pPr>
              <w:pStyle w:val="100"/>
              <w:keepNext w:val="0"/>
              <w:keepLines w:val="0"/>
              <w:suppressLineNumbers w:val="0"/>
              <w:spacing w:before="0" w:beforeLines="50" w:beforeAutospacing="0" w:after="0" w:afterAutospacing="0" w:line="240" w:lineRule="auto"/>
              <w:ind w:left="0" w:right="0" w:firstLine="480"/>
              <w:jc w:val="center"/>
              <w:rPr>
                <w:b/>
                <w:bCs/>
                <w:color w:val="auto"/>
                <w:highlight w:val="none"/>
              </w:rPr>
            </w:pPr>
          </w:p>
          <w:p w14:paraId="734C0D83">
            <w:pPr>
              <w:pStyle w:val="100"/>
              <w:keepNext w:val="0"/>
              <w:keepLines w:val="0"/>
              <w:suppressLineNumbers w:val="0"/>
              <w:spacing w:before="0" w:beforeLines="50" w:beforeAutospacing="0" w:after="0" w:afterAutospacing="0" w:line="240" w:lineRule="auto"/>
              <w:ind w:left="0" w:right="0" w:firstLine="480"/>
              <w:jc w:val="center"/>
              <w:rPr>
                <w:b/>
                <w:bCs/>
                <w:color w:val="auto"/>
                <w:highlight w:val="none"/>
              </w:rPr>
            </w:pPr>
          </w:p>
          <w:p w14:paraId="25AA31E5">
            <w:pPr>
              <w:pStyle w:val="100"/>
              <w:keepNext w:val="0"/>
              <w:keepLines w:val="0"/>
              <w:suppressLineNumbers w:val="0"/>
              <w:spacing w:before="0" w:beforeLines="50" w:beforeAutospacing="0" w:after="0" w:afterAutospacing="0" w:line="240" w:lineRule="auto"/>
              <w:ind w:left="0" w:right="0" w:firstLine="480"/>
              <w:jc w:val="center"/>
              <w:rPr>
                <w:b/>
                <w:bCs/>
                <w:color w:val="auto"/>
                <w:highlight w:val="none"/>
              </w:rPr>
            </w:pPr>
            <w:r>
              <w:rPr>
                <w:b/>
                <w:bCs/>
                <w:color w:val="auto"/>
                <w:highlight w:val="none"/>
              </w:rPr>
              <w:t>表4-1</w:t>
            </w:r>
            <w:r>
              <w:rPr>
                <w:rFonts w:hint="eastAsia"/>
                <w:b/>
                <w:bCs/>
                <w:color w:val="auto"/>
                <w:highlight w:val="none"/>
                <w:lang w:val="en-US" w:eastAsia="zh-CN"/>
              </w:rPr>
              <w:t>6</w:t>
            </w:r>
            <w:r>
              <w:rPr>
                <w:rFonts w:hint="eastAsia"/>
                <w:b/>
                <w:bCs/>
                <w:color w:val="auto"/>
                <w:highlight w:val="none"/>
              </w:rPr>
              <w:t xml:space="preserve">  </w:t>
            </w:r>
            <w:r>
              <w:rPr>
                <w:b/>
                <w:bCs/>
                <w:color w:val="auto"/>
                <w:highlight w:val="none"/>
              </w:rPr>
              <w:t>拟建项目噪声产生及治理情况（室外声源）单位：dB（A）</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9"/>
              <w:gridCol w:w="1763"/>
              <w:gridCol w:w="827"/>
              <w:gridCol w:w="1233"/>
              <w:gridCol w:w="1207"/>
              <w:gridCol w:w="957"/>
              <w:gridCol w:w="1132"/>
              <w:gridCol w:w="1670"/>
              <w:gridCol w:w="2397"/>
              <w:gridCol w:w="1139"/>
            </w:tblGrid>
            <w:tr w14:paraId="64EFED85">
              <w:trPr>
                <w:trHeight w:val="397" w:hRule="atLeast"/>
              </w:trPr>
              <w:tc>
                <w:tcPr>
                  <w:tcW w:w="228" w:type="pct"/>
                  <w:vMerge w:val="restart"/>
                  <w:vAlign w:val="center"/>
                </w:tcPr>
                <w:p w14:paraId="63F8974B">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序号</w:t>
                  </w:r>
                </w:p>
              </w:tc>
              <w:tc>
                <w:tcPr>
                  <w:tcW w:w="682" w:type="pct"/>
                  <w:vMerge w:val="restart"/>
                  <w:vAlign w:val="center"/>
                </w:tcPr>
                <w:p w14:paraId="7592C4ED">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声源名称</w:t>
                  </w:r>
                </w:p>
              </w:tc>
              <w:tc>
                <w:tcPr>
                  <w:tcW w:w="320" w:type="pct"/>
                  <w:vMerge w:val="restart"/>
                  <w:vAlign w:val="center"/>
                </w:tcPr>
                <w:p w14:paraId="28D2831D">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型号</w:t>
                  </w:r>
                </w:p>
              </w:tc>
              <w:tc>
                <w:tcPr>
                  <w:tcW w:w="1315" w:type="pct"/>
                  <w:gridSpan w:val="3"/>
                  <w:vAlign w:val="center"/>
                </w:tcPr>
                <w:p w14:paraId="0A0EBF5F">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空间相对位置</w:t>
                  </w:r>
                  <w:r>
                    <w:rPr>
                      <w:color w:val="auto"/>
                      <w:highlight w:val="none"/>
                    </w:rPr>
                    <w:t>/m</w:t>
                  </w:r>
                </w:p>
              </w:tc>
              <w:tc>
                <w:tcPr>
                  <w:tcW w:w="1084" w:type="pct"/>
                  <w:gridSpan w:val="2"/>
                  <w:vAlign w:val="center"/>
                </w:tcPr>
                <w:p w14:paraId="05FDA17D">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声</w:t>
                  </w:r>
                  <w:r>
                    <w:rPr>
                      <w:rFonts w:hint="eastAsia" w:hAnsi="宋体"/>
                      <w:color w:val="auto"/>
                      <w:highlight w:val="none"/>
                      <w:lang w:eastAsia="zh-CN"/>
                    </w:rPr>
                    <w:t>源</w:t>
                  </w:r>
                  <w:r>
                    <w:rPr>
                      <w:rFonts w:hAnsi="宋体"/>
                      <w:color w:val="auto"/>
                      <w:highlight w:val="none"/>
                    </w:rPr>
                    <w:t>强</w:t>
                  </w:r>
                </w:p>
              </w:tc>
              <w:tc>
                <w:tcPr>
                  <w:tcW w:w="928" w:type="pct"/>
                  <w:vMerge w:val="restart"/>
                  <w:vAlign w:val="center"/>
                </w:tcPr>
                <w:p w14:paraId="1CAFC9FB">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声源控制措施</w:t>
                  </w:r>
                </w:p>
              </w:tc>
              <w:tc>
                <w:tcPr>
                  <w:tcW w:w="440" w:type="pct"/>
                  <w:vMerge w:val="restart"/>
                  <w:vAlign w:val="center"/>
                </w:tcPr>
                <w:p w14:paraId="65966DE1">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运行时段</w:t>
                  </w:r>
                  <w:r>
                    <w:rPr>
                      <w:color w:val="auto"/>
                      <w:highlight w:val="none"/>
                    </w:rPr>
                    <w:t>h</w:t>
                  </w:r>
                </w:p>
              </w:tc>
            </w:tr>
            <w:tr w14:paraId="7F52C86F">
              <w:trPr>
                <w:trHeight w:val="397" w:hRule="atLeast"/>
              </w:trPr>
              <w:tc>
                <w:tcPr>
                  <w:tcW w:w="228" w:type="pct"/>
                  <w:vMerge w:val="continue"/>
                  <w:vAlign w:val="center"/>
                </w:tcPr>
                <w:p w14:paraId="472D809A">
                  <w:pPr>
                    <w:keepNext w:val="0"/>
                    <w:keepLines w:val="0"/>
                    <w:suppressLineNumbers w:val="0"/>
                    <w:spacing w:before="0" w:beforeAutospacing="0" w:after="0" w:afterAutospacing="0"/>
                    <w:ind w:left="0" w:right="0"/>
                    <w:jc w:val="center"/>
                    <w:rPr>
                      <w:color w:val="auto"/>
                      <w:highlight w:val="none"/>
                    </w:rPr>
                  </w:pPr>
                </w:p>
              </w:tc>
              <w:tc>
                <w:tcPr>
                  <w:tcW w:w="682" w:type="pct"/>
                  <w:vMerge w:val="continue"/>
                  <w:vAlign w:val="center"/>
                </w:tcPr>
                <w:p w14:paraId="0511253F">
                  <w:pPr>
                    <w:keepNext w:val="0"/>
                    <w:keepLines w:val="0"/>
                    <w:suppressLineNumbers w:val="0"/>
                    <w:spacing w:before="0" w:beforeAutospacing="0" w:after="0" w:afterAutospacing="0"/>
                    <w:ind w:left="0" w:right="0"/>
                    <w:jc w:val="center"/>
                    <w:rPr>
                      <w:color w:val="auto"/>
                      <w:highlight w:val="none"/>
                    </w:rPr>
                  </w:pPr>
                </w:p>
              </w:tc>
              <w:tc>
                <w:tcPr>
                  <w:tcW w:w="320" w:type="pct"/>
                  <w:vMerge w:val="continue"/>
                  <w:vAlign w:val="center"/>
                </w:tcPr>
                <w:p w14:paraId="4095B3B0">
                  <w:pPr>
                    <w:keepNext w:val="0"/>
                    <w:keepLines w:val="0"/>
                    <w:suppressLineNumbers w:val="0"/>
                    <w:spacing w:before="0" w:beforeAutospacing="0" w:after="0" w:afterAutospacing="0"/>
                    <w:ind w:left="0" w:right="0"/>
                    <w:jc w:val="center"/>
                    <w:rPr>
                      <w:color w:val="auto"/>
                      <w:highlight w:val="none"/>
                    </w:rPr>
                  </w:pPr>
                </w:p>
              </w:tc>
              <w:tc>
                <w:tcPr>
                  <w:tcW w:w="477" w:type="pct"/>
                  <w:vAlign w:val="center"/>
                </w:tcPr>
                <w:p w14:paraId="212E1824">
                  <w:pPr>
                    <w:keepNext w:val="0"/>
                    <w:keepLines w:val="0"/>
                    <w:suppressLineNumbers w:val="0"/>
                    <w:spacing w:before="0" w:beforeAutospacing="0" w:after="0" w:afterAutospacing="0"/>
                    <w:ind w:left="0" w:right="0"/>
                    <w:jc w:val="center"/>
                    <w:rPr>
                      <w:color w:val="auto"/>
                      <w:highlight w:val="none"/>
                    </w:rPr>
                  </w:pPr>
                  <w:r>
                    <w:rPr>
                      <w:color w:val="auto"/>
                      <w:highlight w:val="none"/>
                    </w:rPr>
                    <w:t>X</w:t>
                  </w:r>
                </w:p>
              </w:tc>
              <w:tc>
                <w:tcPr>
                  <w:tcW w:w="467" w:type="pct"/>
                  <w:vAlign w:val="center"/>
                </w:tcPr>
                <w:p w14:paraId="5620C17C">
                  <w:pPr>
                    <w:keepNext w:val="0"/>
                    <w:keepLines w:val="0"/>
                    <w:suppressLineNumbers w:val="0"/>
                    <w:spacing w:before="0" w:beforeAutospacing="0" w:after="0" w:afterAutospacing="0"/>
                    <w:ind w:left="0" w:right="0"/>
                    <w:jc w:val="center"/>
                    <w:rPr>
                      <w:color w:val="auto"/>
                      <w:highlight w:val="none"/>
                    </w:rPr>
                  </w:pPr>
                  <w:r>
                    <w:rPr>
                      <w:color w:val="auto"/>
                      <w:highlight w:val="none"/>
                    </w:rPr>
                    <w:t>Y</w:t>
                  </w:r>
                </w:p>
              </w:tc>
              <w:tc>
                <w:tcPr>
                  <w:tcW w:w="370" w:type="pct"/>
                  <w:vAlign w:val="center"/>
                </w:tcPr>
                <w:p w14:paraId="6FAE8694">
                  <w:pPr>
                    <w:keepNext w:val="0"/>
                    <w:keepLines w:val="0"/>
                    <w:suppressLineNumbers w:val="0"/>
                    <w:spacing w:before="0" w:beforeAutospacing="0" w:after="0" w:afterAutospacing="0"/>
                    <w:ind w:left="0" w:right="0"/>
                    <w:jc w:val="center"/>
                    <w:rPr>
                      <w:color w:val="auto"/>
                      <w:highlight w:val="none"/>
                    </w:rPr>
                  </w:pPr>
                  <w:r>
                    <w:rPr>
                      <w:color w:val="auto"/>
                      <w:highlight w:val="none"/>
                    </w:rPr>
                    <w:t>Z</w:t>
                  </w:r>
                </w:p>
              </w:tc>
              <w:tc>
                <w:tcPr>
                  <w:tcW w:w="438" w:type="pct"/>
                  <w:tcBorders>
                    <w:right w:val="single" w:color="auto" w:sz="4" w:space="0"/>
                  </w:tcBorders>
                  <w:vAlign w:val="center"/>
                </w:tcPr>
                <w:p w14:paraId="13D62DA2">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声压级</w:t>
                  </w:r>
                </w:p>
              </w:tc>
              <w:tc>
                <w:tcPr>
                  <w:tcW w:w="646" w:type="pct"/>
                  <w:tcBorders>
                    <w:left w:val="single" w:color="auto" w:sz="4" w:space="0"/>
                  </w:tcBorders>
                  <w:vAlign w:val="center"/>
                </w:tcPr>
                <w:p w14:paraId="121BBF3C">
                  <w:pPr>
                    <w:keepNext w:val="0"/>
                    <w:keepLines w:val="0"/>
                    <w:suppressLineNumbers w:val="0"/>
                    <w:spacing w:before="0" w:beforeAutospacing="0" w:after="0" w:afterAutospacing="0"/>
                    <w:ind w:left="0" w:right="0"/>
                    <w:jc w:val="center"/>
                    <w:rPr>
                      <w:color w:val="auto"/>
                      <w:highlight w:val="none"/>
                    </w:rPr>
                  </w:pPr>
                  <w:r>
                    <w:rPr>
                      <w:rFonts w:hAnsi="宋体"/>
                      <w:color w:val="auto"/>
                      <w:highlight w:val="none"/>
                    </w:rPr>
                    <w:t>距声源距离</w:t>
                  </w:r>
                  <w:r>
                    <w:rPr>
                      <w:color w:val="auto"/>
                      <w:highlight w:val="none"/>
                    </w:rPr>
                    <w:t>/m</w:t>
                  </w:r>
                </w:p>
              </w:tc>
              <w:tc>
                <w:tcPr>
                  <w:tcW w:w="928" w:type="pct"/>
                  <w:vMerge w:val="continue"/>
                  <w:vAlign w:val="center"/>
                </w:tcPr>
                <w:p w14:paraId="559ECCCE">
                  <w:pPr>
                    <w:keepNext w:val="0"/>
                    <w:keepLines w:val="0"/>
                    <w:suppressLineNumbers w:val="0"/>
                    <w:spacing w:before="0" w:beforeAutospacing="0" w:after="0" w:afterAutospacing="0"/>
                    <w:ind w:left="0" w:right="0"/>
                    <w:jc w:val="center"/>
                    <w:rPr>
                      <w:color w:val="auto"/>
                      <w:highlight w:val="none"/>
                    </w:rPr>
                  </w:pPr>
                </w:p>
              </w:tc>
              <w:tc>
                <w:tcPr>
                  <w:tcW w:w="440" w:type="pct"/>
                  <w:vMerge w:val="continue"/>
                  <w:vAlign w:val="center"/>
                </w:tcPr>
                <w:p w14:paraId="74D8ACBF">
                  <w:pPr>
                    <w:keepNext w:val="0"/>
                    <w:keepLines w:val="0"/>
                    <w:suppressLineNumbers w:val="0"/>
                    <w:spacing w:before="0" w:beforeAutospacing="0" w:after="0" w:afterAutospacing="0"/>
                    <w:ind w:left="0" w:right="0"/>
                    <w:jc w:val="center"/>
                    <w:rPr>
                      <w:color w:val="auto"/>
                      <w:highlight w:val="none"/>
                    </w:rPr>
                  </w:pPr>
                </w:p>
              </w:tc>
            </w:tr>
            <w:tr w14:paraId="3D382FD0">
              <w:trPr>
                <w:trHeight w:val="397" w:hRule="atLeast"/>
              </w:trPr>
              <w:tc>
                <w:tcPr>
                  <w:tcW w:w="228" w:type="pct"/>
                  <w:vAlign w:val="center"/>
                </w:tcPr>
                <w:p w14:paraId="33E43A6A">
                  <w:pPr>
                    <w:keepNext w:val="0"/>
                    <w:keepLines w:val="0"/>
                    <w:suppressLineNumbers w:val="0"/>
                    <w:spacing w:before="0" w:beforeAutospacing="0" w:after="0" w:afterAutospacing="0"/>
                    <w:ind w:left="0" w:right="0"/>
                    <w:jc w:val="center"/>
                    <w:rPr>
                      <w:color w:val="auto"/>
                      <w:highlight w:val="none"/>
                    </w:rPr>
                  </w:pPr>
                  <w:r>
                    <w:rPr>
                      <w:color w:val="auto"/>
                      <w:highlight w:val="none"/>
                    </w:rPr>
                    <w:t>1</w:t>
                  </w:r>
                </w:p>
              </w:tc>
              <w:tc>
                <w:tcPr>
                  <w:tcW w:w="682" w:type="pct"/>
                  <w:shd w:val="clear" w:color="auto" w:fill="auto"/>
                  <w:vAlign w:val="center"/>
                </w:tcPr>
                <w:p w14:paraId="7C706DE0">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1</w:t>
                  </w:r>
                  <w:r>
                    <w:rPr>
                      <w:rFonts w:hAnsi="宋体"/>
                      <w:color w:val="auto"/>
                      <w:szCs w:val="21"/>
                      <w:highlight w:val="none"/>
                    </w:rPr>
                    <w:t>配套风机</w:t>
                  </w:r>
                </w:p>
              </w:tc>
              <w:tc>
                <w:tcPr>
                  <w:tcW w:w="320" w:type="pct"/>
                  <w:shd w:val="clear" w:color="auto" w:fill="auto"/>
                  <w:vAlign w:val="center"/>
                </w:tcPr>
                <w:p w14:paraId="72065AF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w:t>
                  </w:r>
                  <w:r>
                    <w:rPr>
                      <w:rFonts w:hint="eastAsia"/>
                      <w:color w:val="auto"/>
                      <w:szCs w:val="21"/>
                      <w:highlight w:val="none"/>
                      <w:lang w:val="en-US" w:eastAsia="zh-CN"/>
                    </w:rPr>
                    <w:t>5kW</w:t>
                  </w:r>
                </w:p>
              </w:tc>
              <w:tc>
                <w:tcPr>
                  <w:tcW w:w="477" w:type="pct"/>
                  <w:shd w:val="clear" w:color="auto" w:fill="auto"/>
                  <w:vAlign w:val="center"/>
                </w:tcPr>
                <w:p w14:paraId="488015C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2459</w:t>
                  </w:r>
                </w:p>
              </w:tc>
              <w:tc>
                <w:tcPr>
                  <w:tcW w:w="467" w:type="pct"/>
                  <w:shd w:val="clear" w:color="auto" w:fill="auto"/>
                  <w:vAlign w:val="center"/>
                </w:tcPr>
                <w:p w14:paraId="17B211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8158</w:t>
                  </w:r>
                </w:p>
              </w:tc>
              <w:tc>
                <w:tcPr>
                  <w:tcW w:w="370" w:type="pct"/>
                  <w:shd w:val="clear" w:color="auto" w:fill="auto"/>
                  <w:vAlign w:val="center"/>
                </w:tcPr>
                <w:p w14:paraId="15844C94">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color w:val="auto"/>
                      <w:highlight w:val="none"/>
                    </w:rPr>
                    <w:t>1.5</w:t>
                  </w:r>
                </w:p>
              </w:tc>
              <w:tc>
                <w:tcPr>
                  <w:tcW w:w="438" w:type="pct"/>
                  <w:tcBorders>
                    <w:right w:val="single" w:color="auto" w:sz="4" w:space="0"/>
                  </w:tcBorders>
                  <w:shd w:val="clear" w:color="auto" w:fill="auto"/>
                  <w:vAlign w:val="center"/>
                </w:tcPr>
                <w:p w14:paraId="77AB294E">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80~9</w:t>
                  </w:r>
                  <w:r>
                    <w:rPr>
                      <w:rFonts w:hint="eastAsia"/>
                      <w:color w:val="auto"/>
                      <w:szCs w:val="21"/>
                      <w:highlight w:val="none"/>
                    </w:rPr>
                    <w:t>0</w:t>
                  </w:r>
                </w:p>
              </w:tc>
              <w:tc>
                <w:tcPr>
                  <w:tcW w:w="646" w:type="pct"/>
                  <w:tcBorders>
                    <w:left w:val="single" w:color="auto" w:sz="4" w:space="0"/>
                  </w:tcBorders>
                  <w:shd w:val="clear" w:color="auto" w:fill="auto"/>
                  <w:vAlign w:val="center"/>
                </w:tcPr>
                <w:p w14:paraId="00C3448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w:t>
                  </w:r>
                </w:p>
              </w:tc>
              <w:tc>
                <w:tcPr>
                  <w:tcW w:w="928" w:type="pct"/>
                  <w:vMerge w:val="restart"/>
                  <w:vAlign w:val="center"/>
                </w:tcPr>
                <w:p w14:paraId="53DDB183">
                  <w:pPr>
                    <w:keepNext w:val="0"/>
                    <w:keepLines w:val="0"/>
                    <w:suppressLineNumbers w:val="0"/>
                    <w:spacing w:before="0" w:beforeAutospacing="0" w:after="0" w:afterAutospacing="0"/>
                    <w:ind w:left="0" w:right="0"/>
                    <w:jc w:val="center"/>
                    <w:rPr>
                      <w:color w:val="auto"/>
                      <w:highlight w:val="none"/>
                    </w:rPr>
                  </w:pPr>
                  <w:r>
                    <w:rPr>
                      <w:rFonts w:hAnsi="宋体"/>
                      <w:bCs/>
                      <w:color w:val="auto"/>
                      <w:szCs w:val="21"/>
                      <w:highlight w:val="none"/>
                    </w:rPr>
                    <w:t>选用低噪音设备；消声减震；加强操作管理和维护；合理布局等</w:t>
                  </w:r>
                </w:p>
              </w:tc>
              <w:tc>
                <w:tcPr>
                  <w:tcW w:w="440" w:type="pct"/>
                  <w:vMerge w:val="restart"/>
                  <w:vAlign w:val="center"/>
                </w:tcPr>
                <w:p w14:paraId="27739C83">
                  <w:pPr>
                    <w:keepNext w:val="0"/>
                    <w:keepLines w:val="0"/>
                    <w:suppressLineNumbers w:val="0"/>
                    <w:spacing w:before="0" w:beforeAutospacing="0" w:after="0" w:afterAutospacing="0"/>
                    <w:ind w:left="-105" w:leftChars="-50" w:right="-105" w:rightChars="-50"/>
                    <w:jc w:val="center"/>
                    <w:rPr>
                      <w:bCs/>
                      <w:color w:val="auto"/>
                      <w:szCs w:val="21"/>
                      <w:highlight w:val="none"/>
                    </w:rPr>
                  </w:pPr>
                  <w:r>
                    <w:rPr>
                      <w:rFonts w:hint="eastAsia"/>
                      <w:color w:val="auto"/>
                      <w:highlight w:val="none"/>
                      <w:lang w:val="en-US" w:eastAsia="zh-CN"/>
                    </w:rPr>
                    <w:t>间断运行</w:t>
                  </w:r>
                </w:p>
              </w:tc>
            </w:tr>
            <w:tr w14:paraId="443879B7">
              <w:trPr>
                <w:trHeight w:val="397" w:hRule="atLeast"/>
              </w:trPr>
              <w:tc>
                <w:tcPr>
                  <w:tcW w:w="228" w:type="pct"/>
                  <w:vAlign w:val="center"/>
                </w:tcPr>
                <w:p w14:paraId="377BB531">
                  <w:pPr>
                    <w:keepNext w:val="0"/>
                    <w:keepLines w:val="0"/>
                    <w:suppressLineNumbers w:val="0"/>
                    <w:spacing w:before="0" w:beforeAutospacing="0" w:after="0" w:afterAutospacing="0"/>
                    <w:ind w:left="0" w:right="0"/>
                    <w:jc w:val="center"/>
                    <w:rPr>
                      <w:rFonts w:hint="eastAsia" w:eastAsiaTheme="minorEastAsia"/>
                      <w:color w:val="auto"/>
                      <w:highlight w:val="none"/>
                      <w:lang w:val="en-US" w:eastAsia="zh-CN"/>
                    </w:rPr>
                  </w:pPr>
                  <w:r>
                    <w:rPr>
                      <w:rFonts w:hint="eastAsia"/>
                      <w:color w:val="auto"/>
                      <w:highlight w:val="none"/>
                      <w:lang w:val="en-US" w:eastAsia="zh-CN"/>
                    </w:rPr>
                    <w:t>2</w:t>
                  </w:r>
                </w:p>
              </w:tc>
              <w:tc>
                <w:tcPr>
                  <w:tcW w:w="682" w:type="pct"/>
                  <w:vAlign w:val="center"/>
                </w:tcPr>
                <w:p w14:paraId="52D7ADB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TA00</w:t>
                  </w:r>
                  <w:r>
                    <w:rPr>
                      <w:rFonts w:hint="eastAsia"/>
                      <w:color w:val="auto"/>
                      <w:szCs w:val="21"/>
                      <w:highlight w:val="none"/>
                      <w:lang w:val="en-US" w:eastAsia="zh-CN"/>
                    </w:rPr>
                    <w:t>2</w:t>
                  </w:r>
                  <w:r>
                    <w:rPr>
                      <w:rFonts w:hAnsi="宋体"/>
                      <w:color w:val="auto"/>
                      <w:szCs w:val="21"/>
                      <w:highlight w:val="none"/>
                    </w:rPr>
                    <w:t>配套风机</w:t>
                  </w:r>
                </w:p>
              </w:tc>
              <w:tc>
                <w:tcPr>
                  <w:tcW w:w="320" w:type="pct"/>
                  <w:shd w:val="clear" w:color="auto" w:fill="auto"/>
                  <w:vAlign w:val="center"/>
                </w:tcPr>
                <w:p w14:paraId="75ED899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w:t>
                  </w:r>
                  <w:r>
                    <w:rPr>
                      <w:rFonts w:hint="eastAsia"/>
                      <w:color w:val="auto"/>
                      <w:szCs w:val="21"/>
                      <w:highlight w:val="none"/>
                      <w:lang w:val="en-US" w:eastAsia="zh-CN"/>
                    </w:rPr>
                    <w:t>0kW</w:t>
                  </w:r>
                </w:p>
              </w:tc>
              <w:tc>
                <w:tcPr>
                  <w:tcW w:w="477" w:type="pct"/>
                  <w:shd w:val="clear" w:color="auto" w:fill="auto"/>
                  <w:vAlign w:val="center"/>
                </w:tcPr>
                <w:p w14:paraId="3A397F0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2461</w:t>
                  </w:r>
                </w:p>
              </w:tc>
              <w:tc>
                <w:tcPr>
                  <w:tcW w:w="467" w:type="pct"/>
                  <w:shd w:val="clear" w:color="auto" w:fill="auto"/>
                  <w:vAlign w:val="center"/>
                </w:tcPr>
                <w:p w14:paraId="2AEE89B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8162</w:t>
                  </w:r>
                </w:p>
              </w:tc>
              <w:tc>
                <w:tcPr>
                  <w:tcW w:w="370" w:type="pct"/>
                  <w:shd w:val="clear" w:color="auto" w:fill="auto"/>
                  <w:vAlign w:val="center"/>
                </w:tcPr>
                <w:p w14:paraId="0A54C1D1">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color w:val="auto"/>
                      <w:highlight w:val="none"/>
                    </w:rPr>
                    <w:t>1.5</w:t>
                  </w:r>
                </w:p>
              </w:tc>
              <w:tc>
                <w:tcPr>
                  <w:tcW w:w="438" w:type="pct"/>
                  <w:tcBorders>
                    <w:right w:val="single" w:color="auto" w:sz="4" w:space="0"/>
                  </w:tcBorders>
                  <w:shd w:val="clear" w:color="auto" w:fill="auto"/>
                  <w:vAlign w:val="center"/>
                </w:tcPr>
                <w:p w14:paraId="2E9BF6C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80~9</w:t>
                  </w:r>
                  <w:r>
                    <w:rPr>
                      <w:rFonts w:hint="eastAsia"/>
                      <w:color w:val="auto"/>
                      <w:szCs w:val="21"/>
                      <w:highlight w:val="none"/>
                    </w:rPr>
                    <w:t>0</w:t>
                  </w:r>
                </w:p>
              </w:tc>
              <w:tc>
                <w:tcPr>
                  <w:tcW w:w="646" w:type="pct"/>
                  <w:tcBorders>
                    <w:left w:val="single" w:color="auto" w:sz="4" w:space="0"/>
                  </w:tcBorders>
                  <w:vAlign w:val="center"/>
                </w:tcPr>
                <w:p w14:paraId="6EAEE475">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1</w:t>
                  </w:r>
                </w:p>
              </w:tc>
              <w:tc>
                <w:tcPr>
                  <w:tcW w:w="928" w:type="pct"/>
                  <w:vMerge w:val="continue"/>
                  <w:vAlign w:val="center"/>
                </w:tcPr>
                <w:p w14:paraId="24E9606B">
                  <w:pPr>
                    <w:keepNext w:val="0"/>
                    <w:keepLines w:val="0"/>
                    <w:suppressLineNumbers w:val="0"/>
                    <w:spacing w:before="0" w:beforeAutospacing="0" w:after="0" w:afterAutospacing="0"/>
                    <w:ind w:left="0" w:right="0"/>
                    <w:jc w:val="center"/>
                    <w:rPr>
                      <w:rFonts w:hAnsi="宋体"/>
                      <w:bCs/>
                      <w:color w:val="auto"/>
                      <w:szCs w:val="21"/>
                      <w:highlight w:val="none"/>
                    </w:rPr>
                  </w:pPr>
                </w:p>
              </w:tc>
              <w:tc>
                <w:tcPr>
                  <w:tcW w:w="440" w:type="pct"/>
                  <w:vMerge w:val="continue"/>
                  <w:vAlign w:val="center"/>
                </w:tcPr>
                <w:p w14:paraId="618D00B2">
                  <w:pPr>
                    <w:keepNext w:val="0"/>
                    <w:keepLines w:val="0"/>
                    <w:suppressLineNumbers w:val="0"/>
                    <w:spacing w:before="0" w:beforeAutospacing="0" w:after="0" w:afterAutospacing="0"/>
                    <w:ind w:left="-105" w:leftChars="-50" w:right="-105" w:rightChars="-50"/>
                    <w:jc w:val="center"/>
                    <w:rPr>
                      <w:color w:val="auto"/>
                      <w:szCs w:val="21"/>
                      <w:highlight w:val="none"/>
                    </w:rPr>
                  </w:pPr>
                </w:p>
              </w:tc>
            </w:tr>
            <w:tr w14:paraId="1D33EF1D">
              <w:trPr>
                <w:trHeight w:val="397" w:hRule="atLeast"/>
              </w:trPr>
              <w:tc>
                <w:tcPr>
                  <w:tcW w:w="228" w:type="pct"/>
                  <w:vAlign w:val="center"/>
                </w:tcPr>
                <w:p w14:paraId="40DCB77D">
                  <w:pPr>
                    <w:keepNext w:val="0"/>
                    <w:keepLines w:val="0"/>
                    <w:suppressLineNumbers w:val="0"/>
                    <w:spacing w:before="0" w:beforeAutospacing="0" w:after="0" w:afterAutospacing="0"/>
                    <w:ind w:left="0" w:right="0"/>
                    <w:jc w:val="center"/>
                    <w:rPr>
                      <w:rFonts w:hint="eastAsia" w:eastAsiaTheme="minorEastAsia"/>
                      <w:color w:val="auto"/>
                      <w:highlight w:val="none"/>
                      <w:lang w:val="en-US" w:eastAsia="zh-CN"/>
                    </w:rPr>
                  </w:pPr>
                  <w:r>
                    <w:rPr>
                      <w:rFonts w:hint="eastAsia"/>
                      <w:color w:val="auto"/>
                      <w:highlight w:val="none"/>
                      <w:lang w:val="en-US" w:eastAsia="zh-CN"/>
                    </w:rPr>
                    <w:t>3</w:t>
                  </w:r>
                </w:p>
              </w:tc>
              <w:tc>
                <w:tcPr>
                  <w:tcW w:w="682" w:type="pct"/>
                  <w:shd w:val="clear" w:color="auto" w:fill="auto"/>
                  <w:vAlign w:val="center"/>
                </w:tcPr>
                <w:p w14:paraId="480F7017">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3</w:t>
                  </w:r>
                  <w:r>
                    <w:rPr>
                      <w:rFonts w:hAnsi="宋体"/>
                      <w:color w:val="auto"/>
                      <w:szCs w:val="21"/>
                      <w:highlight w:val="none"/>
                    </w:rPr>
                    <w:t>配套风机</w:t>
                  </w:r>
                </w:p>
              </w:tc>
              <w:tc>
                <w:tcPr>
                  <w:tcW w:w="320" w:type="pct"/>
                  <w:shd w:val="clear" w:color="auto" w:fill="auto"/>
                  <w:vAlign w:val="center"/>
                </w:tcPr>
                <w:p w14:paraId="1A5DDBA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w:t>
                  </w:r>
                  <w:r>
                    <w:rPr>
                      <w:rFonts w:hint="eastAsia"/>
                      <w:color w:val="auto"/>
                      <w:szCs w:val="21"/>
                      <w:highlight w:val="none"/>
                      <w:lang w:val="en-US" w:eastAsia="zh-CN"/>
                    </w:rPr>
                    <w:t>3kW</w:t>
                  </w:r>
                </w:p>
              </w:tc>
              <w:tc>
                <w:tcPr>
                  <w:tcW w:w="477" w:type="pct"/>
                  <w:shd w:val="clear" w:color="auto" w:fill="auto"/>
                  <w:vAlign w:val="center"/>
                </w:tcPr>
                <w:p w14:paraId="0751A3D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119.</w:t>
                  </w:r>
                  <w:r>
                    <w:rPr>
                      <w:rFonts w:hint="eastAsia"/>
                      <w:color w:val="auto"/>
                      <w:szCs w:val="21"/>
                      <w:highlight w:val="none"/>
                      <w:lang w:val="en-US" w:eastAsia="zh-CN"/>
                    </w:rPr>
                    <w:t>2465</w:t>
                  </w:r>
                </w:p>
              </w:tc>
              <w:tc>
                <w:tcPr>
                  <w:tcW w:w="467" w:type="pct"/>
                  <w:shd w:val="clear" w:color="auto" w:fill="auto"/>
                  <w:vAlign w:val="center"/>
                </w:tcPr>
                <w:p w14:paraId="463E2F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33.</w:t>
                  </w:r>
                  <w:r>
                    <w:rPr>
                      <w:rFonts w:hint="eastAsia"/>
                      <w:color w:val="auto"/>
                      <w:szCs w:val="21"/>
                      <w:highlight w:val="none"/>
                      <w:lang w:val="en-US" w:eastAsia="zh-CN"/>
                    </w:rPr>
                    <w:t>8168</w:t>
                  </w:r>
                </w:p>
              </w:tc>
              <w:tc>
                <w:tcPr>
                  <w:tcW w:w="370" w:type="pct"/>
                  <w:shd w:val="clear" w:color="auto" w:fill="auto"/>
                  <w:vAlign w:val="center"/>
                </w:tcPr>
                <w:p w14:paraId="20882CA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color w:val="auto"/>
                      <w:highlight w:val="none"/>
                    </w:rPr>
                    <w:t>1.5</w:t>
                  </w:r>
                </w:p>
              </w:tc>
              <w:tc>
                <w:tcPr>
                  <w:tcW w:w="438" w:type="pct"/>
                  <w:tcBorders>
                    <w:right w:val="single" w:color="auto" w:sz="4" w:space="0"/>
                  </w:tcBorders>
                  <w:shd w:val="clear" w:color="auto" w:fill="auto"/>
                  <w:vAlign w:val="center"/>
                </w:tcPr>
                <w:p w14:paraId="47C3BA74">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80~9</w:t>
                  </w:r>
                  <w:r>
                    <w:rPr>
                      <w:rFonts w:hint="eastAsia"/>
                      <w:color w:val="auto"/>
                      <w:szCs w:val="21"/>
                      <w:highlight w:val="none"/>
                    </w:rPr>
                    <w:t>0</w:t>
                  </w:r>
                </w:p>
              </w:tc>
              <w:tc>
                <w:tcPr>
                  <w:tcW w:w="646" w:type="pct"/>
                  <w:tcBorders>
                    <w:left w:val="single" w:color="auto" w:sz="4" w:space="0"/>
                  </w:tcBorders>
                  <w:shd w:val="clear" w:color="auto" w:fill="auto"/>
                  <w:vAlign w:val="center"/>
                </w:tcPr>
                <w:p w14:paraId="06ABD39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w:t>
                  </w:r>
                </w:p>
              </w:tc>
              <w:tc>
                <w:tcPr>
                  <w:tcW w:w="928" w:type="pct"/>
                  <w:vMerge w:val="continue"/>
                  <w:vAlign w:val="center"/>
                </w:tcPr>
                <w:p w14:paraId="468549A5">
                  <w:pPr>
                    <w:keepNext w:val="0"/>
                    <w:keepLines w:val="0"/>
                    <w:suppressLineNumbers w:val="0"/>
                    <w:spacing w:before="0" w:beforeAutospacing="0" w:after="0" w:afterAutospacing="0"/>
                    <w:ind w:left="0" w:right="0"/>
                    <w:jc w:val="center"/>
                    <w:rPr>
                      <w:rFonts w:hAnsi="宋体"/>
                      <w:bCs/>
                      <w:color w:val="auto"/>
                      <w:szCs w:val="21"/>
                      <w:highlight w:val="none"/>
                    </w:rPr>
                  </w:pPr>
                </w:p>
              </w:tc>
              <w:tc>
                <w:tcPr>
                  <w:tcW w:w="440" w:type="pct"/>
                  <w:vMerge w:val="continue"/>
                  <w:vAlign w:val="center"/>
                </w:tcPr>
                <w:p w14:paraId="575CBDFC">
                  <w:pPr>
                    <w:keepNext w:val="0"/>
                    <w:keepLines w:val="0"/>
                    <w:suppressLineNumbers w:val="0"/>
                    <w:spacing w:before="0" w:beforeAutospacing="0" w:after="0" w:afterAutospacing="0"/>
                    <w:ind w:left="-105" w:leftChars="-50" w:right="-105" w:rightChars="-50"/>
                    <w:jc w:val="center"/>
                    <w:rPr>
                      <w:color w:val="auto"/>
                      <w:szCs w:val="21"/>
                      <w:highlight w:val="none"/>
                    </w:rPr>
                  </w:pPr>
                </w:p>
              </w:tc>
            </w:tr>
          </w:tbl>
          <w:p w14:paraId="672937FD">
            <w:pPr>
              <w:pStyle w:val="100"/>
              <w:keepNext w:val="0"/>
              <w:keepLines w:val="0"/>
              <w:suppressLineNumbers w:val="0"/>
              <w:spacing w:before="0" w:beforeAutospacing="0" w:after="0" w:afterAutospacing="0"/>
              <w:ind w:left="0" w:right="0" w:firstLine="480"/>
              <w:rPr>
                <w:color w:val="auto"/>
                <w:highlight w:val="none"/>
              </w:rPr>
            </w:pPr>
          </w:p>
          <w:p w14:paraId="243B5710">
            <w:pPr>
              <w:keepNext w:val="0"/>
              <w:keepLines w:val="0"/>
              <w:suppressLineNumbers w:val="0"/>
              <w:spacing w:before="0" w:beforeAutospacing="0" w:after="0" w:afterAutospacing="0"/>
              <w:ind w:left="0" w:right="0"/>
              <w:rPr>
                <w:color w:val="auto"/>
                <w:highlight w:val="none"/>
              </w:rPr>
            </w:pPr>
          </w:p>
          <w:p w14:paraId="361D25A2">
            <w:pPr>
              <w:pStyle w:val="100"/>
              <w:keepNext w:val="0"/>
              <w:keepLines w:val="0"/>
              <w:suppressLineNumbers w:val="0"/>
              <w:spacing w:before="0" w:beforeAutospacing="0" w:after="0" w:afterAutospacing="0"/>
              <w:ind w:left="0" w:right="0" w:firstLine="480"/>
              <w:rPr>
                <w:color w:val="auto"/>
                <w:highlight w:val="none"/>
              </w:rPr>
            </w:pPr>
          </w:p>
        </w:tc>
      </w:tr>
    </w:tbl>
    <w:p w14:paraId="7B5FE34C">
      <w:pPr>
        <w:adjustRightInd w:val="0"/>
        <w:snapToGrid w:val="0"/>
        <w:jc w:val="center"/>
        <w:rPr>
          <w:bCs/>
          <w:color w:val="auto"/>
          <w:sz w:val="24"/>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3"/>
        <w:gridCol w:w="8687"/>
      </w:tblGrid>
      <w:tr w14:paraId="4383B5ED">
        <w:trPr>
          <w:trHeight w:val="170" w:hRule="atLeast"/>
          <w:jc w:val="center"/>
        </w:trPr>
        <w:tc>
          <w:tcPr>
            <w:tcW w:w="293" w:type="dxa"/>
            <w:tcMar>
              <w:left w:w="28" w:type="dxa"/>
              <w:right w:w="28" w:type="dxa"/>
            </w:tcMar>
            <w:vAlign w:val="center"/>
          </w:tcPr>
          <w:p w14:paraId="02793170">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7C9A1555">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26C00747">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13E6687F">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7F3E1B1C">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28B0E9C9">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措施</w:t>
            </w:r>
          </w:p>
        </w:tc>
        <w:tc>
          <w:tcPr>
            <w:tcW w:w="8687" w:type="dxa"/>
            <w:vAlign w:val="center"/>
          </w:tcPr>
          <w:p w14:paraId="4C36EA86">
            <w:pPr>
              <w:keepNext w:val="0"/>
              <w:keepLines w:val="0"/>
              <w:suppressLineNumbers w:val="0"/>
              <w:adjustRightInd w:val="0"/>
              <w:snapToGrid w:val="0"/>
              <w:spacing w:before="0" w:beforeLines="50" w:beforeAutospacing="0" w:after="0" w:afterAutospacing="0" w:line="360" w:lineRule="auto"/>
              <w:ind w:left="0" w:right="0" w:firstLine="542" w:firstLineChars="225"/>
              <w:rPr>
                <w:b/>
                <w:color w:val="auto"/>
                <w:sz w:val="24"/>
                <w:highlight w:val="none"/>
              </w:rPr>
            </w:pPr>
            <w:r>
              <w:rPr>
                <w:rFonts w:hAnsi="宋体"/>
                <w:b/>
                <w:color w:val="auto"/>
                <w:sz w:val="24"/>
                <w:highlight w:val="none"/>
              </w:rPr>
              <w:t>②声环境影响分析</w:t>
            </w:r>
          </w:p>
          <w:p w14:paraId="2E8BD9A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建设项目设备噪声源强在</w:t>
            </w:r>
            <w:r>
              <w:rPr>
                <w:rFonts w:hint="eastAsia"/>
                <w:color w:val="auto"/>
                <w:sz w:val="24"/>
                <w:highlight w:val="none"/>
                <w:lang w:val="en-US" w:eastAsia="zh-CN"/>
              </w:rPr>
              <w:t>65</w:t>
            </w:r>
            <w:r>
              <w:rPr>
                <w:rFonts w:hint="eastAsia"/>
                <w:color w:val="auto"/>
                <w:sz w:val="24"/>
                <w:highlight w:val="none"/>
              </w:rPr>
              <w:t>-90</w:t>
            </w:r>
            <w:r>
              <w:rPr>
                <w:color w:val="auto"/>
                <w:sz w:val="24"/>
                <w:highlight w:val="none"/>
              </w:rPr>
              <w:t>dB(A</w:t>
            </w:r>
            <w:r>
              <w:rPr>
                <w:rFonts w:hint="eastAsia"/>
                <w:color w:val="auto"/>
                <w:sz w:val="24"/>
                <w:highlight w:val="none"/>
                <w:lang w:eastAsia="zh-CN"/>
              </w:rPr>
              <w:t>）</w:t>
            </w:r>
            <w:r>
              <w:rPr>
                <w:rFonts w:hAnsi="宋体"/>
                <w:color w:val="auto"/>
                <w:sz w:val="24"/>
                <w:highlight w:val="none"/>
              </w:rPr>
              <w:t>之间，噪声污染比较大，采用多点源</w:t>
            </w:r>
            <w:r>
              <w:rPr>
                <w:rFonts w:hint="eastAsia" w:hAnsi="宋体"/>
                <w:color w:val="auto"/>
                <w:sz w:val="24"/>
                <w:highlight w:val="none"/>
                <w:lang w:eastAsia="zh-CN"/>
              </w:rPr>
              <w:t>等</w:t>
            </w:r>
            <w:r>
              <w:rPr>
                <w:rFonts w:hAnsi="宋体"/>
                <w:color w:val="auto"/>
                <w:sz w:val="24"/>
                <w:highlight w:val="none"/>
              </w:rPr>
              <w:t>距离噪声衰减预测模式，并参照最为不利时气象条件等修正值进行计算，噪声从声源传播到受声点，受传播距离、空气吸收、阻挡物的反射与屏蔽等因素的影响，声能逐渐衰减，根据《环境影响评价技术导则声环境》（</w:t>
            </w:r>
            <w:r>
              <w:rPr>
                <w:color w:val="auto"/>
                <w:sz w:val="24"/>
                <w:highlight w:val="none"/>
              </w:rPr>
              <w:t>HJ2.4-2021</w:t>
            </w:r>
            <w:r>
              <w:rPr>
                <w:rFonts w:hAnsi="宋体"/>
                <w:color w:val="auto"/>
                <w:sz w:val="24"/>
                <w:highlight w:val="none"/>
              </w:rPr>
              <w:t>），预测建设项目实施后对厂界噪声的影响。</w:t>
            </w:r>
          </w:p>
          <w:p w14:paraId="4DC1C2B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预测中应用的主要计算公式有：</w:t>
            </w:r>
          </w:p>
          <w:p w14:paraId="66A38EE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噪声贡献值计算</w:t>
            </w:r>
          </w:p>
          <w:p w14:paraId="28A2AE1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设第</w:t>
            </w:r>
            <w:r>
              <w:rPr>
                <w:color w:val="auto"/>
                <w:sz w:val="24"/>
                <w:highlight w:val="none"/>
              </w:rPr>
              <w:t>i</w:t>
            </w:r>
            <w:r>
              <w:rPr>
                <w:rFonts w:hAnsi="宋体"/>
                <w:color w:val="auto"/>
                <w:sz w:val="24"/>
                <w:highlight w:val="none"/>
              </w:rPr>
              <w:t>个室外声源在预测点产生的</w:t>
            </w:r>
            <w:r>
              <w:rPr>
                <w:color w:val="auto"/>
                <w:sz w:val="24"/>
                <w:highlight w:val="none"/>
              </w:rPr>
              <w:t>A</w:t>
            </w:r>
            <w:r>
              <w:rPr>
                <w:rFonts w:hAnsi="宋体"/>
                <w:color w:val="auto"/>
                <w:sz w:val="24"/>
                <w:highlight w:val="none"/>
              </w:rPr>
              <w:t>声级为</w:t>
            </w:r>
            <w:r>
              <w:rPr>
                <w:color w:val="auto"/>
                <w:sz w:val="24"/>
                <w:highlight w:val="none"/>
              </w:rPr>
              <w:t>LAi</w:t>
            </w:r>
            <w:r>
              <w:rPr>
                <w:rFonts w:hAnsi="宋体"/>
                <w:color w:val="auto"/>
                <w:sz w:val="24"/>
                <w:highlight w:val="none"/>
              </w:rPr>
              <w:t>，在</w:t>
            </w:r>
            <w:r>
              <w:rPr>
                <w:color w:val="auto"/>
                <w:sz w:val="24"/>
                <w:highlight w:val="none"/>
              </w:rPr>
              <w:t>T</w:t>
            </w:r>
            <w:r>
              <w:rPr>
                <w:rFonts w:hAnsi="宋体"/>
                <w:color w:val="auto"/>
                <w:sz w:val="24"/>
                <w:highlight w:val="none"/>
              </w:rPr>
              <w:t>时间内该声源工作时间为</w:t>
            </w:r>
            <w:r>
              <w:rPr>
                <w:color w:val="auto"/>
                <w:sz w:val="24"/>
                <w:highlight w:val="none"/>
              </w:rPr>
              <w:t>ti</w:t>
            </w:r>
            <w:r>
              <w:rPr>
                <w:rFonts w:hAnsi="宋体"/>
                <w:color w:val="auto"/>
                <w:sz w:val="24"/>
                <w:highlight w:val="none"/>
              </w:rPr>
              <w:t>；第</w:t>
            </w:r>
            <w:r>
              <w:rPr>
                <w:color w:val="auto"/>
                <w:sz w:val="24"/>
                <w:highlight w:val="none"/>
              </w:rPr>
              <w:t>j</w:t>
            </w:r>
            <w:r>
              <w:rPr>
                <w:rFonts w:hAnsi="宋体"/>
                <w:color w:val="auto"/>
                <w:sz w:val="24"/>
                <w:highlight w:val="none"/>
              </w:rPr>
              <w:t>个等效室外声源在预测点产生的</w:t>
            </w:r>
            <w:r>
              <w:rPr>
                <w:color w:val="auto"/>
                <w:sz w:val="24"/>
                <w:highlight w:val="none"/>
              </w:rPr>
              <w:t>A</w:t>
            </w:r>
            <w:r>
              <w:rPr>
                <w:rFonts w:hAnsi="宋体"/>
                <w:color w:val="auto"/>
                <w:sz w:val="24"/>
                <w:highlight w:val="none"/>
              </w:rPr>
              <w:t>声级为</w:t>
            </w:r>
            <w:r>
              <w:rPr>
                <w:color w:val="auto"/>
                <w:sz w:val="24"/>
                <w:highlight w:val="none"/>
              </w:rPr>
              <w:t>LAj</w:t>
            </w:r>
            <w:r>
              <w:rPr>
                <w:rFonts w:hAnsi="宋体"/>
                <w:color w:val="auto"/>
                <w:sz w:val="24"/>
                <w:highlight w:val="none"/>
              </w:rPr>
              <w:t>，在</w:t>
            </w:r>
            <w:r>
              <w:rPr>
                <w:color w:val="auto"/>
                <w:sz w:val="24"/>
                <w:highlight w:val="none"/>
              </w:rPr>
              <w:t>T</w:t>
            </w:r>
            <w:r>
              <w:rPr>
                <w:rFonts w:hAnsi="宋体"/>
                <w:color w:val="auto"/>
                <w:sz w:val="24"/>
                <w:highlight w:val="none"/>
              </w:rPr>
              <w:t>时间内该声源工作时间为</w:t>
            </w:r>
            <w:r>
              <w:rPr>
                <w:color w:val="auto"/>
                <w:sz w:val="24"/>
                <w:highlight w:val="none"/>
              </w:rPr>
              <w:t>tj</w:t>
            </w:r>
            <w:r>
              <w:rPr>
                <w:rFonts w:hAnsi="宋体"/>
                <w:color w:val="auto"/>
                <w:sz w:val="24"/>
                <w:highlight w:val="none"/>
              </w:rPr>
              <w:t>，则</w:t>
            </w:r>
            <w:r>
              <w:rPr>
                <w:rFonts w:hint="eastAsia" w:hAnsi="宋体"/>
                <w:color w:val="auto"/>
                <w:sz w:val="24"/>
                <w:highlight w:val="none"/>
                <w:lang w:eastAsia="zh-CN"/>
              </w:rPr>
              <w:t>建设项目</w:t>
            </w:r>
            <w:r>
              <w:rPr>
                <w:rFonts w:hAnsi="宋体"/>
                <w:color w:val="auto"/>
                <w:sz w:val="24"/>
                <w:highlight w:val="none"/>
              </w:rPr>
              <w:t>声源对预测点产生的贡献值（</w:t>
            </w:r>
            <w:r>
              <w:rPr>
                <w:color w:val="auto"/>
                <w:sz w:val="24"/>
                <w:highlight w:val="none"/>
              </w:rPr>
              <w:t>Leqg</w:t>
            </w:r>
            <w:r>
              <w:rPr>
                <w:rFonts w:hAnsi="宋体"/>
                <w:color w:val="auto"/>
                <w:sz w:val="24"/>
                <w:highlight w:val="none"/>
              </w:rPr>
              <w:t>）为：</w:t>
            </w:r>
          </w:p>
          <w:p w14:paraId="34325DB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object>
                <v:shape id="_x0000_i1031" o:spt="75" type="#_x0000_t75" style="height:34.9pt;width:205.65pt;" o:ole="t" filled="f" o:preferrelative="t" stroked="f" coordsize="21600,21600">
                  <v:path/>
                  <v:fill on="f" focussize="0,0"/>
                  <v:stroke on="f" joinstyle="miter"/>
                  <v:imagedata r:id="rId25" embosscolor="#FFFFFF" o:title=""/>
                  <o:lock v:ext="edit" aspectratio="t"/>
                  <w10:wrap type="none"/>
                  <w10:anchorlock/>
                </v:shape>
                <o:OLEObject Type="Embed" ProgID="Equation.3" ShapeID="_x0000_i1031" DrawAspect="Content" ObjectID="_1468075731" r:id="rId24">
                  <o:LockedField>false</o:LockedField>
                </o:OLEObject>
              </w:object>
            </w:r>
            <w:r>
              <w:rPr>
                <w:rFonts w:ascii="宋体" w:hAnsi="宋体"/>
                <w:color w:val="auto"/>
                <w:sz w:val="24"/>
                <w:highlight w:val="none"/>
              </w:rPr>
              <w:t>①</w:t>
            </w:r>
          </w:p>
          <w:p w14:paraId="7C3EA42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式中：</w:t>
            </w:r>
            <w:r>
              <w:rPr>
                <w:color w:val="auto"/>
                <w:sz w:val="24"/>
                <w:highlight w:val="none"/>
              </w:rPr>
              <w:t>t</w:t>
            </w:r>
            <w:r>
              <w:rPr>
                <w:color w:val="auto"/>
                <w:sz w:val="24"/>
                <w:highlight w:val="none"/>
                <w:vertAlign w:val="subscript"/>
              </w:rPr>
              <w:t>j</w:t>
            </w:r>
            <w:r>
              <w:rPr>
                <w:color w:val="auto"/>
                <w:sz w:val="24"/>
                <w:highlight w:val="none"/>
              </w:rPr>
              <w:t>—</w:t>
            </w:r>
            <w:r>
              <w:rPr>
                <w:rFonts w:hAnsi="宋体"/>
                <w:color w:val="auto"/>
                <w:sz w:val="24"/>
                <w:highlight w:val="none"/>
              </w:rPr>
              <w:t>在</w:t>
            </w:r>
            <w:r>
              <w:rPr>
                <w:color w:val="auto"/>
                <w:sz w:val="24"/>
                <w:highlight w:val="none"/>
              </w:rPr>
              <w:t>T</w:t>
            </w:r>
            <w:r>
              <w:rPr>
                <w:rFonts w:hAnsi="宋体"/>
                <w:color w:val="auto"/>
                <w:sz w:val="24"/>
                <w:highlight w:val="none"/>
              </w:rPr>
              <w:t>时间内</w:t>
            </w:r>
            <w:r>
              <w:rPr>
                <w:color w:val="auto"/>
                <w:sz w:val="24"/>
                <w:highlight w:val="none"/>
              </w:rPr>
              <w:t>j</w:t>
            </w:r>
            <w:r>
              <w:rPr>
                <w:rFonts w:hAnsi="宋体"/>
                <w:color w:val="auto"/>
                <w:sz w:val="24"/>
                <w:highlight w:val="none"/>
              </w:rPr>
              <w:t>声源工作时间，</w:t>
            </w:r>
            <w:r>
              <w:rPr>
                <w:color w:val="auto"/>
                <w:sz w:val="24"/>
                <w:highlight w:val="none"/>
              </w:rPr>
              <w:t>s</w:t>
            </w:r>
            <w:r>
              <w:rPr>
                <w:rFonts w:hAnsi="宋体"/>
                <w:color w:val="auto"/>
                <w:sz w:val="24"/>
                <w:highlight w:val="none"/>
              </w:rPr>
              <w:t>；</w:t>
            </w:r>
          </w:p>
          <w:p w14:paraId="285B954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Ansi="宋体"/>
                <w:color w:val="auto"/>
                <w:sz w:val="24"/>
                <w:highlight w:val="none"/>
              </w:rPr>
              <w:t>在</w:t>
            </w:r>
            <w:r>
              <w:rPr>
                <w:color w:val="auto"/>
                <w:sz w:val="24"/>
                <w:highlight w:val="none"/>
              </w:rPr>
              <w:t>T</w:t>
            </w:r>
            <w:r>
              <w:rPr>
                <w:rFonts w:hAnsi="宋体"/>
                <w:color w:val="auto"/>
                <w:sz w:val="24"/>
                <w:highlight w:val="none"/>
              </w:rPr>
              <w:t>时间内</w:t>
            </w:r>
            <w:r>
              <w:rPr>
                <w:color w:val="auto"/>
                <w:sz w:val="24"/>
                <w:highlight w:val="none"/>
              </w:rPr>
              <w:t>i</w:t>
            </w:r>
            <w:r>
              <w:rPr>
                <w:rFonts w:hAnsi="宋体"/>
                <w:color w:val="auto"/>
                <w:sz w:val="24"/>
                <w:highlight w:val="none"/>
              </w:rPr>
              <w:t>声源工作时间，</w:t>
            </w:r>
            <w:r>
              <w:rPr>
                <w:color w:val="auto"/>
                <w:sz w:val="24"/>
                <w:highlight w:val="none"/>
              </w:rPr>
              <w:t>s</w:t>
            </w:r>
            <w:r>
              <w:rPr>
                <w:rFonts w:hAnsi="宋体"/>
                <w:color w:val="auto"/>
                <w:sz w:val="24"/>
                <w:highlight w:val="none"/>
              </w:rPr>
              <w:t>；</w:t>
            </w:r>
          </w:p>
          <w:p w14:paraId="6B896DA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 xml:space="preserve">      T—</w:t>
            </w:r>
            <w:r>
              <w:rPr>
                <w:rFonts w:hAnsi="宋体"/>
                <w:color w:val="auto"/>
                <w:sz w:val="24"/>
                <w:highlight w:val="none"/>
              </w:rPr>
              <w:t>用于计算等效声级的时间，</w:t>
            </w:r>
            <w:r>
              <w:rPr>
                <w:color w:val="auto"/>
                <w:sz w:val="24"/>
                <w:highlight w:val="none"/>
              </w:rPr>
              <w:t>s</w:t>
            </w:r>
            <w:r>
              <w:rPr>
                <w:rFonts w:hAnsi="宋体"/>
                <w:color w:val="auto"/>
                <w:sz w:val="24"/>
                <w:highlight w:val="none"/>
              </w:rPr>
              <w:t>；</w:t>
            </w:r>
          </w:p>
          <w:p w14:paraId="7FFF0B3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 xml:space="preserve">      N—</w:t>
            </w:r>
            <w:r>
              <w:rPr>
                <w:rFonts w:hAnsi="宋体"/>
                <w:color w:val="auto"/>
                <w:sz w:val="24"/>
                <w:highlight w:val="none"/>
              </w:rPr>
              <w:t>室外声源个数；</w:t>
            </w:r>
          </w:p>
          <w:p w14:paraId="41ADF99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 xml:space="preserve">      M—</w:t>
            </w:r>
            <w:r>
              <w:rPr>
                <w:rFonts w:hAnsi="宋体"/>
                <w:color w:val="auto"/>
                <w:sz w:val="24"/>
                <w:highlight w:val="none"/>
              </w:rPr>
              <w:t>等效室外声源个数。</w:t>
            </w:r>
          </w:p>
          <w:p w14:paraId="78B2343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根据《环境影响评价技术导则</w:t>
            </w:r>
            <w:r>
              <w:rPr>
                <w:rFonts w:hint="eastAsia" w:hAnsi="宋体"/>
                <w:color w:val="auto"/>
                <w:sz w:val="24"/>
                <w:highlight w:val="none"/>
                <w:lang w:val="en-US" w:eastAsia="zh-CN"/>
              </w:rPr>
              <w:t xml:space="preserve"> </w:t>
            </w:r>
            <w:r>
              <w:rPr>
                <w:rFonts w:hAnsi="宋体"/>
                <w:color w:val="auto"/>
                <w:sz w:val="24"/>
                <w:highlight w:val="none"/>
              </w:rPr>
              <w:t>声环境》（</w:t>
            </w:r>
            <w:r>
              <w:rPr>
                <w:color w:val="auto"/>
                <w:sz w:val="24"/>
                <w:highlight w:val="none"/>
              </w:rPr>
              <w:t>HJ2.4-2021</w:t>
            </w:r>
            <w:r>
              <w:rPr>
                <w:rFonts w:hAnsi="宋体"/>
                <w:color w:val="auto"/>
                <w:sz w:val="24"/>
                <w:highlight w:val="none"/>
              </w:rPr>
              <w:t>）评价方法，选用以上预测模式，预测建设项目建成后对声环境的影响结果见表</w:t>
            </w:r>
            <w:r>
              <w:rPr>
                <w:color w:val="auto"/>
                <w:sz w:val="24"/>
                <w:highlight w:val="none"/>
              </w:rPr>
              <w:t>4-1</w:t>
            </w:r>
            <w:r>
              <w:rPr>
                <w:rFonts w:hint="eastAsia"/>
                <w:color w:val="auto"/>
                <w:sz w:val="24"/>
                <w:highlight w:val="none"/>
                <w:lang w:val="en-US" w:eastAsia="zh-CN"/>
              </w:rPr>
              <w:t>7</w:t>
            </w:r>
            <w:r>
              <w:rPr>
                <w:rFonts w:hAnsi="宋体"/>
                <w:color w:val="auto"/>
                <w:sz w:val="24"/>
                <w:highlight w:val="none"/>
              </w:rPr>
              <w:t>。</w:t>
            </w:r>
          </w:p>
          <w:p w14:paraId="06360A75">
            <w:pPr>
              <w:keepNext w:val="0"/>
              <w:keepLines w:val="0"/>
              <w:suppressLineNumbers w:val="0"/>
              <w:tabs>
                <w:tab w:val="left" w:pos="1800"/>
              </w:tabs>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4-1</w:t>
            </w:r>
            <w:r>
              <w:rPr>
                <w:rFonts w:hint="eastAsia"/>
                <w:b/>
                <w:color w:val="auto"/>
                <w:sz w:val="24"/>
                <w:highlight w:val="none"/>
                <w:lang w:val="en-US" w:eastAsia="zh-CN"/>
              </w:rPr>
              <w:t>7</w:t>
            </w:r>
            <w:r>
              <w:rPr>
                <w:rFonts w:hint="eastAsia"/>
                <w:b/>
                <w:color w:val="auto"/>
                <w:sz w:val="24"/>
                <w:highlight w:val="none"/>
              </w:rPr>
              <w:t xml:space="preserve"> </w:t>
            </w:r>
            <w:r>
              <w:rPr>
                <w:rFonts w:hAnsi="宋体"/>
                <w:b/>
                <w:color w:val="auto"/>
                <w:sz w:val="24"/>
                <w:highlight w:val="none"/>
              </w:rPr>
              <w:t>建设项目噪声贡献值预测结果一览表</w:t>
            </w:r>
            <w:r>
              <w:rPr>
                <w:rFonts w:hint="eastAsia" w:hAnsi="宋体"/>
                <w:b/>
                <w:color w:val="auto"/>
                <w:sz w:val="24"/>
                <w:highlight w:val="none"/>
                <w:lang w:val="en-US" w:eastAsia="zh-CN"/>
              </w:rPr>
              <w:t xml:space="preserve"> </w:t>
            </w:r>
            <w:r>
              <w:rPr>
                <w:rFonts w:hAnsi="宋体"/>
                <w:b/>
                <w:color w:val="auto"/>
                <w:sz w:val="24"/>
                <w:highlight w:val="none"/>
              </w:rPr>
              <w:t>单位：dB（A）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820"/>
              <w:gridCol w:w="1882"/>
              <w:gridCol w:w="2036"/>
              <w:gridCol w:w="1733"/>
            </w:tblGrid>
            <w:tr w14:paraId="4B9C245F">
              <w:trPr>
                <w:cantSplit/>
                <w:trHeight w:val="397" w:hRule="atLeast"/>
                <w:jc w:val="center"/>
              </w:trPr>
              <w:tc>
                <w:tcPr>
                  <w:tcW w:w="1664" w:type="pct"/>
                  <w:vAlign w:val="center"/>
                </w:tcPr>
                <w:p w14:paraId="7FEC6BD8">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int="eastAsia" w:hAnsi="宋体"/>
                      <w:b/>
                      <w:color w:val="auto"/>
                      <w:szCs w:val="21"/>
                      <w:highlight w:val="none"/>
                      <w:lang w:val="en-US" w:eastAsia="zh-CN"/>
                    </w:rPr>
                    <w:t>厂界</w:t>
                  </w:r>
                  <w:r>
                    <w:rPr>
                      <w:rFonts w:hAnsi="宋体"/>
                      <w:b/>
                      <w:color w:val="auto"/>
                      <w:szCs w:val="21"/>
                      <w:highlight w:val="none"/>
                    </w:rPr>
                    <w:t>点位</w:t>
                  </w:r>
                </w:p>
              </w:tc>
              <w:tc>
                <w:tcPr>
                  <w:tcW w:w="1110" w:type="pct"/>
                  <w:vAlign w:val="center"/>
                </w:tcPr>
                <w:p w14:paraId="2E152B63">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噪声贡献值</w:t>
                  </w:r>
                </w:p>
              </w:tc>
              <w:tc>
                <w:tcPr>
                  <w:tcW w:w="1201" w:type="pct"/>
                  <w:shd w:val="clear" w:color="auto" w:fill="auto"/>
                  <w:vAlign w:val="center"/>
                </w:tcPr>
                <w:p w14:paraId="749FE63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
                      <w:bCs/>
                      <w:color w:val="auto"/>
                      <w:kern w:val="2"/>
                      <w:sz w:val="21"/>
                      <w:szCs w:val="21"/>
                      <w:highlight w:val="none"/>
                      <w:lang w:val="en-US" w:eastAsia="zh-CN" w:bidi="ar-SA"/>
                    </w:rPr>
                  </w:pPr>
                  <w:r>
                    <w:rPr>
                      <w:rFonts w:hint="eastAsia"/>
                      <w:b/>
                      <w:bCs/>
                      <w:color w:val="auto"/>
                      <w:szCs w:val="21"/>
                      <w:highlight w:val="none"/>
                    </w:rPr>
                    <w:t>标准值</w:t>
                  </w:r>
                </w:p>
              </w:tc>
              <w:tc>
                <w:tcPr>
                  <w:tcW w:w="1022" w:type="pct"/>
                  <w:shd w:val="clear" w:color="auto" w:fill="auto"/>
                  <w:vAlign w:val="center"/>
                </w:tcPr>
                <w:p w14:paraId="230F1F5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b/>
                      <w:bCs/>
                      <w:color w:val="auto"/>
                      <w:szCs w:val="21"/>
                      <w:highlight w:val="none"/>
                    </w:rPr>
                    <w:t>达标状况</w:t>
                  </w:r>
                </w:p>
              </w:tc>
            </w:tr>
            <w:tr w14:paraId="02A51CE1">
              <w:trPr>
                <w:cantSplit/>
                <w:trHeight w:val="397" w:hRule="atLeast"/>
                <w:jc w:val="center"/>
              </w:trPr>
              <w:tc>
                <w:tcPr>
                  <w:tcW w:w="1664" w:type="pct"/>
                  <w:vAlign w:val="center"/>
                </w:tcPr>
                <w:p w14:paraId="3EAC1D5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厂界东</w:t>
                  </w:r>
                </w:p>
              </w:tc>
              <w:tc>
                <w:tcPr>
                  <w:tcW w:w="1110" w:type="pct"/>
                  <w:vAlign w:val="center"/>
                </w:tcPr>
                <w:p w14:paraId="718AA0F8">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49</w:t>
                  </w:r>
                  <w:r>
                    <w:rPr>
                      <w:color w:val="auto"/>
                      <w:szCs w:val="21"/>
                      <w:highlight w:val="none"/>
                    </w:rPr>
                    <w:t>.</w:t>
                  </w:r>
                  <w:r>
                    <w:rPr>
                      <w:rFonts w:hint="eastAsia"/>
                      <w:color w:val="auto"/>
                      <w:szCs w:val="21"/>
                      <w:highlight w:val="none"/>
                      <w:lang w:val="en-US" w:eastAsia="zh-CN"/>
                    </w:rPr>
                    <w:t>8</w:t>
                  </w:r>
                </w:p>
              </w:tc>
              <w:tc>
                <w:tcPr>
                  <w:tcW w:w="1201" w:type="pct"/>
                  <w:vMerge w:val="restart"/>
                  <w:shd w:val="clear" w:color="auto" w:fill="auto"/>
                  <w:vAlign w:val="center"/>
                </w:tcPr>
                <w:p w14:paraId="0E77E4D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65</w:t>
                  </w:r>
                  <w:r>
                    <w:rPr>
                      <w:rFonts w:hint="eastAsia"/>
                      <w:color w:val="auto"/>
                      <w:szCs w:val="21"/>
                      <w:highlight w:val="none"/>
                      <w:lang w:eastAsia="zh-CN"/>
                    </w:rPr>
                    <w:t>（</w:t>
                  </w:r>
                  <w:r>
                    <w:rPr>
                      <w:rFonts w:hint="eastAsia"/>
                      <w:color w:val="auto"/>
                      <w:szCs w:val="21"/>
                      <w:highlight w:val="none"/>
                      <w:lang w:val="en-US" w:eastAsia="zh-CN"/>
                    </w:rPr>
                    <w:t>昼间</w:t>
                  </w:r>
                  <w:r>
                    <w:rPr>
                      <w:rFonts w:hint="eastAsia"/>
                      <w:color w:val="auto"/>
                      <w:szCs w:val="21"/>
                      <w:highlight w:val="none"/>
                      <w:lang w:eastAsia="zh-CN"/>
                    </w:rPr>
                    <w:t>）</w:t>
                  </w:r>
                </w:p>
              </w:tc>
              <w:tc>
                <w:tcPr>
                  <w:tcW w:w="1022" w:type="pct"/>
                  <w:vMerge w:val="restart"/>
                  <w:shd w:val="clear" w:color="auto" w:fill="auto"/>
                  <w:vAlign w:val="center"/>
                </w:tcPr>
                <w:p w14:paraId="308D315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66668900">
              <w:trPr>
                <w:cantSplit/>
                <w:trHeight w:val="397" w:hRule="atLeast"/>
                <w:jc w:val="center"/>
              </w:trPr>
              <w:tc>
                <w:tcPr>
                  <w:tcW w:w="1664" w:type="pct"/>
                  <w:vAlign w:val="center"/>
                </w:tcPr>
                <w:p w14:paraId="227569C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厂界南</w:t>
                  </w:r>
                </w:p>
              </w:tc>
              <w:tc>
                <w:tcPr>
                  <w:tcW w:w="1110" w:type="pct"/>
                  <w:vAlign w:val="center"/>
                </w:tcPr>
                <w:p w14:paraId="4650C7C2">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9</w:t>
                  </w:r>
                </w:p>
              </w:tc>
              <w:tc>
                <w:tcPr>
                  <w:tcW w:w="1201" w:type="pct"/>
                  <w:vMerge w:val="continue"/>
                  <w:shd w:val="clear" w:color="auto" w:fill="auto"/>
                  <w:vAlign w:val="center"/>
                </w:tcPr>
                <w:p w14:paraId="7772B43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c>
                <w:tcPr>
                  <w:tcW w:w="1022" w:type="pct"/>
                  <w:vMerge w:val="continue"/>
                  <w:shd w:val="clear" w:color="auto" w:fill="auto"/>
                  <w:vAlign w:val="center"/>
                </w:tcPr>
                <w:p w14:paraId="6975843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r>
            <w:tr w14:paraId="318485D5">
              <w:trPr>
                <w:cantSplit/>
                <w:trHeight w:val="397" w:hRule="atLeast"/>
                <w:jc w:val="center"/>
              </w:trPr>
              <w:tc>
                <w:tcPr>
                  <w:tcW w:w="1664" w:type="pct"/>
                  <w:vAlign w:val="center"/>
                </w:tcPr>
                <w:p w14:paraId="6890EF2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厂界西</w:t>
                  </w:r>
                </w:p>
              </w:tc>
              <w:tc>
                <w:tcPr>
                  <w:tcW w:w="1110" w:type="pct"/>
                  <w:vAlign w:val="center"/>
                </w:tcPr>
                <w:p w14:paraId="317D1584">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2</w:t>
                  </w:r>
                </w:p>
              </w:tc>
              <w:tc>
                <w:tcPr>
                  <w:tcW w:w="1201" w:type="pct"/>
                  <w:vMerge w:val="continue"/>
                  <w:shd w:val="clear" w:color="auto" w:fill="auto"/>
                  <w:vAlign w:val="center"/>
                </w:tcPr>
                <w:p w14:paraId="3190B44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c>
                <w:tcPr>
                  <w:tcW w:w="1022" w:type="pct"/>
                  <w:vMerge w:val="continue"/>
                  <w:shd w:val="clear" w:color="auto" w:fill="auto"/>
                  <w:vAlign w:val="center"/>
                </w:tcPr>
                <w:p w14:paraId="7533BB4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r>
            <w:tr w14:paraId="7B955337">
              <w:trPr>
                <w:cantSplit/>
                <w:trHeight w:val="397" w:hRule="atLeast"/>
                <w:jc w:val="center"/>
              </w:trPr>
              <w:tc>
                <w:tcPr>
                  <w:tcW w:w="1664" w:type="pct"/>
                  <w:vAlign w:val="center"/>
                </w:tcPr>
                <w:p w14:paraId="3A57C02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厂界北</w:t>
                  </w:r>
                </w:p>
              </w:tc>
              <w:tc>
                <w:tcPr>
                  <w:tcW w:w="1110" w:type="pct"/>
                  <w:vAlign w:val="center"/>
                </w:tcPr>
                <w:p w14:paraId="716D5BE4">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4</w:t>
                  </w:r>
                  <w:r>
                    <w:rPr>
                      <w:rFonts w:hint="eastAsia"/>
                      <w:color w:val="auto"/>
                      <w:szCs w:val="21"/>
                      <w:highlight w:val="none"/>
                      <w:lang w:val="en-US" w:eastAsia="zh-CN"/>
                    </w:rPr>
                    <w:t>9</w:t>
                  </w:r>
                  <w:r>
                    <w:rPr>
                      <w:rFonts w:hint="eastAsia"/>
                      <w:color w:val="auto"/>
                      <w:szCs w:val="21"/>
                      <w:highlight w:val="none"/>
                    </w:rPr>
                    <w:t>.</w:t>
                  </w:r>
                  <w:r>
                    <w:rPr>
                      <w:rFonts w:hint="eastAsia"/>
                      <w:color w:val="auto"/>
                      <w:szCs w:val="21"/>
                      <w:highlight w:val="none"/>
                      <w:lang w:val="en-US" w:eastAsia="zh-CN"/>
                    </w:rPr>
                    <w:t>2</w:t>
                  </w:r>
                </w:p>
              </w:tc>
              <w:tc>
                <w:tcPr>
                  <w:tcW w:w="1201" w:type="pct"/>
                  <w:vMerge w:val="continue"/>
                  <w:shd w:val="clear" w:color="auto" w:fill="auto"/>
                  <w:vAlign w:val="center"/>
                </w:tcPr>
                <w:p w14:paraId="0930DD4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c>
                <w:tcPr>
                  <w:tcW w:w="1022" w:type="pct"/>
                  <w:vMerge w:val="continue"/>
                  <w:shd w:val="clear" w:color="auto" w:fill="auto"/>
                  <w:vAlign w:val="center"/>
                </w:tcPr>
                <w:p w14:paraId="0DD5061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r>
          </w:tbl>
          <w:p w14:paraId="7C7FF311">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highlight w:val="none"/>
              </w:rPr>
            </w:pPr>
            <w:r>
              <w:rPr>
                <w:rFonts w:hAnsi="宋体"/>
                <w:color w:val="auto"/>
                <w:sz w:val="24"/>
                <w:highlight w:val="none"/>
              </w:rPr>
              <w:t>从</w:t>
            </w:r>
            <w:r>
              <w:rPr>
                <w:rFonts w:hint="eastAsia" w:hAnsi="宋体"/>
                <w:color w:val="auto"/>
                <w:sz w:val="24"/>
                <w:highlight w:val="none"/>
                <w:lang w:val="en-US" w:eastAsia="zh-CN"/>
              </w:rPr>
              <w:t>上</w:t>
            </w:r>
            <w:r>
              <w:rPr>
                <w:rFonts w:hAnsi="宋体"/>
                <w:color w:val="auto"/>
                <w:sz w:val="24"/>
                <w:highlight w:val="none"/>
              </w:rPr>
              <w:t>表可以看出</w:t>
            </w:r>
            <w:r>
              <w:rPr>
                <w:rFonts w:hint="eastAsia" w:hAnsi="宋体"/>
                <w:color w:val="auto"/>
                <w:sz w:val="24"/>
                <w:highlight w:val="none"/>
                <w:lang w:eastAsia="zh-CN"/>
              </w:rPr>
              <w:t>，</w:t>
            </w:r>
            <w:r>
              <w:rPr>
                <w:rFonts w:hAnsi="宋体"/>
                <w:color w:val="auto"/>
                <w:sz w:val="24"/>
                <w:highlight w:val="none"/>
              </w:rPr>
              <w:t>建设项目对厂界噪声贡献值在</w:t>
            </w:r>
            <w:r>
              <w:rPr>
                <w:color w:val="auto"/>
                <w:sz w:val="24"/>
                <w:highlight w:val="none"/>
              </w:rPr>
              <w:t>4</w:t>
            </w:r>
            <w:r>
              <w:rPr>
                <w:rFonts w:hint="eastAsia"/>
                <w:color w:val="auto"/>
                <w:sz w:val="24"/>
                <w:highlight w:val="none"/>
                <w:lang w:val="en-US" w:eastAsia="zh-CN"/>
              </w:rPr>
              <w:t>9.2</w:t>
            </w:r>
            <w:r>
              <w:rPr>
                <w:color w:val="auto"/>
                <w:sz w:val="24"/>
                <w:highlight w:val="none"/>
              </w:rPr>
              <w:t>-</w:t>
            </w:r>
            <w:r>
              <w:rPr>
                <w:rFonts w:hint="eastAsia"/>
                <w:color w:val="auto"/>
                <w:sz w:val="24"/>
                <w:highlight w:val="none"/>
              </w:rPr>
              <w:t>5</w:t>
            </w:r>
            <w:r>
              <w:rPr>
                <w:rFonts w:hint="eastAsia"/>
                <w:color w:val="auto"/>
                <w:sz w:val="24"/>
                <w:highlight w:val="none"/>
                <w:lang w:val="en-US" w:eastAsia="zh-CN"/>
              </w:rPr>
              <w:t>1.9</w:t>
            </w:r>
            <w:r>
              <w:rPr>
                <w:color w:val="auto"/>
                <w:sz w:val="24"/>
                <w:highlight w:val="none"/>
              </w:rPr>
              <w:t>(A</w:t>
            </w:r>
            <w:r>
              <w:rPr>
                <w:rFonts w:hint="eastAsia"/>
                <w:color w:val="auto"/>
                <w:sz w:val="24"/>
                <w:highlight w:val="none"/>
                <w:lang w:eastAsia="zh-CN"/>
              </w:rPr>
              <w:t>）</w:t>
            </w:r>
            <w:r>
              <w:rPr>
                <w:rFonts w:hAnsi="宋体"/>
                <w:color w:val="auto"/>
                <w:sz w:val="24"/>
                <w:highlight w:val="none"/>
              </w:rPr>
              <w:t>之间，噪声贡献值较小。</w:t>
            </w:r>
            <w:r>
              <w:rPr>
                <w:color w:val="auto"/>
                <w:sz w:val="24"/>
                <w:highlight w:val="none"/>
              </w:rPr>
              <w:t>可使厂界噪声符合《工业企业厂界环境噪声排放标准》（GB12348-2008）3类标准要求。</w:t>
            </w:r>
          </w:p>
          <w:p w14:paraId="3BB0F126">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rFonts w:hAnsi="宋体"/>
                <w:b/>
                <w:color w:val="auto"/>
                <w:kern w:val="0"/>
                <w:sz w:val="24"/>
                <w:highlight w:val="none"/>
                <w:lang w:val="zh-CN"/>
              </w:rPr>
              <w:t>③噪声污染防治措施</w:t>
            </w:r>
          </w:p>
          <w:p w14:paraId="63AB39D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为进一步减小项目噪声影响，针对项目特点，建设单位采取了不同的噪声防治措施，首先</w:t>
            </w:r>
            <w:r>
              <w:rPr>
                <w:rFonts w:hint="eastAsia" w:hAnsi="宋体"/>
                <w:color w:val="auto"/>
                <w:sz w:val="24"/>
                <w:highlight w:val="none"/>
                <w:lang w:eastAsia="zh-CN"/>
              </w:rPr>
              <w:t>是</w:t>
            </w:r>
            <w:r>
              <w:rPr>
                <w:rFonts w:hAnsi="宋体"/>
                <w:color w:val="auto"/>
                <w:sz w:val="24"/>
                <w:highlight w:val="none"/>
              </w:rPr>
              <w:t>从声源上进行有效控制，其次采取有效的隔声、消声、吸声等控制措施，厂区已采取噪声防治措施如下：</w:t>
            </w:r>
          </w:p>
          <w:p w14:paraId="3095C60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从声源上控制，加工设备选择低噪声和符合国家噪声标准的设备。生产设备均采用性能好、噪声发生源强小和生产效率高的设备。动力设备采用钢砼隔振基础，管道、阀门接口采取缓动及减振的挠性接头（口）。</w:t>
            </w:r>
          </w:p>
          <w:p w14:paraId="19A28E9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合理布局：将高噪声设备尽量布置在厂区中间，远离厂界，通过距离衰减减轻噪声对周围环境的影响。</w:t>
            </w:r>
          </w:p>
          <w:p w14:paraId="780291A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加强管理：平时加强对各噪声设备的保养、检修，保证设备良好运转，减轻运行噪声强度。</w:t>
            </w:r>
          </w:p>
          <w:p w14:paraId="4DBB2A0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在设计及安装中根据不同的设备采取消声、减振、隔声。经过基础减振、消声等措施噪声可降低</w:t>
            </w:r>
            <w:r>
              <w:rPr>
                <w:color w:val="auto"/>
                <w:sz w:val="24"/>
                <w:highlight w:val="none"/>
              </w:rPr>
              <w:t>5</w:t>
            </w:r>
            <w:r>
              <w:rPr>
                <w:rFonts w:hAnsi="宋体"/>
                <w:color w:val="auto"/>
                <w:sz w:val="24"/>
                <w:highlight w:val="none"/>
              </w:rPr>
              <w:t>～</w:t>
            </w:r>
            <w:r>
              <w:rPr>
                <w:color w:val="auto"/>
                <w:sz w:val="24"/>
                <w:highlight w:val="none"/>
              </w:rPr>
              <w:t>10dB</w:t>
            </w:r>
            <w:r>
              <w:rPr>
                <w:rFonts w:hAnsi="宋体"/>
                <w:color w:val="auto"/>
                <w:sz w:val="24"/>
                <w:highlight w:val="none"/>
              </w:rPr>
              <w:t>（</w:t>
            </w:r>
            <w:r>
              <w:rPr>
                <w:color w:val="auto"/>
                <w:sz w:val="24"/>
                <w:highlight w:val="none"/>
              </w:rPr>
              <w:t>A</w:t>
            </w:r>
            <w:r>
              <w:rPr>
                <w:rFonts w:hAnsi="宋体"/>
                <w:color w:val="auto"/>
                <w:sz w:val="24"/>
                <w:highlight w:val="none"/>
              </w:rPr>
              <w:t>）；车间墙体隔声可达到</w:t>
            </w:r>
            <w:r>
              <w:rPr>
                <w:color w:val="auto"/>
                <w:sz w:val="24"/>
                <w:highlight w:val="none"/>
              </w:rPr>
              <w:t>10</w:t>
            </w:r>
            <w:r>
              <w:rPr>
                <w:rFonts w:hAnsi="宋体"/>
                <w:color w:val="auto"/>
                <w:sz w:val="24"/>
                <w:highlight w:val="none"/>
              </w:rPr>
              <w:t>～</w:t>
            </w:r>
            <w:r>
              <w:rPr>
                <w:color w:val="auto"/>
                <w:sz w:val="24"/>
                <w:highlight w:val="none"/>
              </w:rPr>
              <w:t>15dB</w:t>
            </w:r>
            <w:r>
              <w:rPr>
                <w:rFonts w:hAnsi="宋体"/>
                <w:color w:val="auto"/>
                <w:sz w:val="24"/>
                <w:highlight w:val="none"/>
              </w:rPr>
              <w:t>（</w:t>
            </w:r>
            <w:r>
              <w:rPr>
                <w:color w:val="auto"/>
                <w:sz w:val="24"/>
                <w:highlight w:val="none"/>
              </w:rPr>
              <w:t>A</w:t>
            </w:r>
            <w:r>
              <w:rPr>
                <w:rFonts w:hAnsi="宋体"/>
                <w:color w:val="auto"/>
                <w:sz w:val="24"/>
                <w:highlight w:val="none"/>
              </w:rPr>
              <w:t>）的隔声量。</w:t>
            </w:r>
          </w:p>
          <w:p w14:paraId="7C0E885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消声、减振措施：主要噪声设备还应采取隔声、</w:t>
            </w:r>
            <w:r>
              <w:rPr>
                <w:rFonts w:hint="eastAsia" w:hAnsi="宋体"/>
                <w:color w:val="auto"/>
                <w:sz w:val="24"/>
                <w:highlight w:val="none"/>
                <w:lang w:eastAsia="zh-CN"/>
              </w:rPr>
              <w:t>消声</w:t>
            </w:r>
            <w:r>
              <w:rPr>
                <w:rFonts w:hAnsi="宋体"/>
                <w:color w:val="auto"/>
                <w:sz w:val="24"/>
                <w:highlight w:val="none"/>
              </w:rPr>
              <w:t>、</w:t>
            </w:r>
            <w:r>
              <w:rPr>
                <w:rFonts w:hint="eastAsia" w:hAnsi="宋体"/>
                <w:color w:val="auto"/>
                <w:sz w:val="24"/>
                <w:highlight w:val="none"/>
                <w:lang w:eastAsia="zh-CN"/>
              </w:rPr>
              <w:t>减振</w:t>
            </w:r>
            <w:r>
              <w:rPr>
                <w:rFonts w:hAnsi="宋体"/>
                <w:color w:val="auto"/>
                <w:sz w:val="24"/>
                <w:highlight w:val="none"/>
              </w:rPr>
              <w:t>等降噪措施。对车间排气筒的室外风机采取消声器降噪，一般可以降低</w:t>
            </w:r>
            <w:r>
              <w:rPr>
                <w:color w:val="auto"/>
                <w:sz w:val="24"/>
                <w:highlight w:val="none"/>
              </w:rPr>
              <w:t>20dB</w:t>
            </w:r>
            <w:r>
              <w:rPr>
                <w:rFonts w:hAnsi="宋体"/>
                <w:color w:val="auto"/>
                <w:sz w:val="24"/>
                <w:highlight w:val="none"/>
              </w:rPr>
              <w:t>左右。对水泵电动机安装消声器，水泵采取隔振和消声措施，可以降低噪声贡献</w:t>
            </w:r>
            <w:r>
              <w:rPr>
                <w:color w:val="auto"/>
                <w:sz w:val="24"/>
                <w:highlight w:val="none"/>
              </w:rPr>
              <w:t>10-19dB(A</w:t>
            </w:r>
            <w:r>
              <w:rPr>
                <w:rFonts w:hint="eastAsia"/>
                <w:color w:val="auto"/>
                <w:sz w:val="24"/>
                <w:highlight w:val="none"/>
                <w:lang w:eastAsia="zh-CN"/>
              </w:rPr>
              <w:t>）</w:t>
            </w:r>
            <w:r>
              <w:rPr>
                <w:rFonts w:hAnsi="宋体"/>
                <w:color w:val="auto"/>
                <w:sz w:val="24"/>
                <w:highlight w:val="none"/>
              </w:rPr>
              <w:t>。</w:t>
            </w:r>
          </w:p>
          <w:p w14:paraId="421B556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f.</w:t>
            </w:r>
            <w:r>
              <w:rPr>
                <w:rFonts w:hAnsi="宋体"/>
                <w:color w:val="auto"/>
                <w:sz w:val="24"/>
                <w:highlight w:val="none"/>
              </w:rPr>
              <w:t>厂房隔声：对距离居民较近一侧的厂房的地面进行</w:t>
            </w:r>
            <w:r>
              <w:rPr>
                <w:rFonts w:hint="eastAsia" w:hAnsi="宋体"/>
                <w:color w:val="auto"/>
                <w:sz w:val="24"/>
                <w:highlight w:val="none"/>
                <w:lang w:eastAsia="zh-CN"/>
              </w:rPr>
              <w:t>隔声</w:t>
            </w:r>
            <w:r>
              <w:rPr>
                <w:rFonts w:hAnsi="宋体"/>
                <w:color w:val="auto"/>
                <w:sz w:val="24"/>
                <w:highlight w:val="none"/>
              </w:rPr>
              <w:t>处理，采用专业的工业隔音门，隔音窗，墙体加装隔音板。</w:t>
            </w:r>
          </w:p>
          <w:p w14:paraId="2AB40C7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w:t>
            </w:r>
            <w:r>
              <w:rPr>
                <w:color w:val="auto"/>
                <w:sz w:val="24"/>
                <w:highlight w:val="none"/>
              </w:rPr>
              <w:t>50m</w:t>
            </w:r>
            <w:r>
              <w:rPr>
                <w:rFonts w:hAnsi="宋体"/>
                <w:color w:val="auto"/>
                <w:sz w:val="24"/>
                <w:highlight w:val="none"/>
              </w:rPr>
              <w:t>范围内不涉及噪声敏感保护目标，通过相应的降噪措施和距离衰减后，可使厂界噪声满足《工业企业厂界环境噪声排放标准》（</w:t>
            </w:r>
            <w:r>
              <w:rPr>
                <w:color w:val="auto"/>
                <w:sz w:val="24"/>
                <w:highlight w:val="none"/>
              </w:rPr>
              <w:t>GB12348-2008</w:t>
            </w:r>
            <w:r>
              <w:rPr>
                <w:rFonts w:hAnsi="宋体"/>
                <w:color w:val="auto"/>
                <w:sz w:val="24"/>
                <w:highlight w:val="none"/>
              </w:rPr>
              <w:t>）</w:t>
            </w:r>
            <w:r>
              <w:rPr>
                <w:color w:val="auto"/>
                <w:sz w:val="24"/>
                <w:highlight w:val="none"/>
              </w:rPr>
              <w:t>3</w:t>
            </w:r>
            <w:r>
              <w:rPr>
                <w:rFonts w:hAnsi="宋体"/>
                <w:color w:val="auto"/>
                <w:sz w:val="24"/>
                <w:highlight w:val="none"/>
              </w:rPr>
              <w:t>类标准要求，因此，本项目噪声源对周围环境影响较小。</w:t>
            </w:r>
          </w:p>
          <w:p w14:paraId="01F56154">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w:t>
            </w:r>
            <w:r>
              <w:rPr>
                <w:color w:val="auto"/>
                <w:kern w:val="0"/>
                <w:sz w:val="24"/>
                <w:highlight w:val="none"/>
                <w:lang w:val="zh-CN"/>
              </w:rPr>
              <w:t>2</w:t>
            </w:r>
            <w:r>
              <w:rPr>
                <w:rFonts w:hAnsi="宋体"/>
                <w:color w:val="auto"/>
                <w:kern w:val="0"/>
                <w:sz w:val="24"/>
                <w:highlight w:val="none"/>
                <w:lang w:val="zh-CN"/>
              </w:rPr>
              <w:t>）噪声监测要求</w:t>
            </w:r>
          </w:p>
          <w:p w14:paraId="494FFCA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噪声监测计划及记录信息表见表</w:t>
            </w:r>
            <w:r>
              <w:rPr>
                <w:color w:val="auto"/>
                <w:sz w:val="24"/>
                <w:highlight w:val="none"/>
              </w:rPr>
              <w:t>4-</w:t>
            </w:r>
            <w:r>
              <w:rPr>
                <w:rFonts w:hint="eastAsia"/>
                <w:color w:val="auto"/>
                <w:sz w:val="24"/>
                <w:highlight w:val="none"/>
              </w:rPr>
              <w:t>1</w:t>
            </w:r>
            <w:r>
              <w:rPr>
                <w:rFonts w:hint="eastAsia"/>
                <w:color w:val="auto"/>
                <w:sz w:val="24"/>
                <w:highlight w:val="none"/>
                <w:lang w:val="en-US" w:eastAsia="zh-CN"/>
              </w:rPr>
              <w:t>8</w:t>
            </w:r>
            <w:r>
              <w:rPr>
                <w:rFonts w:hAnsi="宋体"/>
                <w:color w:val="auto"/>
                <w:sz w:val="24"/>
                <w:highlight w:val="none"/>
              </w:rPr>
              <w:t>。</w:t>
            </w:r>
          </w:p>
          <w:p w14:paraId="40412B1B">
            <w:pPr>
              <w:keepNext w:val="0"/>
              <w:keepLines w:val="0"/>
              <w:suppressLineNumbers w:val="0"/>
              <w:adjustRightInd w:val="0"/>
              <w:snapToGrid w:val="0"/>
              <w:spacing w:before="0" w:beforeAutospacing="0" w:after="0" w:afterAutospacing="0"/>
              <w:ind w:left="0" w:right="0"/>
              <w:contextualSpacing/>
              <w:jc w:val="center"/>
              <w:rPr>
                <w:b/>
                <w:bCs/>
                <w:color w:val="auto"/>
                <w:sz w:val="24"/>
                <w:highlight w:val="none"/>
              </w:rPr>
            </w:pPr>
            <w:r>
              <w:rPr>
                <w:rFonts w:hAnsi="宋体"/>
                <w:b/>
                <w:bCs/>
                <w:color w:val="auto"/>
                <w:sz w:val="24"/>
                <w:highlight w:val="none"/>
              </w:rPr>
              <w:t>表</w:t>
            </w:r>
            <w:r>
              <w:rPr>
                <w:b/>
                <w:bCs/>
                <w:color w:val="auto"/>
                <w:sz w:val="24"/>
                <w:highlight w:val="none"/>
              </w:rPr>
              <w:t>4-</w:t>
            </w:r>
            <w:r>
              <w:rPr>
                <w:rFonts w:hint="eastAsia"/>
                <w:b/>
                <w:bCs/>
                <w:color w:val="auto"/>
                <w:sz w:val="24"/>
                <w:highlight w:val="none"/>
              </w:rPr>
              <w:t>1</w:t>
            </w:r>
            <w:r>
              <w:rPr>
                <w:rFonts w:hint="eastAsia"/>
                <w:b/>
                <w:bCs/>
                <w:color w:val="auto"/>
                <w:sz w:val="24"/>
                <w:highlight w:val="none"/>
                <w:lang w:val="en-US" w:eastAsia="zh-CN"/>
              </w:rPr>
              <w:t>8</w:t>
            </w:r>
            <w:r>
              <w:rPr>
                <w:rFonts w:hint="eastAsia"/>
                <w:b/>
                <w:bCs/>
                <w:color w:val="auto"/>
                <w:sz w:val="24"/>
                <w:highlight w:val="none"/>
              </w:rPr>
              <w:t xml:space="preserve">  </w:t>
            </w:r>
            <w:r>
              <w:rPr>
                <w:rFonts w:hAnsi="宋体"/>
                <w:b/>
                <w:bCs/>
                <w:color w:val="auto"/>
                <w:sz w:val="24"/>
                <w:highlight w:val="none"/>
              </w:rPr>
              <w:t>噪声污染源监测计划表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7"/>
              <w:gridCol w:w="2109"/>
              <w:gridCol w:w="1812"/>
              <w:gridCol w:w="3417"/>
            </w:tblGrid>
            <w:tr w14:paraId="3C15C76B">
              <w:trPr>
                <w:trHeight w:val="340" w:hRule="atLeast"/>
                <w:jc w:val="center"/>
              </w:trPr>
              <w:tc>
                <w:tcPr>
                  <w:tcW w:w="1107" w:type="dxa"/>
                  <w:vAlign w:val="center"/>
                </w:tcPr>
                <w:p w14:paraId="0EA9DB2B">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监测点位</w:t>
                  </w:r>
                </w:p>
              </w:tc>
              <w:tc>
                <w:tcPr>
                  <w:tcW w:w="2109" w:type="dxa"/>
                  <w:vAlign w:val="center"/>
                </w:tcPr>
                <w:p w14:paraId="2B4BB61A">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监测指标</w:t>
                  </w:r>
                </w:p>
              </w:tc>
              <w:tc>
                <w:tcPr>
                  <w:tcW w:w="1812" w:type="dxa"/>
                  <w:vAlign w:val="center"/>
                </w:tcPr>
                <w:p w14:paraId="2BF4302D">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监测频次</w:t>
                  </w:r>
                </w:p>
              </w:tc>
              <w:tc>
                <w:tcPr>
                  <w:tcW w:w="3417" w:type="dxa"/>
                  <w:vAlign w:val="center"/>
                </w:tcPr>
                <w:p w14:paraId="486AFF6D">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执行排放标准</w:t>
                  </w:r>
                </w:p>
              </w:tc>
            </w:tr>
            <w:tr w14:paraId="5239FD63">
              <w:trPr>
                <w:trHeight w:val="340" w:hRule="atLeast"/>
                <w:jc w:val="center"/>
              </w:trPr>
              <w:tc>
                <w:tcPr>
                  <w:tcW w:w="1107" w:type="dxa"/>
                  <w:vAlign w:val="center"/>
                </w:tcPr>
                <w:p w14:paraId="2F90452E">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厂界噪声</w:t>
                  </w:r>
                </w:p>
              </w:tc>
              <w:tc>
                <w:tcPr>
                  <w:tcW w:w="2109" w:type="dxa"/>
                  <w:vAlign w:val="center"/>
                </w:tcPr>
                <w:p w14:paraId="7405C766">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等效</w:t>
                  </w:r>
                  <w:r>
                    <w:rPr>
                      <w:rFonts w:ascii="Times New Roman" w:hAnsi="Times New Roman" w:eastAsia="宋体" w:cs="Times New Roman"/>
                      <w:color w:val="auto"/>
                      <w:highlight w:val="none"/>
                    </w:rPr>
                    <w:t>A</w:t>
                  </w:r>
                  <w:r>
                    <w:rPr>
                      <w:rFonts w:ascii="Times New Roman" w:hAnsi="宋体" w:eastAsia="宋体" w:cs="Times New Roman"/>
                      <w:color w:val="auto"/>
                      <w:highlight w:val="none"/>
                    </w:rPr>
                    <w:t>声级</w:t>
                  </w:r>
                  <w:r>
                    <w:rPr>
                      <w:rFonts w:ascii="Times New Roman" w:hAnsi="Times New Roman" w:eastAsia="宋体" w:cs="Times New Roman"/>
                      <w:color w:val="auto"/>
                      <w:highlight w:val="none"/>
                    </w:rPr>
                    <w:t>Leq</w:t>
                  </w:r>
                  <w:r>
                    <w:rPr>
                      <w:rFonts w:ascii="Times New Roman" w:hAnsi="宋体" w:eastAsia="宋体" w:cs="Times New Roman"/>
                      <w:color w:val="auto"/>
                      <w:highlight w:val="none"/>
                    </w:rPr>
                    <w:t>（</w:t>
                  </w:r>
                  <w:r>
                    <w:rPr>
                      <w:rFonts w:ascii="Times New Roman" w:hAnsi="Times New Roman" w:eastAsia="宋体" w:cs="Times New Roman"/>
                      <w:color w:val="auto"/>
                      <w:highlight w:val="none"/>
                    </w:rPr>
                    <w:t>dB</w:t>
                  </w:r>
                  <w:r>
                    <w:rPr>
                      <w:rFonts w:ascii="Times New Roman" w:hAnsi="宋体" w:eastAsia="宋体" w:cs="Times New Roman"/>
                      <w:color w:val="auto"/>
                      <w:highlight w:val="none"/>
                    </w:rPr>
                    <w:t>）</w:t>
                  </w:r>
                </w:p>
              </w:tc>
              <w:tc>
                <w:tcPr>
                  <w:tcW w:w="1812" w:type="dxa"/>
                  <w:vAlign w:val="center"/>
                </w:tcPr>
                <w:p w14:paraId="3B45BD6F">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每季度一次</w:t>
                  </w:r>
                </w:p>
              </w:tc>
              <w:tc>
                <w:tcPr>
                  <w:tcW w:w="3417" w:type="dxa"/>
                  <w:vAlign w:val="center"/>
                </w:tcPr>
                <w:p w14:paraId="0E5B289E">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snapToGrid w:val="0"/>
                      <w:color w:val="auto"/>
                      <w:highlight w:val="none"/>
                    </w:rPr>
                    <w:t>《工业企业厂界环境噪声排放标准》</w:t>
                  </w:r>
                  <w:r>
                    <w:rPr>
                      <w:rFonts w:ascii="Times New Roman" w:hAnsi="宋体" w:eastAsia="宋体" w:cs="Times New Roman"/>
                      <w:color w:val="auto"/>
                      <w:highlight w:val="none"/>
                    </w:rPr>
                    <w:t>（</w:t>
                  </w:r>
                  <w:r>
                    <w:rPr>
                      <w:rFonts w:ascii="Times New Roman" w:hAnsi="Times New Roman" w:eastAsia="宋体" w:cs="Times New Roman"/>
                      <w:color w:val="auto"/>
                      <w:highlight w:val="none"/>
                    </w:rPr>
                    <w:t>GB12348-2008</w:t>
                  </w:r>
                  <w:r>
                    <w:rPr>
                      <w:rFonts w:ascii="Times New Roman" w:hAnsi="宋体" w:eastAsia="宋体" w:cs="Times New Roman"/>
                      <w:color w:val="auto"/>
                      <w:highlight w:val="none"/>
                    </w:rPr>
                    <w:t>）</w:t>
                  </w:r>
                  <w:r>
                    <w:rPr>
                      <w:rFonts w:ascii="Times New Roman" w:hAnsi="Times New Roman" w:eastAsia="宋体" w:cs="Times New Roman"/>
                      <w:color w:val="auto"/>
                      <w:highlight w:val="none"/>
                    </w:rPr>
                    <w:t>3</w:t>
                  </w:r>
                  <w:r>
                    <w:rPr>
                      <w:rFonts w:ascii="Times New Roman" w:hAnsi="宋体" w:eastAsia="宋体" w:cs="Times New Roman"/>
                      <w:color w:val="auto"/>
                      <w:highlight w:val="none"/>
                    </w:rPr>
                    <w:t>类标准</w:t>
                  </w:r>
                </w:p>
              </w:tc>
            </w:tr>
          </w:tbl>
          <w:p w14:paraId="5B2A01CE">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4.</w:t>
            </w:r>
            <w:r>
              <w:rPr>
                <w:rFonts w:hAnsi="宋体"/>
                <w:b/>
                <w:color w:val="auto"/>
                <w:kern w:val="0"/>
                <w:sz w:val="24"/>
                <w:highlight w:val="none"/>
                <w:lang w:val="zh-CN"/>
              </w:rPr>
              <w:t>固体废物环境影响及防治措施分析</w:t>
            </w:r>
          </w:p>
          <w:p w14:paraId="5FE3636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w:t>
            </w:r>
            <w:r>
              <w:rPr>
                <w:color w:val="auto"/>
                <w:sz w:val="24"/>
                <w:highlight w:val="none"/>
              </w:rPr>
              <w:t>1</w:t>
            </w:r>
            <w:r>
              <w:rPr>
                <w:rFonts w:hAnsi="宋体"/>
                <w:color w:val="auto"/>
                <w:sz w:val="24"/>
                <w:highlight w:val="none"/>
              </w:rPr>
              <w:t>）固废源强分析</w:t>
            </w:r>
          </w:p>
          <w:p w14:paraId="77A6F6EE">
            <w:pPr>
              <w:keepNext w:val="0"/>
              <w:keepLines w:val="0"/>
              <w:suppressLineNumbers w:val="0"/>
              <w:spacing w:before="0" w:beforeAutospacing="0" w:after="0" w:afterAutospacing="0" w:line="360" w:lineRule="auto"/>
              <w:ind w:left="0" w:right="0" w:firstLine="480" w:firstLineChars="200"/>
              <w:rPr>
                <w:bCs/>
                <w:color w:val="auto"/>
                <w:sz w:val="24"/>
                <w:highlight w:val="none"/>
              </w:rPr>
            </w:pPr>
            <w:r>
              <w:rPr>
                <w:rFonts w:hAnsi="宋体"/>
                <w:color w:val="auto"/>
                <w:sz w:val="24"/>
                <w:highlight w:val="none"/>
              </w:rPr>
              <w:t>建设</w:t>
            </w:r>
            <w:r>
              <w:rPr>
                <w:rFonts w:hAnsi="宋体"/>
                <w:bCs/>
                <w:color w:val="auto"/>
                <w:sz w:val="24"/>
                <w:highlight w:val="none"/>
              </w:rPr>
              <w:t>项目固废主要为</w:t>
            </w:r>
            <w:r>
              <w:rPr>
                <w:rFonts w:hint="eastAsia" w:hAnsi="宋体"/>
                <w:bCs/>
                <w:color w:val="auto"/>
                <w:sz w:val="24"/>
                <w:highlight w:val="none"/>
              </w:rPr>
              <w:t>废包装</w:t>
            </w:r>
            <w:r>
              <w:rPr>
                <w:rFonts w:hint="eastAsia" w:hAnsi="宋体"/>
                <w:bCs/>
                <w:color w:val="auto"/>
                <w:sz w:val="24"/>
                <w:highlight w:val="none"/>
                <w:lang w:val="en-US" w:eastAsia="zh-CN"/>
              </w:rPr>
              <w:t>材料</w:t>
            </w:r>
            <w:r>
              <w:rPr>
                <w:rFonts w:hint="eastAsia" w:hAnsi="宋体"/>
                <w:bCs/>
                <w:color w:val="auto"/>
                <w:sz w:val="24"/>
                <w:highlight w:val="none"/>
              </w:rPr>
              <w:t>、</w:t>
            </w:r>
            <w:r>
              <w:rPr>
                <w:rFonts w:hint="eastAsia" w:hAnsi="宋体"/>
                <w:bCs/>
                <w:color w:val="auto"/>
                <w:sz w:val="24"/>
                <w:highlight w:val="none"/>
                <w:lang w:val="en-US" w:eastAsia="zh-CN"/>
              </w:rPr>
              <w:t>边角料、废焊料、废布袋、</w:t>
            </w:r>
            <w:r>
              <w:rPr>
                <w:rFonts w:hint="eastAsia" w:eastAsiaTheme="minorEastAsia"/>
                <w:bCs/>
                <w:color w:val="auto"/>
                <w:sz w:val="24"/>
                <w:szCs w:val="24"/>
                <w:highlight w:val="none"/>
              </w:rPr>
              <w:t>除尘器收集尘</w:t>
            </w:r>
            <w:r>
              <w:rPr>
                <w:rFonts w:hint="eastAsia"/>
                <w:bCs/>
                <w:color w:val="auto"/>
                <w:sz w:val="24"/>
                <w:szCs w:val="24"/>
                <w:highlight w:val="none"/>
                <w:lang w:eastAsia="zh-CN"/>
              </w:rPr>
              <w:t>、</w:t>
            </w:r>
            <w:r>
              <w:rPr>
                <w:rFonts w:hint="eastAsia" w:hAnsi="宋体"/>
                <w:bCs/>
                <w:color w:val="auto"/>
                <w:sz w:val="24"/>
                <w:highlight w:val="none"/>
                <w:lang w:val="en-US" w:eastAsia="zh-CN"/>
              </w:rPr>
              <w:t>废润滑油、漆渣、废切削液、盐雾试验废液、废过滤棉、</w:t>
            </w:r>
            <w:r>
              <w:rPr>
                <w:rFonts w:hint="eastAsia" w:hAnsi="宋体"/>
                <w:bCs/>
                <w:color w:val="auto"/>
                <w:sz w:val="24"/>
                <w:highlight w:val="none"/>
              </w:rPr>
              <w:t>废活性炭、废</w:t>
            </w:r>
            <w:r>
              <w:rPr>
                <w:rFonts w:hint="eastAsia" w:hAnsi="宋体"/>
                <w:bCs/>
                <w:color w:val="auto"/>
                <w:sz w:val="24"/>
                <w:highlight w:val="none"/>
                <w:lang w:val="en-US" w:eastAsia="zh-CN"/>
              </w:rPr>
              <w:t>包装桶</w:t>
            </w:r>
            <w:r>
              <w:rPr>
                <w:rFonts w:hint="eastAsia" w:hAnsi="宋体"/>
                <w:bCs/>
                <w:color w:val="auto"/>
                <w:sz w:val="24"/>
                <w:highlight w:val="none"/>
              </w:rPr>
              <w:t>、</w:t>
            </w:r>
            <w:r>
              <w:rPr>
                <w:rFonts w:hAnsi="宋体"/>
                <w:bCs/>
                <w:color w:val="auto"/>
                <w:sz w:val="24"/>
                <w:highlight w:val="none"/>
              </w:rPr>
              <w:t>生活垃圾</w:t>
            </w:r>
            <w:r>
              <w:rPr>
                <w:rFonts w:hint="eastAsia" w:hAnsi="宋体"/>
                <w:bCs/>
                <w:color w:val="auto"/>
                <w:sz w:val="24"/>
                <w:highlight w:val="none"/>
                <w:lang w:eastAsia="zh-CN"/>
              </w:rPr>
              <w:t>、</w:t>
            </w:r>
            <w:r>
              <w:rPr>
                <w:rFonts w:hint="eastAsia" w:hAnsi="宋体"/>
                <w:bCs/>
                <w:color w:val="auto"/>
                <w:sz w:val="24"/>
                <w:highlight w:val="none"/>
                <w:lang w:val="en-US" w:eastAsia="zh-CN"/>
              </w:rPr>
              <w:t>隔油池废油</w:t>
            </w:r>
            <w:r>
              <w:rPr>
                <w:rFonts w:hint="eastAsia" w:hAnsi="宋体"/>
                <w:bCs/>
                <w:color w:val="auto"/>
                <w:sz w:val="24"/>
                <w:highlight w:val="none"/>
              </w:rPr>
              <w:t>和</w:t>
            </w:r>
            <w:r>
              <w:rPr>
                <w:rFonts w:hAnsi="宋体"/>
                <w:bCs/>
                <w:color w:val="auto"/>
                <w:sz w:val="24"/>
                <w:highlight w:val="none"/>
              </w:rPr>
              <w:t>化粪池污泥。</w:t>
            </w:r>
          </w:p>
          <w:p w14:paraId="56297449">
            <w:pPr>
              <w:keepNext w:val="0"/>
              <w:keepLines w:val="0"/>
              <w:suppressLineNumbers w:val="0"/>
              <w:adjustRightInd w:val="0"/>
              <w:snapToGrid w:val="0"/>
              <w:spacing w:before="0" w:beforeAutospacing="0" w:after="0" w:afterAutospacing="0" w:line="360" w:lineRule="auto"/>
              <w:ind w:left="0" w:right="0" w:firstLine="482" w:firstLineChars="200"/>
              <w:rPr>
                <w:rFonts w:ascii="宋体" w:hAnsi="宋体"/>
                <w:bCs/>
                <w:color w:val="auto"/>
                <w:sz w:val="24"/>
                <w:highlight w:val="none"/>
              </w:rPr>
            </w:pPr>
            <w:r>
              <w:rPr>
                <w:rFonts w:hint="eastAsia" w:ascii="宋体" w:hAnsi="宋体"/>
                <w:b/>
                <w:bCs/>
                <w:color w:val="auto"/>
                <w:sz w:val="24"/>
                <w:highlight w:val="none"/>
              </w:rPr>
              <w:t>1）</w:t>
            </w:r>
            <w:r>
              <w:rPr>
                <w:b/>
                <w:bCs/>
                <w:color w:val="auto"/>
                <w:sz w:val="24"/>
                <w:highlight w:val="none"/>
              </w:rPr>
              <w:t>一般工业固废</w:t>
            </w:r>
          </w:p>
          <w:p w14:paraId="00BE8632">
            <w:pPr>
              <w:keepNext w:val="0"/>
              <w:keepLines w:val="0"/>
              <w:suppressLineNumbers w:val="0"/>
              <w:spacing w:before="0" w:beforeAutospacing="0" w:after="0" w:afterAutospacing="0" w:line="360" w:lineRule="auto"/>
              <w:ind w:left="0" w:right="0" w:firstLine="480" w:firstLineChars="200"/>
              <w:rPr>
                <w:rFonts w:hint="eastAsia" w:eastAsiaTheme="minorEastAsia"/>
                <w:bCs/>
                <w:color w:val="auto"/>
                <w:sz w:val="24"/>
                <w:highlight w:val="none"/>
                <w:lang w:val="en-US" w:eastAsia="zh-CN"/>
              </w:rPr>
            </w:pPr>
            <w:r>
              <w:rPr>
                <w:rFonts w:ascii="宋体" w:hAnsi="宋体"/>
                <w:bCs/>
                <w:color w:val="auto"/>
                <w:sz w:val="24"/>
                <w:highlight w:val="none"/>
              </w:rPr>
              <w:t>①</w:t>
            </w:r>
            <w:r>
              <w:rPr>
                <w:rFonts w:hint="eastAsia" w:hAnsi="宋体"/>
                <w:bCs/>
                <w:color w:val="auto"/>
                <w:sz w:val="24"/>
                <w:highlight w:val="none"/>
              </w:rPr>
              <w:t>废包装</w:t>
            </w:r>
            <w:r>
              <w:rPr>
                <w:rFonts w:hint="eastAsia" w:hAnsi="宋体"/>
                <w:bCs/>
                <w:color w:val="auto"/>
                <w:sz w:val="24"/>
                <w:highlight w:val="none"/>
                <w:lang w:val="en-US" w:eastAsia="zh-CN"/>
              </w:rPr>
              <w:t>材料</w:t>
            </w:r>
          </w:p>
          <w:p w14:paraId="6A711084">
            <w:pPr>
              <w:keepNext w:val="0"/>
              <w:keepLines w:val="0"/>
              <w:suppressLineNumbers w:val="0"/>
              <w:spacing w:before="0" w:beforeAutospacing="0" w:after="0" w:afterAutospacing="0" w:line="360" w:lineRule="auto"/>
              <w:ind w:left="0" w:right="0" w:firstLine="480" w:firstLineChars="200"/>
              <w:rPr>
                <w:bCs/>
                <w:color w:val="auto"/>
                <w:sz w:val="24"/>
                <w:highlight w:val="none"/>
              </w:rPr>
            </w:pPr>
            <w:r>
              <w:rPr>
                <w:bCs/>
                <w:color w:val="auto"/>
                <w:sz w:val="24"/>
                <w:highlight w:val="none"/>
              </w:rPr>
              <w:t>项目</w:t>
            </w:r>
            <w:r>
              <w:rPr>
                <w:rFonts w:hint="eastAsia"/>
                <w:bCs/>
                <w:color w:val="auto"/>
                <w:sz w:val="24"/>
                <w:highlight w:val="none"/>
                <w:lang w:val="en-US" w:eastAsia="zh-CN"/>
              </w:rPr>
              <w:t>原辅材料</w:t>
            </w:r>
            <w:r>
              <w:rPr>
                <w:bCs/>
                <w:color w:val="auto"/>
                <w:sz w:val="24"/>
                <w:highlight w:val="none"/>
              </w:rPr>
              <w:t>等</w:t>
            </w:r>
            <w:r>
              <w:rPr>
                <w:rFonts w:hint="eastAsia"/>
                <w:bCs/>
                <w:color w:val="auto"/>
                <w:sz w:val="24"/>
                <w:highlight w:val="none"/>
                <w:lang w:val="en-US" w:eastAsia="zh-CN"/>
              </w:rPr>
              <w:t>使用过程中会产生一定的废包装材料</w:t>
            </w:r>
            <w:r>
              <w:rPr>
                <w:bCs/>
                <w:color w:val="auto"/>
                <w:sz w:val="24"/>
                <w:highlight w:val="none"/>
              </w:rPr>
              <w:t>，</w:t>
            </w:r>
            <w:r>
              <w:rPr>
                <w:rFonts w:hint="eastAsia"/>
                <w:bCs/>
                <w:color w:val="auto"/>
                <w:sz w:val="24"/>
                <w:highlight w:val="none"/>
              </w:rPr>
              <w:t>类比《江苏雷鸣智能科技集团有限公司年产10000台（套）数控机床及零部件产品项目竣工环境保护验收监测报告</w:t>
            </w:r>
            <w:r>
              <w:rPr>
                <w:rFonts w:hint="eastAsia"/>
                <w:bCs/>
                <w:color w:val="auto"/>
                <w:sz w:val="24"/>
                <w:highlight w:val="none"/>
                <w:lang w:eastAsia="zh-CN"/>
              </w:rPr>
              <w:t>》《安徽康德智能装备有限公司年产1000台精密设备及数控机床项目（</w:t>
            </w:r>
            <w:r>
              <w:rPr>
                <w:rFonts w:hint="eastAsia"/>
                <w:bCs/>
                <w:color w:val="auto"/>
                <w:sz w:val="24"/>
                <w:highlight w:val="none"/>
                <w:lang w:val="en-US" w:eastAsia="zh-CN"/>
              </w:rPr>
              <w:t>阶段性）</w:t>
            </w:r>
            <w:r>
              <w:rPr>
                <w:rFonts w:hint="eastAsia"/>
                <w:bCs/>
                <w:color w:val="auto"/>
                <w:sz w:val="24"/>
                <w:highlight w:val="none"/>
                <w:lang w:eastAsia="zh-CN"/>
              </w:rPr>
              <w:t>竣工环境报告验收监测报告》</w:t>
            </w:r>
            <w:r>
              <w:rPr>
                <w:rFonts w:hint="eastAsia"/>
                <w:bCs/>
                <w:color w:val="auto"/>
                <w:sz w:val="24"/>
                <w:highlight w:val="none"/>
              </w:rPr>
              <w:t>等企业</w:t>
            </w:r>
            <w:r>
              <w:rPr>
                <w:rFonts w:hint="eastAsia" w:hAnsi="宋体"/>
                <w:color w:val="auto"/>
                <w:sz w:val="24"/>
                <w:highlight w:val="none"/>
              </w:rPr>
              <w:t>，</w:t>
            </w:r>
            <w:r>
              <w:rPr>
                <w:rFonts w:hint="eastAsia"/>
                <w:color w:val="auto"/>
                <w:sz w:val="24"/>
                <w:highlight w:val="none"/>
              </w:rPr>
              <w:t>预测本项目</w:t>
            </w:r>
            <w:r>
              <w:rPr>
                <w:rFonts w:hint="eastAsia"/>
                <w:bCs/>
                <w:color w:val="auto"/>
                <w:sz w:val="24"/>
                <w:highlight w:val="none"/>
                <w:lang w:val="en-US" w:eastAsia="zh-CN"/>
              </w:rPr>
              <w:t>废包装材料</w:t>
            </w:r>
            <w:r>
              <w:rPr>
                <w:rFonts w:hAnsi="宋体"/>
                <w:bCs/>
                <w:color w:val="auto"/>
                <w:sz w:val="24"/>
                <w:highlight w:val="none"/>
              </w:rPr>
              <w:t>产生量约</w:t>
            </w:r>
            <w:r>
              <w:rPr>
                <w:rFonts w:hint="eastAsia"/>
                <w:bCs/>
                <w:color w:val="auto"/>
                <w:sz w:val="24"/>
                <w:highlight w:val="none"/>
                <w:lang w:val="en-US" w:eastAsia="zh-CN"/>
              </w:rPr>
              <w:t>6</w:t>
            </w:r>
            <w:r>
              <w:rPr>
                <w:bCs/>
                <w:color w:val="auto"/>
                <w:sz w:val="24"/>
                <w:highlight w:val="none"/>
              </w:rPr>
              <w:t>t/a</w:t>
            </w:r>
            <w:r>
              <w:rPr>
                <w:rFonts w:hAnsi="宋体"/>
                <w:color w:val="auto"/>
                <w:sz w:val="24"/>
                <w:highlight w:val="none"/>
              </w:rPr>
              <w:t>，</w:t>
            </w:r>
            <w:r>
              <w:rPr>
                <w:rFonts w:hAnsi="宋体"/>
                <w:bCs/>
                <w:color w:val="auto"/>
                <w:sz w:val="24"/>
                <w:highlight w:val="none"/>
              </w:rPr>
              <w:t>经查，属于一般固废，外售综合利用。</w:t>
            </w:r>
          </w:p>
          <w:p w14:paraId="6445E666">
            <w:pPr>
              <w:keepNext w:val="0"/>
              <w:keepLines w:val="0"/>
              <w:suppressLineNumbers w:val="0"/>
              <w:adjustRightInd w:val="0"/>
              <w:snapToGrid w:val="0"/>
              <w:spacing w:before="0" w:beforeAutospacing="0" w:after="0" w:afterAutospacing="0" w:line="360" w:lineRule="auto"/>
              <w:ind w:left="0" w:right="0" w:firstLine="518" w:firstLineChars="216"/>
              <w:rPr>
                <w:rFonts w:hint="eastAsia" w:eastAsiaTheme="minorEastAsia"/>
                <w:bCs/>
                <w:color w:val="auto"/>
                <w:sz w:val="24"/>
                <w:highlight w:val="none"/>
                <w:lang w:eastAsia="zh-CN"/>
              </w:rPr>
            </w:pPr>
            <w:r>
              <w:rPr>
                <w:rFonts w:ascii="宋体" w:hAnsi="宋体"/>
                <w:bCs/>
                <w:color w:val="auto"/>
                <w:sz w:val="24"/>
                <w:highlight w:val="none"/>
              </w:rPr>
              <w:t>②</w:t>
            </w:r>
            <w:r>
              <w:rPr>
                <w:rFonts w:hint="eastAsia" w:hAnsi="宋体"/>
                <w:bCs/>
                <w:color w:val="auto"/>
                <w:sz w:val="24"/>
                <w:highlight w:val="none"/>
              </w:rPr>
              <w:t>废</w:t>
            </w:r>
            <w:r>
              <w:rPr>
                <w:rFonts w:hint="eastAsia" w:hAnsi="宋体"/>
                <w:bCs/>
                <w:color w:val="auto"/>
                <w:sz w:val="24"/>
                <w:highlight w:val="none"/>
                <w:lang w:val="en-US" w:eastAsia="zh-CN"/>
              </w:rPr>
              <w:t>焊料</w:t>
            </w:r>
          </w:p>
          <w:p w14:paraId="3AFEDE14">
            <w:pPr>
              <w:keepNext w:val="0"/>
              <w:keepLines w:val="0"/>
              <w:suppressLineNumbers w:val="0"/>
              <w:adjustRightInd w:val="0"/>
              <w:snapToGrid w:val="0"/>
              <w:spacing w:before="0" w:beforeAutospacing="0" w:after="0" w:afterAutospacing="0" w:line="360" w:lineRule="auto"/>
              <w:ind w:left="0" w:right="0" w:firstLine="518" w:firstLineChars="216"/>
              <w:rPr>
                <w:bCs/>
                <w:color w:val="auto"/>
                <w:sz w:val="24"/>
                <w:highlight w:val="none"/>
              </w:rPr>
            </w:pPr>
            <w:r>
              <w:rPr>
                <w:rFonts w:hAnsi="宋体"/>
                <w:bCs/>
                <w:color w:val="auto"/>
                <w:sz w:val="24"/>
                <w:highlight w:val="none"/>
              </w:rPr>
              <w:t>项目</w:t>
            </w:r>
            <w:r>
              <w:rPr>
                <w:rFonts w:hint="eastAsia" w:hAnsi="宋体"/>
                <w:bCs/>
                <w:color w:val="auto"/>
                <w:sz w:val="24"/>
                <w:highlight w:val="none"/>
                <w:lang w:val="en-US" w:eastAsia="zh-CN"/>
              </w:rPr>
              <w:t>焊接</w:t>
            </w:r>
            <w:r>
              <w:rPr>
                <w:rFonts w:hAnsi="宋体"/>
                <w:bCs/>
                <w:color w:val="auto"/>
                <w:sz w:val="24"/>
                <w:highlight w:val="none"/>
              </w:rPr>
              <w:t>过程中</w:t>
            </w:r>
            <w:r>
              <w:rPr>
                <w:rFonts w:hint="eastAsia" w:hAnsi="宋体"/>
                <w:bCs/>
                <w:color w:val="auto"/>
                <w:sz w:val="24"/>
                <w:highlight w:val="none"/>
              </w:rPr>
              <w:t>使用</w:t>
            </w:r>
            <w:r>
              <w:rPr>
                <w:rFonts w:hint="eastAsia" w:hAnsi="宋体"/>
                <w:bCs/>
                <w:color w:val="auto"/>
                <w:sz w:val="24"/>
                <w:highlight w:val="none"/>
                <w:lang w:val="en-US" w:eastAsia="zh-CN"/>
              </w:rPr>
              <w:t>焊丝</w:t>
            </w:r>
            <w:r>
              <w:rPr>
                <w:rFonts w:hAnsi="宋体"/>
                <w:bCs/>
                <w:color w:val="auto"/>
                <w:sz w:val="24"/>
                <w:highlight w:val="none"/>
              </w:rPr>
              <w:t>产生</w:t>
            </w:r>
            <w:r>
              <w:rPr>
                <w:rFonts w:hint="eastAsia" w:hAnsi="宋体"/>
                <w:bCs/>
                <w:color w:val="auto"/>
                <w:sz w:val="24"/>
                <w:highlight w:val="none"/>
                <w:lang w:val="en-US" w:eastAsia="zh-CN"/>
              </w:rPr>
              <w:t>废焊料</w:t>
            </w:r>
            <w:r>
              <w:rPr>
                <w:rFonts w:hint="eastAsia" w:hAnsi="宋体"/>
                <w:bCs/>
                <w:color w:val="auto"/>
                <w:sz w:val="24"/>
                <w:highlight w:val="none"/>
              </w:rPr>
              <w:t>，</w:t>
            </w:r>
            <w:r>
              <w:rPr>
                <w:rFonts w:hint="eastAsia"/>
                <w:bCs/>
                <w:color w:val="auto"/>
                <w:sz w:val="24"/>
                <w:highlight w:val="none"/>
              </w:rPr>
              <w:t>类比《江苏雷鸣智能科技集团有限公司年产10000台（套）数控机床及零部件产品项目竣工环境保护验收监测报告</w:t>
            </w:r>
            <w:r>
              <w:rPr>
                <w:rFonts w:hint="eastAsia"/>
                <w:bCs/>
                <w:color w:val="auto"/>
                <w:sz w:val="24"/>
                <w:highlight w:val="none"/>
                <w:lang w:eastAsia="zh-CN"/>
              </w:rPr>
              <w:t>》《安徽康德智能装备有限公司年产1000台精密设备及数控机床项目（</w:t>
            </w:r>
            <w:r>
              <w:rPr>
                <w:rFonts w:hint="eastAsia"/>
                <w:bCs/>
                <w:color w:val="auto"/>
                <w:sz w:val="24"/>
                <w:highlight w:val="none"/>
                <w:lang w:val="en-US" w:eastAsia="zh-CN"/>
              </w:rPr>
              <w:t>阶段性）</w:t>
            </w:r>
            <w:r>
              <w:rPr>
                <w:rFonts w:hint="eastAsia"/>
                <w:bCs/>
                <w:color w:val="auto"/>
                <w:sz w:val="24"/>
                <w:highlight w:val="none"/>
                <w:lang w:eastAsia="zh-CN"/>
              </w:rPr>
              <w:t>竣工环境报告验收监测报告》</w:t>
            </w:r>
            <w:r>
              <w:rPr>
                <w:rFonts w:hint="eastAsia"/>
                <w:bCs/>
                <w:color w:val="auto"/>
                <w:sz w:val="24"/>
                <w:highlight w:val="none"/>
              </w:rPr>
              <w:t>等企业</w:t>
            </w:r>
            <w:r>
              <w:rPr>
                <w:rFonts w:hint="eastAsia" w:hAnsi="宋体"/>
                <w:color w:val="auto"/>
                <w:sz w:val="24"/>
                <w:highlight w:val="none"/>
              </w:rPr>
              <w:t>，</w:t>
            </w:r>
            <w:r>
              <w:rPr>
                <w:rFonts w:hint="eastAsia" w:hAnsi="宋体"/>
                <w:color w:val="auto"/>
                <w:sz w:val="24"/>
                <w:highlight w:val="none"/>
                <w:lang w:val="en-US" w:eastAsia="zh-CN"/>
              </w:rPr>
              <w:t>废焊料</w:t>
            </w:r>
            <w:r>
              <w:rPr>
                <w:rFonts w:hint="eastAsia" w:hAnsi="宋体"/>
                <w:color w:val="auto"/>
                <w:sz w:val="24"/>
                <w:highlight w:val="none"/>
              </w:rPr>
              <w:t>约为</w:t>
            </w:r>
            <w:r>
              <w:rPr>
                <w:rFonts w:hint="eastAsia" w:hAnsi="宋体"/>
                <w:color w:val="auto"/>
                <w:sz w:val="24"/>
                <w:highlight w:val="none"/>
                <w:lang w:val="en-US" w:eastAsia="zh-CN"/>
              </w:rPr>
              <w:t>焊丝</w:t>
            </w:r>
            <w:r>
              <w:rPr>
                <w:rFonts w:hint="eastAsia" w:hAnsi="宋体"/>
                <w:color w:val="auto"/>
                <w:sz w:val="24"/>
                <w:highlight w:val="none"/>
              </w:rPr>
              <w:t>用量的</w:t>
            </w:r>
            <w:r>
              <w:rPr>
                <w:rFonts w:hint="eastAsia" w:hAnsi="宋体"/>
                <w:color w:val="auto"/>
                <w:sz w:val="24"/>
                <w:highlight w:val="none"/>
                <w:lang w:val="en-US" w:eastAsia="zh-CN"/>
              </w:rPr>
              <w:t>10</w:t>
            </w:r>
            <w:r>
              <w:rPr>
                <w:rFonts w:hint="eastAsia" w:hAnsi="宋体"/>
                <w:color w:val="auto"/>
                <w:sz w:val="24"/>
                <w:highlight w:val="none"/>
              </w:rPr>
              <w:t>%，本项目锡</w:t>
            </w:r>
            <w:r>
              <w:rPr>
                <w:rFonts w:hint="eastAsia" w:hAnsi="宋体"/>
                <w:color w:val="auto"/>
                <w:sz w:val="24"/>
                <w:highlight w:val="none"/>
                <w:lang w:val="en-US" w:eastAsia="zh-CN"/>
              </w:rPr>
              <w:t>丝</w:t>
            </w:r>
            <w:r>
              <w:rPr>
                <w:rFonts w:hint="eastAsia" w:hAnsi="宋体"/>
                <w:color w:val="auto"/>
                <w:sz w:val="24"/>
                <w:highlight w:val="none"/>
              </w:rPr>
              <w:t>用量为</w:t>
            </w:r>
            <w:r>
              <w:rPr>
                <w:rFonts w:hint="eastAsia" w:hAnsi="宋体"/>
                <w:color w:val="auto"/>
                <w:sz w:val="24"/>
                <w:highlight w:val="none"/>
                <w:lang w:val="en-US" w:eastAsia="zh-CN"/>
              </w:rPr>
              <w:t>3</w:t>
            </w:r>
            <w:r>
              <w:rPr>
                <w:rFonts w:hint="eastAsia" w:hAnsi="宋体"/>
                <w:color w:val="auto"/>
                <w:sz w:val="24"/>
                <w:highlight w:val="none"/>
              </w:rPr>
              <w:t>t/a，则</w:t>
            </w:r>
            <w:r>
              <w:rPr>
                <w:rFonts w:hint="eastAsia" w:hAnsi="宋体"/>
                <w:bCs/>
                <w:color w:val="auto"/>
                <w:sz w:val="24"/>
                <w:highlight w:val="none"/>
              </w:rPr>
              <w:t>废</w:t>
            </w:r>
            <w:r>
              <w:rPr>
                <w:rFonts w:hint="eastAsia" w:hAnsi="宋体"/>
                <w:bCs/>
                <w:color w:val="auto"/>
                <w:sz w:val="24"/>
                <w:highlight w:val="none"/>
                <w:lang w:val="en-US" w:eastAsia="zh-CN"/>
              </w:rPr>
              <w:t>焊料</w:t>
            </w:r>
            <w:r>
              <w:rPr>
                <w:rFonts w:hint="eastAsia" w:hAnsi="宋体"/>
                <w:color w:val="auto"/>
                <w:sz w:val="24"/>
                <w:highlight w:val="none"/>
              </w:rPr>
              <w:t>产生量为</w:t>
            </w:r>
            <w:r>
              <w:rPr>
                <w:rFonts w:hint="eastAsia" w:hAnsi="宋体"/>
                <w:color w:val="auto"/>
                <w:sz w:val="24"/>
                <w:highlight w:val="none"/>
                <w:lang w:val="en-US" w:eastAsia="zh-CN"/>
              </w:rPr>
              <w:t>0.3</w:t>
            </w:r>
            <w:r>
              <w:rPr>
                <w:rFonts w:hint="eastAsia" w:hAnsi="宋体"/>
                <w:color w:val="auto"/>
                <w:sz w:val="24"/>
                <w:highlight w:val="none"/>
              </w:rPr>
              <w:t>t/a。</w:t>
            </w:r>
            <w:r>
              <w:rPr>
                <w:rFonts w:hAnsi="宋体"/>
                <w:bCs/>
                <w:color w:val="auto"/>
                <w:sz w:val="24"/>
                <w:highlight w:val="none"/>
              </w:rPr>
              <w:t>经查，属于一般固废，外售综合利用。</w:t>
            </w:r>
          </w:p>
          <w:p w14:paraId="79024CC3">
            <w:pPr>
              <w:pStyle w:val="100"/>
              <w:keepNext w:val="0"/>
              <w:keepLines w:val="0"/>
              <w:suppressLineNumbers w:val="0"/>
              <w:spacing w:before="0" w:beforeAutospacing="0" w:after="0" w:afterAutospacing="0"/>
              <w:ind w:left="0" w:right="0" w:firstLine="480"/>
              <w:rPr>
                <w:rFonts w:hint="eastAsia" w:eastAsia="宋体"/>
                <w:color w:val="auto"/>
                <w:highlight w:val="none"/>
                <w:lang w:eastAsia="zh-CN"/>
              </w:rPr>
            </w:pPr>
            <w:r>
              <w:rPr>
                <w:rFonts w:hint="eastAsia" w:eastAsia="宋体"/>
                <w:color w:val="auto"/>
                <w:sz w:val="24"/>
                <w:highlight w:val="none"/>
              </w:rPr>
              <w:t>③</w:t>
            </w:r>
            <w:r>
              <w:rPr>
                <w:rFonts w:hint="eastAsia" w:eastAsia="宋体"/>
                <w:bCs/>
                <w:color w:val="auto"/>
                <w:highlight w:val="none"/>
                <w:lang w:val="en-US" w:eastAsia="zh-CN"/>
              </w:rPr>
              <w:t>边角料</w:t>
            </w:r>
          </w:p>
          <w:p w14:paraId="319D9F73">
            <w:pPr>
              <w:keepNext w:val="0"/>
              <w:keepLines w:val="0"/>
              <w:suppressLineNumbers w:val="0"/>
              <w:adjustRightInd w:val="0"/>
              <w:snapToGrid w:val="0"/>
              <w:spacing w:before="0" w:beforeAutospacing="0" w:after="0" w:afterAutospacing="0" w:line="360" w:lineRule="auto"/>
              <w:ind w:left="0" w:right="0" w:firstLine="480" w:firstLineChars="200"/>
              <w:jc w:val="left"/>
              <w:rPr>
                <w:rFonts w:hAnsi="宋体"/>
                <w:bCs/>
                <w:color w:val="auto"/>
                <w:sz w:val="24"/>
                <w:highlight w:val="none"/>
              </w:rPr>
            </w:pPr>
            <w:r>
              <w:rPr>
                <w:rFonts w:hAnsi="宋体"/>
                <w:color w:val="auto"/>
                <w:sz w:val="24"/>
                <w:highlight w:val="none"/>
              </w:rPr>
              <w:t>项目</w:t>
            </w:r>
            <w:r>
              <w:rPr>
                <w:rFonts w:hint="eastAsia" w:hAnsi="宋体"/>
                <w:color w:val="auto"/>
                <w:sz w:val="24"/>
                <w:highlight w:val="none"/>
                <w:lang w:val="en-US" w:eastAsia="zh-CN"/>
              </w:rPr>
              <w:t>下料、打磨</w:t>
            </w:r>
            <w:r>
              <w:rPr>
                <w:rFonts w:hAnsi="宋体"/>
                <w:color w:val="auto"/>
                <w:sz w:val="24"/>
                <w:highlight w:val="none"/>
              </w:rPr>
              <w:t>过程中会产生</w:t>
            </w:r>
            <w:r>
              <w:rPr>
                <w:rFonts w:hint="eastAsia" w:hAnsi="宋体"/>
                <w:color w:val="auto"/>
                <w:sz w:val="24"/>
                <w:highlight w:val="none"/>
                <w:lang w:val="en-US" w:eastAsia="zh-CN"/>
              </w:rPr>
              <w:t>边角料</w:t>
            </w:r>
            <w:r>
              <w:rPr>
                <w:rFonts w:hint="eastAsia" w:hAnsi="宋体"/>
                <w:color w:val="auto"/>
                <w:sz w:val="24"/>
                <w:highlight w:val="none"/>
              </w:rPr>
              <w:t>，</w:t>
            </w:r>
            <w:r>
              <w:rPr>
                <w:rFonts w:hint="eastAsia"/>
                <w:bCs/>
                <w:color w:val="auto"/>
                <w:sz w:val="24"/>
                <w:highlight w:val="none"/>
              </w:rPr>
              <w:t>类比《江苏雷鸣智能科技集团有限公司年产10000台（套）数控机床及零部件产品项目竣工环境保护验收监测报告</w:t>
            </w:r>
            <w:r>
              <w:rPr>
                <w:rFonts w:hint="eastAsia"/>
                <w:bCs/>
                <w:color w:val="auto"/>
                <w:sz w:val="24"/>
                <w:highlight w:val="none"/>
                <w:lang w:eastAsia="zh-CN"/>
              </w:rPr>
              <w:t>》《安徽康德智能装备有限公司年产</w:t>
            </w:r>
            <w:r>
              <w:rPr>
                <w:rFonts w:hint="eastAsia"/>
                <w:b w:val="0"/>
                <w:bCs/>
                <w:color w:val="auto"/>
                <w:sz w:val="24"/>
                <w:highlight w:val="none"/>
                <w:lang w:eastAsia="zh-CN"/>
              </w:rPr>
              <w:t>1000</w:t>
            </w:r>
            <w:r>
              <w:rPr>
                <w:rFonts w:hint="eastAsia"/>
                <w:bCs/>
                <w:color w:val="auto"/>
                <w:sz w:val="24"/>
                <w:highlight w:val="none"/>
                <w:lang w:eastAsia="zh-CN"/>
              </w:rPr>
              <w:t>台精密设备及数控机床项目（</w:t>
            </w:r>
            <w:r>
              <w:rPr>
                <w:rFonts w:hint="eastAsia"/>
                <w:bCs/>
                <w:color w:val="auto"/>
                <w:sz w:val="24"/>
                <w:highlight w:val="none"/>
                <w:lang w:val="en-US" w:eastAsia="zh-CN"/>
              </w:rPr>
              <w:t>阶段性）</w:t>
            </w:r>
            <w:r>
              <w:rPr>
                <w:rFonts w:hint="eastAsia"/>
                <w:bCs/>
                <w:color w:val="auto"/>
                <w:sz w:val="24"/>
                <w:highlight w:val="none"/>
                <w:lang w:eastAsia="zh-CN"/>
              </w:rPr>
              <w:t>竣工环境报告验收监测报告》</w:t>
            </w:r>
            <w:r>
              <w:rPr>
                <w:rFonts w:hint="eastAsia" w:eastAsiaTheme="majorEastAsia"/>
                <w:bCs/>
                <w:color w:val="auto"/>
                <w:sz w:val="24"/>
                <w:highlight w:val="none"/>
              </w:rPr>
              <w:t>等企业</w:t>
            </w:r>
            <w:r>
              <w:rPr>
                <w:rFonts w:hint="eastAsia" w:hAnsi="宋体"/>
                <w:color w:val="auto"/>
                <w:sz w:val="24"/>
                <w:highlight w:val="none"/>
              </w:rPr>
              <w:t>，</w:t>
            </w:r>
            <w:r>
              <w:rPr>
                <w:rFonts w:hint="eastAsia"/>
                <w:color w:val="auto"/>
                <w:sz w:val="24"/>
                <w:highlight w:val="none"/>
              </w:rPr>
              <w:t>预测本项目</w:t>
            </w:r>
            <w:r>
              <w:rPr>
                <w:rFonts w:hint="eastAsia" w:hAnsi="宋体"/>
                <w:color w:val="auto"/>
                <w:sz w:val="24"/>
                <w:highlight w:val="none"/>
                <w:lang w:val="en-US" w:eastAsia="zh-CN"/>
              </w:rPr>
              <w:t>边角料</w:t>
            </w:r>
            <w:r>
              <w:rPr>
                <w:rFonts w:hAnsi="宋体"/>
                <w:bCs/>
                <w:color w:val="auto"/>
                <w:sz w:val="24"/>
                <w:highlight w:val="none"/>
              </w:rPr>
              <w:t>产生量约</w:t>
            </w:r>
            <w:r>
              <w:rPr>
                <w:rFonts w:hint="eastAsia"/>
                <w:b w:val="0"/>
                <w:bCs/>
                <w:color w:val="auto"/>
                <w:sz w:val="24"/>
                <w:highlight w:val="none"/>
                <w:lang w:val="en-US" w:eastAsia="zh-CN"/>
              </w:rPr>
              <w:t>30</w:t>
            </w:r>
            <w:r>
              <w:rPr>
                <w:rFonts w:hint="eastAsia"/>
                <w:b w:val="0"/>
                <w:bCs/>
                <w:color w:val="auto"/>
                <w:sz w:val="24"/>
                <w:highlight w:val="none"/>
                <w:lang w:eastAsia="zh-CN"/>
              </w:rPr>
              <w:t>t/a</w:t>
            </w:r>
            <w:r>
              <w:rPr>
                <w:rFonts w:hAnsi="宋体"/>
                <w:color w:val="auto"/>
                <w:sz w:val="24"/>
                <w:highlight w:val="none"/>
              </w:rPr>
              <w:t>，</w:t>
            </w:r>
            <w:r>
              <w:rPr>
                <w:rFonts w:hAnsi="宋体"/>
                <w:bCs/>
                <w:color w:val="auto"/>
                <w:sz w:val="24"/>
                <w:highlight w:val="none"/>
              </w:rPr>
              <w:t>经查，属于一般固废，外售综合利用。</w:t>
            </w:r>
          </w:p>
          <w:p w14:paraId="0BAEC8C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④</w:t>
            </w:r>
            <w:r>
              <w:rPr>
                <w:rFonts w:hint="eastAsia" w:ascii="宋体" w:hAnsi="宋体" w:eastAsia="宋体" w:cs="宋体"/>
                <w:bCs/>
                <w:color w:val="auto"/>
                <w:sz w:val="24"/>
                <w:highlight w:val="none"/>
                <w:lang w:val="en-US" w:eastAsia="zh-CN"/>
              </w:rPr>
              <w:t>废布袋</w:t>
            </w:r>
          </w:p>
          <w:p w14:paraId="135D43D0">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sz w:val="24"/>
                <w:highlight w:val="none"/>
              </w:rPr>
            </w:pPr>
            <w:r>
              <w:rPr>
                <w:rFonts w:hint="eastAsia" w:ascii="宋体" w:hAnsi="宋体" w:eastAsia="宋体" w:cs="宋体"/>
                <w:color w:val="auto"/>
                <w:kern w:val="0"/>
                <w:sz w:val="24"/>
                <w:szCs w:val="24"/>
                <w:highlight w:val="none"/>
                <w:lang w:val="en-US" w:eastAsia="zh-CN" w:bidi="ar"/>
              </w:rPr>
              <w:t>项目布袋除尘需要定期更换布袋等，单个布袋重量按</w:t>
            </w:r>
            <w:r>
              <w:rPr>
                <w:rFonts w:hint="default" w:ascii="Times New Roman" w:hAnsi="Times New Roman" w:eastAsia="宋体" w:cs="Times New Roman"/>
                <w:color w:val="auto"/>
                <w:kern w:val="0"/>
                <w:sz w:val="24"/>
                <w:szCs w:val="24"/>
                <w:highlight w:val="none"/>
                <w:lang w:val="en-US" w:eastAsia="zh-CN" w:bidi="ar"/>
              </w:rPr>
              <w:t>2.0kg/</w:t>
            </w:r>
            <w:r>
              <w:rPr>
                <w:rFonts w:hint="eastAsia" w:ascii="宋体" w:hAnsi="宋体" w:eastAsia="宋体" w:cs="宋体"/>
                <w:color w:val="auto"/>
                <w:kern w:val="0"/>
                <w:sz w:val="24"/>
                <w:szCs w:val="24"/>
                <w:highlight w:val="none"/>
                <w:lang w:val="en-US" w:eastAsia="zh-CN" w:bidi="ar"/>
              </w:rPr>
              <w:t>计，每个月更换</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个</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台，项目共设1台布袋除尘器和1台移动式布袋除尘器，共更</w:t>
            </w:r>
            <w:r>
              <w:rPr>
                <w:rFonts w:hint="default" w:ascii="Times New Roman" w:hAnsi="Times New Roman" w:eastAsia="宋体" w:cs="Times New Roman"/>
                <w:color w:val="auto"/>
                <w:kern w:val="0"/>
                <w:sz w:val="24"/>
                <w:szCs w:val="24"/>
                <w:highlight w:val="none"/>
                <w:lang w:val="en-US" w:eastAsia="zh-CN" w:bidi="ar"/>
              </w:rPr>
              <w:t>换</w:t>
            </w:r>
            <w:r>
              <w:rPr>
                <w:rFonts w:hint="eastAsia" w:eastAsia="宋体" w:cs="Times New Roman"/>
                <w:color w:val="auto"/>
                <w:kern w:val="0"/>
                <w:sz w:val="24"/>
                <w:szCs w:val="24"/>
                <w:highlight w:val="none"/>
                <w:lang w:val="en-US" w:eastAsia="zh-CN" w:bidi="ar"/>
              </w:rPr>
              <w:t>24</w:t>
            </w:r>
            <w:r>
              <w:rPr>
                <w:rFonts w:hint="eastAsia" w:ascii="宋体" w:hAnsi="宋体" w:eastAsia="宋体" w:cs="宋体"/>
                <w:color w:val="auto"/>
                <w:kern w:val="0"/>
                <w:sz w:val="24"/>
                <w:szCs w:val="24"/>
                <w:highlight w:val="none"/>
                <w:lang w:val="en-US" w:eastAsia="zh-CN" w:bidi="ar"/>
              </w:rPr>
              <w:t>个，因此布袋产生量重</w:t>
            </w:r>
            <w:r>
              <w:rPr>
                <w:rFonts w:hint="default" w:ascii="Times New Roman" w:hAnsi="Times New Roman" w:eastAsia="宋体" w:cs="Times New Roman"/>
                <w:color w:val="auto"/>
                <w:kern w:val="0"/>
                <w:sz w:val="24"/>
                <w:szCs w:val="24"/>
                <w:highlight w:val="none"/>
                <w:lang w:val="en-US" w:eastAsia="zh-CN" w:bidi="ar"/>
              </w:rPr>
              <w:t>0.0</w:t>
            </w:r>
            <w:r>
              <w:rPr>
                <w:rFonts w:hint="eastAsia" w:eastAsia="宋体" w:cs="Times New Roman"/>
                <w:color w:val="auto"/>
                <w:kern w:val="0"/>
                <w:sz w:val="24"/>
                <w:szCs w:val="24"/>
                <w:highlight w:val="none"/>
                <w:lang w:val="en-US" w:eastAsia="zh-CN" w:bidi="ar"/>
              </w:rPr>
              <w:t>48</w:t>
            </w:r>
            <w:r>
              <w:rPr>
                <w:rFonts w:hint="default" w:ascii="Times New Roman" w:hAnsi="Times New Roman" w:eastAsia="宋体" w:cs="Times New Roman"/>
                <w:color w:val="auto"/>
                <w:kern w:val="0"/>
                <w:sz w:val="24"/>
                <w:szCs w:val="24"/>
                <w:highlight w:val="none"/>
                <w:lang w:val="en-US" w:eastAsia="zh-CN" w:bidi="ar"/>
              </w:rPr>
              <w:t>t/a</w:t>
            </w:r>
            <w:r>
              <w:rPr>
                <w:bCs/>
                <w:color w:val="auto"/>
                <w:sz w:val="24"/>
                <w:highlight w:val="none"/>
              </w:rPr>
              <w:t>，</w:t>
            </w:r>
            <w:r>
              <w:rPr>
                <w:rFonts w:hAnsi="宋体"/>
                <w:bCs/>
                <w:color w:val="auto"/>
                <w:sz w:val="24"/>
                <w:highlight w:val="none"/>
              </w:rPr>
              <w:t>经查，属于一般固废，外售综合利用。</w:t>
            </w:r>
          </w:p>
          <w:p w14:paraId="00ACB26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hAnsi="宋体" w:eastAsia="宋体"/>
                <w:bCs/>
                <w:color w:val="auto"/>
                <w:sz w:val="24"/>
                <w:highlight w:val="none"/>
                <w:lang w:val="en-US" w:eastAsia="zh-CN"/>
              </w:rPr>
            </w:pPr>
            <w:r>
              <w:rPr>
                <w:rFonts w:hint="eastAsia" w:ascii="宋体" w:hAnsi="宋体" w:eastAsia="宋体" w:cs="宋体"/>
                <w:bCs/>
                <w:color w:val="auto"/>
                <w:sz w:val="24"/>
                <w:highlight w:val="none"/>
              </w:rPr>
              <w:t>⑤</w:t>
            </w:r>
            <w:r>
              <w:rPr>
                <w:rFonts w:hint="eastAsia" w:ascii="宋体" w:hAnsi="宋体" w:eastAsia="宋体" w:cs="宋体"/>
                <w:bCs/>
                <w:color w:val="auto"/>
                <w:sz w:val="24"/>
                <w:highlight w:val="none"/>
                <w:lang w:val="en-US" w:eastAsia="zh-CN"/>
              </w:rPr>
              <w:t>除尘器收集尘</w:t>
            </w:r>
          </w:p>
          <w:p w14:paraId="4B522701">
            <w:pPr>
              <w:keepNext w:val="0"/>
              <w:keepLines w:val="0"/>
              <w:suppressLineNumbers w:val="0"/>
              <w:adjustRightInd w:val="0"/>
              <w:snapToGrid w:val="0"/>
              <w:spacing w:before="0" w:beforeAutospacing="0" w:after="0" w:afterAutospacing="0" w:line="360" w:lineRule="auto"/>
              <w:ind w:left="0" w:right="0" w:firstLine="480" w:firstLineChars="200"/>
              <w:jc w:val="left"/>
              <w:rPr>
                <w:rFonts w:hAnsi="宋体"/>
                <w:bCs/>
                <w:color w:val="auto"/>
                <w:sz w:val="24"/>
                <w:highlight w:val="none"/>
              </w:rPr>
            </w:pPr>
            <w:r>
              <w:rPr>
                <w:bCs/>
                <w:color w:val="auto"/>
                <w:sz w:val="24"/>
                <w:highlight w:val="none"/>
              </w:rPr>
              <w:t>根据</w:t>
            </w:r>
            <w:r>
              <w:rPr>
                <w:rFonts w:hint="eastAsia"/>
                <w:bCs/>
                <w:color w:val="auto"/>
                <w:sz w:val="24"/>
                <w:highlight w:val="none"/>
                <w:lang w:val="en-US" w:eastAsia="zh-CN"/>
              </w:rPr>
              <w:t>废气源强</w:t>
            </w:r>
            <w:r>
              <w:rPr>
                <w:bCs/>
                <w:color w:val="auto"/>
                <w:sz w:val="24"/>
                <w:highlight w:val="none"/>
              </w:rPr>
              <w:t>分析，项目布袋除尘器废气处理产生的粉尘</w:t>
            </w:r>
            <w:r>
              <w:rPr>
                <w:rFonts w:hint="eastAsia"/>
                <w:bCs/>
                <w:color w:val="auto"/>
                <w:sz w:val="24"/>
                <w:highlight w:val="none"/>
              </w:rPr>
              <w:t>量</w:t>
            </w:r>
            <w:r>
              <w:rPr>
                <w:bCs/>
                <w:color w:val="auto"/>
                <w:sz w:val="24"/>
                <w:highlight w:val="none"/>
              </w:rPr>
              <w:t>为</w:t>
            </w:r>
            <w:r>
              <w:rPr>
                <w:rFonts w:hint="eastAsia"/>
                <w:bCs/>
                <w:color w:val="auto"/>
                <w:sz w:val="24"/>
                <w:highlight w:val="none"/>
                <w:lang w:val="en-US" w:eastAsia="zh-CN"/>
              </w:rPr>
              <w:t>1.6071</w:t>
            </w:r>
            <w:r>
              <w:rPr>
                <w:bCs/>
                <w:color w:val="auto"/>
                <w:sz w:val="24"/>
                <w:highlight w:val="none"/>
              </w:rPr>
              <w:t>t/a，</w:t>
            </w:r>
            <w:r>
              <w:rPr>
                <w:rFonts w:hAnsi="宋体"/>
                <w:bCs/>
                <w:color w:val="auto"/>
                <w:sz w:val="24"/>
                <w:highlight w:val="none"/>
              </w:rPr>
              <w:t>经查，属于一般固废，外售综合利用。</w:t>
            </w:r>
          </w:p>
          <w:p w14:paraId="6A4A9934">
            <w:pPr>
              <w:keepNext w:val="0"/>
              <w:keepLines w:val="0"/>
              <w:suppressLineNumbers w:val="0"/>
              <w:adjustRightInd w:val="0"/>
              <w:snapToGrid w:val="0"/>
              <w:spacing w:before="0" w:beforeAutospacing="0" w:after="0" w:afterAutospacing="0" w:line="360" w:lineRule="auto"/>
              <w:ind w:left="0" w:right="0" w:firstLine="482" w:firstLineChars="200"/>
              <w:rPr>
                <w:rFonts w:hAnsi="宋体"/>
                <w:color w:val="auto"/>
                <w:sz w:val="24"/>
                <w:highlight w:val="none"/>
              </w:rPr>
            </w:pPr>
            <w:r>
              <w:rPr>
                <w:rFonts w:hint="default" w:ascii="Times New Roman" w:hAnsi="Times New Roman" w:cs="Times New Roman"/>
                <w:b/>
                <w:bCs/>
                <w:color w:val="auto"/>
                <w:sz w:val="24"/>
                <w:highlight w:val="none"/>
              </w:rPr>
              <w:t>2）危险</w:t>
            </w:r>
            <w:r>
              <w:rPr>
                <w:rFonts w:hint="eastAsia"/>
                <w:b/>
                <w:bCs/>
                <w:color w:val="auto"/>
                <w:sz w:val="24"/>
                <w:highlight w:val="none"/>
              </w:rPr>
              <w:t>废物</w:t>
            </w:r>
          </w:p>
          <w:p w14:paraId="459F3EC0">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highlight w:val="none"/>
              </w:rPr>
            </w:pPr>
            <w:r>
              <w:rPr>
                <w:rFonts w:ascii="宋体" w:hAnsi="宋体"/>
                <w:bCs/>
                <w:color w:val="auto"/>
                <w:sz w:val="24"/>
                <w:highlight w:val="none"/>
              </w:rPr>
              <w:t>①</w:t>
            </w:r>
            <w:r>
              <w:rPr>
                <w:rFonts w:hAnsi="宋体"/>
                <w:bCs/>
                <w:color w:val="auto"/>
                <w:sz w:val="24"/>
                <w:highlight w:val="none"/>
              </w:rPr>
              <w:t>废活性炭</w:t>
            </w:r>
          </w:p>
          <w:p w14:paraId="0B252F2D">
            <w:pPr>
              <w:keepNext w:val="0"/>
              <w:keepLines w:val="0"/>
              <w:suppressLineNumbers w:val="0"/>
              <w:adjustRightInd w:val="0"/>
              <w:snapToGrid w:val="0"/>
              <w:spacing w:before="0" w:beforeAutospacing="0" w:after="0" w:afterAutospacing="0" w:line="360" w:lineRule="auto"/>
              <w:ind w:left="0" w:right="0" w:firstLine="518" w:firstLineChars="216"/>
              <w:rPr>
                <w:rFonts w:eastAsia="宋体"/>
                <w:color w:val="auto"/>
                <w:sz w:val="24"/>
                <w:highlight w:val="none"/>
              </w:rPr>
            </w:pPr>
            <w:r>
              <w:rPr>
                <w:rFonts w:hAnsi="宋体"/>
                <w:color w:val="auto"/>
                <w:sz w:val="24"/>
                <w:highlight w:val="none"/>
              </w:rPr>
              <w:t>本项目产生的有机废气均采用二级活性炭吸附装置进行处理，</w:t>
            </w:r>
            <w:r>
              <w:rPr>
                <w:rFonts w:hint="eastAsia" w:hAnsi="宋体"/>
                <w:color w:val="auto"/>
                <w:sz w:val="24"/>
                <w:highlight w:val="none"/>
                <w:lang w:val="en-US" w:eastAsia="zh-CN"/>
              </w:rPr>
              <w:t>拟设置1套</w:t>
            </w:r>
            <w:r>
              <w:rPr>
                <w:rFonts w:hAnsi="宋体"/>
                <w:color w:val="auto"/>
                <w:sz w:val="24"/>
                <w:highlight w:val="none"/>
              </w:rPr>
              <w:t>二级活性炭吸附装置</w:t>
            </w:r>
            <w:r>
              <w:rPr>
                <w:rFonts w:hint="eastAsia" w:hAnsi="宋体"/>
                <w:color w:val="auto"/>
                <w:sz w:val="24"/>
                <w:highlight w:val="none"/>
                <w:lang w:eastAsia="zh-CN"/>
              </w:rPr>
              <w:t>，</w:t>
            </w:r>
            <w:r>
              <w:rPr>
                <w:rFonts w:hAnsi="宋体"/>
                <w:color w:val="auto"/>
                <w:sz w:val="24"/>
                <w:highlight w:val="none"/>
              </w:rPr>
              <w:t>处理效率以</w:t>
            </w:r>
            <w:r>
              <w:rPr>
                <w:color w:val="auto"/>
                <w:sz w:val="24"/>
                <w:highlight w:val="none"/>
              </w:rPr>
              <w:t>90%</w:t>
            </w:r>
            <w:r>
              <w:rPr>
                <w:rFonts w:hAnsi="宋体"/>
                <w:color w:val="auto"/>
                <w:sz w:val="24"/>
                <w:highlight w:val="none"/>
              </w:rPr>
              <w:t>计，在废气处理过程中会产生废活性炭，项目</w:t>
            </w:r>
            <w:r>
              <w:rPr>
                <w:rFonts w:hint="eastAsia" w:hAnsi="宋体"/>
                <w:color w:val="auto"/>
                <w:sz w:val="24"/>
                <w:highlight w:val="none"/>
              </w:rPr>
              <w:t>排气筒</w:t>
            </w:r>
            <w:r>
              <w:rPr>
                <w:rFonts w:hAnsi="宋体"/>
                <w:color w:val="auto"/>
                <w:sz w:val="24"/>
                <w:highlight w:val="none"/>
              </w:rPr>
              <w:t>进入活性炭吸附装置的有机废气量为</w:t>
            </w:r>
            <w:r>
              <w:rPr>
                <w:rFonts w:hint="eastAsia"/>
                <w:color w:val="auto"/>
                <w:sz w:val="24"/>
                <w:highlight w:val="none"/>
                <w:lang w:val="en-US" w:eastAsia="zh-CN"/>
              </w:rPr>
              <w:t>1.193</w:t>
            </w:r>
            <w:r>
              <w:rPr>
                <w:color w:val="auto"/>
                <w:sz w:val="24"/>
                <w:highlight w:val="none"/>
              </w:rPr>
              <w:t>t/a</w:t>
            </w:r>
            <w:r>
              <w:rPr>
                <w:rFonts w:hAnsi="宋体"/>
                <w:color w:val="auto"/>
                <w:sz w:val="24"/>
                <w:highlight w:val="none"/>
              </w:rPr>
              <w:t>，</w:t>
            </w:r>
            <w:r>
              <w:rPr>
                <w:rFonts w:hint="eastAsia" w:hAnsi="宋体"/>
                <w:color w:val="auto"/>
                <w:sz w:val="24"/>
                <w:highlight w:val="none"/>
              </w:rPr>
              <w:t>有机废气吸附量为</w:t>
            </w:r>
            <w:r>
              <w:rPr>
                <w:rFonts w:hint="eastAsia" w:hAnsi="宋体"/>
                <w:color w:val="auto"/>
                <w:sz w:val="24"/>
                <w:highlight w:val="none"/>
                <w:lang w:val="en-US" w:eastAsia="zh-CN"/>
              </w:rPr>
              <w:t>1.074</w:t>
            </w:r>
            <w:r>
              <w:rPr>
                <w:rFonts w:hint="eastAsia" w:hAnsi="宋体"/>
                <w:color w:val="auto"/>
                <w:sz w:val="24"/>
                <w:highlight w:val="none"/>
              </w:rPr>
              <w:t>t/a</w:t>
            </w:r>
            <w:r>
              <w:rPr>
                <w:rFonts w:hAnsi="宋体" w:eastAsia="宋体"/>
                <w:color w:val="auto"/>
                <w:sz w:val="24"/>
                <w:highlight w:val="none"/>
              </w:rPr>
              <w:t>。</w:t>
            </w:r>
            <w:r>
              <w:rPr>
                <w:rFonts w:hint="eastAsia"/>
                <w:color w:val="auto"/>
                <w:sz w:val="24"/>
              </w:rPr>
              <w:t>根据《省生态环境厅关于深入开展涉VOCs治理重点工作核查的通知》（苏环办〔2022〕218号）可知，活性炭用量和非甲烷总烃等有机废气的处理量比例为5</w:t>
            </w:r>
            <w:r>
              <w:rPr>
                <w:rFonts w:hint="eastAsia"/>
                <w:color w:val="auto"/>
                <w:sz w:val="24"/>
                <w:lang w:eastAsia="zh-CN"/>
              </w:rPr>
              <w:t>:</w:t>
            </w:r>
            <w:r>
              <w:rPr>
                <w:rFonts w:hint="eastAsia"/>
                <w:color w:val="auto"/>
                <w:sz w:val="24"/>
              </w:rPr>
              <w:t>1</w:t>
            </w:r>
            <w:r>
              <w:rPr>
                <w:rFonts w:hint="eastAsia" w:hAnsi="宋体" w:eastAsia="宋体"/>
                <w:color w:val="auto"/>
                <w:sz w:val="24"/>
                <w:highlight w:val="none"/>
              </w:rPr>
              <w:t>，</w:t>
            </w:r>
            <w:r>
              <w:rPr>
                <w:rFonts w:hint="eastAsia" w:eastAsia="宋体"/>
                <w:color w:val="auto"/>
                <w:sz w:val="24"/>
                <w:highlight w:val="none"/>
              </w:rPr>
              <w:t>则理论上项目需要活性炭量为</w:t>
            </w:r>
            <w:r>
              <w:rPr>
                <w:rFonts w:hint="eastAsia" w:eastAsia="宋体"/>
                <w:color w:val="auto"/>
                <w:sz w:val="24"/>
                <w:highlight w:val="none"/>
                <w:lang w:val="en-US" w:eastAsia="zh-CN"/>
              </w:rPr>
              <w:t>5.37</w:t>
            </w:r>
            <w:r>
              <w:rPr>
                <w:color w:val="auto"/>
                <w:sz w:val="24"/>
                <w:highlight w:val="none"/>
              </w:rPr>
              <w:t>t/a</w:t>
            </w:r>
            <w:r>
              <w:rPr>
                <w:rFonts w:hAnsi="宋体" w:eastAsia="宋体"/>
                <w:color w:val="auto"/>
                <w:sz w:val="24"/>
                <w:highlight w:val="none"/>
              </w:rPr>
              <w:t>，</w:t>
            </w:r>
            <w:r>
              <w:rPr>
                <w:rFonts w:hAnsi="宋体"/>
                <w:color w:val="auto"/>
                <w:sz w:val="24"/>
                <w:highlight w:val="none"/>
              </w:rPr>
              <w:t>活性炭吸附装置</w:t>
            </w:r>
            <w:r>
              <w:rPr>
                <w:rFonts w:hint="eastAsia" w:hAnsi="宋体"/>
                <w:color w:val="auto"/>
                <w:sz w:val="24"/>
                <w:highlight w:val="none"/>
              </w:rPr>
              <w:t>活性炭装填</w:t>
            </w:r>
            <w:r>
              <w:rPr>
                <w:rFonts w:hAnsi="宋体"/>
                <w:color w:val="auto"/>
                <w:sz w:val="24"/>
                <w:highlight w:val="none"/>
              </w:rPr>
              <w:t>量</w:t>
            </w:r>
            <w:r>
              <w:rPr>
                <w:rFonts w:hint="eastAsia" w:hAnsi="宋体"/>
                <w:color w:val="auto"/>
                <w:sz w:val="24"/>
                <w:highlight w:val="none"/>
              </w:rPr>
              <w:t>为</w:t>
            </w:r>
            <w:r>
              <w:rPr>
                <w:rFonts w:hint="eastAsia"/>
                <w:color w:val="auto"/>
                <w:sz w:val="24"/>
                <w:highlight w:val="none"/>
                <w:lang w:val="en-US" w:eastAsia="zh-CN"/>
              </w:rPr>
              <w:t>0.45</w:t>
            </w:r>
            <w:r>
              <w:rPr>
                <w:color w:val="auto"/>
                <w:sz w:val="24"/>
                <w:highlight w:val="none"/>
              </w:rPr>
              <w:t>t</w:t>
            </w:r>
            <w:r>
              <w:rPr>
                <w:rFonts w:hAnsi="宋体"/>
                <w:color w:val="auto"/>
                <w:sz w:val="24"/>
                <w:highlight w:val="none"/>
              </w:rPr>
              <w:t>，</w:t>
            </w:r>
            <w:r>
              <w:rPr>
                <w:rFonts w:hint="eastAsia" w:hAnsi="宋体"/>
                <w:color w:val="auto"/>
                <w:sz w:val="24"/>
                <w:highlight w:val="none"/>
                <w:lang w:val="en-US" w:eastAsia="zh-CN"/>
              </w:rPr>
              <w:t>活性炭均</w:t>
            </w:r>
            <w:r>
              <w:rPr>
                <w:rFonts w:hAnsi="宋体" w:eastAsia="宋体"/>
                <w:color w:val="auto"/>
                <w:sz w:val="24"/>
                <w:highlight w:val="none"/>
              </w:rPr>
              <w:t>拟</w:t>
            </w:r>
            <w:r>
              <w:rPr>
                <w:rFonts w:hint="eastAsia" w:hAnsi="宋体" w:eastAsia="宋体"/>
                <w:color w:val="auto"/>
                <w:sz w:val="24"/>
                <w:highlight w:val="none"/>
                <w:lang w:val="en-US" w:eastAsia="zh-CN"/>
              </w:rPr>
              <w:t>定</w:t>
            </w:r>
            <w:r>
              <w:rPr>
                <w:rFonts w:hint="eastAsia" w:eastAsia="宋体"/>
                <w:color w:val="auto"/>
                <w:sz w:val="24"/>
                <w:highlight w:val="none"/>
                <w:lang w:val="en-US" w:eastAsia="zh-CN"/>
              </w:rPr>
              <w:t>1</w:t>
            </w:r>
            <w:r>
              <w:rPr>
                <w:rFonts w:hint="eastAsia"/>
                <w:color w:val="auto"/>
                <w:sz w:val="24"/>
                <w:highlight w:val="none"/>
              </w:rPr>
              <w:t>个月</w:t>
            </w:r>
            <w:r>
              <w:rPr>
                <w:rFonts w:hAnsi="宋体" w:eastAsia="宋体"/>
                <w:color w:val="auto"/>
                <w:sz w:val="24"/>
                <w:highlight w:val="none"/>
              </w:rPr>
              <w:t>更换一次</w:t>
            </w:r>
            <w:r>
              <w:rPr>
                <w:rFonts w:hint="eastAsia" w:hAnsi="宋体" w:eastAsia="宋体"/>
                <w:color w:val="auto"/>
                <w:sz w:val="24"/>
                <w:highlight w:val="none"/>
              </w:rPr>
              <w:t>；</w:t>
            </w:r>
            <w:r>
              <w:rPr>
                <w:rFonts w:hAnsi="宋体" w:eastAsia="宋体"/>
                <w:color w:val="auto"/>
                <w:sz w:val="24"/>
                <w:highlight w:val="none"/>
              </w:rPr>
              <w:t>则废活性炭产生量为</w:t>
            </w:r>
            <w:r>
              <w:rPr>
                <w:rFonts w:hint="eastAsia" w:eastAsia="宋体"/>
                <w:color w:val="auto"/>
                <w:sz w:val="24"/>
                <w:highlight w:val="none"/>
                <w:lang w:val="en-US" w:eastAsia="zh-CN"/>
              </w:rPr>
              <w:t>6.474</w:t>
            </w:r>
            <w:r>
              <w:rPr>
                <w:rFonts w:eastAsia="宋体"/>
                <w:color w:val="auto"/>
                <w:sz w:val="24"/>
                <w:highlight w:val="none"/>
              </w:rPr>
              <w:t>t/a</w:t>
            </w:r>
            <w:r>
              <w:rPr>
                <w:rFonts w:hAnsi="宋体" w:eastAsia="宋体"/>
                <w:color w:val="auto"/>
                <w:sz w:val="24"/>
                <w:highlight w:val="none"/>
              </w:rPr>
              <w:t>（含有机废气</w:t>
            </w:r>
            <w:r>
              <w:rPr>
                <w:rFonts w:hint="eastAsia" w:eastAsia="宋体"/>
                <w:color w:val="auto"/>
                <w:sz w:val="24"/>
                <w:highlight w:val="none"/>
                <w:lang w:val="en-US" w:eastAsia="zh-CN"/>
              </w:rPr>
              <w:t>1.074</w:t>
            </w:r>
            <w:r>
              <w:rPr>
                <w:rFonts w:eastAsia="宋体"/>
                <w:color w:val="auto"/>
                <w:sz w:val="24"/>
                <w:highlight w:val="none"/>
              </w:rPr>
              <w:t>t/a</w:t>
            </w:r>
            <w:r>
              <w:rPr>
                <w:rFonts w:hAnsi="宋体" w:eastAsia="宋体"/>
                <w:color w:val="auto"/>
                <w:sz w:val="24"/>
                <w:highlight w:val="none"/>
              </w:rPr>
              <w:t>），</w:t>
            </w:r>
            <w:r>
              <w:rPr>
                <w:rFonts w:hint="eastAsia" w:hAnsi="宋体"/>
                <w:bCs/>
                <w:color w:val="auto"/>
                <w:sz w:val="24"/>
                <w:highlight w:val="none"/>
              </w:rPr>
              <w:t>经对照《国家危险废物名录（202</w:t>
            </w:r>
            <w:r>
              <w:rPr>
                <w:rFonts w:hint="eastAsia" w:hAnsi="宋体"/>
                <w:bCs/>
                <w:color w:val="auto"/>
                <w:sz w:val="24"/>
                <w:highlight w:val="none"/>
                <w:lang w:val="en-US" w:eastAsia="zh-CN"/>
              </w:rPr>
              <w:t>5</w:t>
            </w:r>
            <w:r>
              <w:rPr>
                <w:rFonts w:hint="eastAsia" w:hAnsi="宋体"/>
                <w:bCs/>
                <w:color w:val="auto"/>
                <w:sz w:val="24"/>
                <w:highlight w:val="none"/>
              </w:rPr>
              <w:t>年版）》，废活性炭</w:t>
            </w:r>
            <w:r>
              <w:rPr>
                <w:rFonts w:hAnsi="宋体" w:eastAsia="宋体"/>
                <w:color w:val="auto"/>
                <w:sz w:val="24"/>
                <w:highlight w:val="none"/>
              </w:rPr>
              <w:t>属于</w:t>
            </w:r>
            <w:r>
              <w:rPr>
                <w:rFonts w:hint="eastAsia" w:hAnsi="宋体" w:eastAsia="宋体"/>
                <w:color w:val="auto"/>
                <w:sz w:val="24"/>
                <w:highlight w:val="none"/>
                <w:lang w:val="en-US" w:eastAsia="zh-CN"/>
              </w:rPr>
              <w:t>危险废物</w:t>
            </w:r>
            <w:r>
              <w:rPr>
                <w:rFonts w:hAnsi="宋体" w:eastAsia="宋体"/>
                <w:color w:val="auto"/>
                <w:sz w:val="24"/>
                <w:highlight w:val="none"/>
              </w:rPr>
              <w:t>（</w:t>
            </w:r>
            <w:r>
              <w:rPr>
                <w:rFonts w:eastAsia="宋体"/>
                <w:color w:val="auto"/>
                <w:sz w:val="24"/>
                <w:highlight w:val="none"/>
              </w:rPr>
              <w:t>HW49</w:t>
            </w:r>
            <w:r>
              <w:rPr>
                <w:rFonts w:hAnsi="宋体" w:eastAsia="宋体"/>
                <w:color w:val="auto"/>
                <w:sz w:val="24"/>
                <w:highlight w:val="none"/>
              </w:rPr>
              <w:t>其他废物</w:t>
            </w:r>
            <w:r>
              <w:rPr>
                <w:rFonts w:hint="eastAsia" w:hAnsi="宋体" w:eastAsia="宋体"/>
                <w:color w:val="auto"/>
                <w:sz w:val="24"/>
                <w:highlight w:val="none"/>
                <w:lang w:eastAsia="zh-CN"/>
              </w:rPr>
              <w:t>，</w:t>
            </w:r>
            <w:r>
              <w:rPr>
                <w:bCs/>
                <w:color w:val="auto"/>
                <w:sz w:val="24"/>
                <w:highlight w:val="none"/>
              </w:rPr>
              <w:t>废物代码为</w:t>
            </w:r>
            <w:r>
              <w:rPr>
                <w:rFonts w:eastAsia="宋体"/>
                <w:color w:val="auto"/>
                <w:sz w:val="24"/>
                <w:highlight w:val="none"/>
              </w:rPr>
              <w:t>900-039-49</w:t>
            </w:r>
            <w:r>
              <w:rPr>
                <w:rFonts w:hAnsi="宋体" w:eastAsia="宋体"/>
                <w:color w:val="auto"/>
                <w:sz w:val="24"/>
                <w:highlight w:val="none"/>
              </w:rPr>
              <w:t>）</w:t>
            </w:r>
            <w:r>
              <w:rPr>
                <w:rFonts w:hint="eastAsia" w:hAnsi="宋体" w:eastAsia="宋体"/>
                <w:color w:val="auto"/>
                <w:sz w:val="24"/>
                <w:highlight w:val="none"/>
                <w:lang w:eastAsia="zh-CN"/>
              </w:rPr>
              <w:t>，</w:t>
            </w:r>
            <w:r>
              <w:rPr>
                <w:rFonts w:ascii="宋体" w:hAnsi="宋体"/>
                <w:color w:val="auto"/>
                <w:sz w:val="24"/>
                <w:highlight w:val="none"/>
              </w:rPr>
              <w:t>委托有资质单位安全处置。</w:t>
            </w:r>
          </w:p>
          <w:p w14:paraId="71FF49DF">
            <w:pPr>
              <w:keepNext w:val="0"/>
              <w:keepLines w:val="0"/>
              <w:suppressLineNumbers w:val="0"/>
              <w:adjustRightInd w:val="0"/>
              <w:snapToGrid w:val="0"/>
              <w:spacing w:before="0" w:beforeAutospacing="0" w:after="0" w:afterAutospacing="0" w:line="360" w:lineRule="auto"/>
              <w:ind w:left="0" w:right="0" w:firstLine="480"/>
              <w:rPr>
                <w:rFonts w:ascii="宋体" w:hAnsi="宋体"/>
                <w:color w:val="auto"/>
                <w:sz w:val="24"/>
                <w:highlight w:val="none"/>
              </w:rPr>
            </w:pPr>
            <w:r>
              <w:rPr>
                <w:rFonts w:ascii="宋体" w:hAnsi="宋体"/>
                <w:bCs/>
                <w:color w:val="auto"/>
                <w:sz w:val="24"/>
                <w:highlight w:val="none"/>
              </w:rPr>
              <w:t>②</w:t>
            </w:r>
            <w:r>
              <w:rPr>
                <w:rFonts w:hint="eastAsia" w:ascii="宋体" w:hAnsi="宋体"/>
                <w:color w:val="auto"/>
                <w:sz w:val="24"/>
                <w:highlight w:val="none"/>
              </w:rPr>
              <w:t>废过滤棉</w:t>
            </w:r>
          </w:p>
          <w:p w14:paraId="4C07B88C">
            <w:pPr>
              <w:keepNext w:val="0"/>
              <w:keepLines w:val="0"/>
              <w:suppressLineNumbers w:val="0"/>
              <w:adjustRightInd w:val="0"/>
              <w:snapToGrid w:val="0"/>
              <w:spacing w:before="0" w:beforeAutospacing="0" w:after="0" w:afterAutospacing="0" w:line="360" w:lineRule="auto"/>
              <w:ind w:left="0" w:right="0" w:firstLine="480"/>
              <w:rPr>
                <w:rFonts w:ascii="宋体" w:hAnsi="宋体"/>
                <w:color w:val="auto"/>
                <w:sz w:val="24"/>
                <w:highlight w:val="none"/>
              </w:rPr>
            </w:pPr>
            <w:r>
              <w:rPr>
                <w:rFonts w:hint="eastAsia" w:hAnsi="宋体"/>
                <w:bCs/>
                <w:color w:val="auto"/>
                <w:sz w:val="24"/>
                <w:highlight w:val="none"/>
              </w:rPr>
              <w:t>项目废气采用</w:t>
            </w:r>
            <w:r>
              <w:rPr>
                <w:rFonts w:hint="eastAsia" w:hAnsi="宋体"/>
                <w:bCs/>
                <w:color w:val="auto"/>
                <w:sz w:val="24"/>
                <w:highlight w:val="none"/>
                <w:lang w:val="en-US" w:eastAsia="zh-CN"/>
              </w:rPr>
              <w:t>干式过滤</w:t>
            </w:r>
            <w:r>
              <w:rPr>
                <w:rFonts w:hint="eastAsia" w:hAnsi="宋体"/>
                <w:bCs/>
                <w:color w:val="auto"/>
                <w:sz w:val="24"/>
                <w:highlight w:val="none"/>
              </w:rPr>
              <w:t>+二级活性炭吸附装置收集处理，有组织漆雾颗粒物产生量为</w:t>
            </w:r>
            <w:r>
              <w:rPr>
                <w:rFonts w:hint="eastAsia" w:hAnsi="宋体"/>
                <w:bCs/>
                <w:color w:val="auto"/>
                <w:sz w:val="24"/>
                <w:highlight w:val="none"/>
                <w:lang w:val="en-US" w:eastAsia="zh-CN"/>
              </w:rPr>
              <w:t>1.496</w:t>
            </w:r>
            <w:r>
              <w:rPr>
                <w:rFonts w:hint="eastAsia" w:hAnsi="宋体"/>
                <w:bCs/>
                <w:color w:val="auto"/>
                <w:sz w:val="24"/>
                <w:highlight w:val="none"/>
              </w:rPr>
              <w:t>t/a，有组织颗粒物处理效率取</w:t>
            </w:r>
            <w:r>
              <w:rPr>
                <w:rFonts w:hint="eastAsia" w:hAnsi="宋体"/>
                <w:bCs/>
                <w:color w:val="auto"/>
                <w:sz w:val="24"/>
                <w:highlight w:val="none"/>
                <w:lang w:val="en-US" w:eastAsia="zh-CN"/>
              </w:rPr>
              <w:t>90</w:t>
            </w:r>
            <w:r>
              <w:rPr>
                <w:rFonts w:hint="eastAsia" w:hAnsi="宋体"/>
                <w:bCs/>
                <w:color w:val="auto"/>
                <w:sz w:val="24"/>
                <w:highlight w:val="none"/>
              </w:rPr>
              <w:t>%，则过滤棉吸附量为</w:t>
            </w:r>
            <w:r>
              <w:rPr>
                <w:rFonts w:hint="eastAsia" w:hAnsi="宋体"/>
                <w:bCs/>
                <w:color w:val="auto"/>
                <w:sz w:val="24"/>
                <w:highlight w:val="none"/>
                <w:lang w:val="en-US" w:eastAsia="zh-CN"/>
              </w:rPr>
              <w:t>1.346</w:t>
            </w:r>
            <w:r>
              <w:rPr>
                <w:rFonts w:hint="eastAsia" w:hAnsi="宋体"/>
                <w:bCs/>
                <w:color w:val="auto"/>
                <w:sz w:val="24"/>
                <w:highlight w:val="none"/>
              </w:rPr>
              <w:t>t/a，</w:t>
            </w:r>
            <w:r>
              <w:rPr>
                <w:color w:val="auto"/>
                <w:kern w:val="0"/>
                <w:sz w:val="24"/>
                <w:lang w:val="zh-CN"/>
              </w:rPr>
              <w:t>本项目</w:t>
            </w:r>
            <w:r>
              <w:rPr>
                <w:rFonts w:hint="eastAsia"/>
                <w:color w:val="auto"/>
                <w:kern w:val="0"/>
                <w:sz w:val="24"/>
                <w:lang w:val="zh-CN"/>
              </w:rPr>
              <w:t>采用</w:t>
            </w:r>
            <w:r>
              <w:rPr>
                <w:color w:val="auto"/>
                <w:kern w:val="0"/>
                <w:sz w:val="24"/>
                <w:lang w:val="zh-CN"/>
              </w:rPr>
              <w:t>过滤棉过滤面积</w:t>
            </w:r>
            <w:r>
              <w:rPr>
                <w:rFonts w:hint="eastAsia"/>
                <w:color w:val="auto"/>
                <w:kern w:val="0"/>
                <w:sz w:val="24"/>
                <w:lang w:val="zh-CN"/>
              </w:rPr>
              <w:t>约</w:t>
            </w:r>
            <w:r>
              <w:rPr>
                <w:color w:val="auto"/>
                <w:kern w:val="0"/>
                <w:sz w:val="24"/>
                <w:lang w:val="zh-CN"/>
              </w:rPr>
              <w:t>为20m</w:t>
            </w:r>
            <w:r>
              <w:rPr>
                <w:color w:val="auto"/>
                <w:kern w:val="0"/>
                <w:sz w:val="24"/>
                <w:vertAlign w:val="superscript"/>
                <w:lang w:val="zh-CN"/>
              </w:rPr>
              <w:t>2</w:t>
            </w:r>
            <w:r>
              <w:rPr>
                <w:rFonts w:hint="eastAsia"/>
                <w:color w:val="auto"/>
                <w:kern w:val="0"/>
                <w:sz w:val="24"/>
                <w:lang w:val="zh-CN"/>
              </w:rPr>
              <w:t>（约5</w:t>
            </w:r>
            <w:r>
              <w:rPr>
                <w:color w:val="auto"/>
                <w:kern w:val="0"/>
                <w:sz w:val="24"/>
                <w:lang w:val="zh-CN"/>
              </w:rPr>
              <w:t>kg/m</w:t>
            </w:r>
            <w:r>
              <w:rPr>
                <w:color w:val="auto"/>
                <w:kern w:val="0"/>
                <w:sz w:val="24"/>
                <w:vertAlign w:val="superscript"/>
                <w:lang w:val="zh-CN"/>
              </w:rPr>
              <w:t>2</w:t>
            </w:r>
            <w:r>
              <w:rPr>
                <w:color w:val="auto"/>
                <w:kern w:val="0"/>
                <w:sz w:val="24"/>
                <w:lang w:val="zh-CN"/>
              </w:rPr>
              <w:t>）</w:t>
            </w:r>
            <w:r>
              <w:rPr>
                <w:rFonts w:hint="eastAsia"/>
                <w:color w:val="auto"/>
                <w:kern w:val="0"/>
                <w:sz w:val="24"/>
                <w:lang w:val="zh-CN"/>
              </w:rPr>
              <w:t>，容尘量</w:t>
            </w:r>
            <w:r>
              <w:rPr>
                <w:color w:val="auto"/>
                <w:kern w:val="0"/>
                <w:sz w:val="24"/>
                <w:lang w:val="zh-CN"/>
              </w:rPr>
              <w:t>为5kg/m</w:t>
            </w:r>
            <w:r>
              <w:rPr>
                <w:color w:val="auto"/>
                <w:kern w:val="0"/>
                <w:sz w:val="24"/>
                <w:vertAlign w:val="superscript"/>
                <w:lang w:val="zh-CN"/>
              </w:rPr>
              <w:t>2</w:t>
            </w:r>
            <w:r>
              <w:rPr>
                <w:rFonts w:hint="eastAsia"/>
                <w:color w:val="auto"/>
                <w:kern w:val="0"/>
                <w:sz w:val="24"/>
                <w:lang w:val="zh-CN"/>
              </w:rPr>
              <w:t>，每次更换过滤棉0</w:t>
            </w:r>
            <w:r>
              <w:rPr>
                <w:color w:val="auto"/>
                <w:kern w:val="0"/>
                <w:sz w:val="24"/>
                <w:lang w:val="zh-CN"/>
              </w:rPr>
              <w:t>.1</w:t>
            </w:r>
            <w:r>
              <w:rPr>
                <w:rFonts w:hint="eastAsia"/>
                <w:color w:val="auto"/>
                <w:kern w:val="0"/>
                <w:sz w:val="24"/>
                <w:lang w:val="zh-CN"/>
              </w:rPr>
              <w:t>t，平均每个月更换一次，</w:t>
            </w:r>
            <w:r>
              <w:rPr>
                <w:rFonts w:hint="eastAsia" w:hAnsi="宋体"/>
                <w:bCs/>
                <w:color w:val="auto"/>
                <w:sz w:val="24"/>
                <w:highlight w:val="none"/>
              </w:rPr>
              <w:t>则废过滤棉产生量为</w:t>
            </w:r>
            <w:r>
              <w:rPr>
                <w:rFonts w:hint="eastAsia" w:hAnsi="宋体"/>
                <w:bCs/>
                <w:color w:val="auto"/>
                <w:sz w:val="24"/>
                <w:highlight w:val="none"/>
                <w:lang w:val="en-US" w:eastAsia="zh-CN"/>
              </w:rPr>
              <w:t>2.546</w:t>
            </w:r>
            <w:r>
              <w:rPr>
                <w:rFonts w:hint="eastAsia" w:hAnsi="宋体"/>
                <w:bCs/>
                <w:color w:val="auto"/>
                <w:sz w:val="24"/>
                <w:highlight w:val="none"/>
              </w:rPr>
              <w:t>t/a</w:t>
            </w:r>
            <w:r>
              <w:rPr>
                <w:rFonts w:hint="eastAsia"/>
                <w:color w:val="auto"/>
                <w:sz w:val="24"/>
                <w:highlight w:val="none"/>
              </w:rPr>
              <w:t>，</w:t>
            </w:r>
            <w:r>
              <w:rPr>
                <w:color w:val="auto"/>
                <w:sz w:val="24"/>
                <w:highlight w:val="none"/>
              </w:rPr>
              <w:t>经对照《国家危险废物名录（202</w:t>
            </w:r>
            <w:r>
              <w:rPr>
                <w:rFonts w:hint="eastAsia"/>
                <w:color w:val="auto"/>
                <w:sz w:val="24"/>
                <w:highlight w:val="none"/>
                <w:lang w:val="en-US" w:eastAsia="zh-CN"/>
              </w:rPr>
              <w:t>5</w:t>
            </w:r>
            <w:r>
              <w:rPr>
                <w:color w:val="auto"/>
                <w:sz w:val="24"/>
                <w:highlight w:val="none"/>
              </w:rPr>
              <w:t>年版）》，废过滤棉属于危险废物</w:t>
            </w:r>
            <w:r>
              <w:rPr>
                <w:bCs/>
                <w:color w:val="auto"/>
                <w:sz w:val="24"/>
                <w:highlight w:val="none"/>
              </w:rPr>
              <w:t>（HW49</w:t>
            </w:r>
            <w:r>
              <w:rPr>
                <w:rFonts w:hint="eastAsia"/>
                <w:bCs/>
                <w:color w:val="auto"/>
                <w:sz w:val="24"/>
                <w:highlight w:val="none"/>
                <w:lang w:eastAsia="zh-CN"/>
              </w:rPr>
              <w:t>其他</w:t>
            </w:r>
            <w:r>
              <w:rPr>
                <w:bCs/>
                <w:color w:val="auto"/>
                <w:sz w:val="24"/>
                <w:highlight w:val="none"/>
              </w:rPr>
              <w:t>废物，废物代码为900-041-49），</w:t>
            </w:r>
            <w:r>
              <w:rPr>
                <w:color w:val="auto"/>
                <w:sz w:val="24"/>
                <w:highlight w:val="none"/>
              </w:rPr>
              <w:t>委托有资质单位安全处置。</w:t>
            </w:r>
          </w:p>
          <w:p w14:paraId="32ED6459">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eastAsiaTheme="minorEastAsia"/>
                <w:color w:val="auto"/>
                <w:sz w:val="24"/>
                <w:highlight w:val="none"/>
                <w:lang w:eastAsia="zh-CN"/>
              </w:rPr>
            </w:pPr>
            <w:r>
              <w:rPr>
                <w:rFonts w:ascii="宋体" w:hAnsi="宋体"/>
                <w:bCs/>
                <w:color w:val="auto"/>
                <w:sz w:val="24"/>
                <w:highlight w:val="none"/>
              </w:rPr>
              <w:t>③</w:t>
            </w:r>
            <w:r>
              <w:rPr>
                <w:rFonts w:hint="eastAsia" w:hAnsi="宋体"/>
                <w:color w:val="auto"/>
                <w:sz w:val="24"/>
                <w:highlight w:val="none"/>
              </w:rPr>
              <w:t>废</w:t>
            </w:r>
            <w:r>
              <w:rPr>
                <w:rFonts w:hint="eastAsia" w:hAnsi="宋体"/>
                <w:color w:val="auto"/>
                <w:sz w:val="24"/>
                <w:highlight w:val="none"/>
                <w:lang w:val="en-US" w:eastAsia="zh-CN"/>
              </w:rPr>
              <w:t>润滑油</w:t>
            </w:r>
          </w:p>
          <w:p w14:paraId="69878E93">
            <w:pPr>
              <w:keepNext w:val="0"/>
              <w:keepLines w:val="0"/>
              <w:suppressLineNumbers w:val="0"/>
              <w:spacing w:before="0" w:beforeAutospacing="0" w:after="0" w:afterAutospacing="0" w:line="360" w:lineRule="auto"/>
              <w:ind w:left="0" w:right="0" w:firstLine="480" w:firstLineChars="200"/>
              <w:rPr>
                <w:color w:val="auto"/>
                <w:sz w:val="24"/>
                <w:highlight w:val="none"/>
              </w:rPr>
            </w:pPr>
            <w:r>
              <w:rPr>
                <w:color w:val="auto"/>
                <w:sz w:val="24"/>
                <w:highlight w:val="none"/>
              </w:rPr>
              <w:t>项目</w:t>
            </w:r>
            <w:r>
              <w:rPr>
                <w:rFonts w:hint="eastAsia"/>
                <w:color w:val="auto"/>
                <w:sz w:val="24"/>
                <w:highlight w:val="none"/>
                <w:lang w:val="en-US" w:eastAsia="zh-CN"/>
              </w:rPr>
              <w:t>生产</w:t>
            </w:r>
            <w:r>
              <w:rPr>
                <w:rFonts w:hint="eastAsia"/>
                <w:color w:val="auto"/>
                <w:sz w:val="24"/>
                <w:highlight w:val="none"/>
              </w:rPr>
              <w:t>过</w:t>
            </w:r>
            <w:r>
              <w:rPr>
                <w:rFonts w:hint="eastAsia"/>
                <w:color w:val="auto"/>
                <w:sz w:val="24"/>
                <w:highlight w:val="none"/>
                <w:lang w:eastAsia="zh-CN"/>
              </w:rPr>
              <w:t>程中</w:t>
            </w:r>
            <w:r>
              <w:rPr>
                <w:rFonts w:hint="eastAsia"/>
                <w:color w:val="auto"/>
                <w:sz w:val="24"/>
                <w:highlight w:val="none"/>
              </w:rPr>
              <w:t>会产生少量废润滑</w:t>
            </w:r>
            <w:r>
              <w:rPr>
                <w:color w:val="auto"/>
                <w:sz w:val="24"/>
                <w:highlight w:val="none"/>
              </w:rPr>
              <w:t>油，</w:t>
            </w:r>
            <w:r>
              <w:rPr>
                <w:rFonts w:hAnsi="宋体"/>
                <w:bCs/>
                <w:color w:val="auto"/>
                <w:sz w:val="24"/>
                <w:highlight w:val="none"/>
              </w:rPr>
              <w:t>通常废</w:t>
            </w:r>
            <w:r>
              <w:rPr>
                <w:rFonts w:hint="eastAsia" w:hAnsi="宋体"/>
                <w:bCs/>
                <w:color w:val="auto"/>
                <w:sz w:val="24"/>
                <w:highlight w:val="none"/>
              </w:rPr>
              <w:t>润滑</w:t>
            </w:r>
            <w:r>
              <w:rPr>
                <w:rFonts w:hAnsi="宋体"/>
                <w:bCs/>
                <w:color w:val="auto"/>
                <w:sz w:val="24"/>
                <w:highlight w:val="none"/>
              </w:rPr>
              <w:t>油更换周期较长，一般</w:t>
            </w:r>
            <w:r>
              <w:rPr>
                <w:bCs/>
                <w:color w:val="auto"/>
                <w:sz w:val="24"/>
                <w:highlight w:val="none"/>
              </w:rPr>
              <w:t>1</w:t>
            </w:r>
            <w:r>
              <w:rPr>
                <w:rFonts w:hint="eastAsia"/>
                <w:bCs/>
                <w:color w:val="auto"/>
                <w:sz w:val="24"/>
                <w:highlight w:val="none"/>
                <w:lang w:eastAsia="zh-CN"/>
              </w:rPr>
              <w:t>～</w:t>
            </w:r>
            <w:r>
              <w:rPr>
                <w:bCs/>
                <w:color w:val="auto"/>
                <w:sz w:val="24"/>
                <w:highlight w:val="none"/>
              </w:rPr>
              <w:t>2</w:t>
            </w:r>
            <w:r>
              <w:rPr>
                <w:rFonts w:hAnsi="宋体"/>
                <w:bCs/>
                <w:color w:val="auto"/>
                <w:sz w:val="24"/>
                <w:highlight w:val="none"/>
              </w:rPr>
              <w:t>年更换一次</w:t>
            </w:r>
            <w:r>
              <w:rPr>
                <w:rFonts w:hint="eastAsia" w:hAnsi="宋体"/>
                <w:bCs/>
                <w:color w:val="auto"/>
                <w:sz w:val="24"/>
                <w:highlight w:val="none"/>
              </w:rPr>
              <w:t>，以每年更换一次计，使用过程中损耗量约80%</w:t>
            </w:r>
            <w:r>
              <w:rPr>
                <w:color w:val="auto"/>
                <w:sz w:val="24"/>
                <w:highlight w:val="none"/>
              </w:rPr>
              <w:t>，</w:t>
            </w:r>
            <w:r>
              <w:rPr>
                <w:rFonts w:hint="eastAsia"/>
                <w:color w:val="auto"/>
                <w:sz w:val="24"/>
                <w:highlight w:val="none"/>
              </w:rPr>
              <w:t>则</w:t>
            </w:r>
            <w:r>
              <w:rPr>
                <w:color w:val="auto"/>
                <w:sz w:val="24"/>
                <w:highlight w:val="none"/>
              </w:rPr>
              <w:t>废</w:t>
            </w:r>
            <w:r>
              <w:rPr>
                <w:rFonts w:hint="eastAsia"/>
                <w:color w:val="auto"/>
                <w:sz w:val="24"/>
                <w:highlight w:val="none"/>
              </w:rPr>
              <w:t>润滑</w:t>
            </w:r>
            <w:r>
              <w:rPr>
                <w:color w:val="auto"/>
                <w:sz w:val="24"/>
                <w:highlight w:val="none"/>
              </w:rPr>
              <w:t>油产生量约</w:t>
            </w:r>
            <w:r>
              <w:rPr>
                <w:rFonts w:hint="eastAsia"/>
                <w:color w:val="auto"/>
                <w:sz w:val="24"/>
                <w:highlight w:val="none"/>
                <w:lang w:val="en-US" w:eastAsia="zh-CN"/>
              </w:rPr>
              <w:t>0.8</w:t>
            </w:r>
            <w:r>
              <w:rPr>
                <w:color w:val="auto"/>
                <w:sz w:val="24"/>
                <w:highlight w:val="none"/>
              </w:rPr>
              <w:t>t/a，经对照《国家危险废物名录（202</w:t>
            </w:r>
            <w:r>
              <w:rPr>
                <w:rFonts w:hint="eastAsia"/>
                <w:color w:val="auto"/>
                <w:sz w:val="24"/>
                <w:highlight w:val="none"/>
                <w:lang w:val="en-US" w:eastAsia="zh-CN"/>
              </w:rPr>
              <w:t>5</w:t>
            </w:r>
            <w:r>
              <w:rPr>
                <w:color w:val="auto"/>
                <w:sz w:val="24"/>
                <w:highlight w:val="none"/>
              </w:rPr>
              <w:t>年版）》，</w:t>
            </w:r>
            <w:r>
              <w:rPr>
                <w:rFonts w:hint="eastAsia"/>
                <w:bCs/>
                <w:color w:val="auto"/>
                <w:sz w:val="24"/>
                <w:highlight w:val="none"/>
              </w:rPr>
              <w:t>废润滑油</w:t>
            </w:r>
            <w:r>
              <w:rPr>
                <w:color w:val="auto"/>
                <w:sz w:val="24"/>
                <w:highlight w:val="none"/>
              </w:rPr>
              <w:t>属于危险废物</w:t>
            </w:r>
            <w:r>
              <w:rPr>
                <w:bCs/>
                <w:color w:val="auto"/>
                <w:sz w:val="24"/>
                <w:highlight w:val="none"/>
              </w:rPr>
              <w:t>（</w:t>
            </w:r>
            <w:r>
              <w:rPr>
                <w:color w:val="auto"/>
                <w:kern w:val="0"/>
                <w:sz w:val="24"/>
                <w:highlight w:val="none"/>
              </w:rPr>
              <w:t>HW08</w:t>
            </w:r>
            <w:r>
              <w:rPr>
                <w:bCs/>
                <w:color w:val="auto"/>
                <w:sz w:val="24"/>
                <w:highlight w:val="none"/>
              </w:rPr>
              <w:t>废矿物油与含矿物油废物</w:t>
            </w:r>
            <w:r>
              <w:rPr>
                <w:rFonts w:hint="eastAsia"/>
                <w:bCs/>
                <w:color w:val="auto"/>
                <w:sz w:val="24"/>
                <w:highlight w:val="none"/>
              </w:rPr>
              <w:t>，</w:t>
            </w:r>
            <w:r>
              <w:rPr>
                <w:bCs/>
                <w:color w:val="auto"/>
                <w:sz w:val="24"/>
                <w:highlight w:val="none"/>
              </w:rPr>
              <w:t>废物代码为</w:t>
            </w:r>
            <w:r>
              <w:rPr>
                <w:color w:val="auto"/>
                <w:kern w:val="0"/>
                <w:sz w:val="24"/>
                <w:highlight w:val="none"/>
              </w:rPr>
              <w:t>900-2</w:t>
            </w:r>
            <w:r>
              <w:rPr>
                <w:rFonts w:hint="eastAsia"/>
                <w:color w:val="auto"/>
                <w:kern w:val="0"/>
                <w:sz w:val="24"/>
                <w:highlight w:val="none"/>
              </w:rPr>
              <w:t>17</w:t>
            </w:r>
            <w:r>
              <w:rPr>
                <w:color w:val="auto"/>
                <w:kern w:val="0"/>
                <w:sz w:val="24"/>
                <w:highlight w:val="none"/>
              </w:rPr>
              <w:t>-08</w:t>
            </w:r>
            <w:r>
              <w:rPr>
                <w:bCs/>
                <w:color w:val="auto"/>
                <w:sz w:val="24"/>
                <w:highlight w:val="none"/>
              </w:rPr>
              <w:t>），委托有资质单位安全处置</w:t>
            </w:r>
            <w:r>
              <w:rPr>
                <w:color w:val="auto"/>
                <w:sz w:val="24"/>
                <w:highlight w:val="none"/>
              </w:rPr>
              <w:t>。</w:t>
            </w:r>
          </w:p>
          <w:p w14:paraId="4D2C1F5E">
            <w:pPr>
              <w:keepNext w:val="0"/>
              <w:keepLines w:val="0"/>
              <w:suppressLineNumbers w:val="0"/>
              <w:adjustRightInd w:val="0"/>
              <w:snapToGrid w:val="0"/>
              <w:spacing w:before="0" w:beforeAutospacing="0" w:after="0" w:afterAutospacing="0" w:line="360" w:lineRule="auto"/>
              <w:ind w:left="105" w:leftChars="50" w:right="0" w:firstLine="360" w:firstLineChars="150"/>
              <w:rPr>
                <w:rFonts w:hint="eastAsia" w:eastAsiaTheme="minorEastAsia"/>
                <w:bCs/>
                <w:color w:val="auto"/>
                <w:sz w:val="24"/>
                <w:highlight w:val="none"/>
                <w:lang w:val="en-US" w:eastAsia="zh-CN"/>
              </w:rPr>
            </w:pPr>
            <w:r>
              <w:rPr>
                <w:rFonts w:hint="eastAsia" w:ascii="宋体" w:hAnsi="宋体"/>
                <w:bCs/>
                <w:color w:val="auto"/>
                <w:sz w:val="24"/>
                <w:highlight w:val="none"/>
              </w:rPr>
              <w:t>④</w:t>
            </w:r>
            <w:r>
              <w:rPr>
                <w:rFonts w:hAnsi="宋体"/>
                <w:bCs/>
                <w:color w:val="auto"/>
                <w:sz w:val="24"/>
                <w:highlight w:val="none"/>
              </w:rPr>
              <w:t>废</w:t>
            </w:r>
            <w:r>
              <w:rPr>
                <w:rFonts w:hint="eastAsia" w:hAnsi="宋体"/>
                <w:bCs/>
                <w:color w:val="auto"/>
                <w:sz w:val="24"/>
                <w:highlight w:val="none"/>
                <w:lang w:val="en-US" w:eastAsia="zh-CN"/>
              </w:rPr>
              <w:t>切削液</w:t>
            </w:r>
          </w:p>
          <w:p w14:paraId="43806930">
            <w:pPr>
              <w:keepNext w:val="0"/>
              <w:keepLines w:val="0"/>
              <w:suppressLineNumbers w:val="0"/>
              <w:adjustRightInd w:val="0"/>
              <w:snapToGrid w:val="0"/>
              <w:spacing w:before="0" w:beforeAutospacing="0" w:after="0" w:afterAutospacing="0" w:line="360" w:lineRule="auto"/>
              <w:ind w:left="105" w:leftChars="50" w:right="0" w:firstLine="360" w:firstLineChars="150"/>
              <w:rPr>
                <w:rFonts w:hint="eastAsia" w:hAnsi="宋体"/>
                <w:color w:val="auto"/>
                <w:sz w:val="24"/>
                <w:highlight w:val="none"/>
              </w:rPr>
            </w:pPr>
            <w:r>
              <w:rPr>
                <w:color w:val="auto"/>
                <w:sz w:val="24"/>
                <w:highlight w:val="none"/>
              </w:rPr>
              <w:t>项目</w:t>
            </w:r>
            <w:r>
              <w:rPr>
                <w:rFonts w:hint="eastAsia"/>
                <w:color w:val="auto"/>
                <w:sz w:val="24"/>
                <w:highlight w:val="none"/>
              </w:rPr>
              <w:t>机加工过程会产生少量废切削液</w:t>
            </w:r>
            <w:r>
              <w:rPr>
                <w:color w:val="auto"/>
                <w:sz w:val="24"/>
                <w:highlight w:val="none"/>
              </w:rPr>
              <w:t>，</w:t>
            </w:r>
            <w:r>
              <w:rPr>
                <w:rFonts w:hAnsi="宋体"/>
                <w:bCs/>
                <w:color w:val="auto"/>
                <w:sz w:val="24"/>
                <w:highlight w:val="none"/>
              </w:rPr>
              <w:t>通常</w:t>
            </w:r>
            <w:r>
              <w:rPr>
                <w:rFonts w:hint="eastAsia"/>
                <w:color w:val="auto"/>
                <w:sz w:val="24"/>
                <w:highlight w:val="none"/>
              </w:rPr>
              <w:t>废切削液</w:t>
            </w:r>
            <w:r>
              <w:rPr>
                <w:rFonts w:hAnsi="宋体"/>
                <w:bCs/>
                <w:color w:val="auto"/>
                <w:sz w:val="24"/>
                <w:highlight w:val="none"/>
              </w:rPr>
              <w:t>更换周期较长，一般</w:t>
            </w:r>
            <w:r>
              <w:rPr>
                <w:bCs/>
                <w:color w:val="auto"/>
                <w:sz w:val="24"/>
                <w:highlight w:val="none"/>
              </w:rPr>
              <w:t>1</w:t>
            </w:r>
            <w:r>
              <w:rPr>
                <w:rFonts w:hint="eastAsia"/>
                <w:bCs/>
                <w:color w:val="auto"/>
                <w:sz w:val="24"/>
                <w:highlight w:val="none"/>
                <w:lang w:eastAsia="zh-CN"/>
              </w:rPr>
              <w:t>～</w:t>
            </w:r>
            <w:r>
              <w:rPr>
                <w:bCs/>
                <w:color w:val="auto"/>
                <w:sz w:val="24"/>
                <w:highlight w:val="none"/>
              </w:rPr>
              <w:t>2</w:t>
            </w:r>
            <w:r>
              <w:rPr>
                <w:rFonts w:hAnsi="宋体"/>
                <w:bCs/>
                <w:color w:val="auto"/>
                <w:sz w:val="24"/>
                <w:highlight w:val="none"/>
              </w:rPr>
              <w:t>年更换一次</w:t>
            </w:r>
            <w:r>
              <w:rPr>
                <w:rFonts w:hint="eastAsia" w:hAnsi="宋体"/>
                <w:bCs/>
                <w:color w:val="auto"/>
                <w:sz w:val="24"/>
                <w:highlight w:val="none"/>
              </w:rPr>
              <w:t>，以每年更换一次计，使用过程中损耗量约80%</w:t>
            </w:r>
            <w:r>
              <w:rPr>
                <w:color w:val="auto"/>
                <w:sz w:val="24"/>
                <w:highlight w:val="none"/>
              </w:rPr>
              <w:t>，</w:t>
            </w:r>
            <w:r>
              <w:rPr>
                <w:rFonts w:hint="eastAsia"/>
                <w:color w:val="auto"/>
                <w:sz w:val="24"/>
                <w:highlight w:val="none"/>
              </w:rPr>
              <w:t>则废切削液</w:t>
            </w:r>
            <w:r>
              <w:rPr>
                <w:color w:val="auto"/>
                <w:sz w:val="24"/>
                <w:highlight w:val="none"/>
              </w:rPr>
              <w:t>产生量约</w:t>
            </w:r>
            <w:r>
              <w:rPr>
                <w:rFonts w:hint="eastAsia"/>
                <w:color w:val="auto"/>
                <w:sz w:val="24"/>
                <w:highlight w:val="none"/>
              </w:rPr>
              <w:t>0.</w:t>
            </w:r>
            <w:r>
              <w:rPr>
                <w:rFonts w:hint="eastAsia"/>
                <w:color w:val="auto"/>
                <w:sz w:val="24"/>
                <w:highlight w:val="none"/>
                <w:lang w:val="en-US" w:eastAsia="zh-CN"/>
              </w:rPr>
              <w:t>8</w:t>
            </w:r>
            <w:r>
              <w:rPr>
                <w:color w:val="auto"/>
                <w:sz w:val="24"/>
                <w:highlight w:val="none"/>
              </w:rPr>
              <w:t>t/a。经对照《国家危险废物名录（202</w:t>
            </w:r>
            <w:r>
              <w:rPr>
                <w:rFonts w:hint="eastAsia"/>
                <w:color w:val="auto"/>
                <w:sz w:val="24"/>
                <w:highlight w:val="none"/>
                <w:lang w:val="en-US" w:eastAsia="zh-CN"/>
              </w:rPr>
              <w:t>5</w:t>
            </w:r>
            <w:r>
              <w:rPr>
                <w:color w:val="auto"/>
                <w:sz w:val="24"/>
                <w:highlight w:val="none"/>
              </w:rPr>
              <w:t>年版）》，</w:t>
            </w:r>
            <w:r>
              <w:rPr>
                <w:rFonts w:hint="eastAsia"/>
                <w:color w:val="auto"/>
                <w:sz w:val="24"/>
                <w:highlight w:val="none"/>
              </w:rPr>
              <w:t>废切削液</w:t>
            </w:r>
            <w:r>
              <w:rPr>
                <w:color w:val="auto"/>
                <w:sz w:val="24"/>
                <w:highlight w:val="none"/>
              </w:rPr>
              <w:t>属于危险废物</w:t>
            </w:r>
            <w:r>
              <w:rPr>
                <w:bCs/>
                <w:color w:val="auto"/>
                <w:sz w:val="24"/>
                <w:highlight w:val="none"/>
              </w:rPr>
              <w:t>（HW</w:t>
            </w:r>
            <w:r>
              <w:rPr>
                <w:rFonts w:hint="eastAsia"/>
                <w:bCs/>
                <w:color w:val="auto"/>
                <w:sz w:val="24"/>
                <w:highlight w:val="none"/>
              </w:rPr>
              <w:t>0</w:t>
            </w:r>
            <w:r>
              <w:rPr>
                <w:bCs/>
                <w:color w:val="auto"/>
                <w:sz w:val="24"/>
                <w:highlight w:val="none"/>
              </w:rPr>
              <w:t>9</w:t>
            </w:r>
            <w:r>
              <w:rPr>
                <w:rFonts w:hint="eastAsia"/>
                <w:bCs/>
                <w:color w:val="auto"/>
                <w:sz w:val="24"/>
                <w:highlight w:val="none"/>
              </w:rPr>
              <w:t>油/水、烃/水混合物或乳化液，</w:t>
            </w:r>
            <w:r>
              <w:rPr>
                <w:bCs/>
                <w:color w:val="auto"/>
                <w:sz w:val="24"/>
                <w:highlight w:val="none"/>
              </w:rPr>
              <w:t>废物代码900-0</w:t>
            </w:r>
            <w:r>
              <w:rPr>
                <w:rFonts w:hint="eastAsia"/>
                <w:bCs/>
                <w:color w:val="auto"/>
                <w:sz w:val="24"/>
                <w:highlight w:val="none"/>
              </w:rPr>
              <w:t>06</w:t>
            </w:r>
            <w:r>
              <w:rPr>
                <w:bCs/>
                <w:color w:val="auto"/>
                <w:sz w:val="24"/>
                <w:highlight w:val="none"/>
              </w:rPr>
              <w:t>-</w:t>
            </w:r>
            <w:r>
              <w:rPr>
                <w:rFonts w:hint="eastAsia"/>
                <w:bCs/>
                <w:color w:val="auto"/>
                <w:sz w:val="24"/>
                <w:highlight w:val="none"/>
              </w:rPr>
              <w:t>0</w:t>
            </w:r>
            <w:r>
              <w:rPr>
                <w:bCs/>
                <w:color w:val="auto"/>
                <w:sz w:val="24"/>
                <w:highlight w:val="none"/>
              </w:rPr>
              <w:t>9），委托有资质单位安全处置</w:t>
            </w:r>
            <w:r>
              <w:rPr>
                <w:color w:val="auto"/>
                <w:sz w:val="24"/>
                <w:highlight w:val="none"/>
              </w:rPr>
              <w:t>。</w:t>
            </w:r>
          </w:p>
          <w:p w14:paraId="7FBBC974">
            <w:pPr>
              <w:keepNext w:val="0"/>
              <w:keepLines w:val="0"/>
              <w:suppressLineNumbers w:val="0"/>
              <w:adjustRightInd w:val="0"/>
              <w:snapToGrid w:val="0"/>
              <w:spacing w:before="0" w:beforeAutospacing="0" w:after="0" w:afterAutospacing="0" w:line="360" w:lineRule="auto"/>
              <w:ind w:left="105" w:leftChars="50" w:right="0" w:firstLine="360" w:firstLineChars="150"/>
              <w:rPr>
                <w:rFonts w:hint="eastAsia" w:hAnsi="宋体" w:eastAsiaTheme="minorEastAsia"/>
                <w:color w:val="auto"/>
                <w:sz w:val="24"/>
                <w:highlight w:val="none"/>
                <w:lang w:val="en-US" w:eastAsia="zh-CN"/>
              </w:rPr>
            </w:pPr>
            <w:r>
              <w:rPr>
                <w:rFonts w:hint="eastAsia" w:hAnsi="宋体"/>
                <w:color w:val="auto"/>
                <w:sz w:val="24"/>
                <w:highlight w:val="none"/>
              </w:rPr>
              <w:t>⑤</w:t>
            </w:r>
            <w:r>
              <w:rPr>
                <w:rFonts w:hint="eastAsia" w:hAnsi="宋体"/>
                <w:color w:val="auto"/>
                <w:sz w:val="24"/>
                <w:highlight w:val="none"/>
                <w:lang w:val="en-US" w:eastAsia="zh-CN"/>
              </w:rPr>
              <w:t>漆渣</w:t>
            </w:r>
          </w:p>
          <w:p w14:paraId="51B887C1">
            <w:pPr>
              <w:keepNext w:val="0"/>
              <w:keepLines w:val="0"/>
              <w:suppressLineNumbers w:val="0"/>
              <w:spacing w:before="0" w:beforeAutospacing="0" w:after="0" w:afterAutospacing="0" w:line="360" w:lineRule="auto"/>
              <w:ind w:left="0" w:right="0" w:firstLine="480" w:firstLineChars="200"/>
              <w:rPr>
                <w:rFonts w:hint="eastAsia" w:hAnsi="宋体"/>
                <w:color w:val="auto"/>
                <w:sz w:val="24"/>
                <w:highlight w:val="none"/>
              </w:rPr>
            </w:pPr>
            <w:r>
              <w:rPr>
                <w:color w:val="auto"/>
                <w:sz w:val="24"/>
                <w:highlight w:val="none"/>
              </w:rPr>
              <w:t>根据</w:t>
            </w:r>
            <w:r>
              <w:rPr>
                <w:rFonts w:hint="eastAsia"/>
                <w:color w:val="auto"/>
                <w:sz w:val="24"/>
                <w:highlight w:val="none"/>
              </w:rPr>
              <w:t>前文分析可知，</w:t>
            </w:r>
            <w:r>
              <w:rPr>
                <w:bCs/>
                <w:color w:val="auto"/>
                <w:sz w:val="24"/>
                <w:highlight w:val="none"/>
              </w:rPr>
              <w:t>漆渣</w:t>
            </w:r>
            <w:r>
              <w:rPr>
                <w:rFonts w:hint="eastAsia"/>
                <w:bCs/>
                <w:color w:val="auto"/>
                <w:sz w:val="24"/>
                <w:highlight w:val="none"/>
                <w:lang w:val="en-US" w:eastAsia="zh-CN"/>
              </w:rPr>
              <w:t>产生</w:t>
            </w:r>
            <w:r>
              <w:rPr>
                <w:bCs/>
                <w:color w:val="auto"/>
                <w:sz w:val="24"/>
                <w:highlight w:val="none"/>
              </w:rPr>
              <w:t>量为</w:t>
            </w:r>
            <w:r>
              <w:rPr>
                <w:rFonts w:hint="eastAsia"/>
                <w:color w:val="auto"/>
                <w:sz w:val="24"/>
                <w:highlight w:val="none"/>
                <w:lang w:val="en-US" w:eastAsia="zh-CN"/>
              </w:rPr>
              <w:t>0.24</w:t>
            </w:r>
            <w:r>
              <w:rPr>
                <w:rFonts w:hint="eastAsia"/>
                <w:color w:val="auto"/>
                <w:sz w:val="24"/>
                <w:highlight w:val="none"/>
              </w:rPr>
              <w:t>t/a</w:t>
            </w:r>
            <w:r>
              <w:rPr>
                <w:bCs/>
                <w:color w:val="auto"/>
                <w:sz w:val="24"/>
                <w:highlight w:val="none"/>
              </w:rPr>
              <w:t>，</w:t>
            </w:r>
            <w:r>
              <w:rPr>
                <w:color w:val="auto"/>
                <w:sz w:val="24"/>
                <w:highlight w:val="none"/>
              </w:rPr>
              <w:t>经对照《国家危险废物名录（202</w:t>
            </w:r>
            <w:r>
              <w:rPr>
                <w:rFonts w:hint="eastAsia"/>
                <w:color w:val="auto"/>
                <w:sz w:val="24"/>
                <w:highlight w:val="none"/>
                <w:lang w:val="en-US" w:eastAsia="zh-CN"/>
              </w:rPr>
              <w:t>5</w:t>
            </w:r>
            <w:r>
              <w:rPr>
                <w:color w:val="auto"/>
                <w:sz w:val="24"/>
                <w:highlight w:val="none"/>
              </w:rPr>
              <w:t>年版）》，漆渣属于危险废物</w:t>
            </w:r>
            <w:r>
              <w:rPr>
                <w:bCs/>
                <w:color w:val="auto"/>
                <w:sz w:val="24"/>
                <w:highlight w:val="none"/>
              </w:rPr>
              <w:t>（HW</w:t>
            </w:r>
            <w:r>
              <w:rPr>
                <w:rFonts w:hint="eastAsia"/>
                <w:bCs/>
                <w:color w:val="auto"/>
                <w:sz w:val="24"/>
                <w:highlight w:val="none"/>
              </w:rPr>
              <w:t>12染料、涂料</w:t>
            </w:r>
            <w:r>
              <w:rPr>
                <w:bCs/>
                <w:color w:val="auto"/>
                <w:sz w:val="24"/>
                <w:highlight w:val="none"/>
              </w:rPr>
              <w:t>废物，废物代码为900-</w:t>
            </w:r>
            <w:r>
              <w:rPr>
                <w:rFonts w:hint="eastAsia"/>
                <w:bCs/>
                <w:color w:val="auto"/>
                <w:sz w:val="24"/>
                <w:highlight w:val="none"/>
              </w:rPr>
              <w:t>252</w:t>
            </w:r>
            <w:r>
              <w:rPr>
                <w:bCs/>
                <w:color w:val="auto"/>
                <w:sz w:val="24"/>
                <w:highlight w:val="none"/>
              </w:rPr>
              <w:t>-</w:t>
            </w:r>
            <w:r>
              <w:rPr>
                <w:rFonts w:hint="eastAsia"/>
                <w:bCs/>
                <w:color w:val="auto"/>
                <w:sz w:val="24"/>
                <w:highlight w:val="none"/>
              </w:rPr>
              <w:t>12</w:t>
            </w:r>
            <w:r>
              <w:rPr>
                <w:bCs/>
                <w:color w:val="auto"/>
                <w:sz w:val="24"/>
                <w:highlight w:val="none"/>
              </w:rPr>
              <w:t>），</w:t>
            </w:r>
            <w:r>
              <w:rPr>
                <w:color w:val="auto"/>
                <w:sz w:val="24"/>
                <w:highlight w:val="none"/>
              </w:rPr>
              <w:t>委托有资质单位安全处置。</w:t>
            </w:r>
          </w:p>
          <w:p w14:paraId="56F68948">
            <w:pPr>
              <w:keepNext w:val="0"/>
              <w:keepLines w:val="0"/>
              <w:suppressLineNumbers w:val="0"/>
              <w:spacing w:before="0" w:beforeAutospacing="0" w:after="0" w:afterAutospacing="0" w:line="360" w:lineRule="auto"/>
              <w:ind w:left="0" w:right="0" w:firstLine="480" w:firstLineChars="200"/>
              <w:rPr>
                <w:rFonts w:hint="default" w:ascii="宋体" w:hAnsi="宋体" w:eastAsia="宋体"/>
                <w:color w:val="auto"/>
                <w:sz w:val="24"/>
                <w:highlight w:val="none"/>
                <w:lang w:val="en-US" w:eastAsia="zh-CN"/>
              </w:rPr>
            </w:pPr>
            <w:r>
              <w:rPr>
                <w:rFonts w:hAnsi="宋体"/>
                <w:color w:val="auto"/>
                <w:sz w:val="24"/>
                <w:highlight w:val="none"/>
              </w:rPr>
              <w:t>⑥</w:t>
            </w:r>
            <w:r>
              <w:rPr>
                <w:rFonts w:hint="eastAsia" w:ascii="宋体" w:hAnsi="宋体" w:eastAsia="宋体" w:cs="宋体"/>
                <w:color w:val="auto"/>
                <w:sz w:val="24"/>
                <w:highlight w:val="none"/>
                <w:lang w:val="en-US" w:eastAsia="zh-CN"/>
              </w:rPr>
              <w:t>水性漆废包装桶</w:t>
            </w:r>
          </w:p>
          <w:p w14:paraId="2E06EDBF">
            <w:pPr>
              <w:keepNext w:val="0"/>
              <w:keepLines w:val="0"/>
              <w:suppressLineNumbers w:val="0"/>
              <w:spacing w:before="0" w:beforeAutospacing="0" w:after="0" w:afterAutospacing="0" w:line="360" w:lineRule="auto"/>
              <w:ind w:left="0" w:right="0" w:firstLine="480" w:firstLineChars="200"/>
              <w:rPr>
                <w:rFonts w:ascii="宋体" w:hAnsi="宋体"/>
                <w:color w:val="auto"/>
                <w:sz w:val="24"/>
                <w:highlight w:val="none"/>
              </w:rPr>
            </w:pPr>
            <w:r>
              <w:rPr>
                <w:color w:val="auto"/>
                <w:sz w:val="24"/>
                <w:highlight w:val="none"/>
              </w:rPr>
              <w:t>项目</w:t>
            </w:r>
            <w:r>
              <w:rPr>
                <w:rFonts w:hint="eastAsia"/>
                <w:color w:val="auto"/>
                <w:sz w:val="24"/>
                <w:highlight w:val="none"/>
                <w:lang w:val="en-US" w:eastAsia="zh-CN"/>
              </w:rPr>
              <w:t>水性漆使用</w:t>
            </w:r>
            <w:r>
              <w:rPr>
                <w:color w:val="auto"/>
                <w:sz w:val="24"/>
                <w:highlight w:val="none"/>
              </w:rPr>
              <w:t>过程中会产生废包装桶（漆桶），</w:t>
            </w:r>
            <w:r>
              <w:rPr>
                <w:rFonts w:hint="eastAsia" w:ascii="宋体" w:hAnsi="宋体" w:cs="宋体"/>
                <w:color w:val="auto"/>
                <w:sz w:val="24"/>
                <w:highlight w:val="none"/>
              </w:rPr>
              <w:t>根据</w:t>
            </w:r>
            <w:r>
              <w:rPr>
                <w:color w:val="auto"/>
                <w:sz w:val="24"/>
                <w:highlight w:val="none"/>
              </w:rPr>
              <w:t>企业提供</w:t>
            </w:r>
            <w:r>
              <w:rPr>
                <w:rFonts w:hint="eastAsia"/>
                <w:color w:val="auto"/>
                <w:sz w:val="24"/>
                <w:highlight w:val="none"/>
              </w:rPr>
              <w:t>的技术</w:t>
            </w:r>
            <w:r>
              <w:rPr>
                <w:color w:val="auto"/>
                <w:sz w:val="24"/>
                <w:highlight w:val="none"/>
              </w:rPr>
              <w:t>资料，</w:t>
            </w:r>
            <w:r>
              <w:rPr>
                <w:rFonts w:hint="eastAsia"/>
                <w:color w:val="auto"/>
                <w:sz w:val="24"/>
                <w:highlight w:val="none"/>
                <w:lang w:val="en-US" w:eastAsia="zh-CN"/>
              </w:rPr>
              <w:t>水</w:t>
            </w:r>
            <w:r>
              <w:rPr>
                <w:rFonts w:hint="eastAsia"/>
                <w:color w:val="auto"/>
                <w:sz w:val="24"/>
                <w:highlight w:val="none"/>
              </w:rPr>
              <w:t>性漆的规格为</w:t>
            </w:r>
            <w:r>
              <w:rPr>
                <w:rFonts w:hint="eastAsia"/>
                <w:color w:val="auto"/>
                <w:sz w:val="24"/>
                <w:highlight w:val="none"/>
                <w:lang w:val="en-US" w:eastAsia="zh-CN"/>
              </w:rPr>
              <w:t>2</w:t>
            </w:r>
            <w:r>
              <w:rPr>
                <w:rFonts w:hint="eastAsia"/>
                <w:color w:val="auto"/>
                <w:sz w:val="24"/>
                <w:highlight w:val="none"/>
              </w:rPr>
              <w:t>0kg/桶，根据原料使用表可知，本次共产生</w:t>
            </w:r>
            <w:r>
              <w:rPr>
                <w:color w:val="auto"/>
                <w:sz w:val="24"/>
                <w:highlight w:val="none"/>
              </w:rPr>
              <w:t>废</w:t>
            </w:r>
            <w:r>
              <w:rPr>
                <w:rFonts w:hint="eastAsia"/>
                <w:color w:val="auto"/>
                <w:sz w:val="24"/>
                <w:highlight w:val="none"/>
              </w:rPr>
              <w:t>漆桶约</w:t>
            </w:r>
            <w:r>
              <w:rPr>
                <w:rFonts w:hint="eastAsia"/>
                <w:color w:val="auto"/>
                <w:sz w:val="24"/>
                <w:highlight w:val="none"/>
                <w:lang w:val="en-US" w:eastAsia="zh-CN"/>
              </w:rPr>
              <w:t>5</w:t>
            </w:r>
            <w:r>
              <w:rPr>
                <w:rFonts w:hint="eastAsia"/>
                <w:color w:val="auto"/>
                <w:sz w:val="24"/>
                <w:highlight w:val="none"/>
              </w:rPr>
              <w:t>00个/年，每个漆桶重量约为2kg，则</w:t>
            </w:r>
            <w:r>
              <w:rPr>
                <w:rFonts w:hint="eastAsia"/>
                <w:color w:val="auto"/>
                <w:sz w:val="24"/>
                <w:highlight w:val="none"/>
                <w:lang w:val="en-US" w:eastAsia="zh-CN"/>
              </w:rPr>
              <w:t>水性漆</w:t>
            </w:r>
            <w:r>
              <w:rPr>
                <w:color w:val="auto"/>
                <w:sz w:val="24"/>
                <w:highlight w:val="none"/>
              </w:rPr>
              <w:t>废包装桶产生量约</w:t>
            </w:r>
            <w:r>
              <w:rPr>
                <w:rFonts w:hint="eastAsia"/>
                <w:color w:val="auto"/>
                <w:sz w:val="24"/>
                <w:highlight w:val="none"/>
                <w:lang w:val="en-US" w:eastAsia="zh-CN"/>
              </w:rPr>
              <w:t>1</w:t>
            </w:r>
            <w:r>
              <w:rPr>
                <w:color w:val="auto"/>
                <w:sz w:val="24"/>
                <w:highlight w:val="none"/>
              </w:rPr>
              <w:t>t/a，经对照《国家危险废物名录（202</w:t>
            </w:r>
            <w:r>
              <w:rPr>
                <w:rFonts w:hint="eastAsia"/>
                <w:color w:val="auto"/>
                <w:sz w:val="24"/>
                <w:highlight w:val="none"/>
                <w:lang w:val="en-US" w:eastAsia="zh-CN"/>
              </w:rPr>
              <w:t>5</w:t>
            </w:r>
            <w:r>
              <w:rPr>
                <w:color w:val="auto"/>
                <w:sz w:val="24"/>
                <w:highlight w:val="none"/>
              </w:rPr>
              <w:t>年版）》，废包装桶属于危险废物</w:t>
            </w:r>
            <w:r>
              <w:rPr>
                <w:bCs/>
                <w:color w:val="auto"/>
                <w:sz w:val="24"/>
                <w:highlight w:val="none"/>
              </w:rPr>
              <w:t>（HW49</w:t>
            </w:r>
            <w:r>
              <w:rPr>
                <w:rFonts w:hint="eastAsia"/>
                <w:bCs/>
                <w:color w:val="auto"/>
                <w:sz w:val="24"/>
                <w:highlight w:val="none"/>
                <w:lang w:eastAsia="zh-CN"/>
              </w:rPr>
              <w:t>其他</w:t>
            </w:r>
            <w:r>
              <w:rPr>
                <w:bCs/>
                <w:color w:val="auto"/>
                <w:sz w:val="24"/>
                <w:highlight w:val="none"/>
              </w:rPr>
              <w:t>废物，废物代码为900-041-49），委托有资质单位安全处置</w:t>
            </w:r>
            <w:r>
              <w:rPr>
                <w:color w:val="auto"/>
                <w:sz w:val="24"/>
                <w:highlight w:val="none"/>
              </w:rPr>
              <w:t>。</w:t>
            </w:r>
          </w:p>
          <w:p w14:paraId="124A7653">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eastAsia="宋体"/>
                <w:b w:val="0"/>
                <w:bCs/>
                <w:color w:val="auto"/>
                <w:sz w:val="24"/>
                <w:highlight w:val="none"/>
                <w:lang w:val="en-US" w:eastAsia="zh-CN"/>
              </w:rPr>
            </w:pPr>
            <w:r>
              <w:rPr>
                <w:rFonts w:hint="eastAsia" w:ascii="宋体" w:hAnsi="宋体" w:eastAsia="宋体" w:cs="宋体"/>
                <w:color w:val="auto"/>
                <w:sz w:val="24"/>
                <w:highlight w:val="none"/>
              </w:rPr>
              <w:t>⑦</w:t>
            </w:r>
            <w:r>
              <w:rPr>
                <w:rFonts w:hint="eastAsia" w:ascii="宋体" w:hAnsi="宋体" w:eastAsia="宋体" w:cs="宋体"/>
                <w:b w:val="0"/>
                <w:bCs/>
                <w:color w:val="auto"/>
                <w:sz w:val="24"/>
                <w:highlight w:val="none"/>
                <w:lang w:val="en-US" w:eastAsia="zh-CN"/>
              </w:rPr>
              <w:t>润滑油等油类废包装桶</w:t>
            </w:r>
          </w:p>
          <w:p w14:paraId="27D1191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项目</w:t>
            </w:r>
            <w:r>
              <w:rPr>
                <w:rFonts w:hint="eastAsia"/>
                <w:color w:val="auto"/>
                <w:sz w:val="24"/>
                <w:highlight w:val="none"/>
                <w:lang w:val="en-US" w:eastAsia="zh-CN"/>
              </w:rPr>
              <w:t>润滑油、切削液</w:t>
            </w:r>
            <w:r>
              <w:rPr>
                <w:color w:val="auto"/>
                <w:sz w:val="24"/>
                <w:highlight w:val="none"/>
              </w:rPr>
              <w:t>过程中会产生废包装桶（</w:t>
            </w:r>
            <w:r>
              <w:rPr>
                <w:rFonts w:hint="eastAsia"/>
                <w:color w:val="auto"/>
                <w:sz w:val="24"/>
                <w:highlight w:val="none"/>
              </w:rPr>
              <w:t>润滑油桶、切削液桶</w:t>
            </w:r>
            <w:r>
              <w:rPr>
                <w:color w:val="auto"/>
                <w:sz w:val="24"/>
                <w:highlight w:val="none"/>
              </w:rPr>
              <w:t>），</w:t>
            </w:r>
            <w:r>
              <w:rPr>
                <w:rFonts w:hint="eastAsia" w:ascii="宋体" w:hAnsi="宋体" w:cs="宋体"/>
                <w:color w:val="auto"/>
                <w:sz w:val="24"/>
                <w:highlight w:val="none"/>
              </w:rPr>
              <w:t>根据</w:t>
            </w:r>
            <w:r>
              <w:rPr>
                <w:color w:val="auto"/>
                <w:sz w:val="24"/>
                <w:highlight w:val="none"/>
              </w:rPr>
              <w:t>企业提供</w:t>
            </w:r>
            <w:r>
              <w:rPr>
                <w:rFonts w:hint="eastAsia"/>
                <w:color w:val="auto"/>
                <w:sz w:val="24"/>
                <w:highlight w:val="none"/>
              </w:rPr>
              <w:t>的技术</w:t>
            </w:r>
            <w:r>
              <w:rPr>
                <w:color w:val="auto"/>
                <w:sz w:val="24"/>
                <w:highlight w:val="none"/>
              </w:rPr>
              <w:t>资料，</w:t>
            </w:r>
            <w:r>
              <w:rPr>
                <w:rFonts w:hint="eastAsia"/>
                <w:color w:val="auto"/>
                <w:sz w:val="24"/>
                <w:highlight w:val="none"/>
              </w:rPr>
              <w:t>切削液和机油的规格均为20</w:t>
            </w:r>
            <w:r>
              <w:rPr>
                <w:rFonts w:hint="eastAsia"/>
                <w:color w:val="auto"/>
                <w:sz w:val="24"/>
                <w:highlight w:val="none"/>
                <w:lang w:val="en-US" w:eastAsia="zh-CN"/>
              </w:rPr>
              <w:t>0</w:t>
            </w:r>
            <w:r>
              <w:rPr>
                <w:rFonts w:hint="eastAsia"/>
                <w:color w:val="auto"/>
                <w:sz w:val="24"/>
                <w:highlight w:val="none"/>
              </w:rPr>
              <w:t>kg/桶，根据原料使用表可知，本次共产生废油桶、切削液桶约为</w:t>
            </w:r>
            <w:r>
              <w:rPr>
                <w:rFonts w:hint="eastAsia"/>
                <w:color w:val="auto"/>
                <w:sz w:val="24"/>
                <w:highlight w:val="none"/>
                <w:lang w:val="en-US" w:eastAsia="zh-CN"/>
              </w:rPr>
              <w:t>10</w:t>
            </w:r>
            <w:r>
              <w:rPr>
                <w:rFonts w:hint="eastAsia"/>
                <w:color w:val="auto"/>
                <w:sz w:val="24"/>
                <w:highlight w:val="none"/>
              </w:rPr>
              <w:t>个/年，每个切削液桶、油桶重量均为5kg，则</w:t>
            </w:r>
            <w:r>
              <w:rPr>
                <w:color w:val="auto"/>
                <w:sz w:val="24"/>
                <w:highlight w:val="none"/>
              </w:rPr>
              <w:t>废包装桶产生量约</w:t>
            </w:r>
            <w:r>
              <w:rPr>
                <w:rFonts w:hint="eastAsia"/>
                <w:color w:val="auto"/>
                <w:sz w:val="24"/>
                <w:highlight w:val="none"/>
                <w:lang w:val="en-US" w:eastAsia="zh-CN"/>
              </w:rPr>
              <w:t>0.05</w:t>
            </w:r>
            <w:r>
              <w:rPr>
                <w:color w:val="auto"/>
                <w:sz w:val="24"/>
                <w:highlight w:val="none"/>
              </w:rPr>
              <w:t>t/a，经对照《国家危险废物名录（202</w:t>
            </w:r>
            <w:r>
              <w:rPr>
                <w:rFonts w:hint="eastAsia"/>
                <w:color w:val="auto"/>
                <w:sz w:val="24"/>
                <w:highlight w:val="none"/>
                <w:lang w:val="en-US" w:eastAsia="zh-CN"/>
              </w:rPr>
              <w:t>5</w:t>
            </w:r>
            <w:r>
              <w:rPr>
                <w:color w:val="auto"/>
                <w:sz w:val="24"/>
                <w:highlight w:val="none"/>
              </w:rPr>
              <w:t>年版）》，废包装桶属于危险废物</w:t>
            </w:r>
            <w:r>
              <w:rPr>
                <w:bCs/>
                <w:color w:val="auto"/>
                <w:sz w:val="24"/>
                <w:highlight w:val="none"/>
              </w:rPr>
              <w:t>（HW</w:t>
            </w:r>
            <w:r>
              <w:rPr>
                <w:rFonts w:hint="eastAsia"/>
                <w:bCs/>
                <w:color w:val="auto"/>
                <w:sz w:val="24"/>
                <w:highlight w:val="none"/>
                <w:lang w:val="en-US" w:eastAsia="zh-CN"/>
              </w:rPr>
              <w:t>08</w:t>
            </w:r>
            <w:r>
              <w:rPr>
                <w:bCs/>
                <w:color w:val="auto"/>
                <w:sz w:val="24"/>
                <w:highlight w:val="none"/>
              </w:rPr>
              <w:t>废矿物油与含矿物油废物，废物代码为900-</w:t>
            </w:r>
            <w:r>
              <w:rPr>
                <w:rFonts w:hint="eastAsia"/>
                <w:bCs/>
                <w:color w:val="auto"/>
                <w:sz w:val="24"/>
                <w:highlight w:val="none"/>
                <w:lang w:val="en-US" w:eastAsia="zh-CN"/>
              </w:rPr>
              <w:t>249</w:t>
            </w:r>
            <w:r>
              <w:rPr>
                <w:bCs/>
                <w:color w:val="auto"/>
                <w:sz w:val="24"/>
                <w:highlight w:val="none"/>
              </w:rPr>
              <w:t>-</w:t>
            </w:r>
            <w:r>
              <w:rPr>
                <w:rFonts w:hint="eastAsia"/>
                <w:bCs/>
                <w:color w:val="auto"/>
                <w:sz w:val="24"/>
                <w:highlight w:val="none"/>
                <w:lang w:val="en-US" w:eastAsia="zh-CN"/>
              </w:rPr>
              <w:t>08</w:t>
            </w:r>
            <w:r>
              <w:rPr>
                <w:bCs/>
                <w:color w:val="auto"/>
                <w:sz w:val="24"/>
                <w:highlight w:val="none"/>
              </w:rPr>
              <w:t>），委托有资质单位安全处置</w:t>
            </w:r>
            <w:r>
              <w:rPr>
                <w:color w:val="auto"/>
                <w:sz w:val="24"/>
                <w:highlight w:val="none"/>
              </w:rPr>
              <w:t>。</w:t>
            </w:r>
          </w:p>
          <w:p w14:paraId="6076192E">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highlight w:val="none"/>
                <w:lang w:val="en-US" w:eastAsia="zh-CN"/>
              </w:rPr>
            </w:pPr>
            <w:r>
              <w:rPr>
                <w:rFonts w:hint="eastAsia" w:ascii="宋体" w:hAnsi="宋体" w:eastAsia="宋体" w:cs="宋体"/>
                <w:b w:val="0"/>
                <w:bCs/>
                <w:color w:val="auto"/>
                <w:sz w:val="24"/>
                <w:highlight w:val="none"/>
              </w:rPr>
              <w:t>⑧</w:t>
            </w:r>
            <w:r>
              <w:rPr>
                <w:rFonts w:hint="eastAsia" w:ascii="宋体" w:hAnsi="宋体" w:eastAsia="宋体" w:cs="宋体"/>
                <w:color w:val="auto"/>
                <w:sz w:val="24"/>
                <w:highlight w:val="none"/>
                <w:lang w:val="en-US" w:eastAsia="zh-CN"/>
              </w:rPr>
              <w:t>盐雾试验废液</w:t>
            </w:r>
          </w:p>
          <w:p w14:paraId="32C3B55C">
            <w:pPr>
              <w:keepNext w:val="0"/>
              <w:keepLines w:val="0"/>
              <w:suppressLineNumbers w:val="0"/>
              <w:adjustRightInd w:val="0"/>
              <w:snapToGrid w:val="0"/>
              <w:spacing w:before="0" w:beforeAutospacing="0" w:after="0" w:afterAutospacing="0" w:line="360" w:lineRule="auto"/>
              <w:ind w:left="0" w:right="0" w:firstLine="518" w:firstLineChars="216"/>
              <w:rPr>
                <w:rFonts w:hAnsi="宋体" w:eastAsia="宋体"/>
                <w:color w:val="auto"/>
                <w:sz w:val="24"/>
              </w:rPr>
            </w:pPr>
            <w:r>
              <w:rPr>
                <w:rFonts w:hint="eastAsia"/>
                <w:color w:val="auto"/>
                <w:sz w:val="24"/>
                <w:szCs w:val="24"/>
                <w:lang w:eastAsia="zh-CN"/>
              </w:rPr>
              <w:t>项目采用</w:t>
            </w:r>
            <w:r>
              <w:rPr>
                <w:rFonts w:hint="eastAsia"/>
                <w:color w:val="auto"/>
                <w:sz w:val="24"/>
                <w:szCs w:val="24"/>
                <w:lang w:val="en-US" w:eastAsia="zh-CN"/>
              </w:rPr>
              <w:t>5%的氯化钠溶液盐雾试验，项目氯化钠用量为0.01t/a，则盐雾试验用水为0.2t/a，盐雾试验用水每次试验后及时更换，使用损耗按照20%计，则盐雾试验废液产生量为0.168t/a。</w:t>
            </w:r>
            <w:r>
              <w:rPr>
                <w:rFonts w:hAnsi="宋体" w:eastAsia="宋体"/>
                <w:color w:val="auto"/>
                <w:sz w:val="24"/>
              </w:rPr>
              <w:t>经查，属于危废（</w:t>
            </w:r>
            <w:r>
              <w:rPr>
                <w:rFonts w:eastAsia="宋体"/>
                <w:color w:val="auto"/>
                <w:sz w:val="24"/>
              </w:rPr>
              <w:t>HW49</w:t>
            </w:r>
            <w:r>
              <w:rPr>
                <w:rFonts w:hAnsi="宋体" w:eastAsia="宋体"/>
                <w:color w:val="auto"/>
                <w:sz w:val="24"/>
              </w:rPr>
              <w:t>其他废物</w:t>
            </w:r>
            <w:r>
              <w:rPr>
                <w:rFonts w:eastAsia="宋体"/>
                <w:color w:val="auto"/>
                <w:sz w:val="24"/>
              </w:rPr>
              <w:t>900-0</w:t>
            </w:r>
            <w:r>
              <w:rPr>
                <w:rFonts w:hint="eastAsia" w:eastAsia="宋体"/>
                <w:color w:val="auto"/>
                <w:sz w:val="24"/>
                <w:lang w:val="en-US" w:eastAsia="zh-CN"/>
              </w:rPr>
              <w:t>47</w:t>
            </w:r>
            <w:r>
              <w:rPr>
                <w:rFonts w:eastAsia="宋体"/>
                <w:color w:val="auto"/>
                <w:sz w:val="24"/>
              </w:rPr>
              <w:t>-49</w:t>
            </w:r>
            <w:r>
              <w:rPr>
                <w:rFonts w:hAnsi="宋体" w:eastAsia="宋体"/>
                <w:color w:val="auto"/>
                <w:sz w:val="24"/>
              </w:rPr>
              <w:t>）</w:t>
            </w:r>
            <w:r>
              <w:rPr>
                <w:rFonts w:hint="eastAsia" w:hAnsi="宋体" w:eastAsia="宋体"/>
                <w:color w:val="auto"/>
                <w:sz w:val="24"/>
              </w:rPr>
              <w:t>，委托有资质单位安全处置</w:t>
            </w:r>
            <w:r>
              <w:rPr>
                <w:rFonts w:hAnsi="宋体" w:eastAsia="宋体"/>
                <w:color w:val="auto"/>
                <w:sz w:val="24"/>
              </w:rPr>
              <w:t>。</w:t>
            </w:r>
          </w:p>
          <w:p w14:paraId="29E9D416">
            <w:pPr>
              <w:keepNext w:val="0"/>
              <w:keepLines w:val="0"/>
              <w:suppressLineNumbers w:val="0"/>
              <w:adjustRightInd w:val="0"/>
              <w:snapToGrid w:val="0"/>
              <w:spacing w:before="0" w:beforeAutospacing="0" w:after="0" w:afterAutospacing="0" w:line="360" w:lineRule="auto"/>
              <w:ind w:left="0" w:right="0" w:firstLine="518" w:firstLineChars="216"/>
              <w:rPr>
                <w:rFonts w:hint="default" w:ascii="宋体" w:hAnsi="宋体" w:eastAsia="宋体" w:cs="宋体"/>
                <w:color w:val="auto"/>
                <w:sz w:val="24"/>
                <w:lang w:val="en-US" w:eastAsia="zh-CN"/>
              </w:rPr>
            </w:pPr>
            <w:r>
              <w:rPr>
                <w:rFonts w:hint="eastAsia" w:ascii="宋体" w:hAnsi="宋体" w:eastAsia="宋体" w:cs="宋体"/>
                <w:color w:val="auto"/>
                <w:sz w:val="24"/>
              </w:rPr>
              <w:t>⑨</w:t>
            </w:r>
            <w:r>
              <w:rPr>
                <w:rFonts w:hint="eastAsia" w:ascii="宋体" w:hAnsi="宋体" w:eastAsia="宋体" w:cs="宋体"/>
                <w:color w:val="auto"/>
                <w:sz w:val="24"/>
                <w:lang w:val="en-US" w:eastAsia="zh-CN"/>
              </w:rPr>
              <w:t>浮渣、污泥</w:t>
            </w:r>
          </w:p>
          <w:p w14:paraId="42B285D0">
            <w:pPr>
              <w:keepNext w:val="0"/>
              <w:keepLines w:val="0"/>
              <w:suppressLineNumbers w:val="0"/>
              <w:spacing w:before="0" w:beforeAutospacing="0" w:after="0" w:afterAutospacing="0" w:line="360" w:lineRule="auto"/>
              <w:ind w:left="0" w:right="0" w:firstLine="480" w:firstLineChars="200"/>
              <w:rPr>
                <w:rFonts w:hint="eastAsia" w:hAnsi="宋体" w:eastAsia="宋体"/>
                <w:color w:val="auto"/>
                <w:sz w:val="24"/>
              </w:rPr>
            </w:pPr>
            <w:r>
              <w:rPr>
                <w:rFonts w:hint="eastAsia" w:ascii="宋体" w:hAnsi="宋体"/>
                <w:color w:val="auto"/>
                <w:sz w:val="24"/>
              </w:rPr>
              <w:t>本项目工件清洗废水经气浮</w:t>
            </w:r>
            <w:r>
              <w:rPr>
                <w:rFonts w:hint="eastAsia" w:ascii="宋体" w:hAnsi="宋体"/>
                <w:color w:val="auto"/>
                <w:sz w:val="24"/>
                <w:lang w:val="en-US" w:eastAsia="zh-CN"/>
              </w:rPr>
              <w:t>+混凝沉淀池</w:t>
            </w:r>
            <w:r>
              <w:rPr>
                <w:rFonts w:hint="default" w:ascii="Times New Roman" w:hAnsi="Times New Roman" w:cs="Times New Roman"/>
                <w:color w:val="auto"/>
                <w:sz w:val="24"/>
              </w:rPr>
              <w:t>处理，</w:t>
            </w:r>
            <w:r>
              <w:rPr>
                <w:rFonts w:hint="eastAsia" w:cs="Times New Roman"/>
                <w:color w:val="auto"/>
                <w:sz w:val="24"/>
                <w:lang w:eastAsia="zh-CN"/>
              </w:rPr>
              <w:t>废水处理过程中</w:t>
            </w:r>
            <w:r>
              <w:rPr>
                <w:rFonts w:hint="eastAsia" w:cs="Times New Roman"/>
                <w:color w:val="auto"/>
                <w:sz w:val="24"/>
                <w:lang w:val="en-US" w:eastAsia="zh-CN"/>
              </w:rPr>
              <w:t>会</w:t>
            </w:r>
            <w:r>
              <w:rPr>
                <w:rFonts w:hint="default" w:ascii="Times New Roman" w:hAnsi="Times New Roman" w:cs="Times New Roman"/>
                <w:color w:val="auto"/>
                <w:sz w:val="24"/>
              </w:rPr>
              <w:t>产生</w:t>
            </w:r>
            <w:r>
              <w:rPr>
                <w:rFonts w:hint="default" w:ascii="Times New Roman" w:hAnsi="Times New Roman" w:cs="Times New Roman"/>
                <w:color w:val="auto"/>
                <w:sz w:val="24"/>
                <w:lang w:val="en-US" w:eastAsia="zh-CN"/>
              </w:rPr>
              <w:t>浮渣、污泥</w:t>
            </w:r>
            <w:r>
              <w:rPr>
                <w:rFonts w:hint="default" w:ascii="Times New Roman" w:hAnsi="Times New Roman" w:cs="Times New Roman"/>
                <w:color w:val="auto"/>
                <w:sz w:val="24"/>
              </w:rPr>
              <w:t>，</w:t>
            </w:r>
            <w:r>
              <w:rPr>
                <w:rFonts w:hint="eastAsia" w:cs="Times New Roman"/>
                <w:color w:val="auto"/>
                <w:sz w:val="24"/>
                <w:lang w:eastAsia="zh-CN"/>
              </w:rPr>
              <w:t>根据</w:t>
            </w:r>
            <w:r>
              <w:rPr>
                <w:rFonts w:hint="eastAsia" w:cs="Times New Roman"/>
                <w:color w:val="auto"/>
                <w:sz w:val="24"/>
                <w:lang w:val="en-US" w:eastAsia="zh-CN"/>
              </w:rPr>
              <w:t>SS、石油类等去除量进行核算，</w:t>
            </w:r>
            <w:r>
              <w:rPr>
                <w:rFonts w:hint="default" w:ascii="Times New Roman" w:hAnsi="Times New Roman" w:cs="Times New Roman"/>
                <w:color w:val="auto"/>
                <w:sz w:val="24"/>
                <w:lang w:val="en-US" w:eastAsia="zh-CN"/>
              </w:rPr>
              <w:t>浮渣、污泥</w:t>
            </w:r>
            <w:r>
              <w:rPr>
                <w:rFonts w:hint="default" w:ascii="Times New Roman" w:hAnsi="Times New Roman" w:cs="Times New Roman"/>
                <w:color w:val="auto"/>
                <w:sz w:val="24"/>
              </w:rPr>
              <w:t>的产生量约为</w:t>
            </w:r>
            <w:r>
              <w:rPr>
                <w:rFonts w:hint="eastAsia" w:cs="Times New Roman"/>
                <w:color w:val="auto"/>
                <w:sz w:val="24"/>
                <w:lang w:val="en-US" w:eastAsia="zh-CN"/>
              </w:rPr>
              <w:t>1.19</w:t>
            </w:r>
            <w:r>
              <w:rPr>
                <w:rFonts w:hint="default" w:ascii="Times New Roman" w:hAnsi="Times New Roman" w:cs="Times New Roman"/>
                <w:color w:val="auto"/>
                <w:sz w:val="24"/>
              </w:rPr>
              <w:t>t/a</w:t>
            </w:r>
            <w:r>
              <w:rPr>
                <w:rFonts w:hint="eastAsia" w:cs="Times New Roman"/>
                <w:color w:val="auto"/>
                <w:sz w:val="24"/>
                <w:lang w:eastAsia="zh-CN"/>
              </w:rPr>
              <w:t>（</w:t>
            </w:r>
            <w:r>
              <w:rPr>
                <w:rFonts w:hint="default" w:ascii="Times New Roman" w:hAnsi="Times New Roman" w:cs="Times New Roman"/>
                <w:color w:val="auto"/>
                <w:sz w:val="24"/>
              </w:rPr>
              <w:t>含水率按</w:t>
            </w:r>
            <w:r>
              <w:rPr>
                <w:rFonts w:hint="eastAsia" w:cs="Times New Roman"/>
                <w:color w:val="auto"/>
                <w:sz w:val="24"/>
                <w:lang w:val="en-US" w:eastAsia="zh-CN"/>
              </w:rPr>
              <w:t>6</w:t>
            </w:r>
            <w:r>
              <w:rPr>
                <w:rFonts w:hint="default" w:ascii="Times New Roman" w:hAnsi="Times New Roman" w:cs="Times New Roman"/>
                <w:color w:val="auto"/>
                <w:sz w:val="24"/>
              </w:rPr>
              <w:t>0%计</w:t>
            </w:r>
            <w:r>
              <w:rPr>
                <w:rFonts w:hint="eastAsia" w:cs="Times New Roman"/>
                <w:color w:val="auto"/>
                <w:sz w:val="24"/>
                <w:lang w:eastAsia="zh-CN"/>
              </w:rPr>
              <w:t>），</w:t>
            </w:r>
            <w:r>
              <w:rPr>
                <w:color w:val="auto"/>
                <w:sz w:val="24"/>
                <w:highlight w:val="none"/>
              </w:rPr>
              <w:t>经对照《国家危险废物名录（202</w:t>
            </w:r>
            <w:r>
              <w:rPr>
                <w:rFonts w:hint="eastAsia"/>
                <w:color w:val="auto"/>
                <w:sz w:val="24"/>
                <w:highlight w:val="none"/>
                <w:lang w:val="en-US" w:eastAsia="zh-CN"/>
              </w:rPr>
              <w:t>5</w:t>
            </w:r>
            <w:r>
              <w:rPr>
                <w:color w:val="auto"/>
                <w:sz w:val="24"/>
                <w:highlight w:val="none"/>
              </w:rPr>
              <w:t>年版）》，</w:t>
            </w:r>
            <w:r>
              <w:rPr>
                <w:rFonts w:hint="default" w:ascii="Times New Roman" w:hAnsi="Times New Roman" w:cs="Times New Roman"/>
                <w:color w:val="auto"/>
                <w:sz w:val="24"/>
                <w:lang w:val="en-US" w:eastAsia="zh-CN"/>
              </w:rPr>
              <w:t>浮渣、污泥</w:t>
            </w:r>
            <w:r>
              <w:rPr>
                <w:color w:val="auto"/>
                <w:sz w:val="24"/>
                <w:highlight w:val="none"/>
              </w:rPr>
              <w:t>属于危险废物</w:t>
            </w:r>
            <w:r>
              <w:rPr>
                <w:bCs/>
                <w:color w:val="auto"/>
                <w:sz w:val="24"/>
                <w:highlight w:val="none"/>
              </w:rPr>
              <w:t>（HW</w:t>
            </w:r>
            <w:r>
              <w:rPr>
                <w:rFonts w:hint="eastAsia"/>
                <w:bCs/>
                <w:color w:val="auto"/>
                <w:sz w:val="24"/>
                <w:highlight w:val="none"/>
                <w:lang w:val="en-US" w:eastAsia="zh-CN"/>
              </w:rPr>
              <w:t>08</w:t>
            </w:r>
            <w:r>
              <w:rPr>
                <w:bCs/>
                <w:color w:val="auto"/>
                <w:sz w:val="24"/>
                <w:highlight w:val="none"/>
              </w:rPr>
              <w:t>废矿物油与含矿物油废物，废物代码为900-</w:t>
            </w:r>
            <w:r>
              <w:rPr>
                <w:rFonts w:hint="eastAsia"/>
                <w:bCs/>
                <w:color w:val="auto"/>
                <w:sz w:val="24"/>
                <w:highlight w:val="none"/>
                <w:lang w:val="en-US" w:eastAsia="zh-CN"/>
              </w:rPr>
              <w:t>210-08</w:t>
            </w:r>
            <w:r>
              <w:rPr>
                <w:bCs/>
                <w:color w:val="auto"/>
                <w:sz w:val="24"/>
                <w:highlight w:val="none"/>
              </w:rPr>
              <w:t>），</w:t>
            </w:r>
            <w:r>
              <w:rPr>
                <w:color w:val="auto"/>
                <w:sz w:val="24"/>
                <w:highlight w:val="none"/>
              </w:rPr>
              <w:t>委托有资质单位安全处置。</w:t>
            </w:r>
          </w:p>
          <w:p w14:paraId="3EF684B4">
            <w:pPr>
              <w:keepNext w:val="0"/>
              <w:keepLines w:val="0"/>
              <w:suppressLineNumbers w:val="0"/>
              <w:adjustRightInd w:val="0"/>
              <w:snapToGrid w:val="0"/>
              <w:spacing w:before="0" w:beforeAutospacing="0" w:after="0" w:afterAutospacing="0" w:line="360" w:lineRule="auto"/>
              <w:ind w:left="0" w:right="0" w:firstLine="482" w:firstLineChars="200"/>
              <w:rPr>
                <w:rFonts w:hAnsi="宋体"/>
                <w:b/>
                <w:color w:val="auto"/>
                <w:sz w:val="24"/>
                <w:highlight w:val="none"/>
              </w:rPr>
            </w:pPr>
            <w:r>
              <w:rPr>
                <w:rFonts w:hint="eastAsia" w:hAnsi="宋体"/>
                <w:b/>
                <w:color w:val="auto"/>
                <w:sz w:val="24"/>
                <w:highlight w:val="none"/>
              </w:rPr>
              <w:t>3）生活垃圾</w:t>
            </w:r>
          </w:p>
          <w:p w14:paraId="17559C1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bCs/>
                <w:color w:val="auto"/>
                <w:sz w:val="24"/>
                <w:highlight w:val="none"/>
              </w:rPr>
              <w:t>①</w:t>
            </w:r>
            <w:r>
              <w:rPr>
                <w:rFonts w:hAnsi="宋体"/>
                <w:color w:val="auto"/>
                <w:sz w:val="24"/>
                <w:highlight w:val="none"/>
              </w:rPr>
              <w:t>生活垃圾</w:t>
            </w:r>
          </w:p>
          <w:p w14:paraId="695ED1A7">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highlight w:val="none"/>
              </w:rPr>
            </w:pPr>
            <w:r>
              <w:rPr>
                <w:rFonts w:hAnsi="宋体"/>
                <w:bCs/>
                <w:color w:val="auto"/>
                <w:sz w:val="24"/>
                <w:highlight w:val="none"/>
              </w:rPr>
              <w:t>本项目有职工</w:t>
            </w:r>
            <w:r>
              <w:rPr>
                <w:rFonts w:hint="eastAsia"/>
                <w:bCs/>
                <w:color w:val="auto"/>
                <w:sz w:val="24"/>
                <w:highlight w:val="none"/>
                <w:lang w:val="en-US" w:eastAsia="zh-CN"/>
              </w:rPr>
              <w:t>50</w:t>
            </w:r>
            <w:r>
              <w:rPr>
                <w:rFonts w:hAnsi="宋体"/>
                <w:bCs/>
                <w:color w:val="auto"/>
                <w:sz w:val="24"/>
                <w:highlight w:val="none"/>
              </w:rPr>
              <w:t>人，生活垃圾按每人每天</w:t>
            </w:r>
            <w:r>
              <w:rPr>
                <w:bCs/>
                <w:color w:val="auto"/>
                <w:sz w:val="24"/>
                <w:highlight w:val="none"/>
              </w:rPr>
              <w:t>0.6kg</w:t>
            </w:r>
            <w:r>
              <w:rPr>
                <w:rFonts w:hAnsi="宋体"/>
                <w:bCs/>
                <w:color w:val="auto"/>
                <w:sz w:val="24"/>
                <w:highlight w:val="none"/>
              </w:rPr>
              <w:t>计算，则产生量为</w:t>
            </w:r>
            <w:r>
              <w:rPr>
                <w:rFonts w:hint="eastAsia"/>
                <w:bCs/>
                <w:color w:val="auto"/>
                <w:sz w:val="24"/>
                <w:highlight w:val="none"/>
                <w:lang w:val="en-US" w:eastAsia="zh-CN"/>
              </w:rPr>
              <w:t>9</w:t>
            </w:r>
            <w:r>
              <w:rPr>
                <w:bCs/>
                <w:color w:val="auto"/>
                <w:sz w:val="24"/>
                <w:highlight w:val="none"/>
              </w:rPr>
              <w:t>t/a</w:t>
            </w:r>
            <w:r>
              <w:rPr>
                <w:rFonts w:hAnsi="宋体"/>
                <w:bCs/>
                <w:color w:val="auto"/>
                <w:sz w:val="24"/>
                <w:highlight w:val="none"/>
              </w:rPr>
              <w:t>，由环卫部门定期清运。</w:t>
            </w:r>
          </w:p>
          <w:p w14:paraId="787D253A">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highlight w:val="none"/>
              </w:rPr>
            </w:pPr>
            <w:r>
              <w:rPr>
                <w:bCs/>
                <w:color w:val="auto"/>
                <w:sz w:val="24"/>
                <w:highlight w:val="none"/>
              </w:rPr>
              <w:t>②</w:t>
            </w:r>
            <w:r>
              <w:rPr>
                <w:rFonts w:hAnsi="宋体"/>
                <w:bCs/>
                <w:color w:val="auto"/>
                <w:sz w:val="24"/>
                <w:highlight w:val="none"/>
              </w:rPr>
              <w:t>化粪池污泥</w:t>
            </w:r>
          </w:p>
          <w:p w14:paraId="767D8DFB">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根据《建筑给排水设计标准》（</w:t>
            </w:r>
            <w:r>
              <w:rPr>
                <w:color w:val="auto"/>
                <w:sz w:val="24"/>
                <w:highlight w:val="none"/>
              </w:rPr>
              <w:t>GB50015-2019</w:t>
            </w:r>
            <w:r>
              <w:rPr>
                <w:rFonts w:hAnsi="宋体"/>
                <w:color w:val="auto"/>
                <w:sz w:val="24"/>
                <w:highlight w:val="none"/>
              </w:rPr>
              <w:t>），化粪池计算污泥量为</w:t>
            </w:r>
            <w:r>
              <w:rPr>
                <w:color w:val="auto"/>
                <w:sz w:val="24"/>
                <w:highlight w:val="none"/>
              </w:rPr>
              <w:t>0.3L/</w:t>
            </w:r>
            <w:r>
              <w:rPr>
                <w:rFonts w:hAnsi="宋体"/>
                <w:color w:val="auto"/>
                <w:sz w:val="24"/>
                <w:highlight w:val="none"/>
              </w:rPr>
              <w:t>人</w:t>
            </w:r>
            <w:r>
              <w:rPr>
                <w:color w:val="auto"/>
                <w:sz w:val="24"/>
                <w:highlight w:val="none"/>
              </w:rPr>
              <w:t>•</w:t>
            </w:r>
            <w:r>
              <w:rPr>
                <w:rFonts w:hAnsi="宋体"/>
                <w:color w:val="auto"/>
                <w:sz w:val="24"/>
                <w:highlight w:val="none"/>
              </w:rPr>
              <w:t>天，消化减量</w:t>
            </w:r>
            <w:r>
              <w:rPr>
                <w:color w:val="auto"/>
                <w:sz w:val="24"/>
                <w:highlight w:val="none"/>
              </w:rPr>
              <w:t>20%</w:t>
            </w:r>
            <w:r>
              <w:rPr>
                <w:rFonts w:hAnsi="宋体"/>
                <w:color w:val="auto"/>
                <w:sz w:val="24"/>
                <w:highlight w:val="none"/>
              </w:rPr>
              <w:t>，则污泥产生量为</w:t>
            </w:r>
            <w:r>
              <w:rPr>
                <w:rFonts w:hint="eastAsia"/>
                <w:color w:val="auto"/>
                <w:sz w:val="24"/>
                <w:highlight w:val="none"/>
                <w:lang w:val="en-US" w:eastAsia="zh-CN"/>
              </w:rPr>
              <w:t>3.6</w:t>
            </w:r>
            <w:r>
              <w:rPr>
                <w:color w:val="auto"/>
                <w:sz w:val="24"/>
                <w:highlight w:val="none"/>
              </w:rPr>
              <w:t>t/a</w:t>
            </w:r>
            <w:r>
              <w:rPr>
                <w:rFonts w:hAnsi="宋体"/>
                <w:color w:val="auto"/>
                <w:sz w:val="24"/>
                <w:highlight w:val="none"/>
              </w:rPr>
              <w:t>（含水率</w:t>
            </w:r>
            <w:r>
              <w:rPr>
                <w:color w:val="auto"/>
                <w:sz w:val="24"/>
                <w:highlight w:val="none"/>
              </w:rPr>
              <w:t>90%</w:t>
            </w:r>
            <w:r>
              <w:rPr>
                <w:rFonts w:hAnsi="宋体"/>
                <w:color w:val="auto"/>
                <w:sz w:val="24"/>
                <w:highlight w:val="none"/>
              </w:rPr>
              <w:t>）</w:t>
            </w:r>
            <w:r>
              <w:rPr>
                <w:rFonts w:hint="eastAsia" w:hAnsi="宋体"/>
                <w:color w:val="auto"/>
                <w:sz w:val="24"/>
                <w:highlight w:val="none"/>
              </w:rPr>
              <w:t>，</w:t>
            </w:r>
            <w:r>
              <w:rPr>
                <w:rFonts w:hAnsi="宋体"/>
                <w:bCs/>
                <w:color w:val="auto"/>
                <w:sz w:val="24"/>
                <w:highlight w:val="none"/>
              </w:rPr>
              <w:t>由环卫部门定期清运</w:t>
            </w:r>
            <w:r>
              <w:rPr>
                <w:rFonts w:hAnsi="宋体"/>
                <w:color w:val="auto"/>
                <w:sz w:val="24"/>
                <w:highlight w:val="none"/>
              </w:rPr>
              <w:t>。</w:t>
            </w:r>
          </w:p>
          <w:p w14:paraId="3C63AF4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rPr>
            </w:pPr>
            <w:r>
              <w:rPr>
                <w:rFonts w:ascii="宋体" w:hAnsi="宋体"/>
                <w:bCs/>
                <w:color w:val="auto"/>
                <w:sz w:val="24"/>
                <w:highlight w:val="none"/>
              </w:rPr>
              <w:t>③</w:t>
            </w:r>
            <w:r>
              <w:rPr>
                <w:rFonts w:hint="eastAsia" w:ascii="Times New Roman" w:hAnsi="Times New Roman" w:cs="Times New Roman"/>
                <w:color w:val="auto"/>
                <w:kern w:val="0"/>
                <w:sz w:val="24"/>
                <w:lang w:eastAsia="zh-CN"/>
              </w:rPr>
              <w:t>隔油池废油</w:t>
            </w:r>
          </w:p>
          <w:p w14:paraId="01610ADB">
            <w:pPr>
              <w:keepNext w:val="0"/>
              <w:keepLines w:val="0"/>
              <w:suppressLineNumbers w:val="0"/>
              <w:adjustRightInd w:val="0"/>
              <w:snapToGrid w:val="0"/>
              <w:spacing w:before="0" w:beforeAutospacing="0" w:after="0" w:afterAutospacing="0" w:line="360" w:lineRule="auto"/>
              <w:ind w:left="0" w:right="0" w:firstLine="480" w:firstLineChars="200"/>
              <w:jc w:val="left"/>
              <w:rPr>
                <w:rFonts w:ascii="宋体" w:hAnsi="宋体"/>
                <w:bCs/>
                <w:color w:val="auto"/>
                <w:sz w:val="24"/>
                <w:highlight w:val="none"/>
              </w:rPr>
            </w:pPr>
            <w:r>
              <w:rPr>
                <w:rFonts w:hint="eastAsia" w:ascii="Times New Roman" w:hAnsi="Times New Roman" w:cs="Times New Roman"/>
                <w:color w:val="auto"/>
                <w:kern w:val="0"/>
                <w:sz w:val="24"/>
                <w:lang w:val="en-US" w:eastAsia="zh-CN"/>
              </w:rPr>
              <w:t>项目食堂废水经隔油池+化粪池处理，隔油池处理过程中会产生隔油池废油，根据物料衡算，</w:t>
            </w:r>
            <w:r>
              <w:rPr>
                <w:rFonts w:hint="eastAsia" w:ascii="Times New Roman" w:hAnsi="Times New Roman" w:cs="Times New Roman"/>
                <w:color w:val="auto"/>
                <w:sz w:val="24"/>
                <w:szCs w:val="24"/>
                <w:lang w:eastAsia="zh-CN"/>
              </w:rPr>
              <w:t>隔油池废油</w:t>
            </w:r>
            <w:r>
              <w:rPr>
                <w:rFonts w:hint="default" w:ascii="Times New Roman" w:hAnsi="Times New Roman" w:cs="Times New Roman"/>
                <w:color w:val="auto"/>
                <w:sz w:val="24"/>
              </w:rPr>
              <w:t>产生量约为</w:t>
            </w:r>
            <w:r>
              <w:rPr>
                <w:rFonts w:hint="eastAsia" w:ascii="Times New Roman" w:hAnsi="Times New Roman" w:cs="Times New Roman"/>
                <w:color w:val="auto"/>
                <w:sz w:val="24"/>
                <w:lang w:val="en-US" w:eastAsia="zh-CN"/>
              </w:rPr>
              <w:t>0.</w:t>
            </w:r>
            <w:r>
              <w:rPr>
                <w:rFonts w:hint="eastAsia" w:cs="Times New Roman"/>
                <w:color w:val="auto"/>
                <w:sz w:val="24"/>
                <w:lang w:val="en-US" w:eastAsia="zh-CN"/>
              </w:rPr>
              <w:t>133</w:t>
            </w:r>
            <w:r>
              <w:rPr>
                <w:rFonts w:hint="default" w:ascii="Times New Roman" w:hAnsi="Times New Roman" w:cs="Times New Roman"/>
                <w:color w:val="auto"/>
                <w:sz w:val="24"/>
              </w:rPr>
              <w:t>t/a</w:t>
            </w:r>
            <w:r>
              <w:rPr>
                <w:rFonts w:hint="eastAsia" w:ascii="Times New Roman" w:hAnsi="Times New Roman" w:cs="Times New Roman"/>
                <w:color w:val="auto"/>
                <w:sz w:val="24"/>
                <w:lang w:eastAsia="zh-CN"/>
              </w:rPr>
              <w:t>（含水率</w:t>
            </w:r>
            <w:r>
              <w:rPr>
                <w:rFonts w:hint="eastAsia" w:ascii="Times New Roman" w:hAnsi="Times New Roman" w:cs="Times New Roman"/>
                <w:color w:val="auto"/>
                <w:sz w:val="24"/>
                <w:lang w:val="en-US" w:eastAsia="zh-CN"/>
              </w:rPr>
              <w:t>80%</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p>
          <w:p w14:paraId="4E27BACE">
            <w:pPr>
              <w:pStyle w:val="9"/>
              <w:keepNext w:val="0"/>
              <w:keepLines w:val="0"/>
              <w:suppressLineNumbers w:val="0"/>
              <w:spacing w:before="0" w:beforeAutospacing="0" w:after="0" w:afterAutospacing="0" w:line="360" w:lineRule="auto"/>
              <w:ind w:left="0" w:right="0" w:firstLine="480"/>
              <w:rPr>
                <w:rFonts w:ascii="Times New Roman" w:eastAsia="宋体"/>
                <w:b/>
                <w:color w:val="auto"/>
                <w:kern w:val="0"/>
                <w:sz w:val="24"/>
                <w:highlight w:val="none"/>
              </w:rPr>
            </w:pPr>
            <w:r>
              <w:rPr>
                <w:rFonts w:ascii="Times New Roman" w:hAnsi="宋体" w:eastAsia="宋体"/>
                <w:bCs/>
                <w:color w:val="auto"/>
                <w:sz w:val="24"/>
                <w:highlight w:val="none"/>
              </w:rPr>
              <w:t>根据《中华人民共和国固体废物污染环境防治法</w:t>
            </w:r>
            <w:r>
              <w:rPr>
                <w:rFonts w:hint="eastAsia" w:ascii="Times New Roman" w:hAnsi="宋体" w:eastAsia="宋体"/>
                <w:bCs/>
                <w:color w:val="auto"/>
                <w:sz w:val="24"/>
                <w:highlight w:val="none"/>
                <w:lang w:eastAsia="zh-CN"/>
              </w:rPr>
              <w:t>》《</w:t>
            </w:r>
            <w:r>
              <w:rPr>
                <w:rFonts w:ascii="Times New Roman" w:hAnsi="宋体" w:eastAsia="宋体"/>
                <w:bCs/>
                <w:color w:val="auto"/>
                <w:sz w:val="24"/>
                <w:highlight w:val="none"/>
              </w:rPr>
              <w:t>固体废物鉴别标准通则》（</w:t>
            </w:r>
            <w:r>
              <w:rPr>
                <w:rFonts w:ascii="Times New Roman" w:eastAsia="宋体"/>
                <w:bCs/>
                <w:color w:val="auto"/>
                <w:sz w:val="24"/>
                <w:highlight w:val="none"/>
              </w:rPr>
              <w:t>GB34330-2017</w:t>
            </w:r>
            <w:r>
              <w:rPr>
                <w:rFonts w:ascii="Times New Roman" w:hAnsi="宋体" w:eastAsia="宋体"/>
                <w:bCs/>
                <w:color w:val="auto"/>
                <w:sz w:val="24"/>
                <w:highlight w:val="none"/>
              </w:rPr>
              <w:t>）的规定，判断</w:t>
            </w:r>
            <w:r>
              <w:rPr>
                <w:rFonts w:ascii="Times New Roman" w:hAnsi="宋体" w:eastAsia="宋体"/>
                <w:color w:val="auto"/>
                <w:sz w:val="24"/>
                <w:highlight w:val="none"/>
              </w:rPr>
              <w:t>本项目</w:t>
            </w:r>
            <w:r>
              <w:rPr>
                <w:rFonts w:ascii="Times New Roman" w:hAnsi="宋体" w:eastAsia="宋体"/>
                <w:bCs/>
                <w:color w:val="auto"/>
                <w:sz w:val="24"/>
                <w:highlight w:val="none"/>
              </w:rPr>
              <w:t>生产过程中产生的副产物是否属于固体废物。项目固体废物的副产物属性判定见表</w:t>
            </w:r>
            <w:r>
              <w:rPr>
                <w:rFonts w:ascii="Times New Roman" w:eastAsia="宋体"/>
                <w:bCs/>
                <w:color w:val="auto"/>
                <w:sz w:val="24"/>
                <w:highlight w:val="none"/>
              </w:rPr>
              <w:t>4-</w:t>
            </w:r>
            <w:r>
              <w:rPr>
                <w:rFonts w:hint="eastAsia" w:ascii="Times New Roman" w:eastAsia="宋体"/>
                <w:bCs/>
                <w:color w:val="auto"/>
                <w:sz w:val="24"/>
                <w:highlight w:val="none"/>
              </w:rPr>
              <w:t>1</w:t>
            </w:r>
            <w:r>
              <w:rPr>
                <w:rFonts w:hint="eastAsia" w:ascii="Times New Roman" w:eastAsia="宋体"/>
                <w:bCs/>
                <w:color w:val="auto"/>
                <w:sz w:val="24"/>
                <w:highlight w:val="none"/>
                <w:lang w:val="en-US" w:eastAsia="zh-CN"/>
              </w:rPr>
              <w:t>9</w:t>
            </w:r>
            <w:r>
              <w:rPr>
                <w:rFonts w:ascii="Times New Roman" w:hAnsi="宋体" w:eastAsia="宋体"/>
                <w:bCs/>
                <w:color w:val="auto"/>
                <w:sz w:val="24"/>
                <w:highlight w:val="none"/>
              </w:rPr>
              <w:t>。</w:t>
            </w:r>
            <w:r>
              <w:rPr>
                <w:rFonts w:ascii="Times New Roman" w:hAnsi="宋体" w:eastAsia="宋体"/>
                <w:color w:val="auto"/>
                <w:sz w:val="24"/>
                <w:highlight w:val="none"/>
              </w:rPr>
              <w:t>本项目</w:t>
            </w:r>
            <w:r>
              <w:rPr>
                <w:rFonts w:hint="eastAsia" w:ascii="Times New Roman" w:hAnsi="宋体" w:eastAsia="宋体"/>
                <w:color w:val="auto"/>
                <w:sz w:val="24"/>
                <w:highlight w:val="none"/>
                <w:lang w:eastAsia="zh-CN"/>
              </w:rPr>
              <w:t>固体废物污染</w:t>
            </w:r>
            <w:r>
              <w:rPr>
                <w:rFonts w:ascii="Times New Roman" w:hAnsi="宋体" w:eastAsia="宋体"/>
                <w:bCs/>
                <w:color w:val="auto"/>
                <w:sz w:val="24"/>
                <w:highlight w:val="none"/>
              </w:rPr>
              <w:t>源源强核算结果及相关参数一览表详见表</w:t>
            </w:r>
            <w:r>
              <w:rPr>
                <w:rFonts w:ascii="Times New Roman" w:eastAsia="宋体"/>
                <w:bCs/>
                <w:color w:val="auto"/>
                <w:sz w:val="24"/>
                <w:highlight w:val="none"/>
              </w:rPr>
              <w:t>4-</w:t>
            </w:r>
            <w:r>
              <w:rPr>
                <w:rFonts w:hint="eastAsia" w:ascii="Times New Roman" w:eastAsia="宋体"/>
                <w:bCs/>
                <w:color w:val="auto"/>
                <w:sz w:val="24"/>
                <w:highlight w:val="none"/>
                <w:lang w:val="en-US" w:eastAsia="zh-CN"/>
              </w:rPr>
              <w:t>20</w:t>
            </w:r>
            <w:r>
              <w:rPr>
                <w:rFonts w:ascii="Times New Roman" w:hAnsi="宋体" w:eastAsia="宋体"/>
                <w:bCs/>
                <w:color w:val="auto"/>
                <w:sz w:val="24"/>
                <w:highlight w:val="none"/>
              </w:rPr>
              <w:t>。</w:t>
            </w:r>
          </w:p>
          <w:p w14:paraId="158F679F">
            <w:pPr>
              <w:pStyle w:val="9"/>
              <w:keepNext w:val="0"/>
              <w:keepLines w:val="0"/>
              <w:suppressLineNumbers w:val="0"/>
              <w:spacing w:before="0" w:beforeAutospacing="0" w:after="0" w:afterAutospacing="0" w:line="240" w:lineRule="auto"/>
              <w:ind w:left="0" w:right="0" w:firstLine="0" w:firstLineChars="0"/>
              <w:jc w:val="center"/>
              <w:rPr>
                <w:rFonts w:ascii="Times New Roman" w:eastAsia="宋体"/>
                <w:color w:val="auto"/>
                <w:kern w:val="0"/>
                <w:sz w:val="21"/>
                <w:szCs w:val="21"/>
                <w:highlight w:val="none"/>
              </w:rPr>
            </w:pPr>
            <w:r>
              <w:rPr>
                <w:rFonts w:ascii="Times New Roman" w:hAnsi="宋体" w:eastAsia="宋体"/>
                <w:b/>
                <w:color w:val="auto"/>
                <w:kern w:val="0"/>
                <w:sz w:val="24"/>
                <w:highlight w:val="none"/>
              </w:rPr>
              <w:t>表</w:t>
            </w:r>
            <w:r>
              <w:rPr>
                <w:rFonts w:ascii="Times New Roman" w:eastAsia="宋体"/>
                <w:b/>
                <w:color w:val="auto"/>
                <w:kern w:val="0"/>
                <w:sz w:val="24"/>
                <w:highlight w:val="none"/>
              </w:rPr>
              <w:t>4-</w:t>
            </w:r>
            <w:r>
              <w:rPr>
                <w:rFonts w:hint="eastAsia" w:ascii="Times New Roman" w:eastAsia="宋体"/>
                <w:b/>
                <w:color w:val="auto"/>
                <w:kern w:val="0"/>
                <w:sz w:val="24"/>
                <w:highlight w:val="none"/>
              </w:rPr>
              <w:t>1</w:t>
            </w:r>
            <w:r>
              <w:rPr>
                <w:rFonts w:hint="eastAsia" w:ascii="Times New Roman" w:eastAsia="宋体"/>
                <w:b/>
                <w:color w:val="auto"/>
                <w:kern w:val="0"/>
                <w:sz w:val="24"/>
                <w:highlight w:val="none"/>
                <w:lang w:val="en-US" w:eastAsia="zh-CN"/>
              </w:rPr>
              <w:t>9</w:t>
            </w:r>
            <w:r>
              <w:rPr>
                <w:rFonts w:hint="eastAsia" w:ascii="Times New Roman" w:eastAsia="宋体"/>
                <w:b/>
                <w:color w:val="auto"/>
                <w:kern w:val="0"/>
                <w:sz w:val="24"/>
                <w:highlight w:val="none"/>
              </w:rPr>
              <w:t xml:space="preserve"> </w:t>
            </w:r>
            <w:r>
              <w:rPr>
                <w:rFonts w:ascii="Times New Roman" w:hAnsi="宋体" w:eastAsia="宋体"/>
                <w:b/>
                <w:color w:val="auto"/>
                <w:kern w:val="0"/>
                <w:sz w:val="24"/>
                <w:highlight w:val="none"/>
              </w:rPr>
              <w:t>本项目固体废物属性判定表</w:t>
            </w:r>
            <w:r>
              <w:rPr>
                <w:rFonts w:ascii="Times New Roman" w:hAnsi="宋体" w:eastAsia="宋体"/>
                <w:color w:val="auto"/>
                <w:kern w:val="0"/>
                <w:sz w:val="21"/>
                <w:szCs w:val="21"/>
                <w:highlight w:val="none"/>
              </w:rPr>
              <w:t>单位：</w:t>
            </w:r>
            <w:r>
              <w:rPr>
                <w:rFonts w:ascii="Times New Roman" w:eastAsia="宋体"/>
                <w:color w:val="auto"/>
                <w:kern w:val="0"/>
                <w:sz w:val="21"/>
                <w:szCs w:val="21"/>
                <w:highlight w:val="none"/>
              </w:rPr>
              <w:t>t/a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277"/>
              <w:gridCol w:w="1065"/>
              <w:gridCol w:w="935"/>
              <w:gridCol w:w="1218"/>
              <w:gridCol w:w="856"/>
              <w:gridCol w:w="500"/>
              <w:gridCol w:w="524"/>
              <w:gridCol w:w="1670"/>
            </w:tblGrid>
            <w:tr w14:paraId="577D4412">
              <w:trPr>
                <w:trHeight w:val="340" w:hRule="atLeast"/>
                <w:jc w:val="center"/>
              </w:trPr>
              <w:tc>
                <w:tcPr>
                  <w:tcW w:w="251" w:type="pct"/>
                  <w:vMerge w:val="restart"/>
                  <w:vAlign w:val="center"/>
                </w:tcPr>
                <w:p w14:paraId="1343DB3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序号</w:t>
                  </w:r>
                </w:p>
              </w:tc>
              <w:tc>
                <w:tcPr>
                  <w:tcW w:w="753" w:type="pct"/>
                  <w:vMerge w:val="restart"/>
                  <w:vAlign w:val="center"/>
                </w:tcPr>
                <w:p w14:paraId="545B340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固体废物名称</w:t>
                  </w:r>
                </w:p>
              </w:tc>
              <w:tc>
                <w:tcPr>
                  <w:tcW w:w="628" w:type="pct"/>
                  <w:vMerge w:val="restart"/>
                  <w:vAlign w:val="center"/>
                </w:tcPr>
                <w:p w14:paraId="3EC6F7A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产生工序</w:t>
                  </w:r>
                </w:p>
              </w:tc>
              <w:tc>
                <w:tcPr>
                  <w:tcW w:w="551" w:type="pct"/>
                  <w:vMerge w:val="restart"/>
                  <w:vAlign w:val="center"/>
                </w:tcPr>
                <w:p w14:paraId="116A037F">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形态</w:t>
                  </w:r>
                </w:p>
              </w:tc>
              <w:tc>
                <w:tcPr>
                  <w:tcW w:w="718" w:type="pct"/>
                  <w:vMerge w:val="restart"/>
                  <w:vAlign w:val="center"/>
                </w:tcPr>
                <w:p w14:paraId="46D0A78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主要成分</w:t>
                  </w:r>
                </w:p>
              </w:tc>
              <w:tc>
                <w:tcPr>
                  <w:tcW w:w="505" w:type="pct"/>
                  <w:vMerge w:val="restart"/>
                  <w:vAlign w:val="center"/>
                </w:tcPr>
                <w:p w14:paraId="3DAEA47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产生量</w:t>
                  </w:r>
                </w:p>
              </w:tc>
              <w:tc>
                <w:tcPr>
                  <w:tcW w:w="1590" w:type="pct"/>
                  <w:gridSpan w:val="3"/>
                  <w:vAlign w:val="center"/>
                </w:tcPr>
                <w:p w14:paraId="577C2F9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种类判断</w:t>
                  </w:r>
                </w:p>
              </w:tc>
            </w:tr>
            <w:tr w14:paraId="257AAD1D">
              <w:trPr>
                <w:trHeight w:val="340" w:hRule="atLeast"/>
                <w:jc w:val="center"/>
              </w:trPr>
              <w:tc>
                <w:tcPr>
                  <w:tcW w:w="251" w:type="pct"/>
                  <w:vMerge w:val="continue"/>
                  <w:vAlign w:val="center"/>
                </w:tcPr>
                <w:p w14:paraId="639CC704">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753" w:type="pct"/>
                  <w:vMerge w:val="continue"/>
                  <w:vAlign w:val="center"/>
                </w:tcPr>
                <w:p w14:paraId="110ED46D">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628" w:type="pct"/>
                  <w:vMerge w:val="continue"/>
                  <w:vAlign w:val="center"/>
                </w:tcPr>
                <w:p w14:paraId="1D51BF49">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551" w:type="pct"/>
                  <w:vMerge w:val="continue"/>
                  <w:vAlign w:val="center"/>
                </w:tcPr>
                <w:p w14:paraId="082937BC">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718" w:type="pct"/>
                  <w:vMerge w:val="continue"/>
                  <w:vAlign w:val="center"/>
                </w:tcPr>
                <w:p w14:paraId="2BFCE9E1">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505" w:type="pct"/>
                  <w:vMerge w:val="continue"/>
                  <w:vAlign w:val="center"/>
                </w:tcPr>
                <w:p w14:paraId="2DA5AF46">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295" w:type="pct"/>
                  <w:vAlign w:val="center"/>
                </w:tcPr>
                <w:p w14:paraId="65702F6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固废</w:t>
                  </w:r>
                </w:p>
              </w:tc>
              <w:tc>
                <w:tcPr>
                  <w:tcW w:w="309" w:type="pct"/>
                  <w:vAlign w:val="center"/>
                </w:tcPr>
                <w:p w14:paraId="366F8E3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副产</w:t>
                  </w:r>
                </w:p>
              </w:tc>
              <w:tc>
                <w:tcPr>
                  <w:tcW w:w="985" w:type="pct"/>
                  <w:vAlign w:val="center"/>
                </w:tcPr>
                <w:p w14:paraId="35A5918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判定依据</w:t>
                  </w:r>
                </w:p>
              </w:tc>
            </w:tr>
            <w:tr w14:paraId="2BDE4066">
              <w:trPr>
                <w:trHeight w:val="397" w:hRule="atLeast"/>
                <w:jc w:val="center"/>
              </w:trPr>
              <w:tc>
                <w:tcPr>
                  <w:tcW w:w="251" w:type="pct"/>
                  <w:vAlign w:val="center"/>
                </w:tcPr>
                <w:p w14:paraId="083731B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753" w:type="pct"/>
                  <w:vAlign w:val="center"/>
                </w:tcPr>
                <w:p w14:paraId="5C41545F">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eastAsia="zh-CN"/>
                    </w:rPr>
                  </w:pPr>
                  <w:r>
                    <w:rPr>
                      <w:rFonts w:hint="eastAsia"/>
                      <w:bCs/>
                      <w:color w:val="auto"/>
                      <w:szCs w:val="21"/>
                      <w:highlight w:val="none"/>
                    </w:rPr>
                    <w:t>废包装</w:t>
                  </w:r>
                  <w:r>
                    <w:rPr>
                      <w:rFonts w:hint="eastAsia"/>
                      <w:bCs/>
                      <w:color w:val="auto"/>
                      <w:szCs w:val="21"/>
                      <w:highlight w:val="none"/>
                      <w:lang w:val="en-US" w:eastAsia="zh-CN"/>
                    </w:rPr>
                    <w:t>材料</w:t>
                  </w:r>
                </w:p>
              </w:tc>
              <w:tc>
                <w:tcPr>
                  <w:tcW w:w="628" w:type="pct"/>
                  <w:vAlign w:val="center"/>
                </w:tcPr>
                <w:p w14:paraId="36410C3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原料使用</w:t>
                  </w:r>
                </w:p>
              </w:tc>
              <w:tc>
                <w:tcPr>
                  <w:tcW w:w="551" w:type="pct"/>
                  <w:vAlign w:val="center"/>
                </w:tcPr>
                <w:p w14:paraId="62ED7FE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718" w:type="pct"/>
                  <w:vAlign w:val="center"/>
                </w:tcPr>
                <w:p w14:paraId="4C9D39C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rPr>
                    <w:t>塑料</w:t>
                  </w:r>
                  <w:r>
                    <w:rPr>
                      <w:rFonts w:hint="eastAsia"/>
                      <w:color w:val="auto"/>
                      <w:szCs w:val="21"/>
                      <w:highlight w:val="none"/>
                      <w:lang w:eastAsia="zh-CN"/>
                    </w:rPr>
                    <w:t>、</w:t>
                  </w:r>
                  <w:r>
                    <w:rPr>
                      <w:rFonts w:hint="eastAsia"/>
                      <w:color w:val="auto"/>
                      <w:szCs w:val="21"/>
                      <w:highlight w:val="none"/>
                      <w:lang w:val="en-US" w:eastAsia="zh-CN"/>
                    </w:rPr>
                    <w:t>编织袋</w:t>
                  </w:r>
                </w:p>
              </w:tc>
              <w:tc>
                <w:tcPr>
                  <w:tcW w:w="505" w:type="pct"/>
                  <w:vAlign w:val="center"/>
                </w:tcPr>
                <w:p w14:paraId="5EC9C05E">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6</w:t>
                  </w:r>
                </w:p>
              </w:tc>
              <w:tc>
                <w:tcPr>
                  <w:tcW w:w="295" w:type="pct"/>
                  <w:vAlign w:val="center"/>
                </w:tcPr>
                <w:p w14:paraId="5C875DE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4310DF7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restart"/>
                  <w:vAlign w:val="center"/>
                </w:tcPr>
                <w:p w14:paraId="089B2F4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《固体废物鉴别标准通则》</w:t>
                  </w:r>
                  <w:r>
                    <w:rPr>
                      <w:rFonts w:hint="eastAsia" w:hAnsi="宋体"/>
                      <w:color w:val="auto"/>
                      <w:szCs w:val="21"/>
                      <w:highlight w:val="none"/>
                      <w:lang w:eastAsia="zh-CN"/>
                    </w:rPr>
                    <w:t>（</w:t>
                  </w:r>
                  <w:r>
                    <w:rPr>
                      <w:color w:val="auto"/>
                      <w:szCs w:val="21"/>
                      <w:highlight w:val="none"/>
                    </w:rPr>
                    <w:t>GB34330-2017)</w:t>
                  </w:r>
                </w:p>
              </w:tc>
            </w:tr>
            <w:tr w14:paraId="33C9C6C5">
              <w:trPr>
                <w:trHeight w:val="397" w:hRule="atLeast"/>
                <w:jc w:val="center"/>
              </w:trPr>
              <w:tc>
                <w:tcPr>
                  <w:tcW w:w="251" w:type="pct"/>
                  <w:vAlign w:val="center"/>
                </w:tcPr>
                <w:p w14:paraId="75EFCB2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753" w:type="pct"/>
                  <w:shd w:val="clear" w:color="auto" w:fill="auto"/>
                  <w:vAlign w:val="center"/>
                </w:tcPr>
                <w:p w14:paraId="3550A7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废焊料</w:t>
                  </w:r>
                </w:p>
              </w:tc>
              <w:tc>
                <w:tcPr>
                  <w:tcW w:w="628" w:type="pct"/>
                  <w:shd w:val="clear" w:color="auto" w:fill="auto"/>
                  <w:vAlign w:val="center"/>
                </w:tcPr>
                <w:p w14:paraId="28ACE95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焊接</w:t>
                  </w:r>
                </w:p>
              </w:tc>
              <w:tc>
                <w:tcPr>
                  <w:tcW w:w="551" w:type="pct"/>
                  <w:shd w:val="clear" w:color="auto" w:fill="auto"/>
                  <w:vAlign w:val="center"/>
                </w:tcPr>
                <w:p w14:paraId="61D734A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eastAsia="宋体"/>
                      <w:bCs/>
                      <w:color w:val="auto"/>
                      <w:szCs w:val="21"/>
                      <w:highlight w:val="none"/>
                    </w:rPr>
                    <w:t>固态</w:t>
                  </w:r>
                </w:p>
              </w:tc>
              <w:tc>
                <w:tcPr>
                  <w:tcW w:w="718" w:type="pct"/>
                  <w:shd w:val="clear" w:color="auto" w:fill="auto"/>
                  <w:vAlign w:val="center"/>
                </w:tcPr>
                <w:p w14:paraId="2EF1E2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焊料</w:t>
                  </w:r>
                </w:p>
              </w:tc>
              <w:tc>
                <w:tcPr>
                  <w:tcW w:w="505" w:type="pct"/>
                  <w:shd w:val="clear" w:color="auto" w:fill="auto"/>
                  <w:vAlign w:val="center"/>
                </w:tcPr>
                <w:p w14:paraId="017264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295" w:type="pct"/>
                  <w:vAlign w:val="center"/>
                </w:tcPr>
                <w:p w14:paraId="08885A3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3DCEE71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continue"/>
                  <w:vAlign w:val="center"/>
                </w:tcPr>
                <w:p w14:paraId="513C148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494E1B7C">
              <w:trPr>
                <w:trHeight w:val="397" w:hRule="atLeast"/>
                <w:jc w:val="center"/>
              </w:trPr>
              <w:tc>
                <w:tcPr>
                  <w:tcW w:w="251" w:type="pct"/>
                  <w:shd w:val="clear" w:color="auto" w:fill="auto"/>
                  <w:vAlign w:val="center"/>
                </w:tcPr>
                <w:p w14:paraId="0B15BB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753" w:type="pct"/>
                  <w:vAlign w:val="center"/>
                </w:tcPr>
                <w:p w14:paraId="2470B4C2">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边角料</w:t>
                  </w:r>
                </w:p>
              </w:tc>
              <w:tc>
                <w:tcPr>
                  <w:tcW w:w="628" w:type="pct"/>
                  <w:vAlign w:val="center"/>
                </w:tcPr>
                <w:p w14:paraId="50F73917">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下料、打磨</w:t>
                  </w:r>
                </w:p>
              </w:tc>
              <w:tc>
                <w:tcPr>
                  <w:tcW w:w="551" w:type="pct"/>
                  <w:vAlign w:val="center"/>
                </w:tcPr>
                <w:p w14:paraId="4C766DE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718" w:type="pct"/>
                  <w:vAlign w:val="center"/>
                </w:tcPr>
                <w:p w14:paraId="17B06843">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金属</w:t>
                  </w:r>
                </w:p>
              </w:tc>
              <w:tc>
                <w:tcPr>
                  <w:tcW w:w="505" w:type="pct"/>
                  <w:vAlign w:val="center"/>
                </w:tcPr>
                <w:p w14:paraId="4702B120">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s="Times New Roman"/>
                      <w:color w:val="auto"/>
                      <w:kern w:val="2"/>
                      <w:sz w:val="21"/>
                      <w:szCs w:val="21"/>
                      <w:highlight w:val="none"/>
                      <w:lang w:val="en-US" w:eastAsia="zh-CN" w:bidi="ar-SA"/>
                    </w:rPr>
                    <w:t>30</w:t>
                  </w:r>
                </w:p>
              </w:tc>
              <w:tc>
                <w:tcPr>
                  <w:tcW w:w="295" w:type="pct"/>
                  <w:vAlign w:val="center"/>
                </w:tcPr>
                <w:p w14:paraId="11A2F4D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65240B9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continue"/>
                  <w:vAlign w:val="center"/>
                </w:tcPr>
                <w:p w14:paraId="5393893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D29ADC5">
              <w:trPr>
                <w:trHeight w:val="397" w:hRule="atLeast"/>
                <w:jc w:val="center"/>
              </w:trPr>
              <w:tc>
                <w:tcPr>
                  <w:tcW w:w="251" w:type="pct"/>
                  <w:shd w:val="clear" w:color="auto" w:fill="auto"/>
                  <w:vAlign w:val="center"/>
                </w:tcPr>
                <w:p w14:paraId="115BE76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4</w:t>
                  </w:r>
                </w:p>
              </w:tc>
              <w:tc>
                <w:tcPr>
                  <w:tcW w:w="753" w:type="pct"/>
                  <w:vAlign w:val="center"/>
                </w:tcPr>
                <w:p w14:paraId="453D4AD7">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废布袋</w:t>
                  </w:r>
                </w:p>
              </w:tc>
              <w:tc>
                <w:tcPr>
                  <w:tcW w:w="628" w:type="pct"/>
                  <w:vAlign w:val="center"/>
                </w:tcPr>
                <w:p w14:paraId="3CF56D3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bCs/>
                      <w:color w:val="auto"/>
                      <w:szCs w:val="21"/>
                      <w:highlight w:val="none"/>
                    </w:rPr>
                    <w:t>废气处理</w:t>
                  </w:r>
                </w:p>
              </w:tc>
              <w:tc>
                <w:tcPr>
                  <w:tcW w:w="551" w:type="pct"/>
                  <w:vAlign w:val="center"/>
                </w:tcPr>
                <w:p w14:paraId="59F1B3E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718" w:type="pct"/>
                  <w:vAlign w:val="center"/>
                </w:tcPr>
                <w:p w14:paraId="3C96AEAE">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布袋</w:t>
                  </w:r>
                </w:p>
              </w:tc>
              <w:tc>
                <w:tcPr>
                  <w:tcW w:w="505" w:type="pct"/>
                  <w:vAlign w:val="center"/>
                </w:tcPr>
                <w:p w14:paraId="195EA914">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0.048</w:t>
                  </w:r>
                </w:p>
              </w:tc>
              <w:tc>
                <w:tcPr>
                  <w:tcW w:w="295" w:type="pct"/>
                  <w:vAlign w:val="center"/>
                </w:tcPr>
                <w:p w14:paraId="1EC52A3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1E0252B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continue"/>
                  <w:vAlign w:val="center"/>
                </w:tcPr>
                <w:p w14:paraId="763A7F3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51498DA8">
              <w:trPr>
                <w:trHeight w:val="397" w:hRule="atLeast"/>
                <w:jc w:val="center"/>
              </w:trPr>
              <w:tc>
                <w:tcPr>
                  <w:tcW w:w="251" w:type="pct"/>
                  <w:shd w:val="clear" w:color="auto" w:fill="auto"/>
                  <w:vAlign w:val="center"/>
                </w:tcPr>
                <w:p w14:paraId="32A0A7A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5</w:t>
                  </w:r>
                </w:p>
              </w:tc>
              <w:tc>
                <w:tcPr>
                  <w:tcW w:w="753" w:type="pct"/>
                  <w:vAlign w:val="center"/>
                </w:tcPr>
                <w:p w14:paraId="3E5A085F">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除尘器收集尘</w:t>
                  </w:r>
                </w:p>
              </w:tc>
              <w:tc>
                <w:tcPr>
                  <w:tcW w:w="628" w:type="pct"/>
                  <w:vAlign w:val="center"/>
                </w:tcPr>
                <w:p w14:paraId="5483D87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bCs/>
                      <w:color w:val="auto"/>
                      <w:szCs w:val="21"/>
                      <w:highlight w:val="none"/>
                    </w:rPr>
                    <w:t>废气处理</w:t>
                  </w:r>
                </w:p>
              </w:tc>
              <w:tc>
                <w:tcPr>
                  <w:tcW w:w="551" w:type="pct"/>
                  <w:vAlign w:val="center"/>
                </w:tcPr>
                <w:p w14:paraId="194B769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718" w:type="pct"/>
                  <w:vAlign w:val="center"/>
                </w:tcPr>
                <w:p w14:paraId="2161DB42">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粉尘</w:t>
                  </w:r>
                </w:p>
              </w:tc>
              <w:tc>
                <w:tcPr>
                  <w:tcW w:w="505" w:type="pct"/>
                  <w:vAlign w:val="center"/>
                </w:tcPr>
                <w:p w14:paraId="72FE6C85">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1.6071</w:t>
                  </w:r>
                </w:p>
              </w:tc>
              <w:tc>
                <w:tcPr>
                  <w:tcW w:w="295" w:type="pct"/>
                  <w:vAlign w:val="center"/>
                </w:tcPr>
                <w:p w14:paraId="6383A93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0529196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continue"/>
                  <w:vAlign w:val="center"/>
                </w:tcPr>
                <w:p w14:paraId="585DD70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6DF20EAB">
              <w:trPr>
                <w:trHeight w:val="397" w:hRule="atLeast"/>
                <w:jc w:val="center"/>
              </w:trPr>
              <w:tc>
                <w:tcPr>
                  <w:tcW w:w="251" w:type="pct"/>
                  <w:shd w:val="clear" w:color="auto" w:fill="auto"/>
                  <w:vAlign w:val="center"/>
                </w:tcPr>
                <w:p w14:paraId="696927B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6</w:t>
                  </w:r>
                </w:p>
              </w:tc>
              <w:tc>
                <w:tcPr>
                  <w:tcW w:w="753" w:type="pct"/>
                  <w:shd w:val="clear" w:color="auto" w:fill="auto"/>
                  <w:vAlign w:val="center"/>
                </w:tcPr>
                <w:p w14:paraId="4D4EC55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628" w:type="pct"/>
                  <w:shd w:val="clear" w:color="auto" w:fill="auto"/>
                  <w:vAlign w:val="center"/>
                </w:tcPr>
                <w:p w14:paraId="0F5ED90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551" w:type="pct"/>
                  <w:shd w:val="clear" w:color="auto" w:fill="auto"/>
                  <w:vAlign w:val="center"/>
                </w:tcPr>
                <w:p w14:paraId="676053DC">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固态</w:t>
                  </w:r>
                </w:p>
              </w:tc>
              <w:tc>
                <w:tcPr>
                  <w:tcW w:w="718" w:type="pct"/>
                  <w:shd w:val="clear" w:color="auto" w:fill="auto"/>
                  <w:vAlign w:val="center"/>
                </w:tcPr>
                <w:p w14:paraId="51616EBB">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有机</w:t>
                  </w:r>
                  <w:r>
                    <w:rPr>
                      <w:rFonts w:hint="eastAsia" w:hAnsi="宋体" w:eastAsia="宋体"/>
                      <w:bCs/>
                      <w:color w:val="auto"/>
                      <w:kern w:val="2"/>
                      <w:sz w:val="21"/>
                      <w:szCs w:val="21"/>
                      <w:highlight w:val="none"/>
                      <w:lang w:val="en-US" w:eastAsia="zh-CN"/>
                    </w:rPr>
                    <w:t>废气</w:t>
                  </w:r>
                </w:p>
              </w:tc>
              <w:tc>
                <w:tcPr>
                  <w:tcW w:w="505" w:type="pct"/>
                  <w:shd w:val="clear" w:color="auto" w:fill="auto"/>
                  <w:vAlign w:val="center"/>
                </w:tcPr>
                <w:p w14:paraId="635927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6.474</w:t>
                  </w:r>
                </w:p>
              </w:tc>
              <w:tc>
                <w:tcPr>
                  <w:tcW w:w="295" w:type="pct"/>
                  <w:vAlign w:val="center"/>
                </w:tcPr>
                <w:p w14:paraId="052658A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4655617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continue"/>
                  <w:vAlign w:val="center"/>
                </w:tcPr>
                <w:p w14:paraId="179483DE">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1FE110AD">
              <w:trPr>
                <w:trHeight w:val="397" w:hRule="atLeast"/>
                <w:jc w:val="center"/>
              </w:trPr>
              <w:tc>
                <w:tcPr>
                  <w:tcW w:w="251" w:type="pct"/>
                  <w:shd w:val="clear" w:color="auto" w:fill="auto"/>
                  <w:vAlign w:val="center"/>
                </w:tcPr>
                <w:p w14:paraId="2E2BCF3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7</w:t>
                  </w:r>
                </w:p>
              </w:tc>
              <w:tc>
                <w:tcPr>
                  <w:tcW w:w="753" w:type="pct"/>
                  <w:shd w:val="clear" w:color="auto" w:fill="auto"/>
                  <w:vAlign w:val="center"/>
                </w:tcPr>
                <w:p w14:paraId="1F19DFCA">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废过滤棉</w:t>
                  </w:r>
                </w:p>
              </w:tc>
              <w:tc>
                <w:tcPr>
                  <w:tcW w:w="628" w:type="pct"/>
                  <w:shd w:val="clear" w:color="auto" w:fill="auto"/>
                  <w:vAlign w:val="center"/>
                </w:tcPr>
                <w:p w14:paraId="3F5711C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551" w:type="pct"/>
                  <w:shd w:val="clear" w:color="auto" w:fill="auto"/>
                  <w:vAlign w:val="center"/>
                </w:tcPr>
                <w:p w14:paraId="147D4039">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固态</w:t>
                  </w:r>
                </w:p>
              </w:tc>
              <w:tc>
                <w:tcPr>
                  <w:tcW w:w="718" w:type="pct"/>
                  <w:shd w:val="clear" w:color="auto" w:fill="auto"/>
                  <w:vAlign w:val="center"/>
                </w:tcPr>
                <w:p w14:paraId="675DF492">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有机</w:t>
                  </w:r>
                  <w:r>
                    <w:rPr>
                      <w:rFonts w:hint="eastAsia" w:hAnsi="宋体" w:eastAsia="宋体"/>
                      <w:bCs/>
                      <w:color w:val="auto"/>
                      <w:kern w:val="2"/>
                      <w:sz w:val="21"/>
                      <w:szCs w:val="21"/>
                      <w:highlight w:val="none"/>
                      <w:lang w:val="en-US" w:eastAsia="zh-CN"/>
                    </w:rPr>
                    <w:t>废气</w:t>
                  </w:r>
                </w:p>
              </w:tc>
              <w:tc>
                <w:tcPr>
                  <w:tcW w:w="505" w:type="pct"/>
                  <w:shd w:val="clear" w:color="auto" w:fill="auto"/>
                  <w:vAlign w:val="center"/>
                </w:tcPr>
                <w:p w14:paraId="6AE8703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2.546</w:t>
                  </w:r>
                </w:p>
              </w:tc>
              <w:tc>
                <w:tcPr>
                  <w:tcW w:w="295" w:type="pct"/>
                  <w:vAlign w:val="center"/>
                </w:tcPr>
                <w:p w14:paraId="0E116DD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09" w:type="pct"/>
                  <w:vAlign w:val="center"/>
                </w:tcPr>
                <w:p w14:paraId="683F923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985" w:type="pct"/>
                  <w:vMerge w:val="continue"/>
                  <w:vAlign w:val="center"/>
                </w:tcPr>
                <w:p w14:paraId="7DEB3DD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0922316D">
              <w:trPr>
                <w:trHeight w:val="397" w:hRule="atLeast"/>
                <w:jc w:val="center"/>
              </w:trPr>
              <w:tc>
                <w:tcPr>
                  <w:tcW w:w="251" w:type="pct"/>
                  <w:shd w:val="clear" w:color="auto" w:fill="auto"/>
                  <w:vAlign w:val="center"/>
                </w:tcPr>
                <w:p w14:paraId="033860E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8</w:t>
                  </w:r>
                </w:p>
              </w:tc>
              <w:tc>
                <w:tcPr>
                  <w:tcW w:w="753" w:type="pct"/>
                  <w:shd w:val="clear" w:color="auto" w:fill="auto"/>
                  <w:vAlign w:val="center"/>
                </w:tcPr>
                <w:p w14:paraId="2F621E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废润滑油</w:t>
                  </w:r>
                </w:p>
              </w:tc>
              <w:tc>
                <w:tcPr>
                  <w:tcW w:w="628" w:type="pct"/>
                  <w:shd w:val="clear" w:color="auto" w:fill="auto"/>
                  <w:vAlign w:val="center"/>
                </w:tcPr>
                <w:p w14:paraId="49B50AF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color w:val="auto"/>
                      <w:szCs w:val="21"/>
                      <w:highlight w:val="none"/>
                      <w:lang w:val="en-US" w:eastAsia="zh-CN"/>
                    </w:rPr>
                    <w:t>下料</w:t>
                  </w:r>
                </w:p>
              </w:tc>
              <w:tc>
                <w:tcPr>
                  <w:tcW w:w="551" w:type="pct"/>
                  <w:shd w:val="clear" w:color="auto" w:fill="auto"/>
                  <w:vAlign w:val="center"/>
                </w:tcPr>
                <w:p w14:paraId="22A512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液态</w:t>
                  </w:r>
                </w:p>
              </w:tc>
              <w:tc>
                <w:tcPr>
                  <w:tcW w:w="718" w:type="pct"/>
                  <w:shd w:val="clear" w:color="auto" w:fill="auto"/>
                  <w:vAlign w:val="center"/>
                </w:tcPr>
                <w:p w14:paraId="376538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矿物油</w:t>
                  </w:r>
                </w:p>
              </w:tc>
              <w:tc>
                <w:tcPr>
                  <w:tcW w:w="505" w:type="pct"/>
                  <w:shd w:val="clear" w:color="auto" w:fill="auto"/>
                  <w:vAlign w:val="center"/>
                </w:tcPr>
                <w:p w14:paraId="6F8D18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0.8</w:t>
                  </w:r>
                </w:p>
              </w:tc>
              <w:tc>
                <w:tcPr>
                  <w:tcW w:w="295" w:type="pct"/>
                  <w:vAlign w:val="center"/>
                </w:tcPr>
                <w:p w14:paraId="322381E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309" w:type="pct"/>
                  <w:vAlign w:val="center"/>
                </w:tcPr>
                <w:p w14:paraId="6795E9F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985" w:type="pct"/>
                  <w:vMerge w:val="continue"/>
                  <w:vAlign w:val="center"/>
                </w:tcPr>
                <w:p w14:paraId="11EA4C5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4D0E0984">
              <w:trPr>
                <w:trHeight w:val="397" w:hRule="atLeast"/>
                <w:jc w:val="center"/>
              </w:trPr>
              <w:tc>
                <w:tcPr>
                  <w:tcW w:w="251" w:type="pct"/>
                  <w:shd w:val="clear" w:color="auto" w:fill="auto"/>
                  <w:vAlign w:val="center"/>
                </w:tcPr>
                <w:p w14:paraId="471A619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color w:val="auto"/>
                      <w:szCs w:val="21"/>
                      <w:highlight w:val="none"/>
                    </w:rPr>
                    <w:t>9</w:t>
                  </w:r>
                </w:p>
              </w:tc>
              <w:tc>
                <w:tcPr>
                  <w:tcW w:w="753" w:type="pct"/>
                  <w:shd w:val="clear" w:color="auto" w:fill="auto"/>
                  <w:vAlign w:val="center"/>
                </w:tcPr>
                <w:p w14:paraId="0099EC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废切削液</w:t>
                  </w:r>
                </w:p>
              </w:tc>
              <w:tc>
                <w:tcPr>
                  <w:tcW w:w="628" w:type="pct"/>
                  <w:shd w:val="clear" w:color="auto" w:fill="auto"/>
                  <w:vAlign w:val="center"/>
                </w:tcPr>
                <w:p w14:paraId="63878E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机加工</w:t>
                  </w:r>
                </w:p>
              </w:tc>
              <w:tc>
                <w:tcPr>
                  <w:tcW w:w="551" w:type="pct"/>
                  <w:shd w:val="clear" w:color="auto" w:fill="auto"/>
                  <w:vAlign w:val="center"/>
                </w:tcPr>
                <w:p w14:paraId="27CF043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液态</w:t>
                  </w:r>
                </w:p>
              </w:tc>
              <w:tc>
                <w:tcPr>
                  <w:tcW w:w="718" w:type="pct"/>
                  <w:shd w:val="clear" w:color="auto" w:fill="auto"/>
                  <w:vAlign w:val="center"/>
                </w:tcPr>
                <w:p w14:paraId="483F742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切削液</w:t>
                  </w:r>
                </w:p>
              </w:tc>
              <w:tc>
                <w:tcPr>
                  <w:tcW w:w="505" w:type="pct"/>
                  <w:shd w:val="clear" w:color="auto" w:fill="auto"/>
                  <w:vAlign w:val="center"/>
                </w:tcPr>
                <w:p w14:paraId="38BED2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w:t>
                  </w:r>
                </w:p>
              </w:tc>
              <w:tc>
                <w:tcPr>
                  <w:tcW w:w="295" w:type="pct"/>
                  <w:shd w:val="clear" w:color="auto" w:fill="auto"/>
                  <w:vAlign w:val="center"/>
                </w:tcPr>
                <w:p w14:paraId="74C1646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309" w:type="pct"/>
                  <w:shd w:val="clear" w:color="auto" w:fill="auto"/>
                  <w:vAlign w:val="center"/>
                </w:tcPr>
                <w:p w14:paraId="1F63BD9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985" w:type="pct"/>
                  <w:vMerge w:val="continue"/>
                  <w:vAlign w:val="center"/>
                </w:tcPr>
                <w:p w14:paraId="6086136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4F223965">
              <w:trPr>
                <w:trHeight w:val="397" w:hRule="atLeast"/>
                <w:jc w:val="center"/>
              </w:trPr>
              <w:tc>
                <w:tcPr>
                  <w:tcW w:w="251" w:type="pct"/>
                  <w:shd w:val="clear" w:color="auto" w:fill="auto"/>
                  <w:vAlign w:val="center"/>
                </w:tcPr>
                <w:p w14:paraId="11CB46A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10</w:t>
                  </w:r>
                </w:p>
              </w:tc>
              <w:tc>
                <w:tcPr>
                  <w:tcW w:w="753" w:type="pct"/>
                  <w:shd w:val="clear" w:color="auto" w:fill="auto"/>
                  <w:vAlign w:val="center"/>
                </w:tcPr>
                <w:p w14:paraId="3F3A2E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628" w:type="pct"/>
                  <w:shd w:val="clear" w:color="auto" w:fill="auto"/>
                  <w:vAlign w:val="center"/>
                </w:tcPr>
                <w:p w14:paraId="72DCAA0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喷漆</w:t>
                  </w:r>
                </w:p>
              </w:tc>
              <w:tc>
                <w:tcPr>
                  <w:tcW w:w="551" w:type="pct"/>
                  <w:shd w:val="clear" w:color="auto" w:fill="auto"/>
                  <w:vAlign w:val="center"/>
                </w:tcPr>
                <w:p w14:paraId="26341B1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eastAsia="宋体"/>
                      <w:bCs/>
                      <w:color w:val="auto"/>
                      <w:kern w:val="2"/>
                      <w:sz w:val="21"/>
                      <w:szCs w:val="21"/>
                      <w:highlight w:val="none"/>
                    </w:rPr>
                    <w:t>固态</w:t>
                  </w:r>
                </w:p>
              </w:tc>
              <w:tc>
                <w:tcPr>
                  <w:tcW w:w="718" w:type="pct"/>
                  <w:shd w:val="clear" w:color="auto" w:fill="auto"/>
                  <w:vAlign w:val="center"/>
                </w:tcPr>
                <w:p w14:paraId="6D93007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漆渣</w:t>
                  </w:r>
                </w:p>
              </w:tc>
              <w:tc>
                <w:tcPr>
                  <w:tcW w:w="505" w:type="pct"/>
                  <w:shd w:val="clear" w:color="auto" w:fill="auto"/>
                  <w:vAlign w:val="center"/>
                </w:tcPr>
                <w:p w14:paraId="1B9AEA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0.24</w:t>
                  </w:r>
                </w:p>
              </w:tc>
              <w:tc>
                <w:tcPr>
                  <w:tcW w:w="295" w:type="pct"/>
                  <w:vAlign w:val="center"/>
                </w:tcPr>
                <w:p w14:paraId="333F020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309" w:type="pct"/>
                  <w:vAlign w:val="center"/>
                </w:tcPr>
                <w:p w14:paraId="64F4ED0A">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985" w:type="pct"/>
                  <w:vMerge w:val="continue"/>
                  <w:vAlign w:val="center"/>
                </w:tcPr>
                <w:p w14:paraId="6BF9AFC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E1A055A">
              <w:trPr>
                <w:trHeight w:val="397" w:hRule="atLeast"/>
                <w:jc w:val="center"/>
              </w:trPr>
              <w:tc>
                <w:tcPr>
                  <w:tcW w:w="251" w:type="pct"/>
                  <w:shd w:val="clear" w:color="auto" w:fill="auto"/>
                  <w:vAlign w:val="center"/>
                </w:tcPr>
                <w:p w14:paraId="4AF16DC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11</w:t>
                  </w:r>
                </w:p>
              </w:tc>
              <w:tc>
                <w:tcPr>
                  <w:tcW w:w="753" w:type="pct"/>
                  <w:shd w:val="clear" w:color="auto" w:fill="auto"/>
                  <w:vAlign w:val="center"/>
                </w:tcPr>
                <w:p w14:paraId="025E20C0">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628" w:type="pct"/>
                  <w:shd w:val="clear" w:color="auto" w:fill="auto"/>
                  <w:vAlign w:val="center"/>
                </w:tcPr>
                <w:p w14:paraId="18804D12">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检验</w:t>
                  </w:r>
                </w:p>
              </w:tc>
              <w:tc>
                <w:tcPr>
                  <w:tcW w:w="551" w:type="pct"/>
                  <w:shd w:val="clear" w:color="auto" w:fill="auto"/>
                  <w:vAlign w:val="center"/>
                </w:tcPr>
                <w:p w14:paraId="0A434D32">
                  <w:pPr>
                    <w:keepNext w:val="0"/>
                    <w:keepLines w:val="0"/>
                    <w:suppressLineNumbers w:val="0"/>
                    <w:adjustRightInd w:val="0"/>
                    <w:snapToGrid w:val="0"/>
                    <w:spacing w:before="0" w:beforeAutospacing="0" w:after="0" w:afterAutospacing="0"/>
                    <w:ind w:left="0" w:leftChars="0" w:right="0" w:rightChars="0"/>
                    <w:jc w:val="center"/>
                    <w:rPr>
                      <w:rFonts w:hint="eastAsia"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液态</w:t>
                  </w:r>
                </w:p>
              </w:tc>
              <w:tc>
                <w:tcPr>
                  <w:tcW w:w="718" w:type="pct"/>
                  <w:shd w:val="clear" w:color="auto" w:fill="auto"/>
                  <w:vAlign w:val="center"/>
                </w:tcPr>
                <w:p w14:paraId="49A98C0D">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氯化钠</w:t>
                  </w:r>
                </w:p>
              </w:tc>
              <w:tc>
                <w:tcPr>
                  <w:tcW w:w="505" w:type="pct"/>
                  <w:shd w:val="clear" w:color="auto" w:fill="auto"/>
                  <w:vAlign w:val="center"/>
                </w:tcPr>
                <w:p w14:paraId="5DEC6687">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0.168</w:t>
                  </w:r>
                </w:p>
              </w:tc>
              <w:tc>
                <w:tcPr>
                  <w:tcW w:w="295" w:type="pct"/>
                  <w:shd w:val="clear" w:color="auto" w:fill="auto"/>
                  <w:vAlign w:val="center"/>
                </w:tcPr>
                <w:p w14:paraId="004C8EE5">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309" w:type="pct"/>
                  <w:shd w:val="clear" w:color="auto" w:fill="auto"/>
                  <w:vAlign w:val="center"/>
                </w:tcPr>
                <w:p w14:paraId="789A4B19">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985" w:type="pct"/>
                  <w:vMerge w:val="continue"/>
                  <w:vAlign w:val="center"/>
                </w:tcPr>
                <w:p w14:paraId="3A90F836">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5C2E31A4">
              <w:trPr>
                <w:trHeight w:val="397" w:hRule="atLeast"/>
                <w:jc w:val="center"/>
              </w:trPr>
              <w:tc>
                <w:tcPr>
                  <w:tcW w:w="251" w:type="pct"/>
                  <w:shd w:val="clear" w:color="auto" w:fill="auto"/>
                  <w:vAlign w:val="center"/>
                </w:tcPr>
                <w:p w14:paraId="6764FE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12</w:t>
                  </w:r>
                </w:p>
              </w:tc>
              <w:tc>
                <w:tcPr>
                  <w:tcW w:w="753" w:type="pct"/>
                  <w:shd w:val="clear" w:color="auto" w:fill="auto"/>
                  <w:vAlign w:val="center"/>
                </w:tcPr>
                <w:p w14:paraId="7E4D3183">
                  <w:pPr>
                    <w:keepNext w:val="0"/>
                    <w:keepLines w:val="0"/>
                    <w:suppressLineNumbers w:val="0"/>
                    <w:adjustRightInd w:val="0"/>
                    <w:snapToGrid w:val="0"/>
                    <w:spacing w:before="0" w:beforeAutospacing="0" w:after="0" w:afterAutospacing="0"/>
                    <w:ind w:left="0" w:leftChars="0" w:right="0" w:rightChars="0"/>
                    <w:jc w:val="center"/>
                    <w:rPr>
                      <w:rFonts w:hAnsi="宋体"/>
                      <w:color w:val="auto"/>
                      <w:szCs w:val="21"/>
                      <w:highlight w:val="none"/>
                    </w:rPr>
                  </w:pPr>
                  <w:r>
                    <w:rPr>
                      <w:rFonts w:hint="eastAsia" w:cs="Times New Roman"/>
                      <w:bCs/>
                      <w:color w:val="auto"/>
                      <w:kern w:val="2"/>
                      <w:sz w:val="21"/>
                      <w:szCs w:val="21"/>
                      <w:highlight w:val="none"/>
                      <w:lang w:val="en-US" w:eastAsia="zh-CN" w:bidi="ar-SA"/>
                    </w:rPr>
                    <w:t>水性漆废包装桶</w:t>
                  </w:r>
                </w:p>
              </w:tc>
              <w:tc>
                <w:tcPr>
                  <w:tcW w:w="628" w:type="pct"/>
                  <w:shd w:val="clear" w:color="auto" w:fill="auto"/>
                  <w:vAlign w:val="center"/>
                </w:tcPr>
                <w:p w14:paraId="6427C989">
                  <w:pPr>
                    <w:keepNext w:val="0"/>
                    <w:keepLines w:val="0"/>
                    <w:suppressLineNumbers w:val="0"/>
                    <w:adjustRightInd w:val="0"/>
                    <w:snapToGrid w:val="0"/>
                    <w:spacing w:before="0" w:beforeAutospacing="0" w:after="0" w:afterAutospacing="0"/>
                    <w:ind w:left="0" w:leftChars="0" w:right="0" w:rightChars="0"/>
                    <w:jc w:val="center"/>
                    <w:rPr>
                      <w:rFonts w:hAnsi="宋体"/>
                      <w:color w:val="auto"/>
                      <w:szCs w:val="21"/>
                      <w:highlight w:val="none"/>
                    </w:rPr>
                  </w:pPr>
                  <w:r>
                    <w:rPr>
                      <w:rFonts w:hint="eastAsia"/>
                      <w:color w:val="auto"/>
                      <w:szCs w:val="21"/>
                      <w:highlight w:val="none"/>
                    </w:rPr>
                    <w:t>原料使用</w:t>
                  </w:r>
                </w:p>
              </w:tc>
              <w:tc>
                <w:tcPr>
                  <w:tcW w:w="551" w:type="pct"/>
                  <w:shd w:val="clear" w:color="auto" w:fill="auto"/>
                  <w:vAlign w:val="center"/>
                </w:tcPr>
                <w:p w14:paraId="2F4E9114">
                  <w:pPr>
                    <w:keepNext w:val="0"/>
                    <w:keepLines w:val="0"/>
                    <w:suppressLineNumbers w:val="0"/>
                    <w:adjustRightInd w:val="0"/>
                    <w:snapToGrid w:val="0"/>
                    <w:spacing w:before="0" w:beforeAutospacing="0" w:after="0" w:afterAutospacing="0"/>
                    <w:ind w:left="0" w:leftChars="0" w:right="0" w:rightChars="0"/>
                    <w:jc w:val="center"/>
                    <w:rPr>
                      <w:rFonts w:hAnsi="宋体"/>
                      <w:color w:val="auto"/>
                      <w:szCs w:val="21"/>
                      <w:highlight w:val="none"/>
                    </w:rPr>
                  </w:pPr>
                  <w:r>
                    <w:rPr>
                      <w:rFonts w:hAnsi="宋体" w:eastAsia="宋体"/>
                      <w:bCs/>
                      <w:color w:val="auto"/>
                      <w:kern w:val="2"/>
                      <w:sz w:val="21"/>
                      <w:szCs w:val="21"/>
                      <w:highlight w:val="none"/>
                    </w:rPr>
                    <w:t>固态</w:t>
                  </w:r>
                </w:p>
              </w:tc>
              <w:tc>
                <w:tcPr>
                  <w:tcW w:w="718" w:type="pct"/>
                  <w:shd w:val="clear" w:color="auto" w:fill="auto"/>
                  <w:vAlign w:val="center"/>
                </w:tcPr>
                <w:p w14:paraId="5BF3D002">
                  <w:pPr>
                    <w:keepNext w:val="0"/>
                    <w:keepLines w:val="0"/>
                    <w:suppressLineNumbers w:val="0"/>
                    <w:adjustRightInd w:val="0"/>
                    <w:snapToGrid w:val="0"/>
                    <w:spacing w:before="0" w:beforeAutospacing="0" w:after="0" w:afterAutospacing="0"/>
                    <w:ind w:left="0" w:leftChars="0" w:right="0" w:rightChars="0"/>
                    <w:jc w:val="center"/>
                    <w:rPr>
                      <w:rFonts w:hint="eastAsia" w:hAnsi="宋体" w:eastAsiaTheme="minorEastAsia"/>
                      <w:color w:val="auto"/>
                      <w:szCs w:val="21"/>
                      <w:highlight w:val="none"/>
                      <w:lang w:val="en-US" w:eastAsia="zh-CN"/>
                    </w:rPr>
                  </w:pPr>
                  <w:r>
                    <w:rPr>
                      <w:rFonts w:hint="eastAsia" w:hAnsi="宋体"/>
                      <w:color w:val="auto"/>
                      <w:szCs w:val="21"/>
                      <w:highlight w:val="none"/>
                      <w:lang w:val="en-US" w:eastAsia="zh-CN"/>
                    </w:rPr>
                    <w:t>废桶</w:t>
                  </w:r>
                </w:p>
              </w:tc>
              <w:tc>
                <w:tcPr>
                  <w:tcW w:w="505" w:type="pct"/>
                  <w:shd w:val="clear" w:color="auto" w:fill="auto"/>
                  <w:vAlign w:val="center"/>
                </w:tcPr>
                <w:p w14:paraId="763071CF">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w:t>
                  </w:r>
                </w:p>
              </w:tc>
              <w:tc>
                <w:tcPr>
                  <w:tcW w:w="295" w:type="pct"/>
                  <w:shd w:val="clear" w:color="auto" w:fill="auto"/>
                  <w:vAlign w:val="center"/>
                </w:tcPr>
                <w:p w14:paraId="36080A0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w:t>
                  </w:r>
                </w:p>
              </w:tc>
              <w:tc>
                <w:tcPr>
                  <w:tcW w:w="309" w:type="pct"/>
                  <w:shd w:val="clear" w:color="auto" w:fill="auto"/>
                  <w:vAlign w:val="center"/>
                </w:tcPr>
                <w:p w14:paraId="290C1706">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w:t>
                  </w:r>
                </w:p>
              </w:tc>
              <w:tc>
                <w:tcPr>
                  <w:tcW w:w="985" w:type="pct"/>
                  <w:vMerge w:val="continue"/>
                  <w:vAlign w:val="center"/>
                </w:tcPr>
                <w:p w14:paraId="1D68F41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7C6B34D4">
              <w:trPr>
                <w:trHeight w:val="397" w:hRule="atLeast"/>
                <w:jc w:val="center"/>
              </w:trPr>
              <w:tc>
                <w:tcPr>
                  <w:tcW w:w="251" w:type="pct"/>
                  <w:shd w:val="clear" w:color="auto" w:fill="auto"/>
                  <w:vAlign w:val="center"/>
                </w:tcPr>
                <w:p w14:paraId="42AA72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13</w:t>
                  </w:r>
                </w:p>
              </w:tc>
              <w:tc>
                <w:tcPr>
                  <w:tcW w:w="753" w:type="pct"/>
                  <w:shd w:val="clear" w:color="auto" w:fill="auto"/>
                  <w:vAlign w:val="center"/>
                </w:tcPr>
                <w:p w14:paraId="2A463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628" w:type="pct"/>
                  <w:shd w:val="clear" w:color="auto" w:fill="auto"/>
                  <w:vAlign w:val="center"/>
                </w:tcPr>
                <w:p w14:paraId="6030F6E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olor w:val="auto"/>
                      <w:szCs w:val="21"/>
                      <w:highlight w:val="none"/>
                    </w:rPr>
                    <w:t>原料使用</w:t>
                  </w:r>
                </w:p>
              </w:tc>
              <w:tc>
                <w:tcPr>
                  <w:tcW w:w="551" w:type="pct"/>
                  <w:shd w:val="clear" w:color="auto" w:fill="auto"/>
                  <w:vAlign w:val="center"/>
                </w:tcPr>
                <w:p w14:paraId="7C5B169B">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eastAsia="宋体"/>
                      <w:bCs/>
                      <w:color w:val="auto"/>
                      <w:kern w:val="2"/>
                      <w:sz w:val="21"/>
                      <w:szCs w:val="21"/>
                      <w:highlight w:val="none"/>
                    </w:rPr>
                    <w:t>固态</w:t>
                  </w:r>
                </w:p>
              </w:tc>
              <w:tc>
                <w:tcPr>
                  <w:tcW w:w="718" w:type="pct"/>
                  <w:shd w:val="clear" w:color="auto" w:fill="auto"/>
                  <w:vAlign w:val="center"/>
                </w:tcPr>
                <w:p w14:paraId="3A2E21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废桶</w:t>
                  </w:r>
                </w:p>
              </w:tc>
              <w:tc>
                <w:tcPr>
                  <w:tcW w:w="505" w:type="pct"/>
                  <w:shd w:val="clear" w:color="auto" w:fill="auto"/>
                  <w:vAlign w:val="center"/>
                </w:tcPr>
                <w:p w14:paraId="2916FA95">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0.05</w:t>
                  </w:r>
                </w:p>
              </w:tc>
              <w:tc>
                <w:tcPr>
                  <w:tcW w:w="295" w:type="pct"/>
                  <w:shd w:val="clear" w:color="auto" w:fill="auto"/>
                  <w:vAlign w:val="center"/>
                </w:tcPr>
                <w:p w14:paraId="74A4055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w:t>
                  </w:r>
                </w:p>
              </w:tc>
              <w:tc>
                <w:tcPr>
                  <w:tcW w:w="309" w:type="pct"/>
                  <w:shd w:val="clear" w:color="auto" w:fill="auto"/>
                  <w:vAlign w:val="center"/>
                </w:tcPr>
                <w:p w14:paraId="3A5C7FD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w:t>
                  </w:r>
                </w:p>
              </w:tc>
              <w:tc>
                <w:tcPr>
                  <w:tcW w:w="985" w:type="pct"/>
                  <w:vMerge w:val="continue"/>
                  <w:vAlign w:val="center"/>
                </w:tcPr>
                <w:p w14:paraId="6BE1FCF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1A49A55">
              <w:trPr>
                <w:trHeight w:val="397" w:hRule="atLeast"/>
                <w:jc w:val="center"/>
              </w:trPr>
              <w:tc>
                <w:tcPr>
                  <w:tcW w:w="251" w:type="pct"/>
                  <w:shd w:val="clear" w:color="auto" w:fill="auto"/>
                  <w:vAlign w:val="center"/>
                </w:tcPr>
                <w:p w14:paraId="35E362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14</w:t>
                  </w:r>
                </w:p>
              </w:tc>
              <w:tc>
                <w:tcPr>
                  <w:tcW w:w="753" w:type="pct"/>
                  <w:shd w:val="clear" w:color="auto" w:fill="auto"/>
                  <w:vAlign w:val="center"/>
                </w:tcPr>
                <w:p w14:paraId="0D19FF9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color w:val="auto"/>
                      <w:szCs w:val="21"/>
                      <w:highlight w:val="none"/>
                    </w:rPr>
                    <w:t>生活垃圾</w:t>
                  </w:r>
                </w:p>
              </w:tc>
              <w:tc>
                <w:tcPr>
                  <w:tcW w:w="628" w:type="pct"/>
                  <w:shd w:val="clear" w:color="auto" w:fill="auto"/>
                  <w:vAlign w:val="center"/>
                </w:tcPr>
                <w:p w14:paraId="2F5D214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551" w:type="pct"/>
                  <w:shd w:val="clear" w:color="auto" w:fill="auto"/>
                  <w:vAlign w:val="center"/>
                </w:tcPr>
                <w:p w14:paraId="256EE5A7">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固态</w:t>
                  </w:r>
                </w:p>
              </w:tc>
              <w:tc>
                <w:tcPr>
                  <w:tcW w:w="718" w:type="pct"/>
                  <w:shd w:val="clear" w:color="auto" w:fill="auto"/>
                  <w:vAlign w:val="center"/>
                </w:tcPr>
                <w:p w14:paraId="416F52C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纸张、果皮等</w:t>
                  </w:r>
                </w:p>
              </w:tc>
              <w:tc>
                <w:tcPr>
                  <w:tcW w:w="505" w:type="pct"/>
                  <w:shd w:val="clear" w:color="auto" w:fill="auto"/>
                  <w:vAlign w:val="center"/>
                </w:tcPr>
                <w:p w14:paraId="2705898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9</w:t>
                  </w:r>
                </w:p>
              </w:tc>
              <w:tc>
                <w:tcPr>
                  <w:tcW w:w="295" w:type="pct"/>
                  <w:shd w:val="clear" w:color="auto" w:fill="auto"/>
                  <w:vAlign w:val="center"/>
                </w:tcPr>
                <w:p w14:paraId="7A95D85F">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309" w:type="pct"/>
                  <w:shd w:val="clear" w:color="auto" w:fill="auto"/>
                  <w:vAlign w:val="center"/>
                </w:tcPr>
                <w:p w14:paraId="7B5CF960">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985" w:type="pct"/>
                  <w:vMerge w:val="continue"/>
                  <w:vAlign w:val="center"/>
                </w:tcPr>
                <w:p w14:paraId="083AEF0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6BA4264">
              <w:trPr>
                <w:trHeight w:val="397" w:hRule="atLeast"/>
                <w:jc w:val="center"/>
              </w:trPr>
              <w:tc>
                <w:tcPr>
                  <w:tcW w:w="251" w:type="pct"/>
                  <w:shd w:val="clear" w:color="auto" w:fill="auto"/>
                  <w:vAlign w:val="center"/>
                </w:tcPr>
                <w:p w14:paraId="77A97B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15</w:t>
                  </w:r>
                </w:p>
              </w:tc>
              <w:tc>
                <w:tcPr>
                  <w:tcW w:w="753" w:type="pct"/>
                  <w:shd w:val="clear" w:color="auto" w:fill="auto"/>
                  <w:vAlign w:val="center"/>
                </w:tcPr>
                <w:p w14:paraId="2711403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化粪池污泥</w:t>
                  </w:r>
                </w:p>
              </w:tc>
              <w:tc>
                <w:tcPr>
                  <w:tcW w:w="628" w:type="pct"/>
                  <w:shd w:val="clear" w:color="auto" w:fill="auto"/>
                  <w:vAlign w:val="center"/>
                </w:tcPr>
                <w:p w14:paraId="34321A24">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化粪池</w:t>
                  </w:r>
                </w:p>
              </w:tc>
              <w:tc>
                <w:tcPr>
                  <w:tcW w:w="551" w:type="pct"/>
                  <w:shd w:val="clear" w:color="auto" w:fill="auto"/>
                  <w:vAlign w:val="center"/>
                </w:tcPr>
                <w:p w14:paraId="11516F37">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糊状</w:t>
                  </w:r>
                </w:p>
              </w:tc>
              <w:tc>
                <w:tcPr>
                  <w:tcW w:w="718" w:type="pct"/>
                  <w:shd w:val="clear" w:color="auto" w:fill="auto"/>
                  <w:vAlign w:val="center"/>
                </w:tcPr>
                <w:p w14:paraId="6D449B4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污泥</w:t>
                  </w:r>
                </w:p>
              </w:tc>
              <w:tc>
                <w:tcPr>
                  <w:tcW w:w="505" w:type="pct"/>
                  <w:shd w:val="clear" w:color="auto" w:fill="auto"/>
                  <w:vAlign w:val="center"/>
                </w:tcPr>
                <w:p w14:paraId="370922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3.6</w:t>
                  </w:r>
                </w:p>
              </w:tc>
              <w:tc>
                <w:tcPr>
                  <w:tcW w:w="295" w:type="pct"/>
                  <w:shd w:val="clear" w:color="auto" w:fill="auto"/>
                  <w:vAlign w:val="center"/>
                </w:tcPr>
                <w:p w14:paraId="194038FD">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309" w:type="pct"/>
                  <w:shd w:val="clear" w:color="auto" w:fill="auto"/>
                  <w:vAlign w:val="center"/>
                </w:tcPr>
                <w:p w14:paraId="5E6CD2F3">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985" w:type="pct"/>
                  <w:vMerge w:val="continue"/>
                  <w:vAlign w:val="center"/>
                </w:tcPr>
                <w:p w14:paraId="16FAD08E">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ED54082">
              <w:trPr>
                <w:trHeight w:val="397" w:hRule="atLeast"/>
                <w:jc w:val="center"/>
              </w:trPr>
              <w:tc>
                <w:tcPr>
                  <w:tcW w:w="251" w:type="pct"/>
                  <w:shd w:val="clear" w:color="auto" w:fill="auto"/>
                  <w:vAlign w:val="center"/>
                </w:tcPr>
                <w:p w14:paraId="01A5BCF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16</w:t>
                  </w:r>
                </w:p>
              </w:tc>
              <w:tc>
                <w:tcPr>
                  <w:tcW w:w="753" w:type="pct"/>
                  <w:shd w:val="clear" w:color="auto" w:fill="auto"/>
                  <w:vAlign w:val="center"/>
                </w:tcPr>
                <w:p w14:paraId="0BA0569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隔油池废油</w:t>
                  </w:r>
                </w:p>
              </w:tc>
              <w:tc>
                <w:tcPr>
                  <w:tcW w:w="628" w:type="pct"/>
                  <w:shd w:val="clear" w:color="auto" w:fill="auto"/>
                  <w:vAlign w:val="center"/>
                </w:tcPr>
                <w:p w14:paraId="13F9C4A8">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551" w:type="pct"/>
                  <w:shd w:val="clear" w:color="auto" w:fill="auto"/>
                  <w:vAlign w:val="center"/>
                </w:tcPr>
                <w:p w14:paraId="32578A6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液态</w:t>
                  </w:r>
                </w:p>
              </w:tc>
              <w:tc>
                <w:tcPr>
                  <w:tcW w:w="718" w:type="pct"/>
                  <w:shd w:val="clear" w:color="auto" w:fill="auto"/>
                  <w:vAlign w:val="center"/>
                </w:tcPr>
                <w:p w14:paraId="7EC2C0B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动植物油</w:t>
                  </w:r>
                </w:p>
              </w:tc>
              <w:tc>
                <w:tcPr>
                  <w:tcW w:w="505" w:type="pct"/>
                  <w:shd w:val="clear" w:color="auto" w:fill="auto"/>
                  <w:vAlign w:val="center"/>
                </w:tcPr>
                <w:p w14:paraId="7A86582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0.133</w:t>
                  </w:r>
                </w:p>
              </w:tc>
              <w:tc>
                <w:tcPr>
                  <w:tcW w:w="295" w:type="pct"/>
                  <w:shd w:val="clear" w:color="auto" w:fill="auto"/>
                  <w:vAlign w:val="center"/>
                </w:tcPr>
                <w:p w14:paraId="4633F57D">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309" w:type="pct"/>
                  <w:shd w:val="clear" w:color="auto" w:fill="auto"/>
                  <w:vAlign w:val="center"/>
                </w:tcPr>
                <w:p w14:paraId="7D2D3A87">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985" w:type="pct"/>
                  <w:vMerge w:val="continue"/>
                  <w:vAlign w:val="center"/>
                </w:tcPr>
                <w:p w14:paraId="3B0835D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550F5F3E">
              <w:trPr>
                <w:trHeight w:val="397" w:hRule="atLeast"/>
                <w:jc w:val="center"/>
              </w:trPr>
              <w:tc>
                <w:tcPr>
                  <w:tcW w:w="251" w:type="pct"/>
                  <w:shd w:val="clear" w:color="auto" w:fill="auto"/>
                  <w:vAlign w:val="center"/>
                </w:tcPr>
                <w:p w14:paraId="63C9F3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17</w:t>
                  </w:r>
                </w:p>
              </w:tc>
              <w:tc>
                <w:tcPr>
                  <w:tcW w:w="753" w:type="pct"/>
                  <w:shd w:val="clear" w:color="auto" w:fill="auto"/>
                  <w:vAlign w:val="center"/>
                </w:tcPr>
                <w:p w14:paraId="34405D59">
                  <w:pPr>
                    <w:keepNext w:val="0"/>
                    <w:keepLines w:val="0"/>
                    <w:suppressLineNumbers w:val="0"/>
                    <w:adjustRightInd w:val="0"/>
                    <w:snapToGrid w:val="0"/>
                    <w:spacing w:before="0" w:beforeAutospacing="0" w:after="0" w:afterAutospacing="0"/>
                    <w:ind w:left="0" w:leftChars="0" w:right="0" w:rightChars="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浮渣、污泥</w:t>
                  </w:r>
                </w:p>
              </w:tc>
              <w:tc>
                <w:tcPr>
                  <w:tcW w:w="628" w:type="pct"/>
                  <w:shd w:val="clear" w:color="auto" w:fill="auto"/>
                  <w:vAlign w:val="center"/>
                </w:tcPr>
                <w:p w14:paraId="30127D5A">
                  <w:pPr>
                    <w:keepNext w:val="0"/>
                    <w:keepLines w:val="0"/>
                    <w:suppressLineNumbers w:val="0"/>
                    <w:adjustRightInd w:val="0"/>
                    <w:snapToGrid w:val="0"/>
                    <w:spacing w:before="0" w:beforeAutospacing="0" w:after="0" w:afterAutospacing="0"/>
                    <w:ind w:left="0" w:leftChars="0" w:right="0" w:rightChars="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清洗废水处理</w:t>
                  </w:r>
                </w:p>
              </w:tc>
              <w:tc>
                <w:tcPr>
                  <w:tcW w:w="551" w:type="pct"/>
                  <w:shd w:val="clear" w:color="auto" w:fill="auto"/>
                  <w:vAlign w:val="center"/>
                </w:tcPr>
                <w:p w14:paraId="27D4A677">
                  <w:pPr>
                    <w:keepNext w:val="0"/>
                    <w:keepLines w:val="0"/>
                    <w:suppressLineNumbers w:val="0"/>
                    <w:adjustRightInd w:val="0"/>
                    <w:snapToGrid w:val="0"/>
                    <w:spacing w:before="0" w:beforeAutospacing="0" w:after="0" w:afterAutospacing="0"/>
                    <w:ind w:left="0" w:leftChars="0" w:right="0" w:rightChars="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半固态</w:t>
                  </w:r>
                </w:p>
              </w:tc>
              <w:tc>
                <w:tcPr>
                  <w:tcW w:w="718" w:type="pct"/>
                  <w:shd w:val="clear" w:color="auto" w:fill="auto"/>
                  <w:vAlign w:val="center"/>
                </w:tcPr>
                <w:p w14:paraId="6D079682">
                  <w:pPr>
                    <w:keepNext w:val="0"/>
                    <w:keepLines w:val="0"/>
                    <w:suppressLineNumbers w:val="0"/>
                    <w:adjustRightInd w:val="0"/>
                    <w:snapToGrid w:val="0"/>
                    <w:spacing w:before="0" w:beforeAutospacing="0" w:after="0" w:afterAutospacing="0"/>
                    <w:ind w:left="0" w:leftChars="0" w:right="0" w:rightChars="0"/>
                    <w:jc w:val="center"/>
                    <w:rPr>
                      <w:rFonts w:hint="eastAsia" w:hAnsi="宋体" w:eastAsiaTheme="minorEastAsia"/>
                      <w:color w:val="auto"/>
                      <w:szCs w:val="21"/>
                      <w:highlight w:val="none"/>
                      <w:lang w:val="en-US" w:eastAsia="zh-CN"/>
                    </w:rPr>
                  </w:pPr>
                  <w:r>
                    <w:rPr>
                      <w:rFonts w:hint="eastAsia" w:hAnsi="宋体"/>
                      <w:color w:val="auto"/>
                      <w:szCs w:val="21"/>
                      <w:highlight w:val="none"/>
                      <w:lang w:val="en-US" w:eastAsia="zh-CN"/>
                    </w:rPr>
                    <w:t>浮渣、污泥</w:t>
                  </w:r>
                </w:p>
              </w:tc>
              <w:tc>
                <w:tcPr>
                  <w:tcW w:w="505" w:type="pct"/>
                  <w:shd w:val="clear" w:color="auto" w:fill="auto"/>
                  <w:vAlign w:val="center"/>
                </w:tcPr>
                <w:p w14:paraId="45D9EB67">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1.19</w:t>
                  </w:r>
                </w:p>
              </w:tc>
              <w:tc>
                <w:tcPr>
                  <w:tcW w:w="295" w:type="pct"/>
                  <w:shd w:val="clear" w:color="auto" w:fill="auto"/>
                  <w:vAlign w:val="center"/>
                </w:tcPr>
                <w:p w14:paraId="7ED27F03">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309" w:type="pct"/>
                  <w:shd w:val="clear" w:color="auto" w:fill="auto"/>
                  <w:vAlign w:val="center"/>
                </w:tcPr>
                <w:p w14:paraId="3819567A">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985" w:type="pct"/>
                  <w:vMerge w:val="continue"/>
                  <w:vAlign w:val="center"/>
                </w:tcPr>
                <w:p w14:paraId="0B0FBC6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bl>
          <w:p w14:paraId="0C5F07A3">
            <w:pPr>
              <w:keepNext w:val="0"/>
              <w:keepLines w:val="0"/>
              <w:suppressLineNumbers w:val="0"/>
              <w:adjustRightInd w:val="0"/>
              <w:snapToGrid w:val="0"/>
              <w:spacing w:before="0" w:beforeLines="50" w:beforeAutospacing="0" w:after="0" w:afterAutospacing="0"/>
              <w:ind w:left="0" w:right="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4-</w:t>
            </w:r>
            <w:r>
              <w:rPr>
                <w:rFonts w:hint="eastAsia"/>
                <w:b/>
                <w:snapToGrid w:val="0"/>
                <w:color w:val="auto"/>
                <w:kern w:val="0"/>
                <w:sz w:val="24"/>
                <w:highlight w:val="none"/>
                <w:lang w:val="en-US" w:eastAsia="zh-CN"/>
              </w:rPr>
              <w:t>20</w:t>
            </w:r>
            <w:r>
              <w:rPr>
                <w:rFonts w:hint="eastAsia"/>
                <w:b/>
                <w:snapToGrid w:val="0"/>
                <w:color w:val="auto"/>
                <w:kern w:val="0"/>
                <w:sz w:val="24"/>
                <w:highlight w:val="none"/>
              </w:rPr>
              <w:t xml:space="preserve"> </w:t>
            </w:r>
            <w:r>
              <w:rPr>
                <w:rFonts w:hAnsi="宋体"/>
                <w:b/>
                <w:snapToGrid w:val="0"/>
                <w:color w:val="auto"/>
                <w:kern w:val="0"/>
                <w:sz w:val="24"/>
                <w:highlight w:val="none"/>
              </w:rPr>
              <w:t>建设项目固体废物分析结果汇总表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38"/>
              <w:gridCol w:w="2"/>
              <w:gridCol w:w="595"/>
              <w:gridCol w:w="731"/>
              <w:gridCol w:w="620"/>
              <w:gridCol w:w="468"/>
              <w:gridCol w:w="737"/>
              <w:gridCol w:w="1044"/>
              <w:gridCol w:w="496"/>
              <w:gridCol w:w="642"/>
              <w:gridCol w:w="1105"/>
              <w:gridCol w:w="800"/>
              <w:gridCol w:w="630"/>
              <w:gridCol w:w="363"/>
            </w:tblGrid>
            <w:tr w14:paraId="673BAF93">
              <w:trPr>
                <w:trHeight w:val="486" w:hRule="atLeast"/>
                <w:jc w:val="center"/>
              </w:trPr>
              <w:tc>
                <w:tcPr>
                  <w:tcW w:w="140" w:type="pct"/>
                  <w:vAlign w:val="center"/>
                </w:tcPr>
                <w:p w14:paraId="7E4DAF18">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序号</w:t>
                  </w:r>
                </w:p>
              </w:tc>
              <w:tc>
                <w:tcPr>
                  <w:tcW w:w="352" w:type="pct"/>
                  <w:gridSpan w:val="2"/>
                  <w:vAlign w:val="center"/>
                </w:tcPr>
                <w:p w14:paraId="126496CC">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固废名称</w:t>
                  </w:r>
                </w:p>
              </w:tc>
              <w:tc>
                <w:tcPr>
                  <w:tcW w:w="431" w:type="pct"/>
                  <w:vAlign w:val="center"/>
                </w:tcPr>
                <w:p w14:paraId="3739D494">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属性（危险废物、一般工业固体废物或待鉴别）</w:t>
                  </w:r>
                </w:p>
              </w:tc>
              <w:tc>
                <w:tcPr>
                  <w:tcW w:w="365" w:type="pct"/>
                  <w:vAlign w:val="center"/>
                </w:tcPr>
                <w:p w14:paraId="3103F524">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产生工序</w:t>
                  </w:r>
                </w:p>
              </w:tc>
              <w:tc>
                <w:tcPr>
                  <w:tcW w:w="276" w:type="pct"/>
                  <w:vAlign w:val="center"/>
                </w:tcPr>
                <w:p w14:paraId="15A2E00A">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形态</w:t>
                  </w:r>
                </w:p>
              </w:tc>
              <w:tc>
                <w:tcPr>
                  <w:tcW w:w="435" w:type="pct"/>
                  <w:vAlign w:val="center"/>
                </w:tcPr>
                <w:p w14:paraId="21F514EA">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主要成分</w:t>
                  </w:r>
                </w:p>
              </w:tc>
              <w:tc>
                <w:tcPr>
                  <w:tcW w:w="616" w:type="pct"/>
                  <w:vAlign w:val="center"/>
                </w:tcPr>
                <w:p w14:paraId="145581F6">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危险特性</w:t>
                  </w:r>
                </w:p>
                <w:p w14:paraId="18E4D66E">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鉴别方法</w:t>
                  </w:r>
                </w:p>
              </w:tc>
              <w:tc>
                <w:tcPr>
                  <w:tcW w:w="292" w:type="pct"/>
                  <w:vAlign w:val="center"/>
                </w:tcPr>
                <w:p w14:paraId="18827B1E">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危险</w:t>
                  </w:r>
                </w:p>
                <w:p w14:paraId="5A58E668">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特性</w:t>
                  </w:r>
                </w:p>
              </w:tc>
              <w:tc>
                <w:tcPr>
                  <w:tcW w:w="378" w:type="pct"/>
                  <w:vAlign w:val="center"/>
                </w:tcPr>
                <w:p w14:paraId="596E6B9B">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废物</w:t>
                  </w:r>
                </w:p>
                <w:p w14:paraId="17F96F3D">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类别</w:t>
                  </w:r>
                </w:p>
              </w:tc>
              <w:tc>
                <w:tcPr>
                  <w:tcW w:w="652" w:type="pct"/>
                  <w:vAlign w:val="center"/>
                </w:tcPr>
                <w:p w14:paraId="3303AC77">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废物代码</w:t>
                  </w:r>
                </w:p>
              </w:tc>
              <w:tc>
                <w:tcPr>
                  <w:tcW w:w="472" w:type="pct"/>
                  <w:vAlign w:val="center"/>
                </w:tcPr>
                <w:p w14:paraId="2CECD37B">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产生量（</w:t>
                  </w:r>
                  <w:r>
                    <w:rPr>
                      <w:color w:val="auto"/>
                      <w:szCs w:val="21"/>
                      <w:highlight w:val="none"/>
                    </w:rPr>
                    <w:t>t/a</w:t>
                  </w:r>
                  <w:r>
                    <w:rPr>
                      <w:rFonts w:hAnsi="宋体"/>
                      <w:color w:val="auto"/>
                      <w:szCs w:val="21"/>
                      <w:highlight w:val="none"/>
                    </w:rPr>
                    <w:t>）</w:t>
                  </w:r>
                </w:p>
              </w:tc>
              <w:tc>
                <w:tcPr>
                  <w:tcW w:w="371" w:type="pct"/>
                  <w:vAlign w:val="center"/>
                </w:tcPr>
                <w:p w14:paraId="29558916">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处理处置方法</w:t>
                  </w:r>
                </w:p>
              </w:tc>
              <w:tc>
                <w:tcPr>
                  <w:tcW w:w="214" w:type="pct"/>
                  <w:vAlign w:val="center"/>
                </w:tcPr>
                <w:p w14:paraId="5BC7304C">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排放量</w:t>
                  </w:r>
                </w:p>
              </w:tc>
            </w:tr>
            <w:tr w14:paraId="5F1C620B">
              <w:trPr>
                <w:trHeight w:val="397" w:hRule="atLeast"/>
                <w:jc w:val="center"/>
              </w:trPr>
              <w:tc>
                <w:tcPr>
                  <w:tcW w:w="140" w:type="pct"/>
                  <w:vAlign w:val="center"/>
                </w:tcPr>
                <w:p w14:paraId="56BF893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352" w:type="pct"/>
                  <w:gridSpan w:val="2"/>
                  <w:shd w:val="clear" w:color="auto" w:fill="auto"/>
                  <w:vAlign w:val="center"/>
                </w:tcPr>
                <w:p w14:paraId="4871829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废包装</w:t>
                  </w:r>
                  <w:r>
                    <w:rPr>
                      <w:rFonts w:hint="eastAsia"/>
                      <w:bCs/>
                      <w:color w:val="auto"/>
                      <w:szCs w:val="21"/>
                      <w:highlight w:val="none"/>
                      <w:lang w:val="en-US" w:eastAsia="zh-CN"/>
                    </w:rPr>
                    <w:t>材料</w:t>
                  </w:r>
                </w:p>
              </w:tc>
              <w:tc>
                <w:tcPr>
                  <w:tcW w:w="431" w:type="pct"/>
                  <w:vMerge w:val="restart"/>
                  <w:vAlign w:val="center"/>
                </w:tcPr>
                <w:p w14:paraId="72E745C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一般工业固体废物</w:t>
                  </w:r>
                </w:p>
              </w:tc>
              <w:tc>
                <w:tcPr>
                  <w:tcW w:w="365" w:type="pct"/>
                  <w:vAlign w:val="center"/>
                </w:tcPr>
                <w:p w14:paraId="06E90A7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原料使用</w:t>
                  </w:r>
                </w:p>
              </w:tc>
              <w:tc>
                <w:tcPr>
                  <w:tcW w:w="276" w:type="pct"/>
                  <w:vAlign w:val="center"/>
                </w:tcPr>
                <w:p w14:paraId="5A16E14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435" w:type="pct"/>
                  <w:vAlign w:val="center"/>
                </w:tcPr>
                <w:p w14:paraId="7452121A">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rPr>
                    <w:t>塑料</w:t>
                  </w:r>
                  <w:r>
                    <w:rPr>
                      <w:rFonts w:hint="eastAsia"/>
                      <w:color w:val="auto"/>
                      <w:szCs w:val="21"/>
                      <w:highlight w:val="none"/>
                      <w:lang w:eastAsia="zh-CN"/>
                    </w:rPr>
                    <w:t>、</w:t>
                  </w:r>
                  <w:r>
                    <w:rPr>
                      <w:rFonts w:hint="eastAsia"/>
                      <w:color w:val="auto"/>
                      <w:szCs w:val="21"/>
                      <w:highlight w:val="none"/>
                      <w:lang w:val="en-US" w:eastAsia="zh-CN"/>
                    </w:rPr>
                    <w:t>编织袋</w:t>
                  </w:r>
                </w:p>
              </w:tc>
              <w:tc>
                <w:tcPr>
                  <w:tcW w:w="616" w:type="pct"/>
                  <w:vMerge w:val="restart"/>
                  <w:vAlign w:val="center"/>
                </w:tcPr>
                <w:p w14:paraId="2DE9834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《国家危险废物名录（202</w:t>
                  </w:r>
                  <w:r>
                    <w:rPr>
                      <w:rFonts w:hint="eastAsia"/>
                      <w:color w:val="auto"/>
                      <w:szCs w:val="21"/>
                      <w:highlight w:val="none"/>
                      <w:lang w:val="en-US" w:eastAsia="zh-CN"/>
                    </w:rPr>
                    <w:t>5</w:t>
                  </w:r>
                  <w:r>
                    <w:rPr>
                      <w:color w:val="auto"/>
                      <w:szCs w:val="21"/>
                      <w:highlight w:val="none"/>
                    </w:rPr>
                    <w:t>年）</w:t>
                  </w:r>
                  <w:r>
                    <w:rPr>
                      <w:rFonts w:hint="eastAsia"/>
                      <w:color w:val="auto"/>
                      <w:szCs w:val="21"/>
                      <w:highlight w:val="none"/>
                      <w:lang w:eastAsia="zh-CN"/>
                    </w:rPr>
                    <w:t>》《</w:t>
                  </w:r>
                  <w:r>
                    <w:rPr>
                      <w:color w:val="auto"/>
                      <w:szCs w:val="21"/>
                      <w:highlight w:val="none"/>
                    </w:rPr>
                    <w:t>危险废物</w:t>
                  </w:r>
                </w:p>
                <w:p w14:paraId="3325F43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鉴别标准</w:t>
                  </w:r>
                </w:p>
                <w:p w14:paraId="51EB16E4">
                  <w:pPr>
                    <w:keepNext w:val="0"/>
                    <w:keepLines w:val="0"/>
                    <w:suppressLineNumbers w:val="0"/>
                    <w:adjustRightInd w:val="0"/>
                    <w:snapToGrid w:val="0"/>
                    <w:spacing w:before="0" w:beforeAutospacing="0" w:after="0" w:afterAutospacing="0"/>
                    <w:ind w:left="0" w:right="0"/>
                    <w:jc w:val="center"/>
                    <w:rPr>
                      <w:color w:val="auto"/>
                      <w:highlight w:val="none"/>
                    </w:rPr>
                  </w:pPr>
                  <w:r>
                    <w:rPr>
                      <w:color w:val="auto"/>
                      <w:szCs w:val="21"/>
                      <w:highlight w:val="none"/>
                    </w:rPr>
                    <w:t>通则》（GB5085</w:t>
                  </w:r>
                  <w:r>
                    <w:rPr>
                      <w:rFonts w:hint="eastAsia"/>
                      <w:color w:val="auto"/>
                      <w:szCs w:val="21"/>
                      <w:highlight w:val="none"/>
                    </w:rPr>
                    <w:t>.</w:t>
                  </w:r>
                  <w:r>
                    <w:rPr>
                      <w:color w:val="auto"/>
                      <w:szCs w:val="21"/>
                      <w:highlight w:val="none"/>
                    </w:rPr>
                    <w:t>7-2019</w:t>
                  </w:r>
                  <w:r>
                    <w:rPr>
                      <w:rFonts w:hint="eastAsia"/>
                      <w:color w:val="auto"/>
                      <w:szCs w:val="21"/>
                      <w:highlight w:val="none"/>
                    </w:rPr>
                    <w:t>）</w:t>
                  </w:r>
                </w:p>
              </w:tc>
              <w:tc>
                <w:tcPr>
                  <w:tcW w:w="292" w:type="pct"/>
                  <w:vAlign w:val="center"/>
                </w:tcPr>
                <w:p w14:paraId="3BF6687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65E6C53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SW17</w:t>
                  </w:r>
                </w:p>
              </w:tc>
              <w:tc>
                <w:tcPr>
                  <w:tcW w:w="652" w:type="pct"/>
                  <w:vAlign w:val="center"/>
                </w:tcPr>
                <w:p w14:paraId="3DD93C8E">
                  <w:pPr>
                    <w:keepNext w:val="0"/>
                    <w:keepLines w:val="0"/>
                    <w:widowControl/>
                    <w:suppressLineNumbers w:val="0"/>
                    <w:spacing w:before="0" w:beforeAutospacing="0" w:after="0" w:afterAutospacing="0"/>
                    <w:ind w:left="0" w:right="0"/>
                    <w:jc w:val="center"/>
                    <w:rPr>
                      <w:color w:val="auto"/>
                      <w:szCs w:val="21"/>
                      <w:highlight w:val="none"/>
                    </w:rPr>
                  </w:pPr>
                  <w:r>
                    <w:rPr>
                      <w:rFonts w:eastAsia="宋体"/>
                      <w:color w:val="auto"/>
                      <w:kern w:val="0"/>
                      <w:szCs w:val="21"/>
                      <w:highlight w:val="none"/>
                    </w:rPr>
                    <w:t>900-003-S17</w:t>
                  </w:r>
                </w:p>
              </w:tc>
              <w:tc>
                <w:tcPr>
                  <w:tcW w:w="472" w:type="pct"/>
                  <w:vAlign w:val="center"/>
                </w:tcPr>
                <w:p w14:paraId="6D765686">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6</w:t>
                  </w:r>
                </w:p>
              </w:tc>
              <w:tc>
                <w:tcPr>
                  <w:tcW w:w="371" w:type="pct"/>
                  <w:vMerge w:val="restart"/>
                  <w:vAlign w:val="center"/>
                </w:tcPr>
                <w:p w14:paraId="69EAFB1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外售综合利用</w:t>
                  </w:r>
                </w:p>
              </w:tc>
              <w:tc>
                <w:tcPr>
                  <w:tcW w:w="214" w:type="pct"/>
                  <w:vAlign w:val="center"/>
                </w:tcPr>
                <w:p w14:paraId="73BFFDE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725F80F5">
              <w:trPr>
                <w:trHeight w:val="397" w:hRule="atLeast"/>
                <w:jc w:val="center"/>
              </w:trPr>
              <w:tc>
                <w:tcPr>
                  <w:tcW w:w="140" w:type="pct"/>
                  <w:vAlign w:val="center"/>
                </w:tcPr>
                <w:p w14:paraId="1F9B14B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352" w:type="pct"/>
                  <w:gridSpan w:val="2"/>
                  <w:shd w:val="clear" w:color="auto" w:fill="auto"/>
                  <w:vAlign w:val="center"/>
                </w:tcPr>
                <w:p w14:paraId="4AB09C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废焊料</w:t>
                  </w:r>
                </w:p>
              </w:tc>
              <w:tc>
                <w:tcPr>
                  <w:tcW w:w="431" w:type="pct"/>
                  <w:vMerge w:val="continue"/>
                  <w:vAlign w:val="center"/>
                </w:tcPr>
                <w:p w14:paraId="613D3705">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6888A80A">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焊接</w:t>
                  </w:r>
                </w:p>
              </w:tc>
              <w:tc>
                <w:tcPr>
                  <w:tcW w:w="276" w:type="pct"/>
                  <w:vAlign w:val="center"/>
                </w:tcPr>
                <w:p w14:paraId="37A5DA2D">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固态</w:t>
                  </w:r>
                </w:p>
              </w:tc>
              <w:tc>
                <w:tcPr>
                  <w:tcW w:w="435" w:type="pct"/>
                  <w:vAlign w:val="center"/>
                </w:tcPr>
                <w:p w14:paraId="12C8FF3C">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焊料</w:t>
                  </w:r>
                </w:p>
              </w:tc>
              <w:tc>
                <w:tcPr>
                  <w:tcW w:w="616" w:type="pct"/>
                  <w:vMerge w:val="continue"/>
                  <w:vAlign w:val="center"/>
                </w:tcPr>
                <w:p w14:paraId="216F53E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60A1D3D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17E60F5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SW17</w:t>
                  </w:r>
                </w:p>
              </w:tc>
              <w:tc>
                <w:tcPr>
                  <w:tcW w:w="652" w:type="pct"/>
                  <w:vAlign w:val="center"/>
                </w:tcPr>
                <w:p w14:paraId="4F2FD2B9">
                  <w:pPr>
                    <w:keepNext w:val="0"/>
                    <w:keepLines w:val="0"/>
                    <w:widowControl/>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color w:val="auto"/>
                      <w:szCs w:val="21"/>
                      <w:highlight w:val="none"/>
                    </w:rPr>
                    <w:t>900-099-S</w:t>
                  </w:r>
                  <w:r>
                    <w:rPr>
                      <w:rFonts w:hint="eastAsia"/>
                      <w:color w:val="auto"/>
                      <w:szCs w:val="21"/>
                      <w:highlight w:val="none"/>
                      <w:lang w:val="en-US" w:eastAsia="zh-CN"/>
                    </w:rPr>
                    <w:t>17</w:t>
                  </w:r>
                </w:p>
              </w:tc>
              <w:tc>
                <w:tcPr>
                  <w:tcW w:w="472" w:type="pct"/>
                  <w:vAlign w:val="center"/>
                </w:tcPr>
                <w:p w14:paraId="0E2C5E60">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0.3</w:t>
                  </w:r>
                </w:p>
              </w:tc>
              <w:tc>
                <w:tcPr>
                  <w:tcW w:w="371" w:type="pct"/>
                  <w:vMerge w:val="continue"/>
                  <w:vAlign w:val="center"/>
                </w:tcPr>
                <w:p w14:paraId="0E298D0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0B642AE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6A95DCA9">
              <w:trPr>
                <w:trHeight w:val="397" w:hRule="atLeast"/>
                <w:jc w:val="center"/>
              </w:trPr>
              <w:tc>
                <w:tcPr>
                  <w:tcW w:w="140" w:type="pct"/>
                  <w:shd w:val="clear" w:color="auto" w:fill="auto"/>
                  <w:vAlign w:val="center"/>
                </w:tcPr>
                <w:p w14:paraId="28C87BA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352" w:type="pct"/>
                  <w:gridSpan w:val="2"/>
                  <w:shd w:val="clear" w:color="auto" w:fill="auto"/>
                  <w:vAlign w:val="center"/>
                </w:tcPr>
                <w:p w14:paraId="626F4F0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边角料</w:t>
                  </w:r>
                </w:p>
              </w:tc>
              <w:tc>
                <w:tcPr>
                  <w:tcW w:w="431" w:type="pct"/>
                  <w:vMerge w:val="continue"/>
                  <w:vAlign w:val="center"/>
                </w:tcPr>
                <w:p w14:paraId="7F731891">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4E7A9EA9">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下料、打磨</w:t>
                  </w:r>
                </w:p>
              </w:tc>
              <w:tc>
                <w:tcPr>
                  <w:tcW w:w="276" w:type="pct"/>
                  <w:shd w:val="clear" w:color="auto" w:fill="auto"/>
                  <w:vAlign w:val="center"/>
                </w:tcPr>
                <w:p w14:paraId="1953ED1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eastAsia="宋体"/>
                      <w:bCs/>
                      <w:color w:val="auto"/>
                      <w:szCs w:val="21"/>
                      <w:highlight w:val="none"/>
                    </w:rPr>
                    <w:t>固态</w:t>
                  </w:r>
                </w:p>
              </w:tc>
              <w:tc>
                <w:tcPr>
                  <w:tcW w:w="435" w:type="pct"/>
                  <w:vAlign w:val="center"/>
                </w:tcPr>
                <w:p w14:paraId="481E414B">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金属</w:t>
                  </w:r>
                </w:p>
              </w:tc>
              <w:tc>
                <w:tcPr>
                  <w:tcW w:w="616" w:type="pct"/>
                  <w:vMerge w:val="continue"/>
                  <w:vAlign w:val="center"/>
                </w:tcPr>
                <w:p w14:paraId="41823D1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1AB8964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71E3E3E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SW17</w:t>
                  </w:r>
                </w:p>
              </w:tc>
              <w:tc>
                <w:tcPr>
                  <w:tcW w:w="652" w:type="pct"/>
                  <w:vAlign w:val="center"/>
                </w:tcPr>
                <w:p w14:paraId="0781020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900-001-S17</w:t>
                  </w:r>
                </w:p>
              </w:tc>
              <w:tc>
                <w:tcPr>
                  <w:tcW w:w="472" w:type="pct"/>
                  <w:vAlign w:val="center"/>
                </w:tcPr>
                <w:p w14:paraId="548ACDC2">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30</w:t>
                  </w:r>
                </w:p>
              </w:tc>
              <w:tc>
                <w:tcPr>
                  <w:tcW w:w="371" w:type="pct"/>
                  <w:vMerge w:val="continue"/>
                  <w:vAlign w:val="center"/>
                </w:tcPr>
                <w:p w14:paraId="7204846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6F16DE3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6C37CC50">
              <w:trPr>
                <w:trHeight w:val="397" w:hRule="atLeast"/>
                <w:jc w:val="center"/>
              </w:trPr>
              <w:tc>
                <w:tcPr>
                  <w:tcW w:w="140" w:type="pct"/>
                  <w:shd w:val="clear" w:color="auto" w:fill="auto"/>
                  <w:vAlign w:val="center"/>
                </w:tcPr>
                <w:p w14:paraId="3A07135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4</w:t>
                  </w:r>
                </w:p>
              </w:tc>
              <w:tc>
                <w:tcPr>
                  <w:tcW w:w="352" w:type="pct"/>
                  <w:gridSpan w:val="2"/>
                  <w:shd w:val="clear" w:color="auto" w:fill="auto"/>
                  <w:vAlign w:val="center"/>
                </w:tcPr>
                <w:p w14:paraId="2A71258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废布袋</w:t>
                  </w:r>
                </w:p>
              </w:tc>
              <w:tc>
                <w:tcPr>
                  <w:tcW w:w="431" w:type="pct"/>
                  <w:vMerge w:val="continue"/>
                  <w:vAlign w:val="center"/>
                </w:tcPr>
                <w:p w14:paraId="0F3CF9B7">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6549EEB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276" w:type="pct"/>
                  <w:shd w:val="clear" w:color="auto" w:fill="auto"/>
                  <w:vAlign w:val="center"/>
                </w:tcPr>
                <w:p w14:paraId="336CB4A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固态</w:t>
                  </w:r>
                </w:p>
              </w:tc>
              <w:tc>
                <w:tcPr>
                  <w:tcW w:w="435" w:type="pct"/>
                  <w:vAlign w:val="center"/>
                </w:tcPr>
                <w:p w14:paraId="3C82A222">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布袋</w:t>
                  </w:r>
                </w:p>
              </w:tc>
              <w:tc>
                <w:tcPr>
                  <w:tcW w:w="616" w:type="pct"/>
                  <w:vMerge w:val="continue"/>
                  <w:vAlign w:val="center"/>
                </w:tcPr>
                <w:p w14:paraId="1D07D13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4E64E527">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78" w:type="pct"/>
                  <w:vAlign w:val="center"/>
                </w:tcPr>
                <w:p w14:paraId="515A68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SW59</w:t>
                  </w:r>
                </w:p>
              </w:tc>
              <w:tc>
                <w:tcPr>
                  <w:tcW w:w="652" w:type="pct"/>
                  <w:vAlign w:val="center"/>
                </w:tcPr>
                <w:p w14:paraId="28D1F6D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900-099-S59</w:t>
                  </w:r>
                </w:p>
              </w:tc>
              <w:tc>
                <w:tcPr>
                  <w:tcW w:w="472" w:type="pct"/>
                  <w:vAlign w:val="center"/>
                </w:tcPr>
                <w:p w14:paraId="1385BB94">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0.048</w:t>
                  </w:r>
                </w:p>
              </w:tc>
              <w:tc>
                <w:tcPr>
                  <w:tcW w:w="371" w:type="pct"/>
                  <w:vMerge w:val="continue"/>
                  <w:vAlign w:val="center"/>
                </w:tcPr>
                <w:p w14:paraId="063D84F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2904DDA9">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0</w:t>
                  </w:r>
                </w:p>
              </w:tc>
            </w:tr>
            <w:tr w14:paraId="285A96BB">
              <w:trPr>
                <w:trHeight w:val="397" w:hRule="atLeast"/>
                <w:jc w:val="center"/>
              </w:trPr>
              <w:tc>
                <w:tcPr>
                  <w:tcW w:w="140" w:type="pct"/>
                  <w:shd w:val="clear" w:color="auto" w:fill="auto"/>
                  <w:vAlign w:val="center"/>
                </w:tcPr>
                <w:p w14:paraId="2CABB004">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5</w:t>
                  </w:r>
                </w:p>
              </w:tc>
              <w:tc>
                <w:tcPr>
                  <w:tcW w:w="352" w:type="pct"/>
                  <w:gridSpan w:val="2"/>
                  <w:shd w:val="clear" w:color="auto" w:fill="auto"/>
                  <w:vAlign w:val="center"/>
                </w:tcPr>
                <w:p w14:paraId="6C798F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除尘器收集尘</w:t>
                  </w:r>
                </w:p>
              </w:tc>
              <w:tc>
                <w:tcPr>
                  <w:tcW w:w="431" w:type="pct"/>
                  <w:vMerge w:val="continue"/>
                  <w:vAlign w:val="center"/>
                </w:tcPr>
                <w:p w14:paraId="05CC01BC">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5C28B7CC">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276" w:type="pct"/>
                  <w:vAlign w:val="center"/>
                </w:tcPr>
                <w:p w14:paraId="2B0D586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固态</w:t>
                  </w:r>
                </w:p>
              </w:tc>
              <w:tc>
                <w:tcPr>
                  <w:tcW w:w="435" w:type="pct"/>
                  <w:vAlign w:val="center"/>
                </w:tcPr>
                <w:p w14:paraId="27C0D683">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粉尘</w:t>
                  </w:r>
                </w:p>
              </w:tc>
              <w:tc>
                <w:tcPr>
                  <w:tcW w:w="616" w:type="pct"/>
                  <w:vMerge w:val="continue"/>
                  <w:vAlign w:val="center"/>
                </w:tcPr>
                <w:p w14:paraId="06ADC6F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6307B926">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78" w:type="pct"/>
                  <w:vAlign w:val="center"/>
                </w:tcPr>
                <w:p w14:paraId="41C0C88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SW59</w:t>
                  </w:r>
                </w:p>
              </w:tc>
              <w:tc>
                <w:tcPr>
                  <w:tcW w:w="652" w:type="pct"/>
                  <w:vAlign w:val="center"/>
                </w:tcPr>
                <w:p w14:paraId="5ECCF98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900-099-S59</w:t>
                  </w:r>
                </w:p>
              </w:tc>
              <w:tc>
                <w:tcPr>
                  <w:tcW w:w="472" w:type="pct"/>
                  <w:vAlign w:val="center"/>
                </w:tcPr>
                <w:p w14:paraId="58699BF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1.6071</w:t>
                  </w:r>
                </w:p>
              </w:tc>
              <w:tc>
                <w:tcPr>
                  <w:tcW w:w="371" w:type="pct"/>
                  <w:vMerge w:val="continue"/>
                  <w:vAlign w:val="center"/>
                </w:tcPr>
                <w:p w14:paraId="5B83FF2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1CE83EC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334BC146">
              <w:trPr>
                <w:trHeight w:val="397" w:hRule="atLeast"/>
                <w:jc w:val="center"/>
              </w:trPr>
              <w:tc>
                <w:tcPr>
                  <w:tcW w:w="140" w:type="pct"/>
                  <w:shd w:val="clear" w:color="auto" w:fill="auto"/>
                  <w:vAlign w:val="center"/>
                </w:tcPr>
                <w:p w14:paraId="54A39B7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6</w:t>
                  </w:r>
                </w:p>
              </w:tc>
              <w:tc>
                <w:tcPr>
                  <w:tcW w:w="352" w:type="pct"/>
                  <w:gridSpan w:val="2"/>
                  <w:vAlign w:val="center"/>
                </w:tcPr>
                <w:p w14:paraId="76AEEA10">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废活性炭</w:t>
                  </w:r>
                </w:p>
              </w:tc>
              <w:tc>
                <w:tcPr>
                  <w:tcW w:w="431" w:type="pct"/>
                  <w:vMerge w:val="restart"/>
                  <w:vAlign w:val="center"/>
                </w:tcPr>
                <w:p w14:paraId="57DDB16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危险废物</w:t>
                  </w:r>
                </w:p>
              </w:tc>
              <w:tc>
                <w:tcPr>
                  <w:tcW w:w="365" w:type="pct"/>
                  <w:vAlign w:val="center"/>
                </w:tcPr>
                <w:p w14:paraId="040284C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废气处理</w:t>
                  </w:r>
                </w:p>
              </w:tc>
              <w:tc>
                <w:tcPr>
                  <w:tcW w:w="276" w:type="pct"/>
                  <w:vAlign w:val="center"/>
                </w:tcPr>
                <w:p w14:paraId="26187559">
                  <w:pPr>
                    <w:pStyle w:val="70"/>
                    <w:keepNext w:val="0"/>
                    <w:keepLines w:val="0"/>
                    <w:widowControl w:val="0"/>
                    <w:suppressLineNumbers w:val="0"/>
                    <w:adjustRightInd w:val="0"/>
                    <w:snapToGrid w:val="0"/>
                    <w:spacing w:before="0" w:beforeAutospacing="0" w:after="0" w:afterAutospacing="0"/>
                    <w:ind w:left="0" w:leftChars="0" w:right="0"/>
                    <w:jc w:val="center"/>
                    <w:rPr>
                      <w:rFonts w:eastAsia="宋体"/>
                      <w:bCs/>
                      <w:color w:val="auto"/>
                      <w:szCs w:val="21"/>
                      <w:highlight w:val="none"/>
                    </w:rPr>
                  </w:pPr>
                  <w:r>
                    <w:rPr>
                      <w:rFonts w:hAnsi="宋体" w:eastAsia="宋体"/>
                      <w:bCs/>
                      <w:color w:val="auto"/>
                      <w:kern w:val="2"/>
                      <w:sz w:val="21"/>
                      <w:szCs w:val="21"/>
                      <w:highlight w:val="none"/>
                    </w:rPr>
                    <w:t>固态</w:t>
                  </w:r>
                </w:p>
              </w:tc>
              <w:tc>
                <w:tcPr>
                  <w:tcW w:w="435" w:type="pct"/>
                  <w:vAlign w:val="center"/>
                </w:tcPr>
                <w:p w14:paraId="280D1D47">
                  <w:pPr>
                    <w:pStyle w:val="70"/>
                    <w:keepNext w:val="0"/>
                    <w:keepLines w:val="0"/>
                    <w:widowControl w:val="0"/>
                    <w:suppressLineNumbers w:val="0"/>
                    <w:adjustRightInd w:val="0"/>
                    <w:snapToGrid w:val="0"/>
                    <w:spacing w:before="0" w:beforeAutospacing="0" w:after="0" w:afterAutospacing="0"/>
                    <w:ind w:left="0" w:leftChars="0" w:right="0"/>
                    <w:jc w:val="center"/>
                    <w:rPr>
                      <w:rFonts w:hint="eastAsia" w:eastAsia="宋体"/>
                      <w:bCs/>
                      <w:color w:val="auto"/>
                      <w:szCs w:val="21"/>
                      <w:highlight w:val="none"/>
                      <w:lang w:eastAsia="zh-CN"/>
                    </w:rPr>
                  </w:pPr>
                  <w:r>
                    <w:rPr>
                      <w:rFonts w:hAnsi="宋体" w:eastAsia="宋体"/>
                      <w:bCs/>
                      <w:color w:val="auto"/>
                      <w:kern w:val="2"/>
                      <w:sz w:val="21"/>
                      <w:szCs w:val="21"/>
                      <w:highlight w:val="none"/>
                    </w:rPr>
                    <w:t>有机</w:t>
                  </w:r>
                  <w:r>
                    <w:rPr>
                      <w:rFonts w:hint="eastAsia" w:hAnsi="宋体" w:eastAsia="宋体"/>
                      <w:bCs/>
                      <w:color w:val="auto"/>
                      <w:kern w:val="2"/>
                      <w:sz w:val="21"/>
                      <w:szCs w:val="21"/>
                      <w:highlight w:val="none"/>
                      <w:lang w:val="en-US" w:eastAsia="zh-CN"/>
                    </w:rPr>
                    <w:t>废气</w:t>
                  </w:r>
                </w:p>
              </w:tc>
              <w:tc>
                <w:tcPr>
                  <w:tcW w:w="616" w:type="pct"/>
                  <w:vMerge w:val="continue"/>
                  <w:vAlign w:val="center"/>
                </w:tcPr>
                <w:p w14:paraId="2B2770E7">
                  <w:pPr>
                    <w:keepNext w:val="0"/>
                    <w:keepLines w:val="0"/>
                    <w:suppressLineNumbers w:val="0"/>
                    <w:adjustRightInd w:val="0"/>
                    <w:snapToGrid w:val="0"/>
                    <w:spacing w:before="0" w:beforeAutospacing="0" w:after="0" w:afterAutospacing="0"/>
                    <w:ind w:left="0" w:right="0"/>
                    <w:jc w:val="center"/>
                    <w:rPr>
                      <w:color w:val="auto"/>
                      <w:highlight w:val="none"/>
                    </w:rPr>
                  </w:pPr>
                </w:p>
              </w:tc>
              <w:tc>
                <w:tcPr>
                  <w:tcW w:w="292" w:type="pct"/>
                  <w:vAlign w:val="center"/>
                </w:tcPr>
                <w:p w14:paraId="6E553DA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T/In</w:t>
                  </w:r>
                </w:p>
              </w:tc>
              <w:tc>
                <w:tcPr>
                  <w:tcW w:w="378" w:type="pct"/>
                  <w:vAlign w:val="center"/>
                </w:tcPr>
                <w:p w14:paraId="4D33918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HW49</w:t>
                  </w:r>
                </w:p>
              </w:tc>
              <w:tc>
                <w:tcPr>
                  <w:tcW w:w="652" w:type="pct"/>
                  <w:vAlign w:val="center"/>
                </w:tcPr>
                <w:p w14:paraId="6F1C83F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900-039-49</w:t>
                  </w:r>
                </w:p>
              </w:tc>
              <w:tc>
                <w:tcPr>
                  <w:tcW w:w="472" w:type="pct"/>
                  <w:shd w:val="clear" w:color="auto" w:fill="auto"/>
                  <w:vAlign w:val="center"/>
                </w:tcPr>
                <w:p w14:paraId="423CEEE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6.474</w:t>
                  </w:r>
                </w:p>
              </w:tc>
              <w:tc>
                <w:tcPr>
                  <w:tcW w:w="371" w:type="pct"/>
                  <w:vMerge w:val="restart"/>
                  <w:vAlign w:val="center"/>
                </w:tcPr>
                <w:p w14:paraId="394A67F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交由</w:t>
                  </w:r>
                  <w:r>
                    <w:rPr>
                      <w:color w:val="auto"/>
                      <w:szCs w:val="21"/>
                      <w:highlight w:val="none"/>
                    </w:rPr>
                    <w:t>资质单位安全处置</w:t>
                  </w:r>
                </w:p>
              </w:tc>
              <w:tc>
                <w:tcPr>
                  <w:tcW w:w="214" w:type="pct"/>
                  <w:vAlign w:val="center"/>
                </w:tcPr>
                <w:p w14:paraId="2209F26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1E6CA344">
              <w:trPr>
                <w:trHeight w:val="397" w:hRule="atLeast"/>
                <w:jc w:val="center"/>
              </w:trPr>
              <w:tc>
                <w:tcPr>
                  <w:tcW w:w="140" w:type="pct"/>
                  <w:shd w:val="clear" w:color="auto" w:fill="auto"/>
                  <w:vAlign w:val="center"/>
                </w:tcPr>
                <w:p w14:paraId="20BC13AC">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7</w:t>
                  </w:r>
                </w:p>
              </w:tc>
              <w:tc>
                <w:tcPr>
                  <w:tcW w:w="352" w:type="pct"/>
                  <w:gridSpan w:val="2"/>
                  <w:vAlign w:val="center"/>
                </w:tcPr>
                <w:p w14:paraId="27B0C7E8">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废过滤棉</w:t>
                  </w:r>
                </w:p>
              </w:tc>
              <w:tc>
                <w:tcPr>
                  <w:tcW w:w="431" w:type="pct"/>
                  <w:vMerge w:val="continue"/>
                  <w:vAlign w:val="center"/>
                </w:tcPr>
                <w:p w14:paraId="76AE5EE0">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39C9FCC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276" w:type="pct"/>
                  <w:shd w:val="clear" w:color="auto" w:fill="auto"/>
                  <w:vAlign w:val="center"/>
                </w:tcPr>
                <w:p w14:paraId="059A2544">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固态</w:t>
                  </w:r>
                </w:p>
              </w:tc>
              <w:tc>
                <w:tcPr>
                  <w:tcW w:w="435" w:type="pct"/>
                  <w:shd w:val="clear" w:color="auto" w:fill="auto"/>
                  <w:vAlign w:val="center"/>
                </w:tcPr>
                <w:p w14:paraId="1BE3BF64">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有机</w:t>
                  </w:r>
                  <w:r>
                    <w:rPr>
                      <w:rFonts w:hint="eastAsia" w:hAnsi="宋体" w:eastAsia="宋体"/>
                      <w:bCs/>
                      <w:color w:val="auto"/>
                      <w:kern w:val="2"/>
                      <w:sz w:val="21"/>
                      <w:szCs w:val="21"/>
                      <w:highlight w:val="none"/>
                      <w:lang w:val="en-US" w:eastAsia="zh-CN"/>
                    </w:rPr>
                    <w:t>废气</w:t>
                  </w:r>
                </w:p>
              </w:tc>
              <w:tc>
                <w:tcPr>
                  <w:tcW w:w="616" w:type="pct"/>
                  <w:vMerge w:val="continue"/>
                  <w:vAlign w:val="center"/>
                </w:tcPr>
                <w:p w14:paraId="6FE302C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35106DC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T/In</w:t>
                  </w:r>
                </w:p>
              </w:tc>
              <w:tc>
                <w:tcPr>
                  <w:tcW w:w="378" w:type="pct"/>
                  <w:shd w:val="clear" w:color="auto" w:fill="auto"/>
                  <w:vAlign w:val="center"/>
                </w:tcPr>
                <w:p w14:paraId="4E72969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HW49</w:t>
                  </w:r>
                </w:p>
              </w:tc>
              <w:tc>
                <w:tcPr>
                  <w:tcW w:w="652" w:type="pct"/>
                  <w:shd w:val="clear" w:color="auto" w:fill="auto"/>
                  <w:vAlign w:val="center"/>
                </w:tcPr>
                <w:p w14:paraId="54A846A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900-041-49</w:t>
                  </w:r>
                </w:p>
              </w:tc>
              <w:tc>
                <w:tcPr>
                  <w:tcW w:w="472" w:type="pct"/>
                  <w:shd w:val="clear" w:color="auto" w:fill="auto"/>
                  <w:vAlign w:val="center"/>
                </w:tcPr>
                <w:p w14:paraId="18ED7B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2.546</w:t>
                  </w:r>
                </w:p>
              </w:tc>
              <w:tc>
                <w:tcPr>
                  <w:tcW w:w="371" w:type="pct"/>
                  <w:vMerge w:val="continue"/>
                  <w:vAlign w:val="center"/>
                </w:tcPr>
                <w:p w14:paraId="3FC606C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5AE725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53D6C771">
              <w:trPr>
                <w:trHeight w:val="397" w:hRule="atLeast"/>
                <w:jc w:val="center"/>
              </w:trPr>
              <w:tc>
                <w:tcPr>
                  <w:tcW w:w="140" w:type="pct"/>
                  <w:shd w:val="clear" w:color="auto" w:fill="auto"/>
                  <w:vAlign w:val="center"/>
                </w:tcPr>
                <w:p w14:paraId="77B6A170">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8</w:t>
                  </w:r>
                </w:p>
              </w:tc>
              <w:tc>
                <w:tcPr>
                  <w:tcW w:w="352" w:type="pct"/>
                  <w:gridSpan w:val="2"/>
                  <w:shd w:val="clear" w:color="auto" w:fill="auto"/>
                  <w:vAlign w:val="center"/>
                </w:tcPr>
                <w:p w14:paraId="6D3AA31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431" w:type="pct"/>
                  <w:vMerge w:val="continue"/>
                  <w:vAlign w:val="center"/>
                </w:tcPr>
                <w:p w14:paraId="7E3F75AB">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7AF33FA6">
                  <w:pPr>
                    <w:keepNext w:val="0"/>
                    <w:keepLines w:val="0"/>
                    <w:suppressLineNumbers w:val="0"/>
                    <w:adjustRightInd w:val="0"/>
                    <w:snapToGrid w:val="0"/>
                    <w:spacing w:before="0" w:beforeAutospacing="0" w:after="0" w:afterAutospacing="0"/>
                    <w:ind w:left="0" w:right="0"/>
                    <w:jc w:val="center"/>
                    <w:rPr>
                      <w:rFonts w:hint="eastAsia" w:hAnsi="宋体" w:eastAsiaTheme="minorEastAsia"/>
                      <w:bCs/>
                      <w:color w:val="auto"/>
                      <w:szCs w:val="21"/>
                      <w:highlight w:val="none"/>
                      <w:lang w:val="en-US" w:eastAsia="zh-CN"/>
                    </w:rPr>
                  </w:pPr>
                  <w:r>
                    <w:rPr>
                      <w:rFonts w:hint="eastAsia" w:hAnsi="宋体"/>
                      <w:bCs/>
                      <w:color w:val="auto"/>
                      <w:szCs w:val="21"/>
                      <w:highlight w:val="none"/>
                      <w:lang w:val="en-US" w:eastAsia="zh-CN"/>
                    </w:rPr>
                    <w:t>下料</w:t>
                  </w:r>
                </w:p>
              </w:tc>
              <w:tc>
                <w:tcPr>
                  <w:tcW w:w="276" w:type="pct"/>
                  <w:shd w:val="clear" w:color="auto" w:fill="auto"/>
                  <w:vAlign w:val="center"/>
                </w:tcPr>
                <w:p w14:paraId="141B8084">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液态</w:t>
                  </w:r>
                </w:p>
              </w:tc>
              <w:tc>
                <w:tcPr>
                  <w:tcW w:w="435" w:type="pct"/>
                  <w:shd w:val="clear" w:color="auto" w:fill="auto"/>
                  <w:vAlign w:val="center"/>
                </w:tcPr>
                <w:p w14:paraId="441283B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润滑油</w:t>
                  </w:r>
                </w:p>
              </w:tc>
              <w:tc>
                <w:tcPr>
                  <w:tcW w:w="616" w:type="pct"/>
                  <w:vMerge w:val="continue"/>
                  <w:vAlign w:val="center"/>
                </w:tcPr>
                <w:p w14:paraId="367CEAA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670A9EF9">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T</w:t>
                  </w:r>
                  <w:r>
                    <w:rPr>
                      <w:rFonts w:hint="eastAsia"/>
                      <w:color w:val="auto"/>
                      <w:kern w:val="0"/>
                      <w:szCs w:val="21"/>
                      <w:highlight w:val="none"/>
                      <w:lang w:eastAsia="zh-CN"/>
                    </w:rPr>
                    <w:t xml:space="preserve">, </w:t>
                  </w:r>
                  <w:r>
                    <w:rPr>
                      <w:color w:val="auto"/>
                      <w:kern w:val="0"/>
                      <w:szCs w:val="21"/>
                      <w:highlight w:val="none"/>
                    </w:rPr>
                    <w:t>I</w:t>
                  </w:r>
                </w:p>
              </w:tc>
              <w:tc>
                <w:tcPr>
                  <w:tcW w:w="378" w:type="pct"/>
                  <w:shd w:val="clear" w:color="auto" w:fill="auto"/>
                  <w:vAlign w:val="center"/>
                </w:tcPr>
                <w:p w14:paraId="08883A1B">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HW08</w:t>
                  </w:r>
                </w:p>
              </w:tc>
              <w:tc>
                <w:tcPr>
                  <w:tcW w:w="652" w:type="pct"/>
                  <w:shd w:val="clear" w:color="auto" w:fill="auto"/>
                  <w:vAlign w:val="center"/>
                </w:tcPr>
                <w:p w14:paraId="6964D382">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900-217-08</w:t>
                  </w:r>
                </w:p>
              </w:tc>
              <w:tc>
                <w:tcPr>
                  <w:tcW w:w="472" w:type="pct"/>
                  <w:vAlign w:val="center"/>
                </w:tcPr>
                <w:p w14:paraId="0D2608D1">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0.8</w:t>
                  </w:r>
                </w:p>
              </w:tc>
              <w:tc>
                <w:tcPr>
                  <w:tcW w:w="371" w:type="pct"/>
                  <w:vMerge w:val="continue"/>
                  <w:vAlign w:val="center"/>
                </w:tcPr>
                <w:p w14:paraId="67F112B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7DAEBD4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7942D3C9">
              <w:trPr>
                <w:trHeight w:val="397" w:hRule="atLeast"/>
                <w:jc w:val="center"/>
              </w:trPr>
              <w:tc>
                <w:tcPr>
                  <w:tcW w:w="140" w:type="pct"/>
                  <w:shd w:val="clear" w:color="auto" w:fill="auto"/>
                  <w:vAlign w:val="center"/>
                </w:tcPr>
                <w:p w14:paraId="5A73ED3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color w:val="auto"/>
                      <w:szCs w:val="21"/>
                      <w:highlight w:val="none"/>
                    </w:rPr>
                    <w:t>9</w:t>
                  </w:r>
                </w:p>
              </w:tc>
              <w:tc>
                <w:tcPr>
                  <w:tcW w:w="352" w:type="pct"/>
                  <w:gridSpan w:val="2"/>
                  <w:shd w:val="clear" w:color="auto" w:fill="auto"/>
                  <w:vAlign w:val="center"/>
                </w:tcPr>
                <w:p w14:paraId="34A11C6A">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废切削液</w:t>
                  </w:r>
                </w:p>
              </w:tc>
              <w:tc>
                <w:tcPr>
                  <w:tcW w:w="431" w:type="pct"/>
                  <w:vMerge w:val="continue"/>
                  <w:vAlign w:val="center"/>
                </w:tcPr>
                <w:p w14:paraId="6C70B9C4">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4D6CEC2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bCs/>
                      <w:color w:val="auto"/>
                      <w:szCs w:val="21"/>
                      <w:highlight w:val="none"/>
                      <w:lang w:val="en-US" w:eastAsia="zh-CN"/>
                    </w:rPr>
                    <w:t>机加工</w:t>
                  </w:r>
                </w:p>
              </w:tc>
              <w:tc>
                <w:tcPr>
                  <w:tcW w:w="276" w:type="pct"/>
                  <w:shd w:val="clear" w:color="auto" w:fill="auto"/>
                  <w:vAlign w:val="center"/>
                </w:tcPr>
                <w:p w14:paraId="4AA5F401">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宋体" w:eastAsia="宋体" w:cs="Times New Roman"/>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液态</w:t>
                  </w:r>
                </w:p>
              </w:tc>
              <w:tc>
                <w:tcPr>
                  <w:tcW w:w="435" w:type="pct"/>
                  <w:shd w:val="clear" w:color="auto" w:fill="auto"/>
                  <w:vAlign w:val="center"/>
                </w:tcPr>
                <w:p w14:paraId="7FA971DF">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宋体" w:eastAsia="宋体" w:cs="Times New Roman"/>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切削液</w:t>
                  </w:r>
                </w:p>
              </w:tc>
              <w:tc>
                <w:tcPr>
                  <w:tcW w:w="616" w:type="pct"/>
                  <w:vMerge w:val="continue"/>
                  <w:vAlign w:val="center"/>
                </w:tcPr>
                <w:p w14:paraId="63FD3B3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519F3313">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szCs w:val="21"/>
                      <w:highlight w:val="none"/>
                    </w:rPr>
                    <w:t>T/In</w:t>
                  </w:r>
                </w:p>
              </w:tc>
              <w:tc>
                <w:tcPr>
                  <w:tcW w:w="378" w:type="pct"/>
                  <w:shd w:val="clear" w:color="auto" w:fill="auto"/>
                  <w:vAlign w:val="center"/>
                </w:tcPr>
                <w:p w14:paraId="26DA3C62">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HW09</w:t>
                  </w:r>
                </w:p>
              </w:tc>
              <w:tc>
                <w:tcPr>
                  <w:tcW w:w="652" w:type="pct"/>
                  <w:shd w:val="clear" w:color="auto" w:fill="auto"/>
                  <w:vAlign w:val="center"/>
                </w:tcPr>
                <w:p w14:paraId="66338D83">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bCs/>
                      <w:color w:val="auto"/>
                      <w:szCs w:val="21"/>
                      <w:highlight w:val="none"/>
                    </w:rPr>
                    <w:t>900-006-09</w:t>
                  </w:r>
                </w:p>
              </w:tc>
              <w:tc>
                <w:tcPr>
                  <w:tcW w:w="472" w:type="pct"/>
                  <w:vAlign w:val="center"/>
                </w:tcPr>
                <w:p w14:paraId="17E253E5">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0.8</w:t>
                  </w:r>
                </w:p>
              </w:tc>
              <w:tc>
                <w:tcPr>
                  <w:tcW w:w="371" w:type="pct"/>
                  <w:vMerge w:val="continue"/>
                  <w:vAlign w:val="center"/>
                </w:tcPr>
                <w:p w14:paraId="077A780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5474C8F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49A25AC8">
              <w:trPr>
                <w:trHeight w:val="397" w:hRule="atLeast"/>
                <w:jc w:val="center"/>
              </w:trPr>
              <w:tc>
                <w:tcPr>
                  <w:tcW w:w="140" w:type="pct"/>
                  <w:shd w:val="clear" w:color="auto" w:fill="auto"/>
                  <w:vAlign w:val="center"/>
                </w:tcPr>
                <w:p w14:paraId="7D215D86">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10</w:t>
                  </w:r>
                </w:p>
              </w:tc>
              <w:tc>
                <w:tcPr>
                  <w:tcW w:w="352" w:type="pct"/>
                  <w:gridSpan w:val="2"/>
                  <w:shd w:val="clear" w:color="auto" w:fill="auto"/>
                  <w:vAlign w:val="center"/>
                </w:tcPr>
                <w:p w14:paraId="6926C6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431" w:type="pct"/>
                  <w:vMerge w:val="continue"/>
                  <w:vAlign w:val="center"/>
                </w:tcPr>
                <w:p w14:paraId="045C12D3">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48E16FEE">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喷漆</w:t>
                  </w:r>
                </w:p>
              </w:tc>
              <w:tc>
                <w:tcPr>
                  <w:tcW w:w="276" w:type="pct"/>
                  <w:vAlign w:val="center"/>
                </w:tcPr>
                <w:p w14:paraId="08E5FAF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435" w:type="pct"/>
                  <w:vAlign w:val="center"/>
                </w:tcPr>
                <w:p w14:paraId="4B6CB8CF">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eastAsia="zh-CN"/>
                    </w:rPr>
                  </w:pPr>
                  <w:r>
                    <w:rPr>
                      <w:rFonts w:hint="eastAsia"/>
                      <w:color w:val="auto"/>
                      <w:szCs w:val="21"/>
                      <w:highlight w:val="none"/>
                      <w:lang w:val="en-US" w:eastAsia="zh-CN"/>
                    </w:rPr>
                    <w:t>漆渣</w:t>
                  </w:r>
                </w:p>
              </w:tc>
              <w:tc>
                <w:tcPr>
                  <w:tcW w:w="616" w:type="pct"/>
                  <w:vMerge w:val="continue"/>
                  <w:vAlign w:val="center"/>
                </w:tcPr>
                <w:p w14:paraId="1DC508B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58F24723">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szCs w:val="21"/>
                      <w:highlight w:val="none"/>
                    </w:rPr>
                    <w:t>T/In</w:t>
                  </w:r>
                </w:p>
              </w:tc>
              <w:tc>
                <w:tcPr>
                  <w:tcW w:w="378" w:type="pct"/>
                  <w:vAlign w:val="center"/>
                </w:tcPr>
                <w:p w14:paraId="26CC55F7">
                  <w:pPr>
                    <w:keepNext w:val="0"/>
                    <w:keepLines w:val="0"/>
                    <w:widowControl/>
                    <w:suppressLineNumbers w:val="0"/>
                    <w:spacing w:before="0" w:beforeAutospacing="0" w:after="0" w:afterAutospacing="0"/>
                    <w:ind w:left="0" w:right="0"/>
                    <w:jc w:val="center"/>
                    <w:rPr>
                      <w:color w:val="auto"/>
                      <w:kern w:val="0"/>
                      <w:szCs w:val="21"/>
                      <w:highlight w:val="none"/>
                    </w:rPr>
                  </w:pPr>
                  <w:r>
                    <w:rPr>
                      <w:bCs/>
                      <w:color w:val="auto"/>
                      <w:szCs w:val="21"/>
                      <w:highlight w:val="none"/>
                    </w:rPr>
                    <w:t>HW49</w:t>
                  </w:r>
                </w:p>
              </w:tc>
              <w:tc>
                <w:tcPr>
                  <w:tcW w:w="652" w:type="pct"/>
                  <w:vAlign w:val="center"/>
                </w:tcPr>
                <w:p w14:paraId="46509777">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900-041-49</w:t>
                  </w:r>
                </w:p>
              </w:tc>
              <w:tc>
                <w:tcPr>
                  <w:tcW w:w="472" w:type="pct"/>
                  <w:vAlign w:val="center"/>
                </w:tcPr>
                <w:p w14:paraId="722151C4">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0.24</w:t>
                  </w:r>
                </w:p>
              </w:tc>
              <w:tc>
                <w:tcPr>
                  <w:tcW w:w="371" w:type="pct"/>
                  <w:vMerge w:val="continue"/>
                  <w:vAlign w:val="center"/>
                </w:tcPr>
                <w:p w14:paraId="165EF2C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13C4095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535289C8">
              <w:trPr>
                <w:trHeight w:val="170" w:hRule="atLeast"/>
                <w:jc w:val="center"/>
              </w:trPr>
              <w:tc>
                <w:tcPr>
                  <w:tcW w:w="140" w:type="pct"/>
                  <w:shd w:val="clear" w:color="auto" w:fill="auto"/>
                  <w:vAlign w:val="center"/>
                </w:tcPr>
                <w:p w14:paraId="2C4F493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11</w:t>
                  </w:r>
                </w:p>
              </w:tc>
              <w:tc>
                <w:tcPr>
                  <w:tcW w:w="352" w:type="pct"/>
                  <w:gridSpan w:val="2"/>
                  <w:shd w:val="clear" w:color="auto" w:fill="auto"/>
                  <w:vAlign w:val="center"/>
                </w:tcPr>
                <w:p w14:paraId="178DFA1A">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431" w:type="pct"/>
                  <w:vMerge w:val="continue"/>
                  <w:vAlign w:val="center"/>
                </w:tcPr>
                <w:p w14:paraId="050062A0">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68DA633E">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检验</w:t>
                  </w:r>
                </w:p>
              </w:tc>
              <w:tc>
                <w:tcPr>
                  <w:tcW w:w="276" w:type="pct"/>
                  <w:vAlign w:val="center"/>
                </w:tcPr>
                <w:p w14:paraId="659AD2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液态</w:t>
                  </w:r>
                </w:p>
              </w:tc>
              <w:tc>
                <w:tcPr>
                  <w:tcW w:w="435" w:type="pct"/>
                  <w:vAlign w:val="center"/>
                </w:tcPr>
                <w:p w14:paraId="7DBCBEE6">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氯化钠</w:t>
                  </w:r>
                </w:p>
              </w:tc>
              <w:tc>
                <w:tcPr>
                  <w:tcW w:w="616" w:type="pct"/>
                  <w:vMerge w:val="continue"/>
                  <w:vAlign w:val="center"/>
                </w:tcPr>
                <w:p w14:paraId="22EA43B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31F1BDF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T/C/I/R</w:t>
                  </w:r>
                </w:p>
              </w:tc>
              <w:tc>
                <w:tcPr>
                  <w:tcW w:w="378" w:type="pct"/>
                  <w:shd w:val="clear" w:color="auto" w:fill="auto"/>
                  <w:vAlign w:val="center"/>
                </w:tcPr>
                <w:p w14:paraId="104E41EC">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color w:val="auto"/>
                      <w:kern w:val="2"/>
                      <w:sz w:val="21"/>
                      <w:szCs w:val="21"/>
                      <w:lang w:val="en-US" w:eastAsia="zh-CN" w:bidi="ar-SA"/>
                    </w:rPr>
                  </w:pPr>
                  <w:r>
                    <w:rPr>
                      <w:rFonts w:eastAsia="宋体"/>
                      <w:bCs/>
                      <w:color w:val="auto"/>
                      <w:szCs w:val="21"/>
                    </w:rPr>
                    <w:t>HW49</w:t>
                  </w:r>
                </w:p>
              </w:tc>
              <w:tc>
                <w:tcPr>
                  <w:tcW w:w="652" w:type="pct"/>
                  <w:shd w:val="clear" w:color="auto" w:fill="auto"/>
                  <w:vAlign w:val="center"/>
                </w:tcPr>
                <w:p w14:paraId="6AFB5B66">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kern w:val="2"/>
                      <w:sz w:val="21"/>
                      <w:szCs w:val="21"/>
                      <w:lang w:val="en-US" w:eastAsia="zh-CN" w:bidi="ar-SA"/>
                    </w:rPr>
                  </w:pPr>
                  <w:r>
                    <w:rPr>
                      <w:rFonts w:eastAsia="宋体"/>
                      <w:color w:val="auto"/>
                      <w:szCs w:val="21"/>
                    </w:rPr>
                    <w:t>900-0</w:t>
                  </w:r>
                  <w:r>
                    <w:rPr>
                      <w:rFonts w:hint="eastAsia" w:eastAsia="宋体"/>
                      <w:color w:val="auto"/>
                      <w:szCs w:val="21"/>
                      <w:lang w:val="en-US" w:eastAsia="zh-CN"/>
                    </w:rPr>
                    <w:t>41</w:t>
                  </w:r>
                  <w:r>
                    <w:rPr>
                      <w:rFonts w:eastAsia="宋体"/>
                      <w:color w:val="auto"/>
                      <w:szCs w:val="21"/>
                    </w:rPr>
                    <w:t>-49</w:t>
                  </w:r>
                </w:p>
              </w:tc>
              <w:tc>
                <w:tcPr>
                  <w:tcW w:w="472" w:type="pct"/>
                  <w:vAlign w:val="center"/>
                </w:tcPr>
                <w:p w14:paraId="0DA9FE81">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0.168</w:t>
                  </w:r>
                </w:p>
              </w:tc>
              <w:tc>
                <w:tcPr>
                  <w:tcW w:w="371" w:type="pct"/>
                  <w:vMerge w:val="continue"/>
                  <w:vAlign w:val="center"/>
                </w:tcPr>
                <w:p w14:paraId="1F33D42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01B8806D">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0</w:t>
                  </w:r>
                </w:p>
              </w:tc>
            </w:tr>
            <w:tr w14:paraId="0CA8A4CC">
              <w:trPr>
                <w:trHeight w:val="397" w:hRule="atLeast"/>
                <w:jc w:val="center"/>
              </w:trPr>
              <w:tc>
                <w:tcPr>
                  <w:tcW w:w="140" w:type="pct"/>
                  <w:shd w:val="clear" w:color="auto" w:fill="auto"/>
                  <w:vAlign w:val="center"/>
                </w:tcPr>
                <w:p w14:paraId="37C43F6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12</w:t>
                  </w:r>
                </w:p>
              </w:tc>
              <w:tc>
                <w:tcPr>
                  <w:tcW w:w="352" w:type="pct"/>
                  <w:gridSpan w:val="2"/>
                  <w:shd w:val="clear" w:color="auto" w:fill="auto"/>
                  <w:vAlign w:val="center"/>
                </w:tcPr>
                <w:p w14:paraId="1638228C">
                  <w:pPr>
                    <w:keepNext w:val="0"/>
                    <w:keepLines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浮渣、污泥</w:t>
                  </w:r>
                </w:p>
              </w:tc>
              <w:tc>
                <w:tcPr>
                  <w:tcW w:w="431" w:type="pct"/>
                  <w:vMerge w:val="continue"/>
                  <w:vAlign w:val="center"/>
                </w:tcPr>
                <w:p w14:paraId="5FE568C8">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3A5B2C7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清洗废水处理</w:t>
                  </w:r>
                </w:p>
              </w:tc>
              <w:tc>
                <w:tcPr>
                  <w:tcW w:w="276" w:type="pct"/>
                  <w:shd w:val="clear" w:color="auto" w:fill="auto"/>
                  <w:vAlign w:val="center"/>
                </w:tcPr>
                <w:p w14:paraId="2309B9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半固态</w:t>
                  </w:r>
                </w:p>
              </w:tc>
              <w:tc>
                <w:tcPr>
                  <w:tcW w:w="435" w:type="pct"/>
                  <w:shd w:val="clear" w:color="auto" w:fill="auto"/>
                  <w:vAlign w:val="center"/>
                </w:tcPr>
                <w:p w14:paraId="78765FE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浮渣、污泥</w:t>
                  </w:r>
                </w:p>
              </w:tc>
              <w:tc>
                <w:tcPr>
                  <w:tcW w:w="616" w:type="pct"/>
                  <w:vMerge w:val="continue"/>
                  <w:vAlign w:val="center"/>
                </w:tcPr>
                <w:p w14:paraId="41E4E58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7CC3B5E8">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T</w:t>
                  </w:r>
                  <w:r>
                    <w:rPr>
                      <w:rFonts w:hint="eastAsia"/>
                      <w:color w:val="auto"/>
                      <w:kern w:val="0"/>
                      <w:szCs w:val="21"/>
                      <w:highlight w:val="none"/>
                      <w:lang w:eastAsia="zh-CN"/>
                    </w:rPr>
                    <w:t xml:space="preserve">, </w:t>
                  </w:r>
                  <w:r>
                    <w:rPr>
                      <w:color w:val="auto"/>
                      <w:kern w:val="0"/>
                      <w:szCs w:val="21"/>
                      <w:highlight w:val="none"/>
                    </w:rPr>
                    <w:t>I</w:t>
                  </w:r>
                </w:p>
              </w:tc>
              <w:tc>
                <w:tcPr>
                  <w:tcW w:w="378" w:type="pct"/>
                  <w:shd w:val="clear" w:color="auto" w:fill="auto"/>
                  <w:vAlign w:val="center"/>
                </w:tcPr>
                <w:p w14:paraId="37D03C87">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HW08</w:t>
                  </w:r>
                </w:p>
              </w:tc>
              <w:tc>
                <w:tcPr>
                  <w:tcW w:w="652" w:type="pct"/>
                  <w:shd w:val="clear" w:color="auto" w:fill="auto"/>
                  <w:vAlign w:val="center"/>
                </w:tcPr>
                <w:p w14:paraId="7971EF03">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900-2</w:t>
                  </w:r>
                  <w:r>
                    <w:rPr>
                      <w:rFonts w:hint="eastAsia"/>
                      <w:color w:val="auto"/>
                      <w:kern w:val="0"/>
                      <w:szCs w:val="21"/>
                      <w:highlight w:val="none"/>
                      <w:lang w:val="en-US" w:eastAsia="zh-CN"/>
                    </w:rPr>
                    <w:t>10</w:t>
                  </w:r>
                  <w:r>
                    <w:rPr>
                      <w:color w:val="auto"/>
                      <w:kern w:val="0"/>
                      <w:szCs w:val="21"/>
                      <w:highlight w:val="none"/>
                    </w:rPr>
                    <w:t>-08</w:t>
                  </w:r>
                </w:p>
              </w:tc>
              <w:tc>
                <w:tcPr>
                  <w:tcW w:w="472" w:type="pct"/>
                  <w:vAlign w:val="center"/>
                </w:tcPr>
                <w:p w14:paraId="018F2B68">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1.19</w:t>
                  </w:r>
                </w:p>
              </w:tc>
              <w:tc>
                <w:tcPr>
                  <w:tcW w:w="371" w:type="pct"/>
                  <w:vMerge w:val="continue"/>
                  <w:vAlign w:val="center"/>
                </w:tcPr>
                <w:p w14:paraId="59B3DBF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1C119DC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w:t>
                  </w:r>
                </w:p>
              </w:tc>
            </w:tr>
            <w:tr w14:paraId="75802E10">
              <w:trPr>
                <w:trHeight w:val="397" w:hRule="atLeast"/>
                <w:jc w:val="center"/>
              </w:trPr>
              <w:tc>
                <w:tcPr>
                  <w:tcW w:w="141" w:type="pct"/>
                  <w:gridSpan w:val="2"/>
                  <w:shd w:val="clear" w:color="auto" w:fill="auto"/>
                  <w:vAlign w:val="center"/>
                </w:tcPr>
                <w:p w14:paraId="305ED48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13</w:t>
                  </w:r>
                </w:p>
              </w:tc>
              <w:tc>
                <w:tcPr>
                  <w:tcW w:w="351" w:type="pct"/>
                  <w:shd w:val="clear" w:color="auto" w:fill="auto"/>
                  <w:vAlign w:val="center"/>
                </w:tcPr>
                <w:p w14:paraId="0B0C0A3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431" w:type="pct"/>
                  <w:vMerge w:val="continue"/>
                  <w:vAlign w:val="center"/>
                </w:tcPr>
                <w:p w14:paraId="2C74146F">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4A4F182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原料</w:t>
                  </w:r>
                  <w:r>
                    <w:rPr>
                      <w:rFonts w:hint="eastAsia"/>
                      <w:bCs/>
                      <w:color w:val="auto"/>
                      <w:szCs w:val="21"/>
                      <w:highlight w:val="none"/>
                    </w:rPr>
                    <w:t>使用</w:t>
                  </w:r>
                </w:p>
              </w:tc>
              <w:tc>
                <w:tcPr>
                  <w:tcW w:w="276" w:type="pct"/>
                  <w:shd w:val="clear" w:color="auto" w:fill="auto"/>
                  <w:vAlign w:val="center"/>
                </w:tcPr>
                <w:p w14:paraId="587F355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eastAsia="宋体"/>
                      <w:bCs/>
                      <w:color w:val="auto"/>
                      <w:szCs w:val="21"/>
                      <w:highlight w:val="none"/>
                    </w:rPr>
                    <w:t>固态</w:t>
                  </w:r>
                </w:p>
              </w:tc>
              <w:tc>
                <w:tcPr>
                  <w:tcW w:w="435" w:type="pct"/>
                  <w:shd w:val="clear" w:color="auto" w:fill="auto"/>
                  <w:vAlign w:val="center"/>
                </w:tcPr>
                <w:p w14:paraId="1902DA1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废桶</w:t>
                  </w:r>
                </w:p>
              </w:tc>
              <w:tc>
                <w:tcPr>
                  <w:tcW w:w="616" w:type="pct"/>
                  <w:vMerge w:val="continue"/>
                  <w:vAlign w:val="center"/>
                </w:tcPr>
                <w:p w14:paraId="47F3247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46A43DEB">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T</w:t>
                  </w:r>
                  <w:r>
                    <w:rPr>
                      <w:rFonts w:hint="eastAsia"/>
                      <w:color w:val="auto"/>
                      <w:kern w:val="0"/>
                      <w:szCs w:val="21"/>
                      <w:highlight w:val="none"/>
                      <w:lang w:eastAsia="zh-CN"/>
                    </w:rPr>
                    <w:t xml:space="preserve">, </w:t>
                  </w:r>
                  <w:r>
                    <w:rPr>
                      <w:color w:val="auto"/>
                      <w:kern w:val="0"/>
                      <w:szCs w:val="21"/>
                      <w:highlight w:val="none"/>
                    </w:rPr>
                    <w:t>I</w:t>
                  </w:r>
                </w:p>
              </w:tc>
              <w:tc>
                <w:tcPr>
                  <w:tcW w:w="378" w:type="pct"/>
                  <w:shd w:val="clear" w:color="auto" w:fill="auto"/>
                  <w:vAlign w:val="center"/>
                </w:tcPr>
                <w:p w14:paraId="7358BB8B">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HW08</w:t>
                  </w:r>
                </w:p>
              </w:tc>
              <w:tc>
                <w:tcPr>
                  <w:tcW w:w="652" w:type="pct"/>
                  <w:shd w:val="clear" w:color="auto" w:fill="auto"/>
                  <w:vAlign w:val="center"/>
                </w:tcPr>
                <w:p w14:paraId="4E5BC1BE">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900-2</w:t>
                  </w:r>
                  <w:r>
                    <w:rPr>
                      <w:rFonts w:hint="eastAsia"/>
                      <w:color w:val="auto"/>
                      <w:kern w:val="0"/>
                      <w:szCs w:val="21"/>
                      <w:highlight w:val="none"/>
                      <w:lang w:val="en-US" w:eastAsia="zh-CN"/>
                    </w:rPr>
                    <w:t>49</w:t>
                  </w:r>
                  <w:r>
                    <w:rPr>
                      <w:color w:val="auto"/>
                      <w:kern w:val="0"/>
                      <w:szCs w:val="21"/>
                      <w:highlight w:val="none"/>
                    </w:rPr>
                    <w:t>-08</w:t>
                  </w:r>
                </w:p>
              </w:tc>
              <w:tc>
                <w:tcPr>
                  <w:tcW w:w="472" w:type="pct"/>
                  <w:vAlign w:val="center"/>
                </w:tcPr>
                <w:p w14:paraId="1307732F">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0.05</w:t>
                  </w:r>
                </w:p>
              </w:tc>
              <w:tc>
                <w:tcPr>
                  <w:tcW w:w="371" w:type="pct"/>
                  <w:vMerge w:val="continue"/>
                  <w:vAlign w:val="center"/>
                </w:tcPr>
                <w:p w14:paraId="58CC3C0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5BD93448">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0</w:t>
                  </w:r>
                </w:p>
              </w:tc>
            </w:tr>
            <w:tr w14:paraId="14C4CA68">
              <w:trPr>
                <w:trHeight w:val="397" w:hRule="atLeast"/>
                <w:jc w:val="center"/>
              </w:trPr>
              <w:tc>
                <w:tcPr>
                  <w:tcW w:w="141" w:type="pct"/>
                  <w:gridSpan w:val="2"/>
                  <w:shd w:val="clear" w:color="auto" w:fill="auto"/>
                  <w:vAlign w:val="center"/>
                </w:tcPr>
                <w:p w14:paraId="3D7BC3B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14</w:t>
                  </w:r>
                </w:p>
              </w:tc>
              <w:tc>
                <w:tcPr>
                  <w:tcW w:w="351" w:type="pct"/>
                  <w:shd w:val="clear" w:color="auto" w:fill="auto"/>
                  <w:vAlign w:val="center"/>
                </w:tcPr>
                <w:p w14:paraId="5AEF1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水性漆废包装桶</w:t>
                  </w:r>
                </w:p>
              </w:tc>
              <w:tc>
                <w:tcPr>
                  <w:tcW w:w="431" w:type="pct"/>
                  <w:vMerge w:val="continue"/>
                  <w:vAlign w:val="center"/>
                </w:tcPr>
                <w:p w14:paraId="39DAC431">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2BF15B9E">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原料</w:t>
                  </w:r>
                  <w:r>
                    <w:rPr>
                      <w:rFonts w:hint="eastAsia"/>
                      <w:bCs/>
                      <w:color w:val="auto"/>
                      <w:szCs w:val="21"/>
                      <w:highlight w:val="none"/>
                    </w:rPr>
                    <w:t>使用</w:t>
                  </w:r>
                </w:p>
              </w:tc>
              <w:tc>
                <w:tcPr>
                  <w:tcW w:w="276" w:type="pct"/>
                  <w:shd w:val="clear" w:color="auto" w:fill="auto"/>
                  <w:vAlign w:val="center"/>
                </w:tcPr>
                <w:p w14:paraId="7A0850A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eastAsia="宋体"/>
                      <w:bCs/>
                      <w:color w:val="auto"/>
                      <w:szCs w:val="21"/>
                      <w:highlight w:val="none"/>
                    </w:rPr>
                    <w:t>固态</w:t>
                  </w:r>
                </w:p>
              </w:tc>
              <w:tc>
                <w:tcPr>
                  <w:tcW w:w="435" w:type="pct"/>
                  <w:shd w:val="clear" w:color="auto" w:fill="auto"/>
                  <w:vAlign w:val="center"/>
                </w:tcPr>
                <w:p w14:paraId="6898F41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废桶</w:t>
                  </w:r>
                </w:p>
              </w:tc>
              <w:tc>
                <w:tcPr>
                  <w:tcW w:w="616" w:type="pct"/>
                  <w:vMerge w:val="continue"/>
                  <w:vAlign w:val="center"/>
                </w:tcPr>
                <w:p w14:paraId="0A56F93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3F2FF10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T/In</w:t>
                  </w:r>
                </w:p>
              </w:tc>
              <w:tc>
                <w:tcPr>
                  <w:tcW w:w="378" w:type="pct"/>
                  <w:shd w:val="clear" w:color="auto" w:fill="auto"/>
                  <w:vAlign w:val="center"/>
                </w:tcPr>
                <w:p w14:paraId="0C303CF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HW49</w:t>
                  </w:r>
                </w:p>
              </w:tc>
              <w:tc>
                <w:tcPr>
                  <w:tcW w:w="652" w:type="pct"/>
                  <w:shd w:val="clear" w:color="auto" w:fill="auto"/>
                  <w:vAlign w:val="center"/>
                </w:tcPr>
                <w:p w14:paraId="65AA6E1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900-041-49</w:t>
                  </w:r>
                </w:p>
              </w:tc>
              <w:tc>
                <w:tcPr>
                  <w:tcW w:w="472" w:type="pct"/>
                  <w:vAlign w:val="center"/>
                </w:tcPr>
                <w:p w14:paraId="13EACD2B">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1</w:t>
                  </w:r>
                </w:p>
              </w:tc>
              <w:tc>
                <w:tcPr>
                  <w:tcW w:w="371" w:type="pct"/>
                  <w:vMerge w:val="continue"/>
                  <w:vAlign w:val="center"/>
                </w:tcPr>
                <w:p w14:paraId="707BA8A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49BA0FC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1CC333EE">
              <w:trPr>
                <w:trHeight w:val="194" w:hRule="atLeast"/>
                <w:jc w:val="center"/>
              </w:trPr>
              <w:tc>
                <w:tcPr>
                  <w:tcW w:w="141" w:type="pct"/>
                  <w:gridSpan w:val="2"/>
                  <w:shd w:val="clear" w:color="auto" w:fill="auto"/>
                  <w:vAlign w:val="center"/>
                </w:tcPr>
                <w:p w14:paraId="30014C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351" w:type="pct"/>
                  <w:vAlign w:val="center"/>
                </w:tcPr>
                <w:p w14:paraId="4DAD0B79">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color w:val="auto"/>
                      <w:szCs w:val="21"/>
                      <w:highlight w:val="none"/>
                    </w:rPr>
                    <w:t>生活垃圾</w:t>
                  </w:r>
                </w:p>
              </w:tc>
              <w:tc>
                <w:tcPr>
                  <w:tcW w:w="431" w:type="pct"/>
                  <w:vMerge w:val="restart"/>
                  <w:vAlign w:val="center"/>
                </w:tcPr>
                <w:p w14:paraId="08D0C50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生活垃圾</w:t>
                  </w:r>
                </w:p>
              </w:tc>
              <w:tc>
                <w:tcPr>
                  <w:tcW w:w="365" w:type="pct"/>
                  <w:vAlign w:val="center"/>
                </w:tcPr>
                <w:p w14:paraId="26BB3F5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职工生活</w:t>
                  </w:r>
                </w:p>
              </w:tc>
              <w:tc>
                <w:tcPr>
                  <w:tcW w:w="276" w:type="pct"/>
                  <w:vAlign w:val="center"/>
                </w:tcPr>
                <w:p w14:paraId="06DE634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固态</w:t>
                  </w:r>
                </w:p>
              </w:tc>
              <w:tc>
                <w:tcPr>
                  <w:tcW w:w="435" w:type="pct"/>
                  <w:vAlign w:val="center"/>
                </w:tcPr>
                <w:p w14:paraId="1A49C7D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纸张、果皮等</w:t>
                  </w:r>
                </w:p>
              </w:tc>
              <w:tc>
                <w:tcPr>
                  <w:tcW w:w="616" w:type="pct"/>
                  <w:vMerge w:val="continue"/>
                  <w:vAlign w:val="center"/>
                </w:tcPr>
                <w:p w14:paraId="60471E4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17D5034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37A589D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SW64</w:t>
                  </w:r>
                </w:p>
              </w:tc>
              <w:tc>
                <w:tcPr>
                  <w:tcW w:w="652" w:type="pct"/>
                  <w:vAlign w:val="center"/>
                </w:tcPr>
                <w:p w14:paraId="485B0A2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900-002-S64</w:t>
                  </w:r>
                </w:p>
              </w:tc>
              <w:tc>
                <w:tcPr>
                  <w:tcW w:w="472" w:type="pct"/>
                  <w:shd w:val="clear" w:color="auto" w:fill="auto"/>
                  <w:vAlign w:val="center"/>
                </w:tcPr>
                <w:p w14:paraId="2F4881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371" w:type="pct"/>
                  <w:vMerge w:val="restart"/>
                  <w:vAlign w:val="center"/>
                </w:tcPr>
                <w:p w14:paraId="049006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ascii="宋体" w:hAnsi="宋体"/>
                      <w:color w:val="auto"/>
                      <w:kern w:val="0"/>
                      <w:szCs w:val="21"/>
                      <w:highlight w:val="none"/>
                    </w:rPr>
                    <w:t>环卫</w:t>
                  </w:r>
                  <w:r>
                    <w:rPr>
                      <w:rFonts w:ascii="宋体" w:hAnsi="宋体"/>
                      <w:color w:val="auto"/>
                      <w:kern w:val="0"/>
                      <w:szCs w:val="21"/>
                      <w:highlight w:val="none"/>
                    </w:rPr>
                    <w:t>清运</w:t>
                  </w:r>
                </w:p>
              </w:tc>
              <w:tc>
                <w:tcPr>
                  <w:tcW w:w="214" w:type="pct"/>
                  <w:vAlign w:val="center"/>
                </w:tcPr>
                <w:p w14:paraId="3A3EEE4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55F0F3D5">
              <w:trPr>
                <w:trHeight w:val="194" w:hRule="atLeast"/>
                <w:jc w:val="center"/>
              </w:trPr>
              <w:tc>
                <w:tcPr>
                  <w:tcW w:w="141" w:type="pct"/>
                  <w:gridSpan w:val="2"/>
                  <w:shd w:val="clear" w:color="auto" w:fill="auto"/>
                  <w:vAlign w:val="center"/>
                </w:tcPr>
                <w:p w14:paraId="78B3F1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351" w:type="pct"/>
                  <w:vAlign w:val="center"/>
                </w:tcPr>
                <w:p w14:paraId="26DCCC7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化粪池污泥</w:t>
                  </w:r>
                </w:p>
              </w:tc>
              <w:tc>
                <w:tcPr>
                  <w:tcW w:w="431" w:type="pct"/>
                  <w:vMerge w:val="continue"/>
                  <w:vAlign w:val="center"/>
                </w:tcPr>
                <w:p w14:paraId="5AC97378">
                  <w:pPr>
                    <w:keepNext w:val="0"/>
                    <w:keepLines w:val="0"/>
                    <w:suppressLineNumbers w:val="0"/>
                    <w:spacing w:before="0" w:beforeAutospacing="0" w:after="0" w:afterAutospacing="0"/>
                    <w:ind w:left="0" w:right="0"/>
                    <w:jc w:val="center"/>
                    <w:rPr>
                      <w:color w:val="auto"/>
                      <w:szCs w:val="21"/>
                      <w:highlight w:val="none"/>
                    </w:rPr>
                  </w:pPr>
                </w:p>
              </w:tc>
              <w:tc>
                <w:tcPr>
                  <w:tcW w:w="365" w:type="pct"/>
                  <w:vAlign w:val="center"/>
                </w:tcPr>
                <w:p w14:paraId="24FBF32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化粪池</w:t>
                  </w:r>
                </w:p>
              </w:tc>
              <w:tc>
                <w:tcPr>
                  <w:tcW w:w="276" w:type="pct"/>
                  <w:vAlign w:val="center"/>
                </w:tcPr>
                <w:p w14:paraId="269D059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糊状</w:t>
                  </w:r>
                </w:p>
              </w:tc>
              <w:tc>
                <w:tcPr>
                  <w:tcW w:w="435" w:type="pct"/>
                  <w:vAlign w:val="center"/>
                </w:tcPr>
                <w:p w14:paraId="240575E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污泥</w:t>
                  </w:r>
                </w:p>
              </w:tc>
              <w:tc>
                <w:tcPr>
                  <w:tcW w:w="616" w:type="pct"/>
                  <w:vMerge w:val="continue"/>
                  <w:vAlign w:val="center"/>
                </w:tcPr>
                <w:p w14:paraId="5EF57D6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2E91867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1FF988F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SW64</w:t>
                  </w:r>
                </w:p>
              </w:tc>
              <w:tc>
                <w:tcPr>
                  <w:tcW w:w="652" w:type="pct"/>
                  <w:vAlign w:val="center"/>
                </w:tcPr>
                <w:p w14:paraId="63656DB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900-002-S64</w:t>
                  </w:r>
                </w:p>
              </w:tc>
              <w:tc>
                <w:tcPr>
                  <w:tcW w:w="472" w:type="pct"/>
                  <w:shd w:val="clear" w:color="auto" w:fill="auto"/>
                  <w:vAlign w:val="center"/>
                </w:tcPr>
                <w:p w14:paraId="14985A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371" w:type="pct"/>
                  <w:vMerge w:val="continue"/>
                  <w:vAlign w:val="center"/>
                </w:tcPr>
                <w:p w14:paraId="2DA1A3B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19A77B1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6364C005">
              <w:trPr>
                <w:trHeight w:val="397" w:hRule="atLeast"/>
                <w:jc w:val="center"/>
              </w:trPr>
              <w:tc>
                <w:tcPr>
                  <w:tcW w:w="141" w:type="pct"/>
                  <w:gridSpan w:val="2"/>
                  <w:shd w:val="clear" w:color="auto" w:fill="auto"/>
                  <w:vAlign w:val="center"/>
                </w:tcPr>
                <w:p w14:paraId="3A40BF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w:t>
                  </w:r>
                </w:p>
              </w:tc>
              <w:tc>
                <w:tcPr>
                  <w:tcW w:w="351" w:type="pct"/>
                  <w:vAlign w:val="center"/>
                </w:tcPr>
                <w:p w14:paraId="7AC798CD">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隔油池废油</w:t>
                  </w:r>
                </w:p>
              </w:tc>
              <w:tc>
                <w:tcPr>
                  <w:tcW w:w="431" w:type="pct"/>
                  <w:vMerge w:val="continue"/>
                  <w:vAlign w:val="center"/>
                </w:tcPr>
                <w:p w14:paraId="0FD96525">
                  <w:pPr>
                    <w:keepNext w:val="0"/>
                    <w:keepLines w:val="0"/>
                    <w:suppressLineNumbers w:val="0"/>
                    <w:spacing w:before="0" w:beforeAutospacing="0" w:after="0" w:afterAutospacing="0"/>
                    <w:ind w:left="0" w:right="0"/>
                    <w:jc w:val="center"/>
                    <w:rPr>
                      <w:color w:val="auto"/>
                      <w:szCs w:val="21"/>
                      <w:highlight w:val="none"/>
                    </w:rPr>
                  </w:pPr>
                </w:p>
              </w:tc>
              <w:tc>
                <w:tcPr>
                  <w:tcW w:w="365" w:type="pct"/>
                  <w:shd w:val="clear" w:color="auto" w:fill="auto"/>
                  <w:vAlign w:val="center"/>
                </w:tcPr>
                <w:p w14:paraId="5D4DE04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276" w:type="pct"/>
                  <w:shd w:val="clear" w:color="auto" w:fill="auto"/>
                  <w:vAlign w:val="center"/>
                </w:tcPr>
                <w:p w14:paraId="72E8B69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液态</w:t>
                  </w:r>
                </w:p>
              </w:tc>
              <w:tc>
                <w:tcPr>
                  <w:tcW w:w="435" w:type="pct"/>
                  <w:shd w:val="clear" w:color="auto" w:fill="auto"/>
                  <w:vAlign w:val="center"/>
                </w:tcPr>
                <w:p w14:paraId="64BA38A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动植物油</w:t>
                  </w:r>
                </w:p>
              </w:tc>
              <w:tc>
                <w:tcPr>
                  <w:tcW w:w="616" w:type="pct"/>
                  <w:vMerge w:val="continue"/>
                  <w:vAlign w:val="center"/>
                </w:tcPr>
                <w:p w14:paraId="5818AC7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069CE3C1">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378" w:type="pct"/>
                  <w:shd w:val="clear" w:color="auto" w:fill="auto"/>
                  <w:vAlign w:val="center"/>
                </w:tcPr>
                <w:p w14:paraId="336105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SW61</w:t>
                  </w:r>
                </w:p>
              </w:tc>
              <w:tc>
                <w:tcPr>
                  <w:tcW w:w="652" w:type="pct"/>
                  <w:shd w:val="clear" w:color="auto" w:fill="auto"/>
                  <w:vAlign w:val="center"/>
                </w:tcPr>
                <w:p w14:paraId="19CB89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900-002-S61</w:t>
                  </w:r>
                </w:p>
              </w:tc>
              <w:tc>
                <w:tcPr>
                  <w:tcW w:w="472" w:type="pct"/>
                  <w:shd w:val="clear" w:color="auto" w:fill="auto"/>
                  <w:vAlign w:val="center"/>
                </w:tcPr>
                <w:p w14:paraId="1278E607">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0.133</w:t>
                  </w:r>
                </w:p>
              </w:tc>
              <w:tc>
                <w:tcPr>
                  <w:tcW w:w="371" w:type="pct"/>
                  <w:vMerge w:val="continue"/>
                  <w:vAlign w:val="center"/>
                </w:tcPr>
                <w:p w14:paraId="3EA78F4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4" w:type="pct"/>
                  <w:vAlign w:val="center"/>
                </w:tcPr>
                <w:p w14:paraId="3528DF45">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0</w:t>
                  </w:r>
                </w:p>
              </w:tc>
            </w:tr>
          </w:tbl>
          <w:p w14:paraId="436480A6">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w:t>
            </w:r>
            <w:r>
              <w:rPr>
                <w:color w:val="auto"/>
                <w:kern w:val="0"/>
                <w:sz w:val="24"/>
                <w:highlight w:val="none"/>
              </w:rPr>
              <w:t>2</w:t>
            </w:r>
            <w:r>
              <w:rPr>
                <w:rFonts w:hAnsi="宋体"/>
                <w:color w:val="auto"/>
                <w:kern w:val="0"/>
                <w:sz w:val="24"/>
                <w:highlight w:val="none"/>
              </w:rPr>
              <w:t>）</w:t>
            </w:r>
            <w:r>
              <w:rPr>
                <w:rFonts w:hAnsi="宋体"/>
                <w:color w:val="auto"/>
                <w:kern w:val="0"/>
                <w:sz w:val="24"/>
                <w:highlight w:val="none"/>
                <w:lang w:val="zh-CN"/>
              </w:rPr>
              <w:t>污染防治措施及其可行性论证</w:t>
            </w:r>
          </w:p>
          <w:p w14:paraId="466D636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ascii="宋体" w:hAnsi="宋体"/>
                <w:color w:val="auto"/>
                <w:sz w:val="24"/>
                <w:highlight w:val="none"/>
              </w:rPr>
              <w:t>①</w:t>
            </w:r>
            <w:r>
              <w:rPr>
                <w:rFonts w:hAnsi="宋体"/>
                <w:color w:val="auto"/>
                <w:sz w:val="24"/>
                <w:highlight w:val="none"/>
              </w:rPr>
              <w:t>一般工业固废收集暂存污染防治措施论证</w:t>
            </w:r>
          </w:p>
          <w:p w14:paraId="14CAFD50">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一般工业固废的暂存场设置，应按《</w:t>
            </w:r>
            <w:r>
              <w:rPr>
                <w:rFonts w:hint="eastAsia"/>
                <w:color w:val="auto"/>
                <w:sz w:val="24"/>
                <w:highlight w:val="none"/>
              </w:rPr>
              <w:t>一般工业固体废物贮存和填埋</w:t>
            </w:r>
            <w:r>
              <w:rPr>
                <w:rFonts w:hAnsi="宋体"/>
                <w:color w:val="auto"/>
                <w:sz w:val="24"/>
                <w:highlight w:val="none"/>
              </w:rPr>
              <w:t>污染控制标准》（</w:t>
            </w:r>
            <w:r>
              <w:rPr>
                <w:color w:val="auto"/>
                <w:sz w:val="24"/>
                <w:highlight w:val="none"/>
              </w:rPr>
              <w:t>GB18599-2020</w:t>
            </w:r>
            <w:r>
              <w:rPr>
                <w:rFonts w:hAnsi="宋体"/>
                <w:color w:val="auto"/>
                <w:sz w:val="24"/>
                <w:highlight w:val="none"/>
              </w:rPr>
              <w:t>）要求建设，具体要求如下：</w:t>
            </w:r>
          </w:p>
          <w:p w14:paraId="4D93E84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贮存、处置场的建设类型，必须与将要堆放的一般工业固体废物的类别相一致。</w:t>
            </w:r>
          </w:p>
          <w:p w14:paraId="4FD7BE8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贮存、处置场应采取防止粉尘污染的措施。</w:t>
            </w:r>
          </w:p>
          <w:p w14:paraId="3B4D679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为防止雨水径流进入贮存、处置场内，避免渗滤液量增加和滑坡，贮存、处置场周边应设置导流渠。</w:t>
            </w:r>
          </w:p>
          <w:p w14:paraId="2DEF63A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应设计渗滤液集排水设施。</w:t>
            </w:r>
          </w:p>
          <w:p w14:paraId="7479E8D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为防止一般工业固体废物和渗滤液的流失，应构筑堤、坝、挡土墙等设施。</w:t>
            </w:r>
          </w:p>
          <w:p w14:paraId="04C07AD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F.</w:t>
            </w:r>
            <w:r>
              <w:rPr>
                <w:rFonts w:hAnsi="宋体"/>
                <w:color w:val="auto"/>
                <w:sz w:val="24"/>
                <w:highlight w:val="none"/>
              </w:rPr>
              <w:t>为保障设施、设备正常运营，必要时应采取措施防止地基下沉，尤其是防止不均匀或局部下沉。</w:t>
            </w:r>
          </w:p>
          <w:p w14:paraId="6934B99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本项目产生的一般固废主要为</w:t>
            </w:r>
            <w:r>
              <w:rPr>
                <w:rFonts w:hint="eastAsia" w:hAnsi="宋体"/>
                <w:color w:val="auto"/>
                <w:sz w:val="24"/>
                <w:highlight w:val="none"/>
                <w:lang w:val="en-US" w:eastAsia="zh-CN"/>
              </w:rPr>
              <w:t>边角料</w:t>
            </w:r>
            <w:r>
              <w:rPr>
                <w:rFonts w:hAnsi="宋体"/>
                <w:bCs/>
                <w:color w:val="auto"/>
                <w:sz w:val="24"/>
                <w:highlight w:val="none"/>
              </w:rPr>
              <w:t>、</w:t>
            </w:r>
            <w:r>
              <w:rPr>
                <w:rFonts w:hint="eastAsia" w:hAnsi="宋体"/>
                <w:bCs/>
                <w:color w:val="auto"/>
                <w:sz w:val="24"/>
                <w:highlight w:val="none"/>
              </w:rPr>
              <w:t>废包装</w:t>
            </w:r>
            <w:r>
              <w:rPr>
                <w:rFonts w:hint="eastAsia" w:hAnsi="宋体"/>
                <w:bCs/>
                <w:color w:val="auto"/>
                <w:sz w:val="24"/>
                <w:highlight w:val="none"/>
                <w:lang w:val="en-US" w:eastAsia="zh-CN"/>
              </w:rPr>
              <w:t>材料</w:t>
            </w:r>
            <w:r>
              <w:rPr>
                <w:rFonts w:hAnsi="宋体"/>
                <w:bCs/>
                <w:color w:val="auto"/>
                <w:sz w:val="24"/>
                <w:highlight w:val="none"/>
              </w:rPr>
              <w:t>、</w:t>
            </w:r>
            <w:r>
              <w:rPr>
                <w:rFonts w:hint="eastAsia" w:hAnsi="宋体"/>
                <w:bCs/>
                <w:color w:val="auto"/>
                <w:sz w:val="24"/>
                <w:highlight w:val="none"/>
                <w:lang w:val="en-US" w:eastAsia="zh-CN"/>
              </w:rPr>
              <w:t>废焊料、废布袋和除尘器收集尘</w:t>
            </w:r>
            <w:r>
              <w:rPr>
                <w:rFonts w:hAnsi="宋体"/>
                <w:color w:val="auto"/>
                <w:sz w:val="24"/>
                <w:highlight w:val="none"/>
              </w:rPr>
              <w:t>，</w:t>
            </w:r>
            <w:r>
              <w:rPr>
                <w:rFonts w:hint="eastAsia" w:hAnsi="宋体"/>
                <w:color w:val="auto"/>
                <w:sz w:val="24"/>
                <w:highlight w:val="none"/>
              </w:rPr>
              <w:t>年合计产生</w:t>
            </w:r>
            <w:r>
              <w:rPr>
                <w:rFonts w:hint="eastAsia" w:hAnsi="宋体"/>
                <w:color w:val="auto"/>
                <w:sz w:val="24"/>
                <w:szCs w:val="24"/>
                <w:highlight w:val="none"/>
              </w:rPr>
              <w:t>量</w:t>
            </w:r>
            <w:r>
              <w:rPr>
                <w:rFonts w:hint="eastAsia" w:hAnsi="宋体"/>
                <w:color w:val="auto"/>
                <w:sz w:val="24"/>
                <w:szCs w:val="24"/>
                <w:highlight w:val="none"/>
                <w:lang w:val="en-US" w:eastAsia="zh-CN"/>
              </w:rPr>
              <w:t>37.9551</w:t>
            </w:r>
            <w:r>
              <w:rPr>
                <w:color w:val="auto"/>
                <w:sz w:val="24"/>
                <w:szCs w:val="24"/>
                <w:highlight w:val="none"/>
              </w:rPr>
              <w:t>t/a</w:t>
            </w:r>
            <w:r>
              <w:rPr>
                <w:rFonts w:hint="eastAsia" w:hAnsi="宋体"/>
                <w:color w:val="auto"/>
                <w:sz w:val="24"/>
                <w:szCs w:val="24"/>
                <w:highlight w:val="none"/>
              </w:rPr>
              <w:t>，</w:t>
            </w:r>
            <w:r>
              <w:rPr>
                <w:rFonts w:hAnsi="宋体"/>
                <w:color w:val="auto"/>
                <w:sz w:val="24"/>
                <w:szCs w:val="24"/>
                <w:highlight w:val="none"/>
              </w:rPr>
              <w:t>储存周期均为</w:t>
            </w:r>
            <w:r>
              <w:rPr>
                <w:rFonts w:hint="eastAsia"/>
                <w:color w:val="auto"/>
                <w:sz w:val="24"/>
                <w:szCs w:val="24"/>
                <w:highlight w:val="none"/>
                <w:lang w:val="en-US" w:eastAsia="zh-CN"/>
              </w:rPr>
              <w:t>6</w:t>
            </w:r>
            <w:r>
              <w:rPr>
                <w:rFonts w:hAnsi="宋体"/>
                <w:color w:val="auto"/>
                <w:sz w:val="24"/>
                <w:szCs w:val="24"/>
                <w:highlight w:val="none"/>
              </w:rPr>
              <w:t>个月，最大储存量为</w:t>
            </w:r>
            <w:r>
              <w:rPr>
                <w:rFonts w:hint="eastAsia"/>
                <w:color w:val="auto"/>
                <w:sz w:val="24"/>
                <w:szCs w:val="24"/>
                <w:highlight w:val="none"/>
                <w:lang w:val="en-US" w:eastAsia="zh-CN"/>
              </w:rPr>
              <w:t>18.98</w:t>
            </w:r>
            <w:r>
              <w:rPr>
                <w:color w:val="auto"/>
                <w:sz w:val="24"/>
                <w:szCs w:val="24"/>
                <w:highlight w:val="none"/>
              </w:rPr>
              <w:t>t/a</w:t>
            </w:r>
            <w:r>
              <w:rPr>
                <w:rFonts w:hAnsi="宋体"/>
                <w:color w:val="auto"/>
                <w:sz w:val="24"/>
                <w:szCs w:val="24"/>
                <w:highlight w:val="none"/>
              </w:rPr>
              <w:t>，所需暂存面积约为</w:t>
            </w:r>
            <w:r>
              <w:rPr>
                <w:rFonts w:hint="eastAsia"/>
                <w:color w:val="auto"/>
                <w:sz w:val="24"/>
                <w:szCs w:val="24"/>
                <w:highlight w:val="none"/>
                <w:lang w:val="en-US" w:eastAsia="zh-CN"/>
              </w:rPr>
              <w:t>18.98</w:t>
            </w:r>
            <w:r>
              <w:rPr>
                <w:color w:val="auto"/>
                <w:sz w:val="24"/>
                <w:szCs w:val="24"/>
                <w:highlight w:val="none"/>
              </w:rPr>
              <w:t>m</w:t>
            </w:r>
            <w:r>
              <w:rPr>
                <w:color w:val="auto"/>
                <w:sz w:val="24"/>
                <w:szCs w:val="24"/>
                <w:highlight w:val="none"/>
                <w:vertAlign w:val="superscript"/>
              </w:rPr>
              <w:t>2</w:t>
            </w:r>
            <w:r>
              <w:rPr>
                <w:rFonts w:hAnsi="宋体"/>
                <w:color w:val="auto"/>
                <w:sz w:val="24"/>
                <w:szCs w:val="24"/>
                <w:highlight w:val="none"/>
              </w:rPr>
              <w:t>。</w:t>
            </w:r>
          </w:p>
          <w:p w14:paraId="63B0C720">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项目一般固废仓库面积约</w:t>
            </w:r>
            <w:r>
              <w:rPr>
                <w:rFonts w:hint="eastAsia"/>
                <w:color w:val="auto"/>
                <w:sz w:val="24"/>
                <w:highlight w:val="none"/>
                <w:lang w:val="en-US" w:eastAsia="zh-CN"/>
              </w:rPr>
              <w:t>40m</w:t>
            </w:r>
            <w:r>
              <w:rPr>
                <w:rFonts w:hint="eastAsia"/>
                <w:color w:val="auto"/>
                <w:sz w:val="24"/>
                <w:highlight w:val="none"/>
                <w:vertAlign w:val="superscript"/>
                <w:lang w:val="en-US" w:eastAsia="zh-CN"/>
              </w:rPr>
              <w:t>2</w:t>
            </w:r>
            <w:r>
              <w:rPr>
                <w:rFonts w:hAnsi="宋体"/>
                <w:color w:val="auto"/>
                <w:sz w:val="24"/>
                <w:highlight w:val="none"/>
              </w:rPr>
              <w:t>，最大储存面积为</w:t>
            </w:r>
            <w:r>
              <w:rPr>
                <w:rFonts w:hint="eastAsia"/>
                <w:color w:val="auto"/>
                <w:sz w:val="24"/>
                <w:highlight w:val="none"/>
                <w:lang w:val="en-US" w:eastAsia="zh-CN"/>
              </w:rPr>
              <w:t>4</w:t>
            </w:r>
            <w:r>
              <w:rPr>
                <w:rFonts w:hint="eastAsia"/>
                <w:color w:val="auto"/>
                <w:sz w:val="24"/>
                <w:highlight w:val="none"/>
              </w:rPr>
              <w:t>0</w:t>
            </w:r>
            <w:r>
              <w:rPr>
                <w:color w:val="auto"/>
                <w:sz w:val="24"/>
                <w:highlight w:val="none"/>
              </w:rPr>
              <w:t>m</w:t>
            </w:r>
            <w:r>
              <w:rPr>
                <w:color w:val="auto"/>
                <w:sz w:val="24"/>
                <w:highlight w:val="none"/>
                <w:vertAlign w:val="superscript"/>
              </w:rPr>
              <w:t>2</w:t>
            </w:r>
            <w:r>
              <w:rPr>
                <w:rFonts w:hAnsi="宋体"/>
                <w:color w:val="auto"/>
                <w:sz w:val="24"/>
                <w:highlight w:val="none"/>
              </w:rPr>
              <w:t>，能够满足</w:t>
            </w:r>
            <w:r>
              <w:rPr>
                <w:rFonts w:hint="eastAsia" w:hAnsi="宋体"/>
                <w:color w:val="auto"/>
                <w:sz w:val="24"/>
                <w:highlight w:val="none"/>
              </w:rPr>
              <w:t>项目</w:t>
            </w:r>
            <w:r>
              <w:rPr>
                <w:rFonts w:hAnsi="宋体"/>
                <w:color w:val="auto"/>
                <w:sz w:val="24"/>
                <w:highlight w:val="none"/>
              </w:rPr>
              <w:t>一般固废暂存。</w:t>
            </w:r>
          </w:p>
          <w:p w14:paraId="390206F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ascii="宋体" w:hAnsi="宋体"/>
                <w:color w:val="auto"/>
                <w:sz w:val="24"/>
                <w:highlight w:val="none"/>
              </w:rPr>
              <w:t>②</w:t>
            </w:r>
            <w:r>
              <w:rPr>
                <w:rFonts w:hAnsi="宋体"/>
                <w:color w:val="auto"/>
                <w:sz w:val="24"/>
                <w:highlight w:val="none"/>
              </w:rPr>
              <w:t>危险废物污染防治措施论证</w:t>
            </w:r>
          </w:p>
          <w:p w14:paraId="33DDCE7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收集过程的污染防治措施</w:t>
            </w:r>
          </w:p>
          <w:p w14:paraId="1C3451D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企业危险废物的收集过程严格按照《危险废物收集贮存运输技术规范》（</w:t>
            </w:r>
            <w:r>
              <w:rPr>
                <w:color w:val="auto"/>
                <w:sz w:val="24"/>
                <w:highlight w:val="none"/>
              </w:rPr>
              <w:t>HJ2025-2012</w:t>
            </w:r>
            <w:r>
              <w:rPr>
                <w:rFonts w:hAnsi="宋体"/>
                <w:color w:val="auto"/>
                <w:sz w:val="24"/>
                <w:highlight w:val="none"/>
              </w:rPr>
              <w:t>）进行，按危险废物类别配备相应的收集容器，做好标识，容器不能有破损或</w:t>
            </w:r>
            <w:r>
              <w:rPr>
                <w:rFonts w:hint="eastAsia" w:hAnsi="宋体"/>
                <w:color w:val="auto"/>
                <w:sz w:val="24"/>
                <w:highlight w:val="none"/>
                <w:lang w:eastAsia="zh-CN"/>
              </w:rPr>
              <w:t>其他可能</w:t>
            </w:r>
            <w:r>
              <w:rPr>
                <w:rFonts w:hAnsi="宋体"/>
                <w:color w:val="auto"/>
                <w:sz w:val="24"/>
                <w:highlight w:val="none"/>
              </w:rPr>
              <w:t>导致危险废物泄漏的隐患，不得放入一般工业固体废物。各部门当班产生的危险废物必须当班在生产现场清理，放置到部门设置的专用收集容器内，并保证生产现场没有</w:t>
            </w:r>
            <w:r>
              <w:rPr>
                <w:rFonts w:hint="eastAsia" w:hAnsi="宋体"/>
                <w:color w:val="auto"/>
                <w:sz w:val="24"/>
                <w:highlight w:val="none"/>
                <w:lang w:eastAsia="zh-CN"/>
              </w:rPr>
              <w:t>散落</w:t>
            </w:r>
            <w:r>
              <w:rPr>
                <w:rFonts w:hAnsi="宋体"/>
                <w:color w:val="auto"/>
                <w:sz w:val="24"/>
                <w:highlight w:val="none"/>
              </w:rPr>
              <w:t>、遗留。危险废物包装材料要与危险废物相容，可根据废物特性选择钢、铝、塑料等材质。危险废物收集和转运过</w:t>
            </w:r>
            <w:r>
              <w:rPr>
                <w:rFonts w:hint="eastAsia" w:hAnsi="宋体"/>
                <w:color w:val="auto"/>
                <w:sz w:val="24"/>
                <w:highlight w:val="none"/>
                <w:lang w:eastAsia="zh-CN"/>
              </w:rPr>
              <w:t>程中</w:t>
            </w:r>
            <w:r>
              <w:rPr>
                <w:rFonts w:hAnsi="宋体"/>
                <w:color w:val="auto"/>
                <w:sz w:val="24"/>
                <w:highlight w:val="none"/>
              </w:rPr>
              <w:t>作业人员应根据工作需要配备必要的个人防护装备，如手套、口罩等。项目生产过程中产生的各类危险废物均于车间内经专用容器分别收集后，使用推车经指定路线运输至危险废物暂存场所内进行暂存。厂内危险废物收集作业应满足以下要求：</w:t>
            </w:r>
          </w:p>
          <w:p w14:paraId="35D9730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应根据收集设备、转运车辆以及现场人员等实际情况确定相应作业区域，同时要设置作业界限标志和警示牌；</w:t>
            </w:r>
          </w:p>
          <w:p w14:paraId="1A4CCDF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作业区域内应设置危险废物收集专用通道和人员避险通道；</w:t>
            </w:r>
          </w:p>
          <w:p w14:paraId="14BE210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收集时应配备必要的收集工具和包装物，以及必要的应急监测设备及应急装备；</w:t>
            </w:r>
          </w:p>
          <w:p w14:paraId="6ABBC1D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收集结束后应清理和恢复收集作业区域，确保作业区域环境整洁安全；</w:t>
            </w:r>
          </w:p>
          <w:p w14:paraId="01D3672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收集过危险废物的容器、设备、设施、场所及其</w:t>
            </w:r>
            <w:r>
              <w:rPr>
                <w:rFonts w:hint="eastAsia" w:hAnsi="宋体"/>
                <w:color w:val="auto"/>
                <w:sz w:val="24"/>
                <w:highlight w:val="none"/>
                <w:lang w:eastAsia="zh-CN"/>
              </w:rPr>
              <w:t>他物品</w:t>
            </w:r>
            <w:r>
              <w:rPr>
                <w:rFonts w:hAnsi="宋体"/>
                <w:color w:val="auto"/>
                <w:sz w:val="24"/>
                <w:highlight w:val="none"/>
              </w:rPr>
              <w:t>转作</w:t>
            </w:r>
            <w:r>
              <w:rPr>
                <w:rFonts w:hint="eastAsia" w:hAnsi="宋体"/>
                <w:color w:val="auto"/>
                <w:sz w:val="24"/>
                <w:highlight w:val="none"/>
                <w:lang w:eastAsia="zh-CN"/>
              </w:rPr>
              <w:t>他</w:t>
            </w:r>
            <w:r>
              <w:rPr>
                <w:rFonts w:hAnsi="宋体"/>
                <w:color w:val="auto"/>
                <w:sz w:val="24"/>
                <w:highlight w:val="none"/>
              </w:rPr>
              <w:t>用时，应消除污染，确保其使用安全。</w:t>
            </w:r>
          </w:p>
          <w:p w14:paraId="7CEAE4B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贮存场所（设施）污染防治措施</w:t>
            </w:r>
          </w:p>
          <w:p w14:paraId="15F4A68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建设项目产生的各类危险废物委托淮安华科环保科技有限公司、淮安华昌固废处置有限公司安全处置前暂存于危险废物暂存场所，拟建的危险废物暂存场所需按照</w:t>
            </w:r>
            <w:r>
              <w:rPr>
                <w:color w:val="auto"/>
                <w:sz w:val="24"/>
                <w:highlight w:val="none"/>
              </w:rPr>
              <w:t>《危险废物贮存污染控制标准》（GB18597-2023）</w:t>
            </w:r>
            <w:r>
              <w:rPr>
                <w:rFonts w:hAnsi="宋体"/>
                <w:color w:val="auto"/>
                <w:sz w:val="24"/>
                <w:highlight w:val="none"/>
              </w:rPr>
              <w:t>的相关要求，进行规范化设置和管理，重点做好以下污染防治措施：</w:t>
            </w:r>
          </w:p>
          <w:p w14:paraId="149C797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按照《环境保护图形标志</w:t>
            </w:r>
            <w:r>
              <w:rPr>
                <w:rFonts w:hint="eastAsia" w:hAnsi="宋体"/>
                <w:color w:val="auto"/>
                <w:sz w:val="24"/>
                <w:highlight w:val="none"/>
                <w:lang w:eastAsia="zh-CN"/>
              </w:rPr>
              <w:t>－</w:t>
            </w:r>
            <w:r>
              <w:rPr>
                <w:rFonts w:hAnsi="宋体"/>
                <w:color w:val="auto"/>
                <w:sz w:val="24"/>
                <w:highlight w:val="none"/>
              </w:rPr>
              <w:t>固体废物贮存（处置）场》（</w:t>
            </w:r>
            <w:r>
              <w:rPr>
                <w:color w:val="auto"/>
                <w:sz w:val="24"/>
                <w:highlight w:val="none"/>
              </w:rPr>
              <w:t>GB15562.2-1995</w:t>
            </w:r>
            <w:r>
              <w:rPr>
                <w:rFonts w:hAnsi="宋体"/>
                <w:color w:val="auto"/>
                <w:sz w:val="24"/>
                <w:highlight w:val="none"/>
              </w:rPr>
              <w:t>）</w:t>
            </w:r>
            <w:r>
              <w:rPr>
                <w:rFonts w:hint="eastAsia" w:hAnsi="宋体"/>
                <w:color w:val="auto"/>
                <w:sz w:val="24"/>
                <w:highlight w:val="none"/>
              </w:rPr>
              <w:t>及其修改单</w:t>
            </w:r>
            <w:r>
              <w:rPr>
                <w:rFonts w:hAnsi="宋体"/>
                <w:color w:val="auto"/>
                <w:sz w:val="24"/>
                <w:highlight w:val="none"/>
              </w:rPr>
              <w:t>和</w:t>
            </w:r>
            <w:r>
              <w:rPr>
                <w:rFonts w:hint="eastAsia" w:hAnsi="宋体"/>
                <w:color w:val="auto"/>
                <w:sz w:val="24"/>
                <w:highlight w:val="none"/>
              </w:rPr>
              <w:t>《</w:t>
            </w:r>
            <w:r>
              <w:rPr>
                <w:rFonts w:hint="eastAsia" w:hAnsiTheme="minorEastAsia"/>
                <w:color w:val="auto"/>
                <w:sz w:val="24"/>
                <w:highlight w:val="none"/>
              </w:rPr>
              <w:t>危险废物识别标志设置技术规范》（HJ 1276-2022）</w:t>
            </w:r>
            <w:r>
              <w:rPr>
                <w:rFonts w:hAnsi="宋体"/>
                <w:color w:val="auto"/>
                <w:sz w:val="24"/>
                <w:highlight w:val="none"/>
              </w:rPr>
              <w:t>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鼓励采用云存储方式保存视频监控数据。</w:t>
            </w:r>
          </w:p>
          <w:p w14:paraId="45CE4FA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企业应根据危险废物的种类和特性进行分区、分类贮存，设置防雨、防火、防雷、防扬散、防渗漏装置及泄漏液体收集装置。对易爆、易燃及排出有毒气体的危险废物进行预处理，稳定后贮存，否则按易爆、易燃危险品贮存。</w:t>
            </w:r>
          </w:p>
          <w:p w14:paraId="7EDEC1D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危险废物暂存场所基础防渗层为至少</w:t>
            </w:r>
            <w:r>
              <w:rPr>
                <w:color w:val="auto"/>
                <w:sz w:val="24"/>
                <w:highlight w:val="none"/>
              </w:rPr>
              <w:t>1m</w:t>
            </w:r>
            <w:r>
              <w:rPr>
                <w:rFonts w:hAnsi="宋体"/>
                <w:color w:val="auto"/>
                <w:sz w:val="24"/>
                <w:highlight w:val="none"/>
              </w:rPr>
              <w:t>厚粘土层（渗透系数</w:t>
            </w:r>
            <w:r>
              <w:rPr>
                <w:color w:val="auto"/>
                <w:sz w:val="24"/>
                <w:highlight w:val="none"/>
              </w:rPr>
              <w:t>≤10</w:t>
            </w:r>
            <w:r>
              <w:rPr>
                <w:rFonts w:hint="eastAsia"/>
                <w:color w:val="auto"/>
                <w:sz w:val="24"/>
                <w:highlight w:val="none"/>
                <w:lang w:eastAsia="zh-CN"/>
              </w:rPr>
              <w:t>～</w:t>
            </w:r>
            <w:r>
              <w:rPr>
                <w:color w:val="auto"/>
                <w:sz w:val="24"/>
                <w:highlight w:val="none"/>
                <w:vertAlign w:val="superscript"/>
              </w:rPr>
              <w:t>7</w:t>
            </w:r>
            <w:r>
              <w:rPr>
                <w:color w:val="auto"/>
                <w:sz w:val="24"/>
                <w:highlight w:val="none"/>
              </w:rPr>
              <w:t>cm/s</w:t>
            </w:r>
            <w:r>
              <w:rPr>
                <w:rFonts w:hAnsi="宋体"/>
                <w:color w:val="auto"/>
                <w:sz w:val="24"/>
                <w:highlight w:val="none"/>
              </w:rPr>
              <w:t>），或</w:t>
            </w:r>
            <w:r>
              <w:rPr>
                <w:color w:val="auto"/>
                <w:sz w:val="24"/>
                <w:highlight w:val="none"/>
              </w:rPr>
              <w:t>2mm</w:t>
            </w:r>
            <w:r>
              <w:rPr>
                <w:rFonts w:hAnsi="宋体"/>
                <w:color w:val="auto"/>
                <w:sz w:val="24"/>
                <w:highlight w:val="none"/>
              </w:rPr>
              <w:t>厚高密度聚乙烯，或至少</w:t>
            </w:r>
            <w:r>
              <w:rPr>
                <w:color w:val="auto"/>
                <w:sz w:val="24"/>
                <w:highlight w:val="none"/>
              </w:rPr>
              <w:t>2mm</w:t>
            </w:r>
            <w:r>
              <w:rPr>
                <w:rFonts w:hAnsi="宋体"/>
                <w:color w:val="auto"/>
                <w:sz w:val="24"/>
                <w:highlight w:val="none"/>
              </w:rPr>
              <w:t>厚的其他人工材料，渗透系数</w:t>
            </w:r>
            <w:r>
              <w:rPr>
                <w:color w:val="auto"/>
                <w:sz w:val="24"/>
                <w:highlight w:val="none"/>
              </w:rPr>
              <w:t>≤10</w:t>
            </w:r>
            <w:r>
              <w:rPr>
                <w:rFonts w:hint="eastAsia"/>
                <w:color w:val="auto"/>
                <w:sz w:val="24"/>
                <w:highlight w:val="none"/>
                <w:lang w:eastAsia="zh-CN"/>
              </w:rPr>
              <w:t>～</w:t>
            </w:r>
            <w:r>
              <w:rPr>
                <w:color w:val="auto"/>
                <w:sz w:val="24"/>
                <w:highlight w:val="none"/>
                <w:vertAlign w:val="superscript"/>
              </w:rPr>
              <w:t>7</w:t>
            </w:r>
            <w:r>
              <w:rPr>
                <w:color w:val="auto"/>
                <w:sz w:val="24"/>
                <w:highlight w:val="none"/>
              </w:rPr>
              <w:t>cm/s</w:t>
            </w:r>
            <w:r>
              <w:rPr>
                <w:rFonts w:hAnsi="宋体"/>
                <w:color w:val="auto"/>
                <w:sz w:val="24"/>
                <w:highlight w:val="none"/>
              </w:rPr>
              <w:t>；应建有堵截泄漏的裙角，地面与裙角要用兼顾防渗的材料建造，建筑材料必须与危险废物相容，危险废物包装材料与危险废物相容。</w:t>
            </w:r>
          </w:p>
          <w:p w14:paraId="68355F60">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企业拟在</w:t>
            </w:r>
            <w:r>
              <w:rPr>
                <w:rFonts w:hint="eastAsia" w:hAnsi="宋体"/>
                <w:color w:val="auto"/>
                <w:sz w:val="24"/>
                <w:highlight w:val="none"/>
                <w:lang w:val="en-US" w:eastAsia="zh-CN"/>
              </w:rPr>
              <w:t>2#</w:t>
            </w:r>
            <w:r>
              <w:rPr>
                <w:rFonts w:hAnsi="宋体"/>
                <w:color w:val="auto"/>
                <w:sz w:val="24"/>
                <w:highlight w:val="none"/>
              </w:rPr>
              <w:t>厂房</w:t>
            </w:r>
            <w:r>
              <w:rPr>
                <w:rFonts w:hint="eastAsia" w:hAnsi="宋体"/>
                <w:color w:val="auto"/>
                <w:sz w:val="24"/>
                <w:highlight w:val="none"/>
              </w:rPr>
              <w:t>内</w:t>
            </w:r>
            <w:r>
              <w:rPr>
                <w:rFonts w:hint="eastAsia" w:hAnsi="宋体"/>
                <w:color w:val="auto"/>
                <w:sz w:val="24"/>
                <w:highlight w:val="none"/>
                <w:lang w:val="en-US" w:eastAsia="zh-CN"/>
              </w:rPr>
              <w:t>西北侧</w:t>
            </w:r>
            <w:r>
              <w:rPr>
                <w:rFonts w:hAnsi="宋体"/>
                <w:color w:val="auto"/>
                <w:sz w:val="24"/>
                <w:highlight w:val="none"/>
              </w:rPr>
              <w:t>建设危险废物暂存场所一间，占地面积</w:t>
            </w:r>
            <w:r>
              <w:rPr>
                <w:rFonts w:hint="eastAsia"/>
                <w:color w:val="auto"/>
                <w:sz w:val="24"/>
                <w:highlight w:val="none"/>
                <w:lang w:val="en-US" w:eastAsia="zh-CN"/>
              </w:rPr>
              <w:t>3</w:t>
            </w:r>
            <w:r>
              <w:rPr>
                <w:color w:val="auto"/>
                <w:sz w:val="24"/>
                <w:highlight w:val="none"/>
              </w:rPr>
              <w:t>0m</w:t>
            </w:r>
            <w:r>
              <w:rPr>
                <w:color w:val="auto"/>
                <w:sz w:val="24"/>
                <w:highlight w:val="none"/>
                <w:vertAlign w:val="superscript"/>
              </w:rPr>
              <w:t>2</w:t>
            </w:r>
            <w:r>
              <w:rPr>
                <w:rFonts w:hAnsi="宋体"/>
                <w:color w:val="auto"/>
                <w:sz w:val="24"/>
                <w:highlight w:val="none"/>
              </w:rPr>
              <w:t>。危险废物贮存场所基本情况见下表。</w:t>
            </w:r>
          </w:p>
          <w:p w14:paraId="2A8957C4">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21</w:t>
            </w:r>
            <w:r>
              <w:rPr>
                <w:rFonts w:hint="eastAsia"/>
                <w:b/>
                <w:color w:val="auto"/>
                <w:sz w:val="24"/>
                <w:highlight w:val="none"/>
              </w:rPr>
              <w:t xml:space="preserve"> </w:t>
            </w:r>
            <w:r>
              <w:rPr>
                <w:rFonts w:hAnsi="宋体"/>
                <w:b/>
                <w:color w:val="auto"/>
                <w:sz w:val="24"/>
                <w:highlight w:val="none"/>
              </w:rPr>
              <w:t>建设项目危险废物贮存场所（设施）基本情况表</w:t>
            </w:r>
          </w:p>
          <w:tbl>
            <w:tblPr>
              <w:tblStyle w:val="88"/>
              <w:tblW w:w="84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53"/>
              <w:gridCol w:w="1212"/>
              <w:gridCol w:w="1378"/>
              <w:gridCol w:w="1086"/>
              <w:gridCol w:w="699"/>
              <w:gridCol w:w="660"/>
              <w:gridCol w:w="1230"/>
              <w:gridCol w:w="1114"/>
              <w:gridCol w:w="639"/>
            </w:tblGrid>
            <w:tr w14:paraId="2FF447F4">
              <w:trPr>
                <w:trHeight w:val="340" w:hRule="atLeast"/>
                <w:jc w:val="center"/>
              </w:trPr>
              <w:tc>
                <w:tcPr>
                  <w:tcW w:w="453" w:type="dxa"/>
                  <w:noWrap/>
                  <w:vAlign w:val="center"/>
                </w:tcPr>
                <w:p w14:paraId="44794FE3">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序号</w:t>
                  </w:r>
                </w:p>
              </w:tc>
              <w:tc>
                <w:tcPr>
                  <w:tcW w:w="1212" w:type="dxa"/>
                  <w:noWrap/>
                  <w:vAlign w:val="center"/>
                </w:tcPr>
                <w:p w14:paraId="67E0012A">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贮存场所</w:t>
                  </w:r>
                </w:p>
                <w:p w14:paraId="2DA5C26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int="eastAsia"/>
                      <w:b/>
                      <w:bCs/>
                      <w:color w:val="auto"/>
                      <w:szCs w:val="21"/>
                      <w:highlight w:val="none"/>
                      <w:lang w:eastAsia="zh-CN"/>
                    </w:rPr>
                    <w:t>（</w:t>
                  </w:r>
                  <w:r>
                    <w:rPr>
                      <w:rFonts w:hAnsi="宋体"/>
                      <w:b/>
                      <w:bCs/>
                      <w:color w:val="auto"/>
                      <w:szCs w:val="21"/>
                      <w:highlight w:val="none"/>
                    </w:rPr>
                    <w:t>设施</w:t>
                  </w:r>
                  <w:r>
                    <w:rPr>
                      <w:rFonts w:hint="eastAsia" w:hAnsi="宋体"/>
                      <w:b/>
                      <w:bCs/>
                      <w:color w:val="auto"/>
                      <w:szCs w:val="21"/>
                      <w:highlight w:val="none"/>
                      <w:lang w:eastAsia="zh-CN"/>
                    </w:rPr>
                    <w:t>）</w:t>
                  </w:r>
                  <w:r>
                    <w:rPr>
                      <w:rFonts w:hAnsi="宋体"/>
                      <w:b/>
                      <w:bCs/>
                      <w:color w:val="auto"/>
                      <w:szCs w:val="21"/>
                      <w:highlight w:val="none"/>
                    </w:rPr>
                    <w:t>名称</w:t>
                  </w:r>
                </w:p>
              </w:tc>
              <w:tc>
                <w:tcPr>
                  <w:tcW w:w="1378" w:type="dxa"/>
                  <w:noWrap/>
                  <w:vAlign w:val="center"/>
                </w:tcPr>
                <w:p w14:paraId="5EC45304">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危险废</w:t>
                  </w:r>
                </w:p>
                <w:p w14:paraId="59CEAF3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物名称</w:t>
                  </w:r>
                </w:p>
              </w:tc>
              <w:tc>
                <w:tcPr>
                  <w:tcW w:w="1086" w:type="dxa"/>
                  <w:noWrap/>
                  <w:vAlign w:val="center"/>
                </w:tcPr>
                <w:p w14:paraId="5A20C774">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危险废物</w:t>
                  </w:r>
                </w:p>
                <w:p w14:paraId="540A57AC">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类别</w:t>
                  </w:r>
                </w:p>
              </w:tc>
              <w:tc>
                <w:tcPr>
                  <w:tcW w:w="699" w:type="dxa"/>
                  <w:noWrap/>
                  <w:vAlign w:val="center"/>
                </w:tcPr>
                <w:p w14:paraId="4C7A8BB7">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位置</w:t>
                  </w:r>
                </w:p>
              </w:tc>
              <w:tc>
                <w:tcPr>
                  <w:tcW w:w="660" w:type="dxa"/>
                  <w:noWrap/>
                  <w:vAlign w:val="center"/>
                </w:tcPr>
                <w:p w14:paraId="1889B887">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占地</w:t>
                  </w:r>
                </w:p>
                <w:p w14:paraId="490A9579">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面积</w:t>
                  </w:r>
                </w:p>
              </w:tc>
              <w:tc>
                <w:tcPr>
                  <w:tcW w:w="1230" w:type="dxa"/>
                  <w:noWrap/>
                  <w:vAlign w:val="center"/>
                </w:tcPr>
                <w:p w14:paraId="025C07DF">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w:t>
                  </w:r>
                </w:p>
                <w:p w14:paraId="52071DBD">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方式</w:t>
                  </w:r>
                </w:p>
              </w:tc>
              <w:tc>
                <w:tcPr>
                  <w:tcW w:w="1114" w:type="dxa"/>
                  <w:noWrap/>
                  <w:vAlign w:val="center"/>
                </w:tcPr>
                <w:p w14:paraId="2D827139">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贮存能力</w:t>
                  </w:r>
                  <w:r>
                    <w:rPr>
                      <w:rFonts w:hint="eastAsia" w:hAnsi="宋体"/>
                      <w:b/>
                      <w:bCs/>
                      <w:color w:val="auto"/>
                      <w:szCs w:val="21"/>
                      <w:highlight w:val="none"/>
                    </w:rPr>
                    <w:t>t</w:t>
                  </w:r>
                </w:p>
              </w:tc>
              <w:tc>
                <w:tcPr>
                  <w:tcW w:w="639" w:type="dxa"/>
                  <w:noWrap/>
                  <w:vAlign w:val="center"/>
                </w:tcPr>
                <w:p w14:paraId="0C85EB57">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w:t>
                  </w:r>
                </w:p>
                <w:p w14:paraId="3BFDF665">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周期</w:t>
                  </w:r>
                </w:p>
              </w:tc>
            </w:tr>
            <w:tr w14:paraId="3D1B4798">
              <w:trPr>
                <w:trHeight w:val="397" w:hRule="atLeast"/>
                <w:jc w:val="center"/>
              </w:trPr>
              <w:tc>
                <w:tcPr>
                  <w:tcW w:w="453" w:type="dxa"/>
                  <w:noWrap/>
                  <w:vAlign w:val="center"/>
                </w:tcPr>
                <w:p w14:paraId="125B022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1212" w:type="dxa"/>
                  <w:vMerge w:val="restart"/>
                  <w:noWrap/>
                  <w:vAlign w:val="center"/>
                </w:tcPr>
                <w:p w14:paraId="759E4B6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危废暂</w:t>
                  </w:r>
                </w:p>
                <w:p w14:paraId="5FEAD5A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存场所</w:t>
                  </w:r>
                </w:p>
              </w:tc>
              <w:tc>
                <w:tcPr>
                  <w:tcW w:w="1378" w:type="dxa"/>
                  <w:shd w:val="clear" w:color="auto" w:fill="auto"/>
                  <w:noWrap/>
                  <w:vAlign w:val="center"/>
                </w:tcPr>
                <w:p w14:paraId="66BE9D3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086" w:type="dxa"/>
                  <w:noWrap/>
                  <w:vAlign w:val="center"/>
                </w:tcPr>
                <w:p w14:paraId="358B5DE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HW49</w:t>
                  </w:r>
                </w:p>
              </w:tc>
              <w:tc>
                <w:tcPr>
                  <w:tcW w:w="699" w:type="dxa"/>
                  <w:vMerge w:val="restart"/>
                  <w:noWrap/>
                  <w:vAlign w:val="center"/>
                </w:tcPr>
                <w:p w14:paraId="6D4AFFA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厂房</w:t>
                  </w:r>
                  <w:r>
                    <w:rPr>
                      <w:rFonts w:hint="eastAsia" w:hAnsi="宋体"/>
                      <w:color w:val="auto"/>
                      <w:szCs w:val="21"/>
                      <w:highlight w:val="none"/>
                    </w:rPr>
                    <w:t>内</w:t>
                  </w:r>
                </w:p>
              </w:tc>
              <w:tc>
                <w:tcPr>
                  <w:tcW w:w="660" w:type="dxa"/>
                  <w:vMerge w:val="restart"/>
                  <w:noWrap/>
                  <w:vAlign w:val="center"/>
                </w:tcPr>
                <w:p w14:paraId="54504B4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3</w:t>
                  </w:r>
                  <w:r>
                    <w:rPr>
                      <w:rFonts w:hint="eastAsia"/>
                      <w:color w:val="auto"/>
                      <w:szCs w:val="21"/>
                      <w:highlight w:val="none"/>
                    </w:rPr>
                    <w:t>0</w:t>
                  </w:r>
                  <w:r>
                    <w:rPr>
                      <w:color w:val="auto"/>
                      <w:szCs w:val="21"/>
                      <w:highlight w:val="none"/>
                    </w:rPr>
                    <w:t>m</w:t>
                  </w:r>
                  <w:r>
                    <w:rPr>
                      <w:color w:val="auto"/>
                      <w:szCs w:val="21"/>
                      <w:highlight w:val="none"/>
                      <w:vertAlign w:val="superscript"/>
                    </w:rPr>
                    <w:t>2</w:t>
                  </w:r>
                </w:p>
              </w:tc>
              <w:tc>
                <w:tcPr>
                  <w:tcW w:w="1230" w:type="dxa"/>
                  <w:noWrap/>
                  <w:vAlign w:val="center"/>
                </w:tcPr>
                <w:p w14:paraId="609FF96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密封桶</w:t>
                  </w:r>
                </w:p>
              </w:tc>
              <w:tc>
                <w:tcPr>
                  <w:tcW w:w="1114" w:type="dxa"/>
                  <w:shd w:val="clear" w:color="auto" w:fill="auto"/>
                  <w:noWrap/>
                  <w:vAlign w:val="center"/>
                </w:tcPr>
                <w:p w14:paraId="5B368B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3.237</w:t>
                  </w:r>
                </w:p>
              </w:tc>
              <w:tc>
                <w:tcPr>
                  <w:tcW w:w="639" w:type="dxa"/>
                  <w:noWrap/>
                  <w:vAlign w:val="center"/>
                </w:tcPr>
                <w:p w14:paraId="2BF3C86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Ansi="宋体"/>
                      <w:color w:val="auto"/>
                      <w:szCs w:val="21"/>
                      <w:highlight w:val="none"/>
                    </w:rPr>
                    <w:t>个月</w:t>
                  </w:r>
                </w:p>
              </w:tc>
            </w:tr>
            <w:tr w14:paraId="751D1438">
              <w:trPr>
                <w:trHeight w:val="397" w:hRule="atLeast"/>
                <w:jc w:val="center"/>
              </w:trPr>
              <w:tc>
                <w:tcPr>
                  <w:tcW w:w="453" w:type="dxa"/>
                  <w:shd w:val="clear" w:color="auto" w:fill="auto"/>
                  <w:noWrap/>
                  <w:vAlign w:val="center"/>
                </w:tcPr>
                <w:p w14:paraId="37A316F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1212" w:type="dxa"/>
                  <w:vMerge w:val="continue"/>
                  <w:noWrap/>
                  <w:vAlign w:val="center"/>
                </w:tcPr>
                <w:p w14:paraId="7B22C04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1378" w:type="dxa"/>
                  <w:shd w:val="clear" w:color="auto" w:fill="auto"/>
                  <w:noWrap/>
                  <w:vAlign w:val="center"/>
                </w:tcPr>
                <w:p w14:paraId="5F0EF8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废过滤棉</w:t>
                  </w:r>
                </w:p>
              </w:tc>
              <w:tc>
                <w:tcPr>
                  <w:tcW w:w="1086" w:type="dxa"/>
                  <w:noWrap/>
                  <w:vAlign w:val="center"/>
                </w:tcPr>
                <w:p w14:paraId="18E52912">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HW49</w:t>
                  </w:r>
                </w:p>
              </w:tc>
              <w:tc>
                <w:tcPr>
                  <w:tcW w:w="699" w:type="dxa"/>
                  <w:vMerge w:val="continue"/>
                  <w:noWrap/>
                  <w:vAlign w:val="center"/>
                </w:tcPr>
                <w:p w14:paraId="1DFE23C4">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660" w:type="dxa"/>
                  <w:vMerge w:val="continue"/>
                  <w:noWrap/>
                  <w:vAlign w:val="center"/>
                </w:tcPr>
                <w:p w14:paraId="045296E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2E8FCF67">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密封桶</w:t>
                  </w:r>
                </w:p>
              </w:tc>
              <w:tc>
                <w:tcPr>
                  <w:tcW w:w="1114" w:type="dxa"/>
                  <w:shd w:val="clear" w:color="auto" w:fill="auto"/>
                  <w:noWrap/>
                  <w:vAlign w:val="center"/>
                </w:tcPr>
                <w:p w14:paraId="313BB2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1.273</w:t>
                  </w:r>
                </w:p>
              </w:tc>
              <w:tc>
                <w:tcPr>
                  <w:tcW w:w="639" w:type="dxa"/>
                  <w:noWrap/>
                  <w:vAlign w:val="center"/>
                </w:tcPr>
                <w:p w14:paraId="52B5C88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6</w:t>
                  </w:r>
                  <w:r>
                    <w:rPr>
                      <w:rFonts w:hAnsi="宋体"/>
                      <w:color w:val="auto"/>
                      <w:szCs w:val="21"/>
                      <w:highlight w:val="none"/>
                    </w:rPr>
                    <w:t>个月</w:t>
                  </w:r>
                </w:p>
              </w:tc>
            </w:tr>
            <w:tr w14:paraId="36705455">
              <w:trPr>
                <w:trHeight w:val="397" w:hRule="atLeast"/>
                <w:jc w:val="center"/>
              </w:trPr>
              <w:tc>
                <w:tcPr>
                  <w:tcW w:w="453" w:type="dxa"/>
                  <w:shd w:val="clear" w:color="auto" w:fill="auto"/>
                  <w:noWrap/>
                  <w:vAlign w:val="center"/>
                </w:tcPr>
                <w:p w14:paraId="5018FF6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1212" w:type="dxa"/>
                  <w:vMerge w:val="continue"/>
                  <w:noWrap/>
                  <w:vAlign w:val="center"/>
                </w:tcPr>
                <w:p w14:paraId="5C808BD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6FE518C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1086" w:type="dxa"/>
                  <w:noWrap/>
                  <w:vAlign w:val="center"/>
                </w:tcPr>
                <w:p w14:paraId="009B900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color w:val="auto"/>
                      <w:kern w:val="0"/>
                      <w:szCs w:val="21"/>
                      <w:highlight w:val="none"/>
                    </w:rPr>
                    <w:t>HW08</w:t>
                  </w:r>
                </w:p>
              </w:tc>
              <w:tc>
                <w:tcPr>
                  <w:tcW w:w="699" w:type="dxa"/>
                  <w:vMerge w:val="continue"/>
                  <w:noWrap/>
                  <w:vAlign w:val="center"/>
                </w:tcPr>
                <w:p w14:paraId="00AA3E7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575016A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2FB30FD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密封桶</w:t>
                  </w:r>
                </w:p>
              </w:tc>
              <w:tc>
                <w:tcPr>
                  <w:tcW w:w="1114" w:type="dxa"/>
                  <w:shd w:val="clear" w:color="auto" w:fill="auto"/>
                  <w:noWrap/>
                  <w:vAlign w:val="center"/>
                </w:tcPr>
                <w:p w14:paraId="15D111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0.4</w:t>
                  </w:r>
                </w:p>
              </w:tc>
              <w:tc>
                <w:tcPr>
                  <w:tcW w:w="639" w:type="dxa"/>
                  <w:noWrap/>
                  <w:vAlign w:val="center"/>
                </w:tcPr>
                <w:p w14:paraId="196EE09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6</w:t>
                  </w:r>
                  <w:r>
                    <w:rPr>
                      <w:rFonts w:hAnsi="宋体"/>
                      <w:color w:val="auto"/>
                      <w:szCs w:val="21"/>
                      <w:highlight w:val="none"/>
                    </w:rPr>
                    <w:t>个月</w:t>
                  </w:r>
                </w:p>
              </w:tc>
            </w:tr>
            <w:tr w14:paraId="1DCDAF52">
              <w:trPr>
                <w:trHeight w:val="397" w:hRule="atLeast"/>
                <w:jc w:val="center"/>
              </w:trPr>
              <w:tc>
                <w:tcPr>
                  <w:tcW w:w="453" w:type="dxa"/>
                  <w:shd w:val="clear" w:color="auto" w:fill="auto"/>
                  <w:noWrap/>
                  <w:vAlign w:val="center"/>
                </w:tcPr>
                <w:p w14:paraId="46D630E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4</w:t>
                  </w:r>
                </w:p>
              </w:tc>
              <w:tc>
                <w:tcPr>
                  <w:tcW w:w="1212" w:type="dxa"/>
                  <w:vMerge w:val="continue"/>
                  <w:noWrap/>
                  <w:vAlign w:val="center"/>
                </w:tcPr>
                <w:p w14:paraId="6D8B1E0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136FEF09">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废切削液</w:t>
                  </w:r>
                </w:p>
              </w:tc>
              <w:tc>
                <w:tcPr>
                  <w:tcW w:w="1086" w:type="dxa"/>
                  <w:noWrap/>
                  <w:vAlign w:val="center"/>
                </w:tcPr>
                <w:p w14:paraId="72B2597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bCs/>
                      <w:color w:val="auto"/>
                      <w:szCs w:val="21"/>
                      <w:highlight w:val="none"/>
                    </w:rPr>
                    <w:t>HW</w:t>
                  </w:r>
                  <w:r>
                    <w:rPr>
                      <w:rFonts w:hint="eastAsia"/>
                      <w:bCs/>
                      <w:color w:val="auto"/>
                      <w:szCs w:val="21"/>
                      <w:highlight w:val="none"/>
                    </w:rPr>
                    <w:t>0</w:t>
                  </w:r>
                  <w:r>
                    <w:rPr>
                      <w:bCs/>
                      <w:color w:val="auto"/>
                      <w:szCs w:val="21"/>
                      <w:highlight w:val="none"/>
                    </w:rPr>
                    <w:t>9</w:t>
                  </w:r>
                </w:p>
              </w:tc>
              <w:tc>
                <w:tcPr>
                  <w:tcW w:w="699" w:type="dxa"/>
                  <w:vMerge w:val="continue"/>
                  <w:noWrap/>
                  <w:vAlign w:val="center"/>
                </w:tcPr>
                <w:p w14:paraId="666C143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44DEBCE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1A3AD3E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密封桶</w:t>
                  </w:r>
                </w:p>
              </w:tc>
              <w:tc>
                <w:tcPr>
                  <w:tcW w:w="1114" w:type="dxa"/>
                  <w:shd w:val="clear" w:color="auto" w:fill="auto"/>
                  <w:noWrap/>
                  <w:vAlign w:val="center"/>
                </w:tcPr>
                <w:p w14:paraId="7AA4DD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0.4</w:t>
                  </w:r>
                </w:p>
              </w:tc>
              <w:tc>
                <w:tcPr>
                  <w:tcW w:w="639" w:type="dxa"/>
                  <w:noWrap/>
                  <w:vAlign w:val="center"/>
                </w:tcPr>
                <w:p w14:paraId="3973F6A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6</w:t>
                  </w:r>
                  <w:r>
                    <w:rPr>
                      <w:rFonts w:hAnsi="宋体"/>
                      <w:color w:val="auto"/>
                      <w:szCs w:val="21"/>
                      <w:highlight w:val="none"/>
                    </w:rPr>
                    <w:t>个月</w:t>
                  </w:r>
                </w:p>
              </w:tc>
            </w:tr>
            <w:tr w14:paraId="0DE84AE8">
              <w:trPr>
                <w:trHeight w:val="397" w:hRule="atLeast"/>
                <w:jc w:val="center"/>
              </w:trPr>
              <w:tc>
                <w:tcPr>
                  <w:tcW w:w="453" w:type="dxa"/>
                  <w:shd w:val="clear" w:color="auto" w:fill="auto"/>
                  <w:noWrap/>
                  <w:vAlign w:val="center"/>
                </w:tcPr>
                <w:p w14:paraId="67ACAE9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5</w:t>
                  </w:r>
                </w:p>
              </w:tc>
              <w:tc>
                <w:tcPr>
                  <w:tcW w:w="1212" w:type="dxa"/>
                  <w:vMerge w:val="continue"/>
                  <w:noWrap/>
                  <w:vAlign w:val="center"/>
                </w:tcPr>
                <w:p w14:paraId="1C0C9A9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63E68D8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1086" w:type="dxa"/>
                  <w:noWrap/>
                  <w:vAlign w:val="center"/>
                </w:tcPr>
                <w:p w14:paraId="2E1A8F6A">
                  <w:pPr>
                    <w:keepNext w:val="0"/>
                    <w:keepLines w:val="0"/>
                    <w:widowControl/>
                    <w:suppressLineNumbers w:val="0"/>
                    <w:spacing w:before="0" w:beforeAutospacing="0" w:after="0" w:afterAutospacing="0"/>
                    <w:ind w:left="0" w:right="0"/>
                    <w:jc w:val="center"/>
                    <w:rPr>
                      <w:color w:val="auto"/>
                      <w:kern w:val="0"/>
                      <w:szCs w:val="21"/>
                      <w:highlight w:val="none"/>
                    </w:rPr>
                  </w:pPr>
                  <w:r>
                    <w:rPr>
                      <w:bCs/>
                      <w:color w:val="auto"/>
                      <w:szCs w:val="21"/>
                      <w:highlight w:val="none"/>
                    </w:rPr>
                    <w:t>HW49</w:t>
                  </w:r>
                </w:p>
              </w:tc>
              <w:tc>
                <w:tcPr>
                  <w:tcW w:w="699" w:type="dxa"/>
                  <w:vMerge w:val="continue"/>
                  <w:noWrap/>
                  <w:vAlign w:val="center"/>
                </w:tcPr>
                <w:p w14:paraId="76D2C07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4D9DAE9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7B5D274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密封桶</w:t>
                  </w:r>
                </w:p>
              </w:tc>
              <w:tc>
                <w:tcPr>
                  <w:tcW w:w="1114" w:type="dxa"/>
                  <w:shd w:val="clear" w:color="auto" w:fill="auto"/>
                  <w:noWrap/>
                  <w:vAlign w:val="center"/>
                </w:tcPr>
                <w:p w14:paraId="766E1F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0.12</w:t>
                  </w:r>
                </w:p>
              </w:tc>
              <w:tc>
                <w:tcPr>
                  <w:tcW w:w="639" w:type="dxa"/>
                  <w:noWrap/>
                  <w:vAlign w:val="center"/>
                </w:tcPr>
                <w:p w14:paraId="0B532A0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6</w:t>
                  </w:r>
                  <w:r>
                    <w:rPr>
                      <w:rFonts w:hAnsi="宋体"/>
                      <w:color w:val="auto"/>
                      <w:szCs w:val="21"/>
                      <w:highlight w:val="none"/>
                    </w:rPr>
                    <w:t>个月</w:t>
                  </w:r>
                </w:p>
              </w:tc>
            </w:tr>
            <w:tr w14:paraId="12E45903">
              <w:trPr>
                <w:trHeight w:val="397" w:hRule="atLeast"/>
                <w:jc w:val="center"/>
              </w:trPr>
              <w:tc>
                <w:tcPr>
                  <w:tcW w:w="453" w:type="dxa"/>
                  <w:shd w:val="clear" w:color="auto" w:fill="auto"/>
                  <w:noWrap/>
                  <w:vAlign w:val="center"/>
                </w:tcPr>
                <w:p w14:paraId="4376033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6</w:t>
                  </w:r>
                </w:p>
              </w:tc>
              <w:tc>
                <w:tcPr>
                  <w:tcW w:w="1212" w:type="dxa"/>
                  <w:vMerge w:val="continue"/>
                  <w:noWrap/>
                  <w:vAlign w:val="center"/>
                </w:tcPr>
                <w:p w14:paraId="743AE2E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69167E99">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1086" w:type="dxa"/>
                  <w:noWrap/>
                  <w:vAlign w:val="center"/>
                </w:tcPr>
                <w:p w14:paraId="1D0177CE">
                  <w:pPr>
                    <w:keepNext w:val="0"/>
                    <w:keepLines w:val="0"/>
                    <w:widowControl/>
                    <w:suppressLineNumbers w:val="0"/>
                    <w:spacing w:before="0" w:beforeAutospacing="0" w:after="0" w:afterAutospacing="0"/>
                    <w:ind w:left="0" w:right="0"/>
                    <w:jc w:val="center"/>
                    <w:rPr>
                      <w:bCs/>
                      <w:color w:val="auto"/>
                      <w:szCs w:val="21"/>
                      <w:highlight w:val="none"/>
                    </w:rPr>
                  </w:pPr>
                  <w:r>
                    <w:rPr>
                      <w:bCs/>
                      <w:color w:val="auto"/>
                      <w:szCs w:val="21"/>
                      <w:highlight w:val="none"/>
                    </w:rPr>
                    <w:t>HW49</w:t>
                  </w:r>
                </w:p>
              </w:tc>
              <w:tc>
                <w:tcPr>
                  <w:tcW w:w="699" w:type="dxa"/>
                  <w:vMerge w:val="continue"/>
                  <w:noWrap/>
                  <w:vAlign w:val="center"/>
                </w:tcPr>
                <w:p w14:paraId="09E0771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6412D9E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06AF1C9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密封桶</w:t>
                  </w:r>
                </w:p>
              </w:tc>
              <w:tc>
                <w:tcPr>
                  <w:tcW w:w="1114" w:type="dxa"/>
                  <w:shd w:val="clear" w:color="auto" w:fill="auto"/>
                  <w:noWrap/>
                  <w:vAlign w:val="center"/>
                </w:tcPr>
                <w:p w14:paraId="657F9621">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val="en-US" w:eastAsia="zh-CN"/>
                    </w:rPr>
                  </w:pPr>
                  <w:r>
                    <w:rPr>
                      <w:rFonts w:hint="eastAsia"/>
                      <w:bCs/>
                      <w:color w:val="auto"/>
                      <w:szCs w:val="21"/>
                      <w:highlight w:val="none"/>
                      <w:lang w:val="en-US" w:eastAsia="zh-CN"/>
                    </w:rPr>
                    <w:t>0.084</w:t>
                  </w:r>
                </w:p>
              </w:tc>
              <w:tc>
                <w:tcPr>
                  <w:tcW w:w="639" w:type="dxa"/>
                  <w:noWrap/>
                  <w:vAlign w:val="center"/>
                </w:tcPr>
                <w:p w14:paraId="5CB6C886">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lang w:val="en-US" w:eastAsia="zh-CN"/>
                    </w:rPr>
                  </w:pPr>
                  <w:r>
                    <w:rPr>
                      <w:rFonts w:hint="eastAsia"/>
                      <w:color w:val="auto"/>
                      <w:szCs w:val="21"/>
                      <w:highlight w:val="none"/>
                      <w:lang w:val="en-US" w:eastAsia="zh-CN"/>
                    </w:rPr>
                    <w:t>6</w:t>
                  </w:r>
                  <w:r>
                    <w:rPr>
                      <w:rFonts w:hAnsi="宋体"/>
                      <w:color w:val="auto"/>
                      <w:szCs w:val="21"/>
                      <w:highlight w:val="none"/>
                    </w:rPr>
                    <w:t>个月</w:t>
                  </w:r>
                </w:p>
              </w:tc>
            </w:tr>
            <w:tr w14:paraId="08C89306">
              <w:trPr>
                <w:trHeight w:val="397" w:hRule="atLeast"/>
                <w:jc w:val="center"/>
              </w:trPr>
              <w:tc>
                <w:tcPr>
                  <w:tcW w:w="453" w:type="dxa"/>
                  <w:shd w:val="clear" w:color="auto" w:fill="auto"/>
                  <w:noWrap/>
                  <w:vAlign w:val="center"/>
                </w:tcPr>
                <w:p w14:paraId="637DA63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7</w:t>
                  </w:r>
                </w:p>
              </w:tc>
              <w:tc>
                <w:tcPr>
                  <w:tcW w:w="1212" w:type="dxa"/>
                  <w:vMerge w:val="continue"/>
                  <w:noWrap/>
                  <w:vAlign w:val="center"/>
                </w:tcPr>
                <w:p w14:paraId="7A2C67F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5958A857">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浮渣、污泥</w:t>
                  </w:r>
                </w:p>
              </w:tc>
              <w:tc>
                <w:tcPr>
                  <w:tcW w:w="1086" w:type="dxa"/>
                  <w:noWrap/>
                  <w:vAlign w:val="center"/>
                </w:tcPr>
                <w:p w14:paraId="3AE67D93">
                  <w:pPr>
                    <w:keepNext w:val="0"/>
                    <w:keepLines w:val="0"/>
                    <w:widowControl/>
                    <w:suppressLineNumbers w:val="0"/>
                    <w:spacing w:before="0" w:beforeAutospacing="0" w:after="0" w:afterAutospacing="0"/>
                    <w:ind w:left="0" w:right="0"/>
                    <w:jc w:val="center"/>
                    <w:rPr>
                      <w:bCs/>
                      <w:color w:val="auto"/>
                      <w:szCs w:val="21"/>
                      <w:highlight w:val="none"/>
                    </w:rPr>
                  </w:pPr>
                  <w:r>
                    <w:rPr>
                      <w:color w:val="auto"/>
                      <w:kern w:val="0"/>
                      <w:szCs w:val="21"/>
                      <w:highlight w:val="none"/>
                    </w:rPr>
                    <w:t>HW08</w:t>
                  </w:r>
                </w:p>
              </w:tc>
              <w:tc>
                <w:tcPr>
                  <w:tcW w:w="699" w:type="dxa"/>
                  <w:vMerge w:val="continue"/>
                  <w:noWrap/>
                  <w:vAlign w:val="center"/>
                </w:tcPr>
                <w:p w14:paraId="0D2AFABD">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6F2D195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5EAE034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密封桶</w:t>
                  </w:r>
                </w:p>
              </w:tc>
              <w:tc>
                <w:tcPr>
                  <w:tcW w:w="1114" w:type="dxa"/>
                  <w:shd w:val="clear" w:color="auto" w:fill="auto"/>
                  <w:noWrap/>
                  <w:vAlign w:val="center"/>
                </w:tcPr>
                <w:p w14:paraId="31ACAB70">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val="en-US" w:eastAsia="zh-CN"/>
                    </w:rPr>
                  </w:pPr>
                  <w:r>
                    <w:rPr>
                      <w:rFonts w:hint="eastAsia"/>
                      <w:bCs/>
                      <w:color w:val="auto"/>
                      <w:szCs w:val="21"/>
                      <w:highlight w:val="none"/>
                      <w:lang w:val="en-US" w:eastAsia="zh-CN"/>
                    </w:rPr>
                    <w:t>0.595</w:t>
                  </w:r>
                </w:p>
              </w:tc>
              <w:tc>
                <w:tcPr>
                  <w:tcW w:w="639" w:type="dxa"/>
                  <w:shd w:val="clear" w:color="auto" w:fill="auto"/>
                  <w:noWrap/>
                  <w:vAlign w:val="center"/>
                </w:tcPr>
                <w:p w14:paraId="7AE9655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w:t>
                  </w:r>
                  <w:r>
                    <w:rPr>
                      <w:rFonts w:hAnsi="宋体"/>
                      <w:color w:val="auto"/>
                      <w:szCs w:val="21"/>
                      <w:highlight w:val="none"/>
                    </w:rPr>
                    <w:t>个月</w:t>
                  </w:r>
                </w:p>
              </w:tc>
            </w:tr>
            <w:tr w14:paraId="00C4D1FB">
              <w:trPr>
                <w:trHeight w:val="397" w:hRule="atLeast"/>
                <w:jc w:val="center"/>
              </w:trPr>
              <w:tc>
                <w:tcPr>
                  <w:tcW w:w="453" w:type="dxa"/>
                  <w:shd w:val="clear" w:color="auto" w:fill="auto"/>
                  <w:noWrap/>
                  <w:vAlign w:val="center"/>
                </w:tcPr>
                <w:p w14:paraId="4CCC6C5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8</w:t>
                  </w:r>
                </w:p>
              </w:tc>
              <w:tc>
                <w:tcPr>
                  <w:tcW w:w="1212" w:type="dxa"/>
                  <w:vMerge w:val="continue"/>
                  <w:noWrap/>
                  <w:vAlign w:val="center"/>
                </w:tcPr>
                <w:p w14:paraId="49E408B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454BCE0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水性漆废包装桶</w:t>
                  </w:r>
                </w:p>
              </w:tc>
              <w:tc>
                <w:tcPr>
                  <w:tcW w:w="1086" w:type="dxa"/>
                  <w:noWrap/>
                  <w:vAlign w:val="center"/>
                </w:tcPr>
                <w:p w14:paraId="118C0741">
                  <w:pPr>
                    <w:keepNext w:val="0"/>
                    <w:keepLines w:val="0"/>
                    <w:widowControl/>
                    <w:suppressLineNumbers w:val="0"/>
                    <w:spacing w:before="0" w:beforeAutospacing="0" w:after="0" w:afterAutospacing="0"/>
                    <w:ind w:left="0" w:right="0"/>
                    <w:jc w:val="center"/>
                    <w:rPr>
                      <w:color w:val="auto"/>
                      <w:kern w:val="0"/>
                      <w:szCs w:val="21"/>
                      <w:highlight w:val="none"/>
                    </w:rPr>
                  </w:pPr>
                  <w:r>
                    <w:rPr>
                      <w:bCs/>
                      <w:color w:val="auto"/>
                      <w:szCs w:val="21"/>
                      <w:highlight w:val="none"/>
                    </w:rPr>
                    <w:t>HW49</w:t>
                  </w:r>
                </w:p>
              </w:tc>
              <w:tc>
                <w:tcPr>
                  <w:tcW w:w="699" w:type="dxa"/>
                  <w:vMerge w:val="continue"/>
                  <w:noWrap/>
                  <w:vAlign w:val="center"/>
                </w:tcPr>
                <w:p w14:paraId="3C58812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687206E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0990D45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密封桶</w:t>
                  </w:r>
                </w:p>
              </w:tc>
              <w:tc>
                <w:tcPr>
                  <w:tcW w:w="1114" w:type="dxa"/>
                  <w:shd w:val="clear" w:color="auto" w:fill="auto"/>
                  <w:noWrap/>
                  <w:vAlign w:val="center"/>
                </w:tcPr>
                <w:p w14:paraId="172189A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0.5</w:t>
                  </w:r>
                </w:p>
              </w:tc>
              <w:tc>
                <w:tcPr>
                  <w:tcW w:w="639" w:type="dxa"/>
                  <w:shd w:val="clear" w:color="auto" w:fill="auto"/>
                  <w:noWrap/>
                  <w:vAlign w:val="center"/>
                </w:tcPr>
                <w:p w14:paraId="5F051E1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w:t>
                  </w:r>
                  <w:r>
                    <w:rPr>
                      <w:rFonts w:hAnsi="宋体"/>
                      <w:color w:val="auto"/>
                      <w:szCs w:val="21"/>
                      <w:highlight w:val="none"/>
                    </w:rPr>
                    <w:t>个月</w:t>
                  </w:r>
                </w:p>
              </w:tc>
            </w:tr>
            <w:tr w14:paraId="0134FF51">
              <w:trPr>
                <w:trHeight w:val="397" w:hRule="atLeast"/>
                <w:jc w:val="center"/>
              </w:trPr>
              <w:tc>
                <w:tcPr>
                  <w:tcW w:w="453" w:type="dxa"/>
                  <w:shd w:val="clear" w:color="auto" w:fill="auto"/>
                  <w:noWrap/>
                  <w:vAlign w:val="center"/>
                </w:tcPr>
                <w:p w14:paraId="425A79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1212" w:type="dxa"/>
                  <w:vMerge w:val="continue"/>
                  <w:noWrap/>
                  <w:vAlign w:val="center"/>
                </w:tcPr>
                <w:p w14:paraId="6F33D21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62952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1086" w:type="dxa"/>
                  <w:noWrap/>
                  <w:vAlign w:val="center"/>
                </w:tcPr>
                <w:p w14:paraId="245F1E0B">
                  <w:pPr>
                    <w:keepNext w:val="0"/>
                    <w:keepLines w:val="0"/>
                    <w:widowControl/>
                    <w:suppressLineNumbers w:val="0"/>
                    <w:spacing w:before="0" w:beforeAutospacing="0" w:after="0" w:afterAutospacing="0"/>
                    <w:ind w:left="0" w:right="0"/>
                    <w:jc w:val="center"/>
                    <w:rPr>
                      <w:rFonts w:hint="default" w:eastAsiaTheme="minorEastAsia"/>
                      <w:color w:val="auto"/>
                      <w:kern w:val="0"/>
                      <w:szCs w:val="21"/>
                      <w:highlight w:val="none"/>
                      <w:lang w:val="en-US" w:eastAsia="zh-CN"/>
                    </w:rPr>
                  </w:pPr>
                  <w:r>
                    <w:rPr>
                      <w:bCs/>
                      <w:color w:val="auto"/>
                      <w:szCs w:val="21"/>
                      <w:highlight w:val="none"/>
                    </w:rPr>
                    <w:t>HW</w:t>
                  </w:r>
                  <w:r>
                    <w:rPr>
                      <w:rFonts w:hint="eastAsia"/>
                      <w:bCs/>
                      <w:color w:val="auto"/>
                      <w:szCs w:val="21"/>
                      <w:highlight w:val="none"/>
                      <w:lang w:val="en-US" w:eastAsia="zh-CN"/>
                    </w:rPr>
                    <w:t>08</w:t>
                  </w:r>
                </w:p>
              </w:tc>
              <w:tc>
                <w:tcPr>
                  <w:tcW w:w="699" w:type="dxa"/>
                  <w:vMerge w:val="continue"/>
                  <w:noWrap/>
                  <w:vAlign w:val="center"/>
                </w:tcPr>
                <w:p w14:paraId="72CBB73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0CF7463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192B8FA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密封桶</w:t>
                  </w:r>
                </w:p>
              </w:tc>
              <w:tc>
                <w:tcPr>
                  <w:tcW w:w="1114" w:type="dxa"/>
                  <w:shd w:val="clear" w:color="auto" w:fill="auto"/>
                  <w:noWrap/>
                  <w:vAlign w:val="center"/>
                </w:tcPr>
                <w:p w14:paraId="76ABB9D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0.025</w:t>
                  </w:r>
                </w:p>
              </w:tc>
              <w:tc>
                <w:tcPr>
                  <w:tcW w:w="639" w:type="dxa"/>
                  <w:noWrap/>
                  <w:vAlign w:val="center"/>
                </w:tcPr>
                <w:p w14:paraId="4EB45C8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6</w:t>
                  </w:r>
                  <w:r>
                    <w:rPr>
                      <w:rFonts w:hAnsi="宋体"/>
                      <w:color w:val="auto"/>
                      <w:szCs w:val="21"/>
                      <w:highlight w:val="none"/>
                    </w:rPr>
                    <w:t>个月</w:t>
                  </w:r>
                </w:p>
              </w:tc>
            </w:tr>
          </w:tbl>
          <w:p w14:paraId="1592BE99">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本项目产生的</w:t>
            </w:r>
            <w:r>
              <w:rPr>
                <w:rFonts w:hint="eastAsia" w:hAnsi="宋体"/>
                <w:color w:val="auto"/>
                <w:sz w:val="24"/>
                <w:highlight w:val="none"/>
              </w:rPr>
              <w:t>危险</w:t>
            </w:r>
            <w:r>
              <w:rPr>
                <w:rFonts w:hAnsi="宋体"/>
                <w:color w:val="auto"/>
                <w:sz w:val="24"/>
                <w:highlight w:val="none"/>
              </w:rPr>
              <w:t>固废</w:t>
            </w:r>
            <w:r>
              <w:rPr>
                <w:rFonts w:hint="eastAsia" w:hAnsi="宋体"/>
                <w:color w:val="auto"/>
                <w:sz w:val="24"/>
                <w:highlight w:val="none"/>
              </w:rPr>
              <w:t>合计年产生量</w:t>
            </w:r>
            <w:r>
              <w:rPr>
                <w:rFonts w:hint="eastAsia" w:hAnsi="宋体"/>
                <w:color w:val="auto"/>
                <w:sz w:val="24"/>
                <w:highlight w:val="none"/>
                <w:lang w:val="en-US" w:eastAsia="zh-CN"/>
              </w:rPr>
              <w:t>13.268</w:t>
            </w:r>
            <w:r>
              <w:rPr>
                <w:rFonts w:hint="eastAsia"/>
                <w:color w:val="auto"/>
                <w:sz w:val="24"/>
                <w:highlight w:val="none"/>
              </w:rPr>
              <w:t>t</w:t>
            </w:r>
            <w:r>
              <w:rPr>
                <w:color w:val="auto"/>
                <w:szCs w:val="21"/>
                <w:highlight w:val="none"/>
              </w:rPr>
              <w:t>/a</w:t>
            </w:r>
            <w:r>
              <w:rPr>
                <w:rFonts w:hint="eastAsia" w:hAnsi="宋体"/>
                <w:color w:val="auto"/>
                <w:sz w:val="24"/>
                <w:highlight w:val="none"/>
              </w:rPr>
              <w:t>，</w:t>
            </w:r>
            <w:r>
              <w:rPr>
                <w:rFonts w:hAnsi="宋体"/>
                <w:color w:val="auto"/>
                <w:sz w:val="24"/>
                <w:highlight w:val="none"/>
              </w:rPr>
              <w:t>储存周期均为</w:t>
            </w:r>
            <w:r>
              <w:rPr>
                <w:color w:val="auto"/>
                <w:sz w:val="24"/>
                <w:highlight w:val="none"/>
              </w:rPr>
              <w:t>6</w:t>
            </w:r>
            <w:r>
              <w:rPr>
                <w:rFonts w:hAnsi="宋体"/>
                <w:color w:val="auto"/>
                <w:sz w:val="24"/>
                <w:highlight w:val="none"/>
              </w:rPr>
              <w:t>个月，最大储存量为</w:t>
            </w:r>
            <w:r>
              <w:rPr>
                <w:rFonts w:hint="eastAsia" w:hAnsi="宋体"/>
                <w:color w:val="auto"/>
                <w:sz w:val="24"/>
                <w:szCs w:val="24"/>
                <w:highlight w:val="none"/>
                <w:lang w:val="en-US" w:eastAsia="zh-CN"/>
              </w:rPr>
              <w:t>6.634</w:t>
            </w:r>
            <w:r>
              <w:rPr>
                <w:color w:val="auto"/>
                <w:sz w:val="24"/>
                <w:szCs w:val="24"/>
                <w:highlight w:val="none"/>
              </w:rPr>
              <w:t>t/a</w:t>
            </w:r>
            <w:r>
              <w:rPr>
                <w:rFonts w:hAnsi="宋体"/>
                <w:color w:val="auto"/>
                <w:sz w:val="24"/>
                <w:highlight w:val="none"/>
              </w:rPr>
              <w:t>，所需暂存面积约为</w:t>
            </w:r>
            <w:r>
              <w:rPr>
                <w:rFonts w:hint="eastAsia" w:hAnsi="宋体"/>
                <w:color w:val="auto"/>
                <w:sz w:val="24"/>
                <w:szCs w:val="24"/>
                <w:highlight w:val="none"/>
                <w:lang w:val="en-US" w:eastAsia="zh-CN"/>
              </w:rPr>
              <w:t>7</w:t>
            </w:r>
            <w:r>
              <w:rPr>
                <w:color w:val="auto"/>
                <w:sz w:val="24"/>
                <w:highlight w:val="none"/>
              </w:rPr>
              <w:t>m</w:t>
            </w:r>
            <w:r>
              <w:rPr>
                <w:color w:val="auto"/>
                <w:sz w:val="24"/>
                <w:highlight w:val="none"/>
                <w:vertAlign w:val="superscript"/>
              </w:rPr>
              <w:t>2</w:t>
            </w:r>
            <w:r>
              <w:rPr>
                <w:rFonts w:hAnsi="宋体"/>
                <w:color w:val="auto"/>
                <w:sz w:val="24"/>
                <w:highlight w:val="none"/>
              </w:rPr>
              <w:t>。</w:t>
            </w:r>
          </w:p>
          <w:p w14:paraId="12A272B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本项目危废间占地面积</w:t>
            </w:r>
            <w:r>
              <w:rPr>
                <w:rFonts w:hint="eastAsia" w:hAnsi="宋体"/>
                <w:color w:val="auto"/>
                <w:sz w:val="24"/>
                <w:highlight w:val="none"/>
                <w:lang w:val="en-US" w:eastAsia="zh-CN"/>
              </w:rPr>
              <w:t>3</w:t>
            </w:r>
            <w:r>
              <w:rPr>
                <w:rFonts w:hint="eastAsia" w:hAnsi="宋体"/>
                <w:color w:val="auto"/>
                <w:sz w:val="24"/>
                <w:highlight w:val="none"/>
              </w:rPr>
              <w:t>0</w:t>
            </w:r>
            <w:r>
              <w:rPr>
                <w:rFonts w:hAnsi="宋体"/>
                <w:color w:val="auto"/>
                <w:sz w:val="24"/>
                <w:highlight w:val="none"/>
              </w:rPr>
              <w:t>m</w:t>
            </w:r>
            <w:r>
              <w:rPr>
                <w:rFonts w:hAnsi="宋体"/>
                <w:color w:val="auto"/>
                <w:sz w:val="24"/>
                <w:highlight w:val="none"/>
                <w:vertAlign w:val="superscript"/>
              </w:rPr>
              <w:t>2</w:t>
            </w:r>
            <w:r>
              <w:rPr>
                <w:rFonts w:hAnsi="宋体"/>
                <w:color w:val="auto"/>
                <w:sz w:val="24"/>
                <w:highlight w:val="none"/>
              </w:rPr>
              <w:t>，最大储存能力为</w:t>
            </w:r>
            <w:r>
              <w:rPr>
                <w:rFonts w:hint="eastAsia" w:hAnsi="宋体"/>
                <w:color w:val="auto"/>
                <w:sz w:val="24"/>
                <w:highlight w:val="none"/>
                <w:lang w:val="en-US" w:eastAsia="zh-CN"/>
              </w:rPr>
              <w:t>3</w:t>
            </w:r>
            <w:r>
              <w:rPr>
                <w:rFonts w:hint="eastAsia" w:hAnsi="宋体"/>
                <w:color w:val="auto"/>
                <w:sz w:val="24"/>
                <w:highlight w:val="none"/>
              </w:rPr>
              <w:t>0</w:t>
            </w:r>
            <w:r>
              <w:rPr>
                <w:rFonts w:hAnsi="宋体"/>
                <w:color w:val="auto"/>
                <w:sz w:val="24"/>
                <w:highlight w:val="none"/>
              </w:rPr>
              <w:t>t，本项目危废间容积可以满足本项目危废贮存、转运要求。</w:t>
            </w:r>
          </w:p>
          <w:p w14:paraId="12338FD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运输过程污染防治措施</w:t>
            </w:r>
          </w:p>
          <w:p w14:paraId="179FE32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危险废物产生、经营企业在省内转移时要选择有资质并能利用</w:t>
            </w:r>
            <w:r>
              <w:rPr>
                <w:color w:val="auto"/>
                <w:sz w:val="24"/>
                <w:highlight w:val="none"/>
              </w:rPr>
              <w:t>“</w:t>
            </w:r>
            <w:r>
              <w:rPr>
                <w:rFonts w:hAnsi="宋体"/>
                <w:color w:val="auto"/>
                <w:sz w:val="24"/>
                <w:highlight w:val="none"/>
              </w:rPr>
              <w:t>电子运单管理系统</w:t>
            </w:r>
            <w:r>
              <w:rPr>
                <w:color w:val="auto"/>
                <w:sz w:val="24"/>
                <w:highlight w:val="none"/>
              </w:rPr>
              <w:t>”</w:t>
            </w:r>
            <w:r>
              <w:rPr>
                <w:rFonts w:hAnsi="宋体"/>
                <w:color w:val="auto"/>
                <w:sz w:val="24"/>
                <w:highlight w:val="none"/>
              </w:rPr>
              <w:t>进行信息比对的危险货物道路运输企业承运危险废物。</w:t>
            </w:r>
          </w:p>
          <w:p w14:paraId="7D472E0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建设项目产生的各类危险废物在厂区内的运输应严格按照《危险废物收集贮存运输技术规范》（</w:t>
            </w:r>
            <w:r>
              <w:rPr>
                <w:color w:val="auto"/>
                <w:sz w:val="24"/>
                <w:highlight w:val="none"/>
              </w:rPr>
              <w:t>HJ2025-2012</w:t>
            </w:r>
            <w:r>
              <w:rPr>
                <w:rFonts w:hAnsi="宋体"/>
                <w:color w:val="auto"/>
                <w:sz w:val="24"/>
                <w:highlight w:val="none"/>
              </w:rPr>
              <w:t>）进行，委外处置转移过程的运输由取得交通运输部门颁发的危险货物运输资质的专业运输公司按规范进行，做到密闭遮盖运输，车厢底层设置防渗漏垫层，防止在运输途中散漏或雨水的淋洗，不在建设项目的评价范围内。</w:t>
            </w:r>
          </w:p>
          <w:p w14:paraId="4542440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危险废物在企业内部的转移是指在危险废物产生节点，根据危险废物的种类、数量、危险特性、物理形态、运输要求等因素确定包装形式，并将其集中到适当的包装容器中，运至厂内危废库暂存，运输过程主要注意以下要点：</w:t>
            </w:r>
          </w:p>
          <w:p w14:paraId="3793440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应综合考虑厂区的实际情况确定转运路线，尽量避开办公区和生活区；</w:t>
            </w:r>
          </w:p>
          <w:p w14:paraId="579F971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应采用专用的工具，参照《危险废物收集贮存运输技术规范》（</w:t>
            </w:r>
            <w:r>
              <w:rPr>
                <w:color w:val="auto"/>
                <w:sz w:val="24"/>
                <w:highlight w:val="none"/>
              </w:rPr>
              <w:t>HJ2025-2012</w:t>
            </w:r>
            <w:r>
              <w:rPr>
                <w:rFonts w:hAnsi="宋体"/>
                <w:color w:val="auto"/>
                <w:sz w:val="24"/>
                <w:highlight w:val="none"/>
              </w:rPr>
              <w:t>）附录</w:t>
            </w:r>
            <w:r>
              <w:rPr>
                <w:color w:val="auto"/>
                <w:sz w:val="24"/>
                <w:highlight w:val="none"/>
              </w:rPr>
              <w:t>B</w:t>
            </w:r>
            <w:r>
              <w:rPr>
                <w:rFonts w:hAnsi="宋体"/>
                <w:color w:val="auto"/>
                <w:sz w:val="24"/>
                <w:highlight w:val="none"/>
              </w:rPr>
              <w:t>填写《危险废物厂内转运记录表》；</w:t>
            </w:r>
          </w:p>
          <w:p w14:paraId="38E0F95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危险废物内部转运结束后，应对转运路线进行检查和清理，确保无危险废物遗失在转运路线上，并对转运工具进行清洗。</w:t>
            </w:r>
          </w:p>
          <w:p w14:paraId="7844B38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委托利用、处置过程污染防治措施</w:t>
            </w:r>
          </w:p>
          <w:p w14:paraId="6DE20D1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项目产生的</w:t>
            </w:r>
            <w:r>
              <w:rPr>
                <w:rFonts w:hint="eastAsia" w:hAnsi="宋体"/>
                <w:bCs/>
                <w:color w:val="auto"/>
                <w:sz w:val="24"/>
                <w:highlight w:val="none"/>
                <w:lang w:val="en-US" w:eastAsia="zh-CN"/>
              </w:rPr>
              <w:t>废润滑油、漆渣、废切削液、废过滤棉、</w:t>
            </w:r>
            <w:r>
              <w:rPr>
                <w:rFonts w:hint="eastAsia" w:hAnsi="宋体"/>
                <w:bCs/>
                <w:color w:val="auto"/>
                <w:sz w:val="24"/>
                <w:highlight w:val="none"/>
              </w:rPr>
              <w:t>废活性炭、废</w:t>
            </w:r>
            <w:r>
              <w:rPr>
                <w:rFonts w:hint="eastAsia" w:hAnsi="宋体"/>
                <w:bCs/>
                <w:color w:val="auto"/>
                <w:sz w:val="24"/>
                <w:highlight w:val="none"/>
                <w:lang w:val="en-US" w:eastAsia="zh-CN"/>
              </w:rPr>
              <w:t>包装桶</w:t>
            </w:r>
            <w:r>
              <w:rPr>
                <w:rFonts w:hAnsi="宋体"/>
                <w:color w:val="auto"/>
                <w:sz w:val="24"/>
                <w:highlight w:val="none"/>
              </w:rPr>
              <w:t>均属于危险废物，</w:t>
            </w:r>
            <w:r>
              <w:rPr>
                <w:rFonts w:hint="eastAsia" w:hAnsi="宋体"/>
                <w:color w:val="auto"/>
                <w:sz w:val="24"/>
                <w:highlight w:val="none"/>
                <w:lang w:eastAsia="zh-CN"/>
              </w:rPr>
              <w:t>经</w:t>
            </w:r>
            <w:r>
              <w:rPr>
                <w:rFonts w:hAnsi="宋体"/>
                <w:color w:val="auto"/>
                <w:sz w:val="24"/>
                <w:highlight w:val="none"/>
              </w:rPr>
              <w:t>厂区收集、贮存后全部委托有资质单位安全处置。</w:t>
            </w:r>
          </w:p>
          <w:p w14:paraId="2F5AB23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项目周边有资质单位的核准经营范围内包含了项目产生的危险废物种类，且有处置余量，因此项目危险废物委托周边有资质单位安全处置在技术上是可行的。</w:t>
            </w:r>
          </w:p>
          <w:p w14:paraId="52F5262A">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rFonts w:hAnsi="宋体"/>
                <w:b/>
                <w:color w:val="auto"/>
                <w:kern w:val="0"/>
                <w:sz w:val="24"/>
                <w:highlight w:val="none"/>
                <w:lang w:val="zh-CN"/>
              </w:rPr>
              <w:t>（</w:t>
            </w:r>
            <w:r>
              <w:rPr>
                <w:b/>
                <w:color w:val="auto"/>
                <w:kern w:val="0"/>
                <w:sz w:val="24"/>
                <w:highlight w:val="none"/>
                <w:lang w:val="zh-CN"/>
              </w:rPr>
              <w:t>3</w:t>
            </w:r>
            <w:r>
              <w:rPr>
                <w:rFonts w:hAnsi="宋体"/>
                <w:b/>
                <w:color w:val="auto"/>
                <w:kern w:val="0"/>
                <w:sz w:val="24"/>
                <w:highlight w:val="none"/>
                <w:lang w:val="zh-CN"/>
              </w:rPr>
              <w:t>）固废环境影响分析</w:t>
            </w:r>
          </w:p>
          <w:p w14:paraId="3372D86E">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ascii="宋体" w:hAnsi="宋体"/>
                <w:b/>
                <w:color w:val="auto"/>
                <w:sz w:val="24"/>
                <w:highlight w:val="none"/>
              </w:rPr>
              <w:t>①</w:t>
            </w:r>
            <w:r>
              <w:rPr>
                <w:rFonts w:hAnsi="宋体"/>
                <w:b/>
                <w:color w:val="auto"/>
                <w:sz w:val="24"/>
                <w:highlight w:val="none"/>
              </w:rPr>
              <w:t>一般工业固废和生活垃圾环境影响分析</w:t>
            </w:r>
          </w:p>
          <w:p w14:paraId="75D2555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hAnsi="宋体"/>
                <w:color w:val="auto"/>
                <w:sz w:val="24"/>
                <w:highlight w:val="none"/>
                <w:lang w:val="en-US" w:eastAsia="zh-CN"/>
              </w:rPr>
              <w:t>边角料</w:t>
            </w:r>
            <w:r>
              <w:rPr>
                <w:rFonts w:hAnsi="宋体"/>
                <w:bCs/>
                <w:color w:val="auto"/>
                <w:sz w:val="24"/>
                <w:highlight w:val="none"/>
              </w:rPr>
              <w:t>、</w:t>
            </w:r>
            <w:r>
              <w:rPr>
                <w:rFonts w:hint="eastAsia" w:hAnsi="宋体"/>
                <w:bCs/>
                <w:color w:val="auto"/>
                <w:sz w:val="24"/>
                <w:highlight w:val="none"/>
              </w:rPr>
              <w:t>废包装</w:t>
            </w:r>
            <w:r>
              <w:rPr>
                <w:rFonts w:hint="eastAsia" w:hAnsi="宋体"/>
                <w:bCs/>
                <w:color w:val="auto"/>
                <w:sz w:val="24"/>
                <w:highlight w:val="none"/>
                <w:lang w:val="en-US" w:eastAsia="zh-CN"/>
              </w:rPr>
              <w:t>材料</w:t>
            </w:r>
            <w:r>
              <w:rPr>
                <w:rFonts w:hAnsi="宋体"/>
                <w:bCs/>
                <w:color w:val="auto"/>
                <w:sz w:val="24"/>
                <w:highlight w:val="none"/>
              </w:rPr>
              <w:t>、</w:t>
            </w:r>
            <w:r>
              <w:rPr>
                <w:rFonts w:hint="eastAsia" w:hAnsi="宋体"/>
                <w:bCs/>
                <w:color w:val="auto"/>
                <w:sz w:val="24"/>
                <w:highlight w:val="none"/>
                <w:lang w:val="en-US" w:eastAsia="zh-CN"/>
              </w:rPr>
              <w:t>废焊料、废布袋和除尘器收集尘</w:t>
            </w:r>
            <w:r>
              <w:rPr>
                <w:rFonts w:hAnsi="宋体"/>
                <w:color w:val="auto"/>
                <w:sz w:val="24"/>
                <w:highlight w:val="none"/>
              </w:rPr>
              <w:t>等暂存于一般工业固体废物暂存区内，不与危险废物、生活垃圾混放，由物资回收单位综合利用；生活垃圾、化粪池污泥委托环卫清运。处理方式均为常见方式，其对环境的影响在可接受范围内。</w:t>
            </w:r>
          </w:p>
          <w:p w14:paraId="32EF85E0">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ascii="宋体" w:hAnsi="宋体"/>
                <w:b/>
                <w:color w:val="auto"/>
                <w:sz w:val="24"/>
                <w:highlight w:val="none"/>
              </w:rPr>
              <w:t>②</w:t>
            </w:r>
            <w:r>
              <w:rPr>
                <w:rFonts w:hAnsi="宋体"/>
                <w:b/>
                <w:color w:val="auto"/>
                <w:sz w:val="24"/>
                <w:highlight w:val="none"/>
              </w:rPr>
              <w:t>危险废物环境影响分析</w:t>
            </w:r>
          </w:p>
          <w:p w14:paraId="5A6A256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危险废物收集过程环境影响分析</w:t>
            </w:r>
          </w:p>
          <w:p w14:paraId="5C2DD34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企业对各类危险废物按相关要求进行分类收集，根据各类固体废物的兼容性、反应性以及包装材料的兼容性，选择合适的包装材料进行分类收集，避免危险废物与一般工业固废、生活垃圾等混合，从而避免收集过程二次污染。</w:t>
            </w:r>
          </w:p>
          <w:p w14:paraId="24AA329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建设项目产生的危险废物的收集过程应按照《危险废物收集贮存运输技术规范》（</w:t>
            </w:r>
            <w:r>
              <w:rPr>
                <w:color w:val="auto"/>
                <w:sz w:val="24"/>
                <w:highlight w:val="none"/>
              </w:rPr>
              <w:t>HJ2025-2012</w:t>
            </w:r>
            <w:r>
              <w:rPr>
                <w:rFonts w:hAnsi="宋体"/>
                <w:color w:val="auto"/>
                <w:sz w:val="24"/>
                <w:highlight w:val="none"/>
              </w:rPr>
              <w:t>）进行。如收集过程因管理不善，导致其泄漏、飞扬，对环境空气、土壤、地下水等造成污染，或者因包装桶标签</w:t>
            </w:r>
            <w:r>
              <w:rPr>
                <w:rFonts w:hint="eastAsia" w:hAnsi="宋体"/>
                <w:color w:val="auto"/>
                <w:sz w:val="24"/>
                <w:highlight w:val="none"/>
                <w:lang w:eastAsia="zh-CN"/>
              </w:rPr>
              <w:t>标识</w:t>
            </w:r>
            <w:r>
              <w:rPr>
                <w:rFonts w:hAnsi="宋体"/>
                <w:color w:val="auto"/>
                <w:sz w:val="24"/>
                <w:highlight w:val="none"/>
              </w:rPr>
              <w:t>不清，造成混放，带来交叉污染。</w:t>
            </w:r>
          </w:p>
          <w:p w14:paraId="10FAF4C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危险废物贮存过程环境影响分析</w:t>
            </w:r>
          </w:p>
          <w:p w14:paraId="7B64995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建设项目产生的液态危险废物（废润滑油、</w:t>
            </w:r>
            <w:r>
              <w:rPr>
                <w:rFonts w:hint="eastAsia" w:hAnsi="宋体"/>
                <w:color w:val="auto"/>
                <w:sz w:val="24"/>
                <w:highlight w:val="none"/>
              </w:rPr>
              <w:t>废切削液</w:t>
            </w:r>
            <w:r>
              <w:rPr>
                <w:rFonts w:hint="eastAsia" w:hAnsi="宋体"/>
                <w:color w:val="auto"/>
                <w:sz w:val="24"/>
                <w:highlight w:val="none"/>
                <w:lang w:eastAsia="zh-CN"/>
              </w:rPr>
              <w:t>、</w:t>
            </w:r>
            <w:r>
              <w:rPr>
                <w:rFonts w:hint="eastAsia" w:hAnsi="宋体"/>
                <w:color w:val="auto"/>
                <w:sz w:val="24"/>
                <w:highlight w:val="none"/>
                <w:lang w:val="en-US" w:eastAsia="zh-CN"/>
              </w:rPr>
              <w:t>盐雾试验废液</w:t>
            </w:r>
            <w:r>
              <w:rPr>
                <w:rFonts w:hAnsi="宋体"/>
                <w:color w:val="auto"/>
                <w:sz w:val="24"/>
                <w:highlight w:val="none"/>
              </w:rPr>
              <w:t>）于危险废物暂存场所暂存如果防雨措施不到位、防渗不满足要求，导致液态危险废物泄漏，对周边地表水、地下水、土壤造成污染。</w:t>
            </w:r>
          </w:p>
          <w:p w14:paraId="1BDF18E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危险废物运输过程环境影响分析</w:t>
            </w:r>
          </w:p>
          <w:p w14:paraId="2419D87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建设项目危险废物由厂区产生环节运输到危险废物暂存场所时，可能产生散落、泄漏等，将污染厂内环境空气、土壤、地下水等，由于运输路线位于厂区内，对周边外环境影响的可能性比较小。</w:t>
            </w:r>
          </w:p>
          <w:p w14:paraId="6E8968F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危险废物均委托有资质单位进行厂外运输，运输过程做好密闭措施，按照指定路线运输，并按照相关规范和要求做好运输过程的管理，严格执行转移联单制度。因此，其对环境的影响在可控范围内。</w:t>
            </w:r>
          </w:p>
          <w:p w14:paraId="1A106DF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委托利用、处置过程环境影响分析</w:t>
            </w:r>
          </w:p>
          <w:p w14:paraId="02CAC2E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项目产生的危险废物类别为废活性炭（</w:t>
            </w:r>
            <w:r>
              <w:rPr>
                <w:color w:val="auto"/>
                <w:sz w:val="24"/>
                <w:highlight w:val="none"/>
              </w:rPr>
              <w:t>HW49</w:t>
            </w:r>
            <w:r>
              <w:rPr>
                <w:rFonts w:hAnsi="宋体"/>
                <w:color w:val="auto"/>
                <w:sz w:val="24"/>
                <w:highlight w:val="none"/>
              </w:rPr>
              <w:t>）、</w:t>
            </w:r>
            <w:r>
              <w:rPr>
                <w:rFonts w:hint="eastAsia" w:hAnsi="宋体"/>
                <w:color w:val="auto"/>
                <w:sz w:val="24"/>
                <w:highlight w:val="none"/>
              </w:rPr>
              <w:t>废过滤棉</w:t>
            </w:r>
            <w:r>
              <w:rPr>
                <w:rFonts w:hAnsi="宋体"/>
                <w:color w:val="auto"/>
                <w:sz w:val="24"/>
                <w:highlight w:val="none"/>
              </w:rPr>
              <w:t>（</w:t>
            </w:r>
            <w:r>
              <w:rPr>
                <w:color w:val="auto"/>
                <w:sz w:val="24"/>
                <w:highlight w:val="none"/>
              </w:rPr>
              <w:t>HW49</w:t>
            </w:r>
            <w:r>
              <w:rPr>
                <w:rFonts w:hAnsi="宋体"/>
                <w:color w:val="auto"/>
                <w:sz w:val="24"/>
                <w:highlight w:val="none"/>
              </w:rPr>
              <w:t>）、</w:t>
            </w:r>
            <w:r>
              <w:rPr>
                <w:rFonts w:hint="eastAsia" w:hAnsi="宋体"/>
                <w:bCs/>
                <w:color w:val="auto"/>
                <w:sz w:val="24"/>
                <w:highlight w:val="none"/>
                <w:lang w:val="en-US" w:eastAsia="zh-CN"/>
              </w:rPr>
              <w:t>盐雾试验废液</w:t>
            </w:r>
            <w:r>
              <w:rPr>
                <w:rFonts w:hAnsi="宋体"/>
                <w:color w:val="auto"/>
                <w:sz w:val="24"/>
                <w:highlight w:val="none"/>
              </w:rPr>
              <w:t>（</w:t>
            </w:r>
            <w:r>
              <w:rPr>
                <w:color w:val="auto"/>
                <w:sz w:val="24"/>
                <w:highlight w:val="none"/>
              </w:rPr>
              <w:t>HW49</w:t>
            </w:r>
            <w:r>
              <w:rPr>
                <w:rFonts w:hAnsi="宋体"/>
                <w:color w:val="auto"/>
                <w:sz w:val="24"/>
                <w:highlight w:val="none"/>
              </w:rPr>
              <w:t>）</w:t>
            </w:r>
            <w:r>
              <w:rPr>
                <w:rFonts w:hint="eastAsia" w:hAnsi="宋体"/>
                <w:color w:val="auto"/>
                <w:sz w:val="24"/>
                <w:highlight w:val="none"/>
                <w:lang w:eastAsia="zh-CN"/>
              </w:rPr>
              <w:t>、</w:t>
            </w:r>
            <w:r>
              <w:rPr>
                <w:rFonts w:hint="eastAsia" w:hAnsi="宋体"/>
                <w:bCs/>
                <w:color w:val="auto"/>
                <w:sz w:val="24"/>
                <w:highlight w:val="none"/>
                <w:lang w:val="en-US" w:eastAsia="zh-CN"/>
              </w:rPr>
              <w:t>漆渣</w:t>
            </w:r>
            <w:r>
              <w:rPr>
                <w:rFonts w:hAnsi="宋体"/>
                <w:color w:val="auto"/>
                <w:sz w:val="24"/>
                <w:highlight w:val="none"/>
              </w:rPr>
              <w:t>（</w:t>
            </w:r>
            <w:r>
              <w:rPr>
                <w:color w:val="auto"/>
                <w:sz w:val="24"/>
                <w:highlight w:val="none"/>
              </w:rPr>
              <w:t>HW49</w:t>
            </w:r>
            <w:r>
              <w:rPr>
                <w:rFonts w:hAnsi="宋体"/>
                <w:color w:val="auto"/>
                <w:sz w:val="24"/>
                <w:highlight w:val="none"/>
              </w:rPr>
              <w:t>）、</w:t>
            </w:r>
            <w:r>
              <w:rPr>
                <w:rFonts w:hAnsi="宋体"/>
                <w:bCs/>
                <w:color w:val="auto"/>
                <w:sz w:val="24"/>
                <w:highlight w:val="none"/>
              </w:rPr>
              <w:t>废润滑油</w:t>
            </w:r>
            <w:r>
              <w:rPr>
                <w:rFonts w:hAnsi="宋体"/>
                <w:color w:val="auto"/>
                <w:sz w:val="24"/>
                <w:highlight w:val="none"/>
              </w:rPr>
              <w:t>（</w:t>
            </w:r>
            <w:r>
              <w:rPr>
                <w:color w:val="auto"/>
                <w:sz w:val="24"/>
                <w:highlight w:val="none"/>
              </w:rPr>
              <w:t>HW08</w:t>
            </w:r>
            <w:r>
              <w:rPr>
                <w:rFonts w:hAnsi="宋体"/>
                <w:color w:val="auto"/>
                <w:sz w:val="24"/>
                <w:highlight w:val="none"/>
              </w:rPr>
              <w:t>）</w:t>
            </w:r>
            <w:r>
              <w:rPr>
                <w:rFonts w:hint="eastAsia" w:hAnsi="宋体"/>
                <w:color w:val="auto"/>
                <w:sz w:val="24"/>
                <w:highlight w:val="none"/>
              </w:rPr>
              <w:t>、</w:t>
            </w:r>
            <w:r>
              <w:rPr>
                <w:rFonts w:hint="eastAsia" w:hAnsi="宋体"/>
                <w:bCs/>
                <w:color w:val="auto"/>
                <w:sz w:val="24"/>
                <w:highlight w:val="none"/>
                <w:lang w:val="en-US" w:eastAsia="zh-CN"/>
              </w:rPr>
              <w:t>浮渣、污泥</w:t>
            </w:r>
            <w:r>
              <w:rPr>
                <w:rFonts w:hAnsi="宋体"/>
                <w:color w:val="auto"/>
                <w:sz w:val="24"/>
                <w:highlight w:val="none"/>
              </w:rPr>
              <w:t>（</w:t>
            </w:r>
            <w:r>
              <w:rPr>
                <w:color w:val="auto"/>
                <w:sz w:val="24"/>
                <w:highlight w:val="none"/>
              </w:rPr>
              <w:t>HW08</w:t>
            </w:r>
            <w:r>
              <w:rPr>
                <w:rFonts w:hAnsi="宋体"/>
                <w:color w:val="auto"/>
                <w:sz w:val="24"/>
                <w:highlight w:val="none"/>
              </w:rPr>
              <w:t>）</w:t>
            </w:r>
            <w:r>
              <w:rPr>
                <w:rFonts w:hint="eastAsia" w:hAnsi="宋体"/>
                <w:color w:val="auto"/>
                <w:sz w:val="24"/>
                <w:highlight w:val="none"/>
              </w:rPr>
              <w:t>、废切削液</w:t>
            </w:r>
            <w:r>
              <w:rPr>
                <w:rFonts w:hAnsi="宋体"/>
                <w:color w:val="auto"/>
                <w:sz w:val="24"/>
                <w:highlight w:val="none"/>
              </w:rPr>
              <w:t>（</w:t>
            </w:r>
            <w:r>
              <w:rPr>
                <w:color w:val="auto"/>
                <w:sz w:val="24"/>
                <w:highlight w:val="none"/>
              </w:rPr>
              <w:t>HW</w:t>
            </w:r>
            <w:r>
              <w:rPr>
                <w:rFonts w:hint="eastAsia"/>
                <w:color w:val="auto"/>
                <w:sz w:val="24"/>
                <w:highlight w:val="none"/>
              </w:rPr>
              <w:t>0</w:t>
            </w:r>
            <w:r>
              <w:rPr>
                <w:color w:val="auto"/>
                <w:sz w:val="24"/>
                <w:highlight w:val="none"/>
              </w:rPr>
              <w:t>9</w:t>
            </w:r>
            <w:r>
              <w:rPr>
                <w:rFonts w:hAnsi="宋体"/>
                <w:color w:val="auto"/>
                <w:sz w:val="24"/>
                <w:highlight w:val="none"/>
              </w:rPr>
              <w:t>）</w:t>
            </w:r>
            <w:r>
              <w:rPr>
                <w:rFonts w:hint="eastAsia" w:hAnsi="宋体"/>
                <w:color w:val="auto"/>
                <w:sz w:val="24"/>
                <w:highlight w:val="none"/>
              </w:rPr>
              <w:t>、</w:t>
            </w:r>
            <w:r>
              <w:rPr>
                <w:rFonts w:hint="eastAsia" w:hAnsi="宋体"/>
                <w:color w:val="auto"/>
                <w:sz w:val="24"/>
                <w:highlight w:val="none"/>
                <w:lang w:val="en-US" w:eastAsia="zh-CN"/>
              </w:rPr>
              <w:t>水性漆废包装桶</w:t>
            </w:r>
            <w:r>
              <w:rPr>
                <w:rFonts w:hAnsi="宋体"/>
                <w:color w:val="auto"/>
                <w:sz w:val="24"/>
                <w:highlight w:val="none"/>
              </w:rPr>
              <w:t>（</w:t>
            </w:r>
            <w:r>
              <w:rPr>
                <w:color w:val="auto"/>
                <w:sz w:val="24"/>
                <w:highlight w:val="none"/>
              </w:rPr>
              <w:t>HW49</w:t>
            </w:r>
            <w:r>
              <w:rPr>
                <w:rFonts w:hAnsi="宋体"/>
                <w:color w:val="auto"/>
                <w:sz w:val="24"/>
                <w:highlight w:val="none"/>
              </w:rPr>
              <w:t>）</w:t>
            </w:r>
            <w:r>
              <w:rPr>
                <w:rFonts w:hint="eastAsia" w:hAnsi="宋体"/>
                <w:color w:val="auto"/>
                <w:sz w:val="24"/>
                <w:highlight w:val="none"/>
              </w:rPr>
              <w:t>、</w:t>
            </w:r>
            <w:r>
              <w:rPr>
                <w:rFonts w:hint="eastAsia" w:ascii="宋体" w:hAnsi="宋体" w:eastAsia="宋体" w:cs="宋体"/>
                <w:b w:val="0"/>
                <w:bCs/>
                <w:color w:val="auto"/>
                <w:sz w:val="24"/>
                <w:szCs w:val="24"/>
                <w:highlight w:val="none"/>
                <w:lang w:val="en-US" w:eastAsia="zh-CN"/>
              </w:rPr>
              <w:t>润滑油等油类废包装桶</w:t>
            </w:r>
            <w:r>
              <w:rPr>
                <w:rFonts w:hAnsi="宋体"/>
                <w:color w:val="auto"/>
                <w:sz w:val="24"/>
                <w:highlight w:val="none"/>
              </w:rPr>
              <w:t>（</w:t>
            </w:r>
            <w:r>
              <w:rPr>
                <w:color w:val="auto"/>
                <w:sz w:val="24"/>
                <w:highlight w:val="none"/>
              </w:rPr>
              <w:t>HW</w:t>
            </w:r>
            <w:r>
              <w:rPr>
                <w:rFonts w:hint="eastAsia"/>
                <w:color w:val="auto"/>
                <w:sz w:val="24"/>
                <w:highlight w:val="none"/>
                <w:lang w:val="en-US" w:eastAsia="zh-CN"/>
              </w:rPr>
              <w:t>08</w:t>
            </w:r>
            <w:r>
              <w:rPr>
                <w:rFonts w:hAnsi="宋体"/>
                <w:color w:val="auto"/>
                <w:sz w:val="24"/>
                <w:highlight w:val="none"/>
              </w:rPr>
              <w:t>）拟委托有资质单位安全处置，建设项目对各类固体废物经采取拟定防治措施后，固体废物对环境的影响在可接受范围内。</w:t>
            </w:r>
          </w:p>
          <w:p w14:paraId="142646B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综上，建设项目产生的各类固体废物均得到了合理处置，固废排放量为零，不会对周边环境产生影响。</w:t>
            </w:r>
          </w:p>
          <w:p w14:paraId="7D2C7D66">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kern w:val="0"/>
                <w:sz w:val="24"/>
                <w:highlight w:val="none"/>
                <w:lang w:val="zh-CN"/>
              </w:rPr>
              <w:t>（</w:t>
            </w:r>
            <w:r>
              <w:rPr>
                <w:b/>
                <w:color w:val="auto"/>
                <w:kern w:val="0"/>
                <w:sz w:val="24"/>
                <w:highlight w:val="none"/>
                <w:lang w:val="zh-CN"/>
              </w:rPr>
              <w:t>4</w:t>
            </w:r>
            <w:r>
              <w:rPr>
                <w:rFonts w:hAnsi="宋体"/>
                <w:b/>
                <w:color w:val="auto"/>
                <w:kern w:val="0"/>
                <w:sz w:val="24"/>
                <w:highlight w:val="none"/>
                <w:lang w:val="zh-CN"/>
              </w:rPr>
              <w:t>）</w:t>
            </w:r>
            <w:r>
              <w:rPr>
                <w:rFonts w:hAnsi="宋体"/>
                <w:b/>
                <w:color w:val="auto"/>
                <w:sz w:val="24"/>
                <w:highlight w:val="none"/>
              </w:rPr>
              <w:t>环境管理要求</w:t>
            </w:r>
          </w:p>
          <w:p w14:paraId="5DF49C4F">
            <w:pPr>
              <w:keepNext w:val="0"/>
              <w:keepLines w:val="0"/>
              <w:suppressLineNumbers w:val="0"/>
              <w:adjustRightInd w:val="0"/>
              <w:snapToGrid w:val="0"/>
              <w:spacing w:before="0" w:beforeAutospacing="0" w:after="0" w:afterAutospacing="0" w:line="360" w:lineRule="auto"/>
              <w:ind w:left="0" w:right="0" w:firstLine="482" w:firstLineChars="200"/>
              <w:jc w:val="left"/>
              <w:rPr>
                <w:b/>
                <w:color w:val="auto"/>
                <w:sz w:val="24"/>
                <w:highlight w:val="none"/>
              </w:rPr>
            </w:pPr>
            <w:r>
              <w:rPr>
                <w:rFonts w:ascii="宋体" w:hAnsi="宋体"/>
                <w:b/>
                <w:color w:val="auto"/>
                <w:sz w:val="24"/>
                <w:highlight w:val="none"/>
              </w:rPr>
              <w:t>①</w:t>
            </w:r>
            <w:r>
              <w:rPr>
                <w:rFonts w:hAnsi="宋体"/>
                <w:b/>
                <w:color w:val="auto"/>
                <w:sz w:val="24"/>
                <w:highlight w:val="none"/>
              </w:rPr>
              <w:t>生活垃圾</w:t>
            </w:r>
          </w:p>
          <w:p w14:paraId="3198D4DB">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rFonts w:hAnsi="宋体"/>
                <w:color w:val="auto"/>
                <w:sz w:val="24"/>
                <w:highlight w:val="none"/>
              </w:rPr>
              <w:t>厂区设置若干垃圾桶用于存放生活垃圾</w:t>
            </w:r>
            <w:r>
              <w:rPr>
                <w:rFonts w:hint="eastAsia" w:hAnsi="宋体"/>
                <w:color w:val="auto"/>
                <w:sz w:val="24"/>
                <w:highlight w:val="none"/>
                <w:lang w:eastAsia="zh-CN"/>
              </w:rPr>
              <w:t>、</w:t>
            </w:r>
            <w:r>
              <w:rPr>
                <w:rFonts w:hint="eastAsia" w:hAnsi="宋体"/>
                <w:color w:val="auto"/>
                <w:sz w:val="24"/>
                <w:highlight w:val="none"/>
                <w:lang w:val="en-US" w:eastAsia="zh-CN"/>
              </w:rPr>
              <w:t>隔油池废油</w:t>
            </w:r>
            <w:r>
              <w:rPr>
                <w:rFonts w:hAnsi="宋体"/>
                <w:color w:val="auto"/>
                <w:sz w:val="24"/>
                <w:highlight w:val="none"/>
              </w:rPr>
              <w:t>，生活垃圾、</w:t>
            </w:r>
            <w:r>
              <w:rPr>
                <w:rFonts w:hint="eastAsia" w:hAnsi="宋体"/>
                <w:color w:val="auto"/>
                <w:sz w:val="24"/>
                <w:highlight w:val="none"/>
                <w:lang w:val="en-US" w:eastAsia="zh-CN"/>
              </w:rPr>
              <w:t>隔油池废油、</w:t>
            </w:r>
            <w:r>
              <w:rPr>
                <w:rFonts w:hAnsi="宋体"/>
                <w:color w:val="auto"/>
                <w:sz w:val="24"/>
                <w:highlight w:val="none"/>
              </w:rPr>
              <w:t>化粪池污泥委托环卫部门清运。</w:t>
            </w:r>
          </w:p>
          <w:p w14:paraId="3ED04CA8">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②</w:t>
            </w:r>
            <w:r>
              <w:rPr>
                <w:rFonts w:hint="eastAsia" w:hAnsi="宋体"/>
                <w:b/>
                <w:color w:val="auto"/>
                <w:sz w:val="24"/>
                <w:highlight w:val="none"/>
                <w:lang w:eastAsia="zh-CN"/>
              </w:rPr>
              <w:t>一般工业固体废物</w:t>
            </w:r>
            <w:r>
              <w:rPr>
                <w:rFonts w:hAnsi="宋体"/>
                <w:b/>
                <w:color w:val="auto"/>
                <w:sz w:val="24"/>
                <w:highlight w:val="none"/>
              </w:rPr>
              <w:t>环境管理要求</w:t>
            </w:r>
          </w:p>
          <w:p w14:paraId="567FA68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本项目新建一般固废仓库用于一般固废暂存，一般固废仓库建设按照《一般工业固体废物贮存和填埋污染控制标准》（</w:t>
            </w:r>
            <w:r>
              <w:rPr>
                <w:color w:val="auto"/>
                <w:sz w:val="24"/>
                <w:highlight w:val="none"/>
              </w:rPr>
              <w:t>GB18599-2020</w:t>
            </w:r>
            <w:r>
              <w:rPr>
                <w:rFonts w:hAnsi="宋体"/>
                <w:color w:val="auto"/>
                <w:sz w:val="24"/>
                <w:highlight w:val="none"/>
              </w:rPr>
              <w:t>）中相关要求建设，一般固废暂存于一般固废仓库，定期外售综合利用。</w:t>
            </w:r>
          </w:p>
          <w:p w14:paraId="68C57C88">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③危险废物</w:t>
            </w:r>
          </w:p>
          <w:p w14:paraId="2DAA005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对于建设项目运行后的固体废弃物的环境管理，应做到以下几点：</w:t>
            </w:r>
          </w:p>
          <w:p w14:paraId="0753D43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建设单位应通过</w:t>
            </w:r>
            <w:r>
              <w:rPr>
                <w:color w:val="auto"/>
                <w:sz w:val="24"/>
                <w:highlight w:val="none"/>
              </w:rPr>
              <w:t>“</w:t>
            </w:r>
            <w:r>
              <w:rPr>
                <w:rFonts w:hAnsi="宋体"/>
                <w:color w:val="auto"/>
                <w:sz w:val="24"/>
                <w:highlight w:val="none"/>
              </w:rPr>
              <w:t>江苏省危险废物动态管理信息系统</w:t>
            </w:r>
            <w:r>
              <w:rPr>
                <w:color w:val="auto"/>
                <w:sz w:val="24"/>
                <w:highlight w:val="none"/>
              </w:rPr>
              <w:t>”</w:t>
            </w:r>
            <w:r>
              <w:rPr>
                <w:rFonts w:hAnsi="宋体"/>
                <w:color w:val="auto"/>
                <w:sz w:val="24"/>
                <w:highlight w:val="none"/>
              </w:rPr>
              <w:t>（江苏省生态环境厅网站）进行危险废物申报登记。将危险废物的实际产生、贮存、利用、处置等情况纳入生产记录，建立危险废物管理台账和企业内部产生和收集、贮存、转移等部门危险废物交接制度，制定危险废物年度管理计划，报生态环境部门备案；如有重大改变及时申报。</w:t>
            </w:r>
          </w:p>
          <w:p w14:paraId="2D103DD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危险废物产生企业应结合自身实际，建立危险废物台账，如实记载危险废物的种类、数量、性质、产生环节、流向、贮存、利用处置等信息，并在</w:t>
            </w:r>
            <w:r>
              <w:rPr>
                <w:color w:val="auto"/>
                <w:sz w:val="24"/>
                <w:highlight w:val="none"/>
              </w:rPr>
              <w:t>“</w:t>
            </w:r>
            <w:r>
              <w:rPr>
                <w:rFonts w:hAnsi="宋体"/>
                <w:color w:val="auto"/>
                <w:sz w:val="24"/>
                <w:highlight w:val="none"/>
              </w:rPr>
              <w:t>江苏省危险废物动态管理信息系统</w:t>
            </w:r>
            <w:r>
              <w:rPr>
                <w:color w:val="auto"/>
                <w:sz w:val="24"/>
                <w:highlight w:val="none"/>
              </w:rPr>
              <w:t>”</w:t>
            </w:r>
            <w:r>
              <w:rPr>
                <w:rFonts w:hAnsi="宋体"/>
                <w:color w:val="auto"/>
                <w:sz w:val="24"/>
                <w:highlight w:val="none"/>
              </w:rPr>
              <w:t>中进行如实规范申报，申报数据应与台账、管理计划数据相一致。</w:t>
            </w:r>
          </w:p>
          <w:p w14:paraId="71965A4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加大企业危险废物信息公开力度，纳入重点排污单位的涉危企业应每年定期向社会发布企业年度环境报告。危险废物产生单位按要求在厂区门口显著位置设置危险废物信息公开栏，主动公开危险废物产生、利用处置等情况；企业有官方网站的，在官网上同时公开相关信息。</w:t>
            </w:r>
          </w:p>
          <w:p w14:paraId="5F3519E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1AF5BAF6">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严格执行《省生态环境厅关于印发江苏省危险废物贮存规范化管理专项整治行动方案的通知》（苏环办</w:t>
            </w:r>
            <w:r>
              <w:rPr>
                <w:rFonts w:hint="eastAsia" w:hAnsi="宋体"/>
                <w:color w:val="auto"/>
                <w:sz w:val="24"/>
                <w:highlight w:val="none"/>
                <w:lang w:eastAsia="zh-CN"/>
              </w:rPr>
              <w:t>〔2019〕149号</w:t>
            </w:r>
            <w:r>
              <w:rPr>
                <w:rFonts w:hAnsi="宋体"/>
                <w:color w:val="auto"/>
                <w:sz w:val="24"/>
                <w:highlight w:val="none"/>
              </w:rPr>
              <w:t>）要求，按照《环境保护图形标志</w:t>
            </w:r>
            <w:r>
              <w:rPr>
                <w:rFonts w:hint="eastAsia" w:hAnsi="宋体"/>
                <w:color w:val="auto"/>
                <w:sz w:val="24"/>
                <w:highlight w:val="none"/>
                <w:lang w:eastAsia="zh-CN"/>
              </w:rPr>
              <w:t>－</w:t>
            </w:r>
            <w:r>
              <w:rPr>
                <w:rFonts w:hAnsi="宋体"/>
                <w:color w:val="auto"/>
                <w:sz w:val="24"/>
                <w:highlight w:val="none"/>
              </w:rPr>
              <w:t>固体废物贮存（处置）场》（</w:t>
            </w:r>
            <w:r>
              <w:rPr>
                <w:color w:val="auto"/>
                <w:sz w:val="24"/>
                <w:highlight w:val="none"/>
              </w:rPr>
              <w:t>GB15562.2-1995</w:t>
            </w:r>
            <w:r>
              <w:rPr>
                <w:rFonts w:hAnsi="宋体"/>
                <w:color w:val="auto"/>
                <w:sz w:val="24"/>
                <w:highlight w:val="none"/>
              </w:rPr>
              <w:t>）</w:t>
            </w:r>
            <w:r>
              <w:rPr>
                <w:rFonts w:hint="eastAsia" w:hAnsi="宋体"/>
                <w:color w:val="auto"/>
                <w:sz w:val="24"/>
                <w:highlight w:val="none"/>
              </w:rPr>
              <w:t>及其修改单、《</w:t>
            </w:r>
            <w:r>
              <w:rPr>
                <w:rFonts w:hint="eastAsia" w:hAnsiTheme="minorEastAsia"/>
                <w:color w:val="auto"/>
                <w:sz w:val="24"/>
                <w:highlight w:val="none"/>
              </w:rPr>
              <w:t>危险废物识别标志设置技术规范》（HJ 1276-2022）</w:t>
            </w:r>
            <w:r>
              <w:rPr>
                <w:rFonts w:hAnsi="宋体"/>
                <w:color w:val="auto"/>
                <w:sz w:val="24"/>
                <w:highlight w:val="none"/>
              </w:rPr>
              <w:t>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鼓励有条件的企业采用云存储方式保存视频监控数据。</w:t>
            </w:r>
          </w:p>
          <w:p w14:paraId="47542BAA">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5.</w:t>
            </w:r>
            <w:r>
              <w:rPr>
                <w:rFonts w:hAnsi="宋体"/>
                <w:b/>
                <w:color w:val="auto"/>
                <w:kern w:val="0"/>
                <w:sz w:val="24"/>
                <w:highlight w:val="none"/>
                <w:lang w:val="zh-CN"/>
              </w:rPr>
              <w:t>地下水、土壤环境影响及防治措施分析</w:t>
            </w:r>
          </w:p>
          <w:p w14:paraId="10858381">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bookmarkStart w:id="49" w:name="_Toc301491400"/>
            <w:bookmarkStart w:id="50" w:name="_Toc300063229"/>
            <w:r>
              <w:rPr>
                <w:rFonts w:hAnsi="宋体"/>
                <w:b/>
                <w:bCs/>
                <w:color w:val="auto"/>
                <w:kern w:val="0"/>
                <w:sz w:val="24"/>
                <w:highlight w:val="none"/>
              </w:rPr>
              <w:t>①土壤及地下水影响途径</w:t>
            </w:r>
          </w:p>
          <w:p w14:paraId="14BF85FA">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项目排放的废气污染物主要为</w:t>
            </w:r>
            <w:r>
              <w:rPr>
                <w:color w:val="auto"/>
                <w:kern w:val="0"/>
                <w:sz w:val="24"/>
                <w:highlight w:val="none"/>
                <w:lang w:val="zh-CN"/>
              </w:rPr>
              <w:t>NMHC</w:t>
            </w:r>
            <w:r>
              <w:rPr>
                <w:rFonts w:hAnsi="宋体"/>
                <w:color w:val="auto"/>
                <w:kern w:val="0"/>
                <w:sz w:val="24"/>
                <w:highlight w:val="none"/>
                <w:lang w:val="zh-CN"/>
              </w:rPr>
              <w:t>、</w:t>
            </w:r>
            <w:r>
              <w:rPr>
                <w:rFonts w:hint="eastAsia" w:hAnsi="宋体"/>
                <w:color w:val="auto"/>
                <w:kern w:val="0"/>
                <w:sz w:val="24"/>
                <w:highlight w:val="none"/>
              </w:rPr>
              <w:t>颗粒物</w:t>
            </w:r>
            <w:r>
              <w:rPr>
                <w:rFonts w:hAnsi="宋体"/>
                <w:color w:val="auto"/>
                <w:kern w:val="0"/>
                <w:sz w:val="24"/>
                <w:highlight w:val="none"/>
                <w:lang w:val="zh-CN"/>
              </w:rPr>
              <w:t>，不涉及重金属以及持久性挥发性有机物，</w:t>
            </w:r>
            <w:r>
              <w:rPr>
                <w:rFonts w:hAnsi="宋体"/>
                <w:color w:val="auto"/>
                <w:sz w:val="24"/>
                <w:highlight w:val="none"/>
              </w:rPr>
              <w:t>项目产生的</w:t>
            </w:r>
            <w:r>
              <w:rPr>
                <w:rFonts w:hint="eastAsia" w:hAnsi="宋体"/>
                <w:color w:val="auto"/>
                <w:sz w:val="24"/>
                <w:highlight w:val="none"/>
              </w:rPr>
              <w:t>生活</w:t>
            </w:r>
            <w:r>
              <w:rPr>
                <w:rFonts w:hAnsi="宋体"/>
                <w:color w:val="auto"/>
                <w:sz w:val="24"/>
                <w:highlight w:val="none"/>
              </w:rPr>
              <w:t>废水接管进入</w:t>
            </w:r>
            <w:r>
              <w:rPr>
                <w:rFonts w:hint="eastAsia" w:ascii="宋体" w:hAnsi="宋体"/>
                <w:color w:val="auto"/>
                <w:sz w:val="24"/>
                <w:szCs w:val="24"/>
                <w:highlight w:val="none"/>
              </w:rPr>
              <w:t>涟水经济开发区西区污水处理厂</w:t>
            </w:r>
            <w:r>
              <w:rPr>
                <w:rFonts w:hAnsi="宋体"/>
                <w:color w:val="auto"/>
                <w:sz w:val="24"/>
                <w:highlight w:val="none"/>
              </w:rPr>
              <w:t>集中处理</w:t>
            </w:r>
            <w:r>
              <w:rPr>
                <w:rFonts w:hint="eastAsia" w:hAnsi="宋体"/>
                <w:color w:val="auto"/>
                <w:sz w:val="24"/>
                <w:highlight w:val="none"/>
              </w:rPr>
              <w:t>。</w:t>
            </w:r>
            <w:r>
              <w:rPr>
                <w:rFonts w:hAnsi="宋体"/>
                <w:bCs/>
                <w:color w:val="auto"/>
                <w:sz w:val="24"/>
                <w:highlight w:val="none"/>
              </w:rPr>
              <w:t>项目生产车间、危废仓库等均已采取防渗措施，</w:t>
            </w:r>
            <w:r>
              <w:rPr>
                <w:rFonts w:hAnsi="宋体"/>
                <w:color w:val="auto"/>
                <w:kern w:val="0"/>
                <w:sz w:val="24"/>
                <w:highlight w:val="none"/>
                <w:lang w:val="zh-CN"/>
              </w:rPr>
              <w:t>无污染土壤及地下水环境的途径，周边不存在土壤环境敏感目标，不会对土壤及地下水环境产生影响。</w:t>
            </w:r>
          </w:p>
          <w:p w14:paraId="0FEC7B9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项目根据生产装置、辅助设施及公用工程所处位置不同，将防渗区划分为</w:t>
            </w:r>
            <w:r>
              <w:rPr>
                <w:rFonts w:hint="eastAsia" w:hAnsi="宋体"/>
                <w:color w:val="auto"/>
                <w:sz w:val="24"/>
                <w:highlight w:val="none"/>
              </w:rPr>
              <w:t>重点防渗区、</w:t>
            </w:r>
            <w:r>
              <w:rPr>
                <w:rFonts w:hAnsi="宋体"/>
                <w:color w:val="auto"/>
                <w:sz w:val="24"/>
                <w:highlight w:val="none"/>
              </w:rPr>
              <w:t>一般防渗区</w:t>
            </w:r>
            <w:r>
              <w:rPr>
                <w:rFonts w:hint="eastAsia" w:hAnsi="宋体"/>
                <w:color w:val="auto"/>
                <w:sz w:val="24"/>
                <w:highlight w:val="none"/>
              </w:rPr>
              <w:t>和简单</w:t>
            </w:r>
            <w:r>
              <w:rPr>
                <w:rFonts w:hAnsi="宋体"/>
                <w:color w:val="auto"/>
                <w:sz w:val="24"/>
                <w:highlight w:val="none"/>
              </w:rPr>
              <w:t>防渗区。具体划分详见表</w:t>
            </w:r>
            <w:r>
              <w:rPr>
                <w:color w:val="auto"/>
                <w:sz w:val="24"/>
                <w:highlight w:val="none"/>
              </w:rPr>
              <w:t>4-</w:t>
            </w:r>
            <w:r>
              <w:rPr>
                <w:rFonts w:hint="eastAsia"/>
                <w:color w:val="auto"/>
                <w:sz w:val="24"/>
                <w:highlight w:val="none"/>
                <w:lang w:val="en-US" w:eastAsia="zh-CN"/>
              </w:rPr>
              <w:t>22</w:t>
            </w:r>
            <w:r>
              <w:rPr>
                <w:rFonts w:hAnsi="宋体"/>
                <w:color w:val="auto"/>
                <w:sz w:val="24"/>
                <w:highlight w:val="none"/>
              </w:rPr>
              <w:t>。</w:t>
            </w:r>
          </w:p>
          <w:p w14:paraId="32D81B0A">
            <w:pPr>
              <w:keepNext w:val="0"/>
              <w:keepLines w:val="0"/>
              <w:suppressLineNumbers w:val="0"/>
              <w:adjustRightInd w:val="0"/>
              <w:snapToGrid w:val="0"/>
              <w:spacing w:before="0" w:beforeAutospacing="0" w:after="0" w:afterAutospacing="0"/>
              <w:ind w:left="0" w:right="0" w:firstLine="482" w:firstLineChars="200"/>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22</w:t>
            </w:r>
            <w:r>
              <w:rPr>
                <w:rFonts w:hint="eastAsia"/>
                <w:b/>
                <w:color w:val="auto"/>
                <w:sz w:val="24"/>
                <w:highlight w:val="none"/>
              </w:rPr>
              <w:t xml:space="preserve"> </w:t>
            </w:r>
            <w:r>
              <w:rPr>
                <w:rFonts w:hAnsi="宋体"/>
                <w:b/>
                <w:color w:val="auto"/>
                <w:sz w:val="24"/>
                <w:highlight w:val="none"/>
              </w:rPr>
              <w:t>污染区划分</w:t>
            </w:r>
            <w:r>
              <w:rPr>
                <w:rFonts w:hint="eastAsia" w:hAnsi="宋体"/>
                <w:b/>
                <w:color w:val="auto"/>
                <w:sz w:val="24"/>
                <w:highlight w:val="none"/>
              </w:rPr>
              <w:t>一览表</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23"/>
              <w:gridCol w:w="1072"/>
              <w:gridCol w:w="1704"/>
              <w:gridCol w:w="1560"/>
              <w:gridCol w:w="3412"/>
            </w:tblGrid>
            <w:tr w14:paraId="2527235D">
              <w:trPr>
                <w:trHeight w:val="340" w:hRule="atLeast"/>
              </w:trPr>
              <w:tc>
                <w:tcPr>
                  <w:tcW w:w="426" w:type="pct"/>
                  <w:vAlign w:val="center"/>
                </w:tcPr>
                <w:p w14:paraId="736E12A8">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序号</w:t>
                  </w:r>
                </w:p>
              </w:tc>
              <w:tc>
                <w:tcPr>
                  <w:tcW w:w="633" w:type="pct"/>
                  <w:vAlign w:val="center"/>
                </w:tcPr>
                <w:p w14:paraId="1A8EFE4B">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分区类别</w:t>
                  </w:r>
                </w:p>
              </w:tc>
              <w:tc>
                <w:tcPr>
                  <w:tcW w:w="1005" w:type="pct"/>
                  <w:vAlign w:val="center"/>
                </w:tcPr>
                <w:p w14:paraId="2C57D628">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名称</w:t>
                  </w:r>
                </w:p>
              </w:tc>
              <w:tc>
                <w:tcPr>
                  <w:tcW w:w="920" w:type="pct"/>
                  <w:vAlign w:val="center"/>
                </w:tcPr>
                <w:p w14:paraId="683387CB">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防渗区域</w:t>
                  </w:r>
                </w:p>
              </w:tc>
              <w:tc>
                <w:tcPr>
                  <w:tcW w:w="2013" w:type="pct"/>
                  <w:vAlign w:val="center"/>
                </w:tcPr>
                <w:p w14:paraId="2A9BE2C1">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备注</w:t>
                  </w:r>
                </w:p>
              </w:tc>
            </w:tr>
            <w:tr w14:paraId="06F15798">
              <w:trPr>
                <w:trHeight w:val="340" w:hRule="atLeast"/>
              </w:trPr>
              <w:tc>
                <w:tcPr>
                  <w:tcW w:w="426" w:type="pct"/>
                  <w:vAlign w:val="center"/>
                </w:tcPr>
                <w:p w14:paraId="5847D88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w:t>
                  </w:r>
                </w:p>
              </w:tc>
              <w:tc>
                <w:tcPr>
                  <w:tcW w:w="633" w:type="pct"/>
                  <w:vAlign w:val="center"/>
                </w:tcPr>
                <w:p w14:paraId="1949B216">
                  <w:pPr>
                    <w:keepNext w:val="0"/>
                    <w:keepLines w:val="0"/>
                    <w:suppressLineNumbers w:val="0"/>
                    <w:spacing w:before="0" w:beforeAutospacing="0" w:after="0" w:afterAutospacing="0"/>
                    <w:ind w:left="0" w:right="0"/>
                    <w:jc w:val="center"/>
                    <w:rPr>
                      <w:color w:val="auto"/>
                      <w:szCs w:val="21"/>
                      <w:highlight w:val="none"/>
                    </w:rPr>
                  </w:pPr>
                  <w:r>
                    <w:rPr>
                      <w:color w:val="auto"/>
                      <w:highlight w:val="none"/>
                    </w:rPr>
                    <w:t>重点防渗区</w:t>
                  </w:r>
                </w:p>
              </w:tc>
              <w:tc>
                <w:tcPr>
                  <w:tcW w:w="1005" w:type="pct"/>
                  <w:vAlign w:val="center"/>
                </w:tcPr>
                <w:p w14:paraId="6B682F1B">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危废仓库</w:t>
                  </w:r>
                </w:p>
              </w:tc>
              <w:tc>
                <w:tcPr>
                  <w:tcW w:w="920" w:type="pct"/>
                  <w:vAlign w:val="center"/>
                </w:tcPr>
                <w:p w14:paraId="6C4E4CCB">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地面</w:t>
                  </w:r>
                  <w:r>
                    <w:rPr>
                      <w:rFonts w:hint="eastAsia" w:hAnsi="宋体"/>
                      <w:color w:val="auto"/>
                      <w:szCs w:val="21"/>
                      <w:highlight w:val="none"/>
                    </w:rPr>
                    <w:t>及裙脚</w:t>
                  </w:r>
                </w:p>
              </w:tc>
              <w:tc>
                <w:tcPr>
                  <w:tcW w:w="2013" w:type="pct"/>
                  <w:vAlign w:val="center"/>
                </w:tcPr>
                <w:p w14:paraId="32E0EF1A">
                  <w:pPr>
                    <w:keepNext w:val="0"/>
                    <w:keepLines w:val="0"/>
                    <w:suppressLineNumbers w:val="0"/>
                    <w:spacing w:before="0" w:beforeAutospacing="0" w:after="0" w:afterAutospacing="0"/>
                    <w:ind w:left="0" w:right="0"/>
                    <w:jc w:val="center"/>
                    <w:rPr>
                      <w:color w:val="auto"/>
                      <w:szCs w:val="21"/>
                      <w:highlight w:val="none"/>
                    </w:rPr>
                  </w:pPr>
                  <w:r>
                    <w:rPr>
                      <w:color w:val="auto"/>
                      <w:highlight w:val="none"/>
                    </w:rPr>
                    <w:t>等效黏土防渗层 Mb≥6.0m，K≤1×10</w:t>
                  </w:r>
                  <w:r>
                    <w:rPr>
                      <w:rFonts w:hint="eastAsia"/>
                      <w:color w:val="auto"/>
                      <w:highlight w:val="none"/>
                      <w:lang w:eastAsia="zh-CN"/>
                    </w:rPr>
                    <w:t>～</w:t>
                  </w:r>
                  <w:r>
                    <w:rPr>
                      <w:color w:val="auto"/>
                      <w:highlight w:val="none"/>
                      <w:vertAlign w:val="superscript"/>
                    </w:rPr>
                    <w:t>7</w:t>
                  </w:r>
                  <w:r>
                    <w:rPr>
                      <w:color w:val="auto"/>
                      <w:highlight w:val="none"/>
                    </w:rPr>
                    <w:t>cm/s；或参照GB18598执行</w:t>
                  </w:r>
                </w:p>
              </w:tc>
            </w:tr>
            <w:tr w14:paraId="0D47BD40">
              <w:trPr>
                <w:trHeight w:val="340" w:hRule="atLeast"/>
              </w:trPr>
              <w:tc>
                <w:tcPr>
                  <w:tcW w:w="426" w:type="pct"/>
                  <w:vAlign w:val="center"/>
                </w:tcPr>
                <w:p w14:paraId="43B0DE45">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2</w:t>
                  </w:r>
                </w:p>
              </w:tc>
              <w:tc>
                <w:tcPr>
                  <w:tcW w:w="633" w:type="pct"/>
                  <w:vAlign w:val="center"/>
                </w:tcPr>
                <w:p w14:paraId="1F2BC0D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一般防渗区</w:t>
                  </w:r>
                </w:p>
              </w:tc>
              <w:tc>
                <w:tcPr>
                  <w:tcW w:w="1005" w:type="pct"/>
                  <w:vAlign w:val="center"/>
                </w:tcPr>
                <w:p w14:paraId="0331C8C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生产</w:t>
                  </w:r>
                  <w:r>
                    <w:rPr>
                      <w:rFonts w:hint="eastAsia" w:hAnsi="宋体"/>
                      <w:color w:val="auto"/>
                      <w:szCs w:val="21"/>
                      <w:highlight w:val="none"/>
                      <w:lang w:val="en-US" w:eastAsia="zh-CN"/>
                    </w:rPr>
                    <w:t>厂房</w:t>
                  </w:r>
                  <w:r>
                    <w:rPr>
                      <w:rFonts w:hAnsi="宋体"/>
                      <w:color w:val="auto"/>
                      <w:szCs w:val="21"/>
                      <w:highlight w:val="none"/>
                    </w:rPr>
                    <w:t>、仓库、一般固废库</w:t>
                  </w:r>
                </w:p>
              </w:tc>
              <w:tc>
                <w:tcPr>
                  <w:tcW w:w="920" w:type="pct"/>
                  <w:vAlign w:val="center"/>
                </w:tcPr>
                <w:p w14:paraId="472156E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地面</w:t>
                  </w:r>
                </w:p>
              </w:tc>
              <w:tc>
                <w:tcPr>
                  <w:tcW w:w="2013" w:type="pct"/>
                  <w:vAlign w:val="center"/>
                </w:tcPr>
                <w:p w14:paraId="3588002B">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rPr>
                    <w:t>一般地面硬化</w:t>
                  </w:r>
                </w:p>
              </w:tc>
            </w:tr>
            <w:tr w14:paraId="5D1DA9DB">
              <w:trPr>
                <w:trHeight w:val="340" w:hRule="atLeast"/>
              </w:trPr>
              <w:tc>
                <w:tcPr>
                  <w:tcW w:w="426" w:type="pct"/>
                  <w:vAlign w:val="center"/>
                </w:tcPr>
                <w:p w14:paraId="5B13FC57">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3</w:t>
                  </w:r>
                </w:p>
              </w:tc>
              <w:tc>
                <w:tcPr>
                  <w:tcW w:w="633" w:type="pct"/>
                  <w:vAlign w:val="center"/>
                </w:tcPr>
                <w:p w14:paraId="7AB21C30">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rPr>
                    <w:t>简单</w:t>
                  </w:r>
                  <w:r>
                    <w:rPr>
                      <w:rFonts w:hAnsi="宋体"/>
                      <w:color w:val="auto"/>
                      <w:szCs w:val="21"/>
                      <w:highlight w:val="none"/>
                    </w:rPr>
                    <w:t>防渗区</w:t>
                  </w:r>
                </w:p>
              </w:tc>
              <w:tc>
                <w:tcPr>
                  <w:tcW w:w="1005" w:type="pct"/>
                  <w:vAlign w:val="center"/>
                </w:tcPr>
                <w:p w14:paraId="6C1814F3">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办公</w:t>
                  </w:r>
                  <w:r>
                    <w:rPr>
                      <w:rFonts w:hint="eastAsia" w:hAnsi="宋体"/>
                      <w:color w:val="auto"/>
                      <w:szCs w:val="21"/>
                      <w:highlight w:val="none"/>
                      <w:lang w:val="en-US" w:eastAsia="zh-CN"/>
                    </w:rPr>
                    <w:t>楼</w:t>
                  </w:r>
                </w:p>
              </w:tc>
              <w:tc>
                <w:tcPr>
                  <w:tcW w:w="920" w:type="pct"/>
                  <w:vAlign w:val="center"/>
                </w:tcPr>
                <w:p w14:paraId="76908AE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无特殊防渗要求</w:t>
                  </w:r>
                </w:p>
              </w:tc>
              <w:tc>
                <w:tcPr>
                  <w:tcW w:w="2013" w:type="pct"/>
                  <w:vAlign w:val="center"/>
                </w:tcPr>
                <w:p w14:paraId="42E73F4B">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rPr>
                    <w:t>一般地面硬化</w:t>
                  </w:r>
                </w:p>
              </w:tc>
            </w:tr>
          </w:tbl>
          <w:p w14:paraId="7D4F6B67">
            <w:pPr>
              <w:keepNext w:val="0"/>
              <w:keepLines w:val="0"/>
              <w:suppressLineNumbers w:val="0"/>
              <w:adjustRightInd w:val="0"/>
              <w:snapToGrid w:val="0"/>
              <w:spacing w:before="0" w:beforeLines="50" w:beforeAutospacing="0" w:after="0" w:afterAutospacing="0" w:line="360" w:lineRule="auto"/>
              <w:ind w:left="0" w:right="0" w:firstLine="482" w:firstLineChars="200"/>
              <w:rPr>
                <w:b/>
                <w:bCs/>
                <w:color w:val="auto"/>
                <w:kern w:val="0"/>
                <w:sz w:val="24"/>
                <w:highlight w:val="none"/>
              </w:rPr>
            </w:pPr>
            <w:r>
              <w:rPr>
                <w:rFonts w:hAnsi="宋体"/>
                <w:b/>
                <w:bCs/>
                <w:color w:val="auto"/>
                <w:kern w:val="0"/>
                <w:sz w:val="24"/>
                <w:highlight w:val="none"/>
              </w:rPr>
              <w:t>②跟踪监测</w:t>
            </w:r>
          </w:p>
          <w:p w14:paraId="0715AADF">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对照《环境影响评价技术导则地下水环境》（</w:t>
            </w:r>
            <w:r>
              <w:rPr>
                <w:color w:val="auto"/>
                <w:kern w:val="0"/>
                <w:sz w:val="24"/>
                <w:highlight w:val="none"/>
              </w:rPr>
              <w:t>HJ610-2016</w:t>
            </w:r>
            <w:r>
              <w:rPr>
                <w:rFonts w:hAnsi="宋体"/>
                <w:color w:val="auto"/>
                <w:kern w:val="0"/>
                <w:sz w:val="24"/>
                <w:highlight w:val="none"/>
              </w:rPr>
              <w:t>）和《环境影响评价技术导则土壤环境》（</w:t>
            </w:r>
            <w:r>
              <w:rPr>
                <w:color w:val="auto"/>
                <w:kern w:val="0"/>
                <w:sz w:val="24"/>
                <w:highlight w:val="none"/>
              </w:rPr>
              <w:t>HJ964-2018</w:t>
            </w:r>
            <w:r>
              <w:rPr>
                <w:rFonts w:hAnsi="宋体"/>
                <w:color w:val="auto"/>
                <w:kern w:val="0"/>
                <w:sz w:val="24"/>
                <w:highlight w:val="none"/>
              </w:rPr>
              <w:t>），本项目无需开展地下水和土壤的环境影响评价，也无需开展跟踪监测。</w:t>
            </w:r>
          </w:p>
          <w:bookmarkEnd w:id="49"/>
          <w:bookmarkEnd w:id="50"/>
          <w:p w14:paraId="5AF9843D">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6.</w:t>
            </w:r>
            <w:r>
              <w:rPr>
                <w:rFonts w:hAnsi="宋体"/>
                <w:b/>
                <w:color w:val="auto"/>
                <w:kern w:val="0"/>
                <w:sz w:val="24"/>
                <w:highlight w:val="none"/>
                <w:lang w:val="zh-CN"/>
              </w:rPr>
              <w:t>环境风险及风险防范措施分析</w:t>
            </w:r>
          </w:p>
          <w:p w14:paraId="4BEFACF5">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w:t>
            </w:r>
            <w:r>
              <w:rPr>
                <w:b/>
                <w:color w:val="auto"/>
                <w:sz w:val="24"/>
                <w:highlight w:val="none"/>
              </w:rPr>
              <w:t>1</w:t>
            </w:r>
            <w:r>
              <w:rPr>
                <w:rFonts w:hAnsi="宋体"/>
                <w:b/>
                <w:color w:val="auto"/>
                <w:sz w:val="24"/>
                <w:highlight w:val="none"/>
              </w:rPr>
              <w:t>）危险物质数量及分布情况</w:t>
            </w:r>
          </w:p>
          <w:p w14:paraId="4B5021B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highlight w:val="none"/>
              </w:rPr>
            </w:pPr>
            <w:r>
              <w:rPr>
                <w:rFonts w:hAnsi="宋体"/>
                <w:bCs/>
                <w:color w:val="auto"/>
                <w:sz w:val="24"/>
                <w:highlight w:val="none"/>
              </w:rPr>
              <w:t>①风险源调查</w:t>
            </w:r>
          </w:p>
          <w:p w14:paraId="2A48E38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highlight w:val="none"/>
              </w:rPr>
            </w:pPr>
            <w:r>
              <w:rPr>
                <w:bCs/>
                <w:color w:val="auto"/>
                <w:sz w:val="24"/>
                <w:highlight w:val="none"/>
              </w:rPr>
              <w:t>A.</w:t>
            </w:r>
            <w:r>
              <w:rPr>
                <w:rFonts w:hAnsi="宋体"/>
                <w:bCs/>
                <w:color w:val="auto"/>
                <w:sz w:val="24"/>
                <w:highlight w:val="none"/>
              </w:rPr>
              <w:t>危险物质数量及分布情况</w:t>
            </w:r>
          </w:p>
          <w:p w14:paraId="69910F7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highlight w:val="none"/>
              </w:rPr>
            </w:pPr>
            <w:r>
              <w:rPr>
                <w:rFonts w:hAnsi="宋体"/>
                <w:bCs/>
                <w:color w:val="auto"/>
                <w:sz w:val="24"/>
                <w:highlight w:val="none"/>
              </w:rPr>
              <w:t>建设项目危险物质数量及分布情况详见表</w:t>
            </w:r>
            <w:r>
              <w:rPr>
                <w:bCs/>
                <w:color w:val="auto"/>
                <w:sz w:val="24"/>
                <w:highlight w:val="none"/>
              </w:rPr>
              <w:t>4-</w:t>
            </w:r>
            <w:r>
              <w:rPr>
                <w:rFonts w:hint="eastAsia"/>
                <w:bCs/>
                <w:color w:val="auto"/>
                <w:sz w:val="24"/>
                <w:highlight w:val="none"/>
                <w:lang w:val="en-US" w:eastAsia="zh-CN"/>
              </w:rPr>
              <w:t>23</w:t>
            </w:r>
            <w:r>
              <w:rPr>
                <w:rFonts w:hAnsi="宋体"/>
                <w:bCs/>
                <w:color w:val="auto"/>
                <w:sz w:val="24"/>
                <w:highlight w:val="none"/>
              </w:rPr>
              <w:t>。</w:t>
            </w:r>
          </w:p>
          <w:p w14:paraId="4BFA8EAA">
            <w:pPr>
              <w:keepNext w:val="0"/>
              <w:keepLines w:val="0"/>
              <w:suppressLineNumbers w:val="0"/>
              <w:adjustRightInd w:val="0"/>
              <w:snapToGrid w:val="0"/>
              <w:spacing w:before="0" w:beforeAutospacing="0" w:after="0" w:afterAutospacing="0"/>
              <w:ind w:left="0" w:right="0" w:firstLine="482" w:firstLineChars="200"/>
              <w:jc w:val="center"/>
              <w:rPr>
                <w:b/>
                <w:bCs/>
                <w:color w:val="auto"/>
                <w:highlight w:val="none"/>
              </w:rPr>
            </w:pPr>
            <w:r>
              <w:rPr>
                <w:rFonts w:hAnsi="宋体"/>
                <w:b/>
                <w:bCs/>
                <w:color w:val="auto"/>
                <w:sz w:val="24"/>
                <w:highlight w:val="none"/>
              </w:rPr>
              <w:t>表</w:t>
            </w:r>
            <w:r>
              <w:rPr>
                <w:b/>
                <w:bCs/>
                <w:color w:val="auto"/>
                <w:sz w:val="24"/>
                <w:highlight w:val="none"/>
              </w:rPr>
              <w:t>4-</w:t>
            </w:r>
            <w:r>
              <w:rPr>
                <w:rFonts w:hint="eastAsia"/>
                <w:b/>
                <w:bCs/>
                <w:color w:val="auto"/>
                <w:sz w:val="24"/>
                <w:highlight w:val="none"/>
                <w:lang w:val="en-US" w:eastAsia="zh-CN"/>
              </w:rPr>
              <w:t>23</w:t>
            </w:r>
            <w:r>
              <w:rPr>
                <w:rFonts w:hint="eastAsia"/>
                <w:b/>
                <w:bCs/>
                <w:color w:val="auto"/>
                <w:sz w:val="24"/>
                <w:highlight w:val="none"/>
              </w:rPr>
              <w:t xml:space="preserve"> </w:t>
            </w:r>
            <w:r>
              <w:rPr>
                <w:rFonts w:hAnsi="宋体"/>
                <w:b/>
                <w:bCs/>
                <w:color w:val="auto"/>
                <w:sz w:val="24"/>
                <w:highlight w:val="none"/>
              </w:rPr>
              <w:t>危险物质数量及分布情况一览表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18"/>
              <w:gridCol w:w="2479"/>
              <w:gridCol w:w="2253"/>
              <w:gridCol w:w="1421"/>
            </w:tblGrid>
            <w:tr w14:paraId="19BB5225">
              <w:trPr>
                <w:trHeight w:val="340" w:hRule="atLeast"/>
                <w:jc w:val="center"/>
              </w:trPr>
              <w:tc>
                <w:tcPr>
                  <w:tcW w:w="1368" w:type="pct"/>
                  <w:vAlign w:val="center"/>
                </w:tcPr>
                <w:p w14:paraId="56A97D1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名称</w:t>
                  </w:r>
                </w:p>
              </w:tc>
              <w:tc>
                <w:tcPr>
                  <w:tcW w:w="1463" w:type="pct"/>
                  <w:vAlign w:val="center"/>
                </w:tcPr>
                <w:p w14:paraId="428A015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主要规格</w:t>
                  </w:r>
                  <w:r>
                    <w:rPr>
                      <w:color w:val="auto"/>
                      <w:szCs w:val="21"/>
                      <w:highlight w:val="none"/>
                    </w:rPr>
                    <w:t>/</w:t>
                  </w:r>
                  <w:r>
                    <w:rPr>
                      <w:rFonts w:hAnsi="宋体"/>
                      <w:color w:val="auto"/>
                      <w:szCs w:val="21"/>
                      <w:highlight w:val="none"/>
                    </w:rPr>
                    <w:t>型号</w:t>
                  </w:r>
                </w:p>
              </w:tc>
              <w:tc>
                <w:tcPr>
                  <w:tcW w:w="1329" w:type="pct"/>
                  <w:vAlign w:val="center"/>
                </w:tcPr>
                <w:p w14:paraId="2E0E02C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最大贮存量</w:t>
                  </w:r>
                  <w:r>
                    <w:rPr>
                      <w:color w:val="auto"/>
                      <w:szCs w:val="21"/>
                      <w:highlight w:val="none"/>
                    </w:rPr>
                    <w:t>t</w:t>
                  </w:r>
                </w:p>
              </w:tc>
              <w:tc>
                <w:tcPr>
                  <w:tcW w:w="838" w:type="pct"/>
                  <w:vAlign w:val="center"/>
                </w:tcPr>
                <w:p w14:paraId="027F5C4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分布</w:t>
                  </w:r>
                </w:p>
              </w:tc>
            </w:tr>
            <w:tr w14:paraId="3ABDF1F4">
              <w:trPr>
                <w:trHeight w:val="340" w:hRule="atLeast"/>
                <w:jc w:val="center"/>
              </w:trPr>
              <w:tc>
                <w:tcPr>
                  <w:tcW w:w="1368" w:type="pct"/>
                  <w:vAlign w:val="center"/>
                </w:tcPr>
                <w:p w14:paraId="0F1E6929">
                  <w:pPr>
                    <w:keepNext w:val="0"/>
                    <w:keepLines w:val="0"/>
                    <w:suppressLineNumbers w:val="0"/>
                    <w:spacing w:before="0" w:beforeAutospacing="0" w:after="0" w:afterAutospacing="0"/>
                    <w:ind w:left="0" w:right="0"/>
                    <w:jc w:val="center"/>
                    <w:rPr>
                      <w:color w:val="auto"/>
                      <w:szCs w:val="21"/>
                      <w:highlight w:val="none"/>
                    </w:rPr>
                  </w:pPr>
                  <w:r>
                    <w:rPr>
                      <w:rFonts w:hAnsi="宋体"/>
                      <w:bCs/>
                      <w:color w:val="auto"/>
                      <w:szCs w:val="21"/>
                      <w:highlight w:val="none"/>
                    </w:rPr>
                    <w:t>润滑油</w:t>
                  </w:r>
                </w:p>
              </w:tc>
              <w:tc>
                <w:tcPr>
                  <w:tcW w:w="1463" w:type="pct"/>
                  <w:vAlign w:val="center"/>
                </w:tcPr>
                <w:p w14:paraId="1106D04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329" w:type="pct"/>
                  <w:vAlign w:val="center"/>
                </w:tcPr>
                <w:p w14:paraId="053B712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0.2</w:t>
                  </w:r>
                </w:p>
              </w:tc>
              <w:tc>
                <w:tcPr>
                  <w:tcW w:w="838" w:type="pct"/>
                  <w:vMerge w:val="restart"/>
                  <w:vAlign w:val="center"/>
                </w:tcPr>
                <w:p w14:paraId="6F5CEB1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原料仓库</w:t>
                  </w:r>
                </w:p>
              </w:tc>
            </w:tr>
            <w:tr w14:paraId="0439F4EB">
              <w:trPr>
                <w:trHeight w:val="340" w:hRule="atLeast"/>
                <w:jc w:val="center"/>
              </w:trPr>
              <w:tc>
                <w:tcPr>
                  <w:tcW w:w="1368" w:type="pct"/>
                  <w:vAlign w:val="center"/>
                </w:tcPr>
                <w:p w14:paraId="6612F64E">
                  <w:pPr>
                    <w:keepNext w:val="0"/>
                    <w:keepLines w:val="0"/>
                    <w:suppressLineNumbers w:val="0"/>
                    <w:spacing w:before="0" w:beforeAutospacing="0" w:after="0" w:afterAutospacing="0"/>
                    <w:ind w:left="0" w:right="0"/>
                    <w:jc w:val="center"/>
                    <w:rPr>
                      <w:rFonts w:hAnsi="宋体"/>
                      <w:bCs/>
                      <w:color w:val="auto"/>
                      <w:szCs w:val="21"/>
                      <w:highlight w:val="none"/>
                    </w:rPr>
                  </w:pPr>
                  <w:r>
                    <w:rPr>
                      <w:rFonts w:hint="eastAsia" w:hAnsi="宋体"/>
                      <w:bCs/>
                      <w:color w:val="auto"/>
                      <w:szCs w:val="21"/>
                      <w:highlight w:val="none"/>
                    </w:rPr>
                    <w:t>切削液</w:t>
                  </w:r>
                </w:p>
              </w:tc>
              <w:tc>
                <w:tcPr>
                  <w:tcW w:w="1463" w:type="pct"/>
                  <w:vAlign w:val="center"/>
                </w:tcPr>
                <w:p w14:paraId="3EE3726F">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329" w:type="pct"/>
                  <w:vAlign w:val="center"/>
                </w:tcPr>
                <w:p w14:paraId="6ACD798C">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0.2</w:t>
                  </w:r>
                </w:p>
              </w:tc>
              <w:tc>
                <w:tcPr>
                  <w:tcW w:w="838" w:type="pct"/>
                  <w:vMerge w:val="continue"/>
                  <w:vAlign w:val="center"/>
                </w:tcPr>
                <w:p w14:paraId="115602F5">
                  <w:pPr>
                    <w:keepNext w:val="0"/>
                    <w:keepLines w:val="0"/>
                    <w:suppressLineNumbers w:val="0"/>
                    <w:spacing w:before="0" w:beforeAutospacing="0" w:after="0" w:afterAutospacing="0"/>
                    <w:ind w:left="0" w:right="0"/>
                    <w:jc w:val="center"/>
                    <w:rPr>
                      <w:rFonts w:hAnsi="宋体"/>
                      <w:color w:val="auto"/>
                      <w:szCs w:val="21"/>
                      <w:highlight w:val="none"/>
                    </w:rPr>
                  </w:pPr>
                </w:p>
              </w:tc>
            </w:tr>
            <w:tr w14:paraId="52562B31">
              <w:trPr>
                <w:trHeight w:val="340" w:hRule="atLeast"/>
                <w:jc w:val="center"/>
              </w:trPr>
              <w:tc>
                <w:tcPr>
                  <w:tcW w:w="1368" w:type="pct"/>
                  <w:vAlign w:val="center"/>
                </w:tcPr>
                <w:p w14:paraId="3B8BE39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废活性炭</w:t>
                  </w:r>
                </w:p>
              </w:tc>
              <w:tc>
                <w:tcPr>
                  <w:tcW w:w="1463" w:type="pct"/>
                  <w:vAlign w:val="center"/>
                </w:tcPr>
                <w:p w14:paraId="7C82F35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329" w:type="pct"/>
                  <w:shd w:val="clear" w:color="auto" w:fill="auto"/>
                  <w:vAlign w:val="center"/>
                </w:tcPr>
                <w:p w14:paraId="53B6FF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3.237</w:t>
                  </w:r>
                </w:p>
              </w:tc>
              <w:tc>
                <w:tcPr>
                  <w:tcW w:w="838" w:type="pct"/>
                  <w:vMerge w:val="restart"/>
                  <w:vAlign w:val="center"/>
                </w:tcPr>
                <w:p w14:paraId="5D9424E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危废仓库</w:t>
                  </w:r>
                </w:p>
              </w:tc>
            </w:tr>
            <w:tr w14:paraId="0BD7BD8E">
              <w:trPr>
                <w:trHeight w:val="340" w:hRule="atLeast"/>
                <w:jc w:val="center"/>
              </w:trPr>
              <w:tc>
                <w:tcPr>
                  <w:tcW w:w="1368" w:type="pct"/>
                  <w:vAlign w:val="center"/>
                </w:tcPr>
                <w:p w14:paraId="4036F79C">
                  <w:pPr>
                    <w:keepNext w:val="0"/>
                    <w:keepLines w:val="0"/>
                    <w:suppressLineNumbers w:val="0"/>
                    <w:adjustRightInd w:val="0"/>
                    <w:snapToGrid w:val="0"/>
                    <w:spacing w:before="0" w:beforeAutospacing="0" w:after="0" w:afterAutospacing="0"/>
                    <w:ind w:left="0" w:right="0"/>
                    <w:jc w:val="center"/>
                    <w:rPr>
                      <w:rFonts w:hAnsi="宋体"/>
                      <w:bCs/>
                      <w:color w:val="auto"/>
                      <w:szCs w:val="21"/>
                      <w:highlight w:val="none"/>
                    </w:rPr>
                  </w:pPr>
                  <w:r>
                    <w:rPr>
                      <w:rFonts w:hint="eastAsia" w:hAnsi="宋体"/>
                      <w:bCs/>
                      <w:color w:val="auto"/>
                      <w:szCs w:val="21"/>
                      <w:highlight w:val="none"/>
                    </w:rPr>
                    <w:t>废过滤棉</w:t>
                  </w:r>
                </w:p>
              </w:tc>
              <w:tc>
                <w:tcPr>
                  <w:tcW w:w="1463" w:type="pct"/>
                  <w:vAlign w:val="center"/>
                </w:tcPr>
                <w:p w14:paraId="2DC3EFA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329" w:type="pct"/>
                  <w:shd w:val="clear" w:color="auto" w:fill="auto"/>
                  <w:vAlign w:val="center"/>
                </w:tcPr>
                <w:p w14:paraId="1ABFF2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1.273</w:t>
                  </w:r>
                </w:p>
              </w:tc>
              <w:tc>
                <w:tcPr>
                  <w:tcW w:w="838" w:type="pct"/>
                  <w:vMerge w:val="continue"/>
                  <w:vAlign w:val="center"/>
                </w:tcPr>
                <w:p w14:paraId="22374A81">
                  <w:pPr>
                    <w:keepNext w:val="0"/>
                    <w:keepLines w:val="0"/>
                    <w:suppressLineNumbers w:val="0"/>
                    <w:spacing w:before="0" w:beforeAutospacing="0" w:after="0" w:afterAutospacing="0"/>
                    <w:ind w:left="0" w:right="0"/>
                    <w:jc w:val="center"/>
                    <w:rPr>
                      <w:rFonts w:hAnsi="宋体"/>
                      <w:color w:val="auto"/>
                      <w:szCs w:val="21"/>
                      <w:highlight w:val="none"/>
                    </w:rPr>
                  </w:pPr>
                </w:p>
              </w:tc>
            </w:tr>
            <w:tr w14:paraId="19A6F466">
              <w:trPr>
                <w:trHeight w:val="340" w:hRule="atLeast"/>
                <w:jc w:val="center"/>
              </w:trPr>
              <w:tc>
                <w:tcPr>
                  <w:tcW w:w="1368" w:type="pct"/>
                  <w:vAlign w:val="center"/>
                </w:tcPr>
                <w:p w14:paraId="69080F7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废润滑油</w:t>
                  </w:r>
                </w:p>
              </w:tc>
              <w:tc>
                <w:tcPr>
                  <w:tcW w:w="1463" w:type="pct"/>
                  <w:vAlign w:val="center"/>
                </w:tcPr>
                <w:p w14:paraId="6C15C1D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329" w:type="pct"/>
                  <w:shd w:val="clear" w:color="auto" w:fill="auto"/>
                  <w:vAlign w:val="center"/>
                </w:tcPr>
                <w:p w14:paraId="253351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0.4</w:t>
                  </w:r>
                </w:p>
              </w:tc>
              <w:tc>
                <w:tcPr>
                  <w:tcW w:w="838" w:type="pct"/>
                  <w:vMerge w:val="continue"/>
                  <w:vAlign w:val="center"/>
                </w:tcPr>
                <w:p w14:paraId="29C2C078">
                  <w:pPr>
                    <w:keepNext w:val="0"/>
                    <w:keepLines w:val="0"/>
                    <w:suppressLineNumbers w:val="0"/>
                    <w:spacing w:before="0" w:beforeAutospacing="0" w:after="0" w:afterAutospacing="0"/>
                    <w:ind w:left="0" w:right="0"/>
                    <w:jc w:val="center"/>
                    <w:rPr>
                      <w:color w:val="auto"/>
                      <w:szCs w:val="21"/>
                      <w:highlight w:val="none"/>
                    </w:rPr>
                  </w:pPr>
                </w:p>
              </w:tc>
            </w:tr>
            <w:tr w14:paraId="7D4D3039">
              <w:trPr>
                <w:trHeight w:val="340" w:hRule="atLeast"/>
                <w:jc w:val="center"/>
              </w:trPr>
              <w:tc>
                <w:tcPr>
                  <w:tcW w:w="1368" w:type="pct"/>
                  <w:vAlign w:val="center"/>
                </w:tcPr>
                <w:p w14:paraId="41EC889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hAnsi="宋体"/>
                      <w:bCs/>
                      <w:color w:val="auto"/>
                      <w:szCs w:val="21"/>
                      <w:highlight w:val="none"/>
                    </w:rPr>
                    <w:t>废切削液</w:t>
                  </w:r>
                </w:p>
              </w:tc>
              <w:tc>
                <w:tcPr>
                  <w:tcW w:w="1463" w:type="pct"/>
                  <w:vAlign w:val="center"/>
                </w:tcPr>
                <w:p w14:paraId="7D210613">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329" w:type="pct"/>
                  <w:shd w:val="clear" w:color="auto" w:fill="auto"/>
                  <w:vAlign w:val="center"/>
                </w:tcPr>
                <w:p w14:paraId="129371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0.4</w:t>
                  </w:r>
                </w:p>
              </w:tc>
              <w:tc>
                <w:tcPr>
                  <w:tcW w:w="838" w:type="pct"/>
                  <w:vMerge w:val="continue"/>
                  <w:vAlign w:val="center"/>
                </w:tcPr>
                <w:p w14:paraId="140278CF">
                  <w:pPr>
                    <w:keepNext w:val="0"/>
                    <w:keepLines w:val="0"/>
                    <w:suppressLineNumbers w:val="0"/>
                    <w:spacing w:before="0" w:beforeAutospacing="0" w:after="0" w:afterAutospacing="0"/>
                    <w:ind w:left="0" w:right="0"/>
                    <w:jc w:val="center"/>
                    <w:rPr>
                      <w:color w:val="auto"/>
                      <w:szCs w:val="21"/>
                      <w:highlight w:val="none"/>
                    </w:rPr>
                  </w:pPr>
                </w:p>
              </w:tc>
            </w:tr>
            <w:tr w14:paraId="29739F3E">
              <w:trPr>
                <w:trHeight w:val="340" w:hRule="atLeast"/>
                <w:jc w:val="center"/>
              </w:trPr>
              <w:tc>
                <w:tcPr>
                  <w:tcW w:w="1368" w:type="pct"/>
                  <w:shd w:val="clear" w:color="auto" w:fill="auto"/>
                  <w:vAlign w:val="center"/>
                </w:tcPr>
                <w:p w14:paraId="272148D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1463" w:type="pct"/>
                  <w:vAlign w:val="center"/>
                </w:tcPr>
                <w:p w14:paraId="4EE5A174">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329" w:type="pct"/>
                  <w:shd w:val="clear" w:color="auto" w:fill="auto"/>
                  <w:vAlign w:val="center"/>
                </w:tcPr>
                <w:p w14:paraId="5C5DBBE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0.12</w:t>
                  </w:r>
                </w:p>
              </w:tc>
              <w:tc>
                <w:tcPr>
                  <w:tcW w:w="838" w:type="pct"/>
                  <w:vMerge w:val="continue"/>
                  <w:vAlign w:val="center"/>
                </w:tcPr>
                <w:p w14:paraId="3D84CFED">
                  <w:pPr>
                    <w:keepNext w:val="0"/>
                    <w:keepLines w:val="0"/>
                    <w:suppressLineNumbers w:val="0"/>
                    <w:spacing w:before="0" w:beforeAutospacing="0" w:after="0" w:afterAutospacing="0"/>
                    <w:ind w:left="0" w:right="0"/>
                    <w:jc w:val="center"/>
                    <w:rPr>
                      <w:color w:val="auto"/>
                      <w:szCs w:val="21"/>
                      <w:highlight w:val="none"/>
                    </w:rPr>
                  </w:pPr>
                </w:p>
              </w:tc>
            </w:tr>
            <w:tr w14:paraId="7B956398">
              <w:trPr>
                <w:trHeight w:val="340" w:hRule="atLeast"/>
                <w:jc w:val="center"/>
              </w:trPr>
              <w:tc>
                <w:tcPr>
                  <w:tcW w:w="1368" w:type="pct"/>
                  <w:shd w:val="clear" w:color="auto" w:fill="auto"/>
                  <w:vAlign w:val="center"/>
                </w:tcPr>
                <w:p w14:paraId="4C0F5F6F">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浮渣、污泥</w:t>
                  </w:r>
                </w:p>
              </w:tc>
              <w:tc>
                <w:tcPr>
                  <w:tcW w:w="1463" w:type="pct"/>
                  <w:vAlign w:val="center"/>
                </w:tcPr>
                <w:p w14:paraId="6A010397">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w:t>
                  </w:r>
                </w:p>
              </w:tc>
              <w:tc>
                <w:tcPr>
                  <w:tcW w:w="1329" w:type="pct"/>
                  <w:shd w:val="clear" w:color="auto" w:fill="auto"/>
                  <w:vAlign w:val="center"/>
                </w:tcPr>
                <w:p w14:paraId="01FDD737">
                  <w:pPr>
                    <w:keepNext w:val="0"/>
                    <w:keepLines w:val="0"/>
                    <w:suppressLineNumbers w:val="0"/>
                    <w:adjustRightInd w:val="0"/>
                    <w:snapToGrid w:val="0"/>
                    <w:spacing w:before="0" w:beforeAutospacing="0" w:after="0" w:afterAutospacing="0"/>
                    <w:ind w:left="0" w:leftChars="0" w:right="0" w:rightChars="0"/>
                    <w:jc w:val="center"/>
                    <w:rPr>
                      <w:rFonts w:hint="default"/>
                      <w:bCs/>
                      <w:color w:val="auto"/>
                      <w:szCs w:val="21"/>
                      <w:highlight w:val="none"/>
                      <w:lang w:val="en-US" w:eastAsia="zh-CN"/>
                    </w:rPr>
                  </w:pPr>
                  <w:r>
                    <w:rPr>
                      <w:rFonts w:hint="eastAsia"/>
                      <w:bCs/>
                      <w:color w:val="auto"/>
                      <w:szCs w:val="21"/>
                      <w:highlight w:val="none"/>
                      <w:lang w:val="en-US" w:eastAsia="zh-CN"/>
                    </w:rPr>
                    <w:t>0.595</w:t>
                  </w:r>
                </w:p>
              </w:tc>
              <w:tc>
                <w:tcPr>
                  <w:tcW w:w="838" w:type="pct"/>
                  <w:vMerge w:val="continue"/>
                  <w:vAlign w:val="center"/>
                </w:tcPr>
                <w:p w14:paraId="6AF509ED">
                  <w:pPr>
                    <w:keepNext w:val="0"/>
                    <w:keepLines w:val="0"/>
                    <w:suppressLineNumbers w:val="0"/>
                    <w:spacing w:before="0" w:beforeAutospacing="0" w:after="0" w:afterAutospacing="0"/>
                    <w:ind w:left="0" w:right="0"/>
                    <w:jc w:val="center"/>
                    <w:rPr>
                      <w:color w:val="auto"/>
                      <w:szCs w:val="21"/>
                      <w:highlight w:val="none"/>
                    </w:rPr>
                  </w:pPr>
                </w:p>
              </w:tc>
            </w:tr>
            <w:tr w14:paraId="7B39F951">
              <w:trPr>
                <w:trHeight w:val="340" w:hRule="atLeast"/>
                <w:jc w:val="center"/>
              </w:trPr>
              <w:tc>
                <w:tcPr>
                  <w:tcW w:w="1368" w:type="pct"/>
                  <w:shd w:val="clear" w:color="auto" w:fill="auto"/>
                  <w:vAlign w:val="center"/>
                </w:tcPr>
                <w:p w14:paraId="5F7898FA">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1463" w:type="pct"/>
                  <w:vAlign w:val="center"/>
                </w:tcPr>
                <w:p w14:paraId="57D51531">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329" w:type="pct"/>
                  <w:shd w:val="clear" w:color="auto" w:fill="auto"/>
                  <w:vAlign w:val="center"/>
                </w:tcPr>
                <w:p w14:paraId="48D2A1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0.084</w:t>
                  </w:r>
                </w:p>
              </w:tc>
              <w:tc>
                <w:tcPr>
                  <w:tcW w:w="838" w:type="pct"/>
                  <w:vMerge w:val="continue"/>
                  <w:vAlign w:val="center"/>
                </w:tcPr>
                <w:p w14:paraId="77E1377F">
                  <w:pPr>
                    <w:keepNext w:val="0"/>
                    <w:keepLines w:val="0"/>
                    <w:suppressLineNumbers w:val="0"/>
                    <w:spacing w:before="0" w:beforeAutospacing="0" w:after="0" w:afterAutospacing="0"/>
                    <w:ind w:left="0" w:right="0"/>
                    <w:jc w:val="center"/>
                    <w:rPr>
                      <w:color w:val="auto"/>
                      <w:szCs w:val="21"/>
                      <w:highlight w:val="none"/>
                    </w:rPr>
                  </w:pPr>
                </w:p>
              </w:tc>
            </w:tr>
            <w:tr w14:paraId="598E6D1A">
              <w:trPr>
                <w:trHeight w:val="340" w:hRule="atLeast"/>
                <w:jc w:val="center"/>
              </w:trPr>
              <w:tc>
                <w:tcPr>
                  <w:tcW w:w="1368" w:type="pct"/>
                  <w:shd w:val="clear" w:color="auto" w:fill="auto"/>
                  <w:vAlign w:val="center"/>
                </w:tcPr>
                <w:p w14:paraId="3D78614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水性漆废包装桶</w:t>
                  </w:r>
                </w:p>
              </w:tc>
              <w:tc>
                <w:tcPr>
                  <w:tcW w:w="1463" w:type="pct"/>
                  <w:vAlign w:val="center"/>
                </w:tcPr>
                <w:p w14:paraId="256D8337">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329" w:type="pct"/>
                  <w:shd w:val="clear" w:color="auto" w:fill="auto"/>
                  <w:vAlign w:val="center"/>
                </w:tcPr>
                <w:p w14:paraId="7CDD48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0.5</w:t>
                  </w:r>
                </w:p>
              </w:tc>
              <w:tc>
                <w:tcPr>
                  <w:tcW w:w="838" w:type="pct"/>
                  <w:vMerge w:val="continue"/>
                  <w:vAlign w:val="center"/>
                </w:tcPr>
                <w:p w14:paraId="28F82A35">
                  <w:pPr>
                    <w:keepNext w:val="0"/>
                    <w:keepLines w:val="0"/>
                    <w:suppressLineNumbers w:val="0"/>
                    <w:spacing w:before="0" w:beforeAutospacing="0" w:after="0" w:afterAutospacing="0"/>
                    <w:ind w:left="0" w:right="0"/>
                    <w:jc w:val="center"/>
                    <w:rPr>
                      <w:color w:val="auto"/>
                      <w:szCs w:val="21"/>
                      <w:highlight w:val="none"/>
                    </w:rPr>
                  </w:pPr>
                </w:p>
              </w:tc>
            </w:tr>
            <w:tr w14:paraId="5F11934B">
              <w:trPr>
                <w:trHeight w:val="340" w:hRule="atLeast"/>
                <w:jc w:val="center"/>
              </w:trPr>
              <w:tc>
                <w:tcPr>
                  <w:tcW w:w="1368" w:type="pct"/>
                  <w:shd w:val="clear" w:color="auto" w:fill="auto"/>
                  <w:vAlign w:val="center"/>
                </w:tcPr>
                <w:p w14:paraId="757EA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1463" w:type="pct"/>
                  <w:vAlign w:val="center"/>
                </w:tcPr>
                <w:p w14:paraId="7C3F7F40">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329" w:type="pct"/>
                  <w:shd w:val="clear" w:color="auto" w:fill="auto"/>
                  <w:vAlign w:val="center"/>
                </w:tcPr>
                <w:p w14:paraId="499E0E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0.025</w:t>
                  </w:r>
                </w:p>
              </w:tc>
              <w:tc>
                <w:tcPr>
                  <w:tcW w:w="838" w:type="pct"/>
                  <w:vMerge w:val="continue"/>
                  <w:vAlign w:val="center"/>
                </w:tcPr>
                <w:p w14:paraId="1B580E3C">
                  <w:pPr>
                    <w:keepNext w:val="0"/>
                    <w:keepLines w:val="0"/>
                    <w:suppressLineNumbers w:val="0"/>
                    <w:spacing w:before="0" w:beforeAutospacing="0" w:after="0" w:afterAutospacing="0"/>
                    <w:ind w:left="0" w:right="0"/>
                    <w:jc w:val="center"/>
                    <w:rPr>
                      <w:color w:val="auto"/>
                      <w:szCs w:val="21"/>
                      <w:highlight w:val="none"/>
                    </w:rPr>
                  </w:pPr>
                </w:p>
              </w:tc>
            </w:tr>
          </w:tbl>
          <w:p w14:paraId="6ADF6B62">
            <w:pPr>
              <w:pStyle w:val="157"/>
              <w:keepNext w:val="0"/>
              <w:keepLines w:val="0"/>
              <w:suppressLineNumbers w:val="0"/>
              <w:spacing w:before="0" w:beforeLines="50" w:beforeAutospacing="0" w:after="0" w:afterAutospacing="0"/>
              <w:ind w:left="0" w:right="0" w:firstLine="480"/>
              <w:rPr>
                <w:color w:val="auto"/>
                <w:sz w:val="24"/>
                <w:highlight w:val="none"/>
              </w:rPr>
            </w:pPr>
            <w:r>
              <w:rPr>
                <w:color w:val="auto"/>
                <w:sz w:val="24"/>
                <w:highlight w:val="none"/>
              </w:rPr>
              <w:t>B.</w:t>
            </w:r>
            <w:r>
              <w:rPr>
                <w:rFonts w:hAnsi="宋体"/>
                <w:color w:val="auto"/>
                <w:sz w:val="24"/>
                <w:highlight w:val="none"/>
              </w:rPr>
              <w:t>生产工艺特点</w:t>
            </w:r>
          </w:p>
          <w:p w14:paraId="68AA842D">
            <w:pPr>
              <w:pStyle w:val="157"/>
              <w:keepNext w:val="0"/>
              <w:keepLines w:val="0"/>
              <w:suppressLineNumbers w:val="0"/>
              <w:spacing w:before="0" w:beforeAutospacing="0" w:after="0" w:afterAutospacing="0"/>
              <w:ind w:left="0" w:right="0" w:firstLine="480"/>
              <w:rPr>
                <w:color w:val="auto"/>
                <w:sz w:val="24"/>
                <w:highlight w:val="none"/>
              </w:rPr>
            </w:pPr>
            <w:r>
              <w:rPr>
                <w:rFonts w:hAnsi="宋体"/>
                <w:color w:val="auto"/>
                <w:sz w:val="24"/>
                <w:highlight w:val="none"/>
              </w:rPr>
              <w:t>建设项目不涉及风险导则附录</w:t>
            </w:r>
            <w:r>
              <w:rPr>
                <w:color w:val="auto"/>
                <w:sz w:val="24"/>
                <w:highlight w:val="none"/>
              </w:rPr>
              <w:t>C</w:t>
            </w:r>
            <w:r>
              <w:rPr>
                <w:rFonts w:hAnsi="宋体"/>
                <w:color w:val="auto"/>
                <w:sz w:val="24"/>
                <w:highlight w:val="none"/>
              </w:rPr>
              <w:t>表</w:t>
            </w:r>
            <w:r>
              <w:rPr>
                <w:color w:val="auto"/>
                <w:sz w:val="24"/>
                <w:highlight w:val="none"/>
              </w:rPr>
              <w:t>C.1</w:t>
            </w:r>
            <w:r>
              <w:rPr>
                <w:rFonts w:hAnsi="宋体"/>
                <w:color w:val="auto"/>
                <w:sz w:val="24"/>
                <w:highlight w:val="none"/>
              </w:rPr>
              <w:t>中的危险工艺，只涉及危险物质的贮存。</w:t>
            </w:r>
          </w:p>
          <w:p w14:paraId="0E8A7372">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②风险潜势初判</w:t>
            </w:r>
          </w:p>
          <w:p w14:paraId="5F86A35D">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根据项目所涉及的每种危险物质在厂界内的最大存在总量与其在附录</w:t>
            </w:r>
            <w:r>
              <w:rPr>
                <w:color w:val="auto"/>
                <w:sz w:val="24"/>
                <w:highlight w:val="none"/>
              </w:rPr>
              <w:t>B</w:t>
            </w:r>
            <w:r>
              <w:rPr>
                <w:rFonts w:hAnsi="宋体"/>
                <w:color w:val="auto"/>
                <w:sz w:val="24"/>
                <w:highlight w:val="none"/>
              </w:rPr>
              <w:t>中对应临界量的比值计算</w:t>
            </w:r>
            <w:r>
              <w:rPr>
                <w:color w:val="auto"/>
                <w:sz w:val="24"/>
                <w:highlight w:val="none"/>
              </w:rPr>
              <w:t>Q</w:t>
            </w:r>
            <w:r>
              <w:rPr>
                <w:rFonts w:hAnsi="宋体"/>
                <w:color w:val="auto"/>
                <w:sz w:val="24"/>
                <w:highlight w:val="none"/>
              </w:rPr>
              <w:t>，判定情况见表</w:t>
            </w:r>
            <w:r>
              <w:rPr>
                <w:color w:val="auto"/>
                <w:sz w:val="24"/>
                <w:highlight w:val="none"/>
              </w:rPr>
              <w:t>4-2</w:t>
            </w:r>
            <w:r>
              <w:rPr>
                <w:rFonts w:hint="eastAsia"/>
                <w:color w:val="auto"/>
                <w:sz w:val="24"/>
                <w:highlight w:val="none"/>
                <w:lang w:val="en-US" w:eastAsia="zh-CN"/>
              </w:rPr>
              <w:t>4</w:t>
            </w:r>
            <w:r>
              <w:rPr>
                <w:rFonts w:hAnsi="宋体"/>
                <w:color w:val="auto"/>
                <w:sz w:val="24"/>
                <w:highlight w:val="none"/>
              </w:rPr>
              <w:t>。</w:t>
            </w:r>
          </w:p>
          <w:p w14:paraId="0F53C159">
            <w:pPr>
              <w:pStyle w:val="157"/>
              <w:keepNext w:val="0"/>
              <w:keepLines w:val="0"/>
              <w:suppressLineNumbers w:val="0"/>
              <w:adjustRightInd w:val="0"/>
              <w:snapToGrid w:val="0"/>
              <w:spacing w:before="0" w:beforeAutospacing="0" w:after="0" w:afterAutospacing="0" w:line="240" w:lineRule="auto"/>
              <w:ind w:left="0" w:right="0" w:firstLine="482"/>
              <w:jc w:val="center"/>
              <w:rPr>
                <w:b/>
                <w:color w:val="auto"/>
                <w:sz w:val="24"/>
                <w:highlight w:val="none"/>
              </w:rPr>
            </w:pPr>
            <w:r>
              <w:rPr>
                <w:rFonts w:hAnsi="宋体"/>
                <w:b/>
                <w:color w:val="auto"/>
                <w:sz w:val="24"/>
                <w:highlight w:val="none"/>
              </w:rPr>
              <w:t>表</w:t>
            </w:r>
            <w:r>
              <w:rPr>
                <w:b/>
                <w:color w:val="auto"/>
                <w:sz w:val="24"/>
                <w:highlight w:val="none"/>
              </w:rPr>
              <w:t>4-2</w:t>
            </w:r>
            <w:r>
              <w:rPr>
                <w:rFonts w:hint="eastAsia"/>
                <w:b/>
                <w:color w:val="auto"/>
                <w:sz w:val="24"/>
                <w:highlight w:val="none"/>
                <w:lang w:val="en-US" w:eastAsia="zh-CN"/>
              </w:rPr>
              <w:t>4</w:t>
            </w:r>
            <w:r>
              <w:rPr>
                <w:rFonts w:hint="eastAsia"/>
                <w:b/>
                <w:color w:val="auto"/>
                <w:sz w:val="24"/>
                <w:highlight w:val="none"/>
              </w:rPr>
              <w:t xml:space="preserve"> </w:t>
            </w:r>
            <w:r>
              <w:rPr>
                <w:rFonts w:hAnsi="宋体"/>
                <w:b/>
                <w:color w:val="auto"/>
                <w:sz w:val="24"/>
                <w:highlight w:val="none"/>
              </w:rPr>
              <w:t>建设项目</w:t>
            </w:r>
            <w:r>
              <w:rPr>
                <w:b/>
                <w:color w:val="auto"/>
                <w:sz w:val="24"/>
                <w:highlight w:val="none"/>
              </w:rPr>
              <w:t>Q</w:t>
            </w:r>
            <w:r>
              <w:rPr>
                <w:rFonts w:hAnsi="宋体"/>
                <w:b/>
                <w:color w:val="auto"/>
                <w:sz w:val="24"/>
                <w:highlight w:val="none"/>
              </w:rPr>
              <w:t>值确定表</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47"/>
              <w:gridCol w:w="1264"/>
              <w:gridCol w:w="1677"/>
              <w:gridCol w:w="1196"/>
              <w:gridCol w:w="1869"/>
            </w:tblGrid>
            <w:tr w14:paraId="7A4805CC">
              <w:trPr>
                <w:trHeight w:val="340" w:hRule="atLeast"/>
                <w:jc w:val="center"/>
              </w:trPr>
              <w:tc>
                <w:tcPr>
                  <w:tcW w:w="669" w:type="dxa"/>
                  <w:vAlign w:val="center"/>
                </w:tcPr>
                <w:p w14:paraId="1F8712DE">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序号</w:t>
                  </w:r>
                </w:p>
              </w:tc>
              <w:tc>
                <w:tcPr>
                  <w:tcW w:w="1847" w:type="dxa"/>
                  <w:vAlign w:val="center"/>
                </w:tcPr>
                <w:p w14:paraId="768D39BE">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危险物质名称</w:t>
                  </w:r>
                </w:p>
              </w:tc>
              <w:tc>
                <w:tcPr>
                  <w:tcW w:w="1264" w:type="dxa"/>
                  <w:vAlign w:val="center"/>
                </w:tcPr>
                <w:p w14:paraId="00671207">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b/>
                      <w:color w:val="auto"/>
                      <w:szCs w:val="21"/>
                      <w:highlight w:val="none"/>
                    </w:rPr>
                    <w:t>CAS</w:t>
                  </w:r>
                  <w:r>
                    <w:rPr>
                      <w:rFonts w:hAnsi="宋体"/>
                      <w:b/>
                      <w:color w:val="auto"/>
                      <w:szCs w:val="21"/>
                      <w:highlight w:val="none"/>
                    </w:rPr>
                    <w:t>号</w:t>
                  </w:r>
                </w:p>
              </w:tc>
              <w:tc>
                <w:tcPr>
                  <w:tcW w:w="1677" w:type="dxa"/>
                  <w:vAlign w:val="center"/>
                </w:tcPr>
                <w:p w14:paraId="43662410">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最大存在总量</w:t>
                  </w:r>
                  <w:r>
                    <w:rPr>
                      <w:b/>
                      <w:color w:val="auto"/>
                      <w:szCs w:val="21"/>
                      <w:highlight w:val="none"/>
                    </w:rPr>
                    <w:t>t</w:t>
                  </w:r>
                </w:p>
              </w:tc>
              <w:tc>
                <w:tcPr>
                  <w:tcW w:w="1196" w:type="dxa"/>
                  <w:vAlign w:val="center"/>
                </w:tcPr>
                <w:p w14:paraId="1BB1B510">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临界量</w:t>
                  </w:r>
                  <w:r>
                    <w:rPr>
                      <w:b/>
                      <w:color w:val="auto"/>
                      <w:szCs w:val="21"/>
                      <w:highlight w:val="none"/>
                    </w:rPr>
                    <w:t>t</w:t>
                  </w:r>
                </w:p>
              </w:tc>
              <w:tc>
                <w:tcPr>
                  <w:tcW w:w="1869" w:type="dxa"/>
                  <w:vAlign w:val="center"/>
                </w:tcPr>
                <w:p w14:paraId="15173214">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该种危险物质</w:t>
                  </w:r>
                  <w:r>
                    <w:rPr>
                      <w:b/>
                      <w:color w:val="auto"/>
                      <w:szCs w:val="21"/>
                      <w:highlight w:val="none"/>
                    </w:rPr>
                    <w:t>Q</w:t>
                  </w:r>
                  <w:r>
                    <w:rPr>
                      <w:rFonts w:hAnsi="宋体"/>
                      <w:b/>
                      <w:color w:val="auto"/>
                      <w:szCs w:val="21"/>
                      <w:highlight w:val="none"/>
                    </w:rPr>
                    <w:t>值</w:t>
                  </w:r>
                </w:p>
              </w:tc>
            </w:tr>
            <w:tr w14:paraId="59D6A997">
              <w:trPr>
                <w:trHeight w:val="340" w:hRule="atLeast"/>
                <w:jc w:val="center"/>
              </w:trPr>
              <w:tc>
                <w:tcPr>
                  <w:tcW w:w="669" w:type="dxa"/>
                  <w:vAlign w:val="center"/>
                </w:tcPr>
                <w:p w14:paraId="7990C6A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1</w:t>
                  </w:r>
                </w:p>
              </w:tc>
              <w:tc>
                <w:tcPr>
                  <w:tcW w:w="1847" w:type="dxa"/>
                  <w:shd w:val="clear" w:color="auto" w:fill="auto"/>
                  <w:vAlign w:val="center"/>
                </w:tcPr>
                <w:p w14:paraId="055633CE">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bCs/>
                      <w:color w:val="auto"/>
                      <w:szCs w:val="21"/>
                      <w:highlight w:val="none"/>
                    </w:rPr>
                    <w:t>润滑油</w:t>
                  </w:r>
                </w:p>
              </w:tc>
              <w:tc>
                <w:tcPr>
                  <w:tcW w:w="1264" w:type="dxa"/>
                  <w:vAlign w:val="center"/>
                </w:tcPr>
                <w:p w14:paraId="310F00C7">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7" w:type="dxa"/>
                  <w:shd w:val="clear" w:color="auto" w:fill="auto"/>
                  <w:vAlign w:val="center"/>
                </w:tcPr>
                <w:p w14:paraId="18DD7B8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0.2</w:t>
                  </w:r>
                </w:p>
              </w:tc>
              <w:tc>
                <w:tcPr>
                  <w:tcW w:w="1196" w:type="dxa"/>
                  <w:vAlign w:val="center"/>
                </w:tcPr>
                <w:p w14:paraId="059CBDB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2500</w:t>
                  </w:r>
                </w:p>
              </w:tc>
              <w:tc>
                <w:tcPr>
                  <w:tcW w:w="1869" w:type="dxa"/>
                  <w:shd w:val="clear" w:color="auto" w:fill="auto"/>
                  <w:vAlign w:val="center"/>
                </w:tcPr>
                <w:p w14:paraId="35303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r>
            <w:tr w14:paraId="279ADB4A">
              <w:trPr>
                <w:trHeight w:val="340" w:hRule="atLeast"/>
                <w:jc w:val="center"/>
              </w:trPr>
              <w:tc>
                <w:tcPr>
                  <w:tcW w:w="669" w:type="dxa"/>
                  <w:vAlign w:val="center"/>
                </w:tcPr>
                <w:p w14:paraId="53FBC280">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2</w:t>
                  </w:r>
                </w:p>
              </w:tc>
              <w:tc>
                <w:tcPr>
                  <w:tcW w:w="1847" w:type="dxa"/>
                  <w:shd w:val="clear" w:color="auto" w:fill="auto"/>
                  <w:vAlign w:val="center"/>
                </w:tcPr>
                <w:p w14:paraId="1B52BC05">
                  <w:pPr>
                    <w:keepNext w:val="0"/>
                    <w:keepLines w:val="0"/>
                    <w:suppressLineNumbers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切削液</w:t>
                  </w:r>
                </w:p>
              </w:tc>
              <w:tc>
                <w:tcPr>
                  <w:tcW w:w="1264" w:type="dxa"/>
                  <w:vAlign w:val="center"/>
                </w:tcPr>
                <w:p w14:paraId="66598CEC">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677" w:type="dxa"/>
                  <w:shd w:val="clear" w:color="auto" w:fill="auto"/>
                  <w:vAlign w:val="center"/>
                </w:tcPr>
                <w:p w14:paraId="3E6216E7">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0.2</w:t>
                  </w:r>
                </w:p>
              </w:tc>
              <w:tc>
                <w:tcPr>
                  <w:tcW w:w="1196" w:type="dxa"/>
                  <w:vAlign w:val="center"/>
                </w:tcPr>
                <w:p w14:paraId="5AA96C8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2500</w:t>
                  </w:r>
                </w:p>
              </w:tc>
              <w:tc>
                <w:tcPr>
                  <w:tcW w:w="1869" w:type="dxa"/>
                  <w:shd w:val="clear" w:color="auto" w:fill="auto"/>
                  <w:vAlign w:val="center"/>
                </w:tcPr>
                <w:p w14:paraId="2058D1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r>
            <w:tr w14:paraId="436FEF83">
              <w:trPr>
                <w:trHeight w:val="340" w:hRule="atLeast"/>
                <w:jc w:val="center"/>
              </w:trPr>
              <w:tc>
                <w:tcPr>
                  <w:tcW w:w="669" w:type="dxa"/>
                  <w:vAlign w:val="center"/>
                </w:tcPr>
                <w:p w14:paraId="5971B03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3</w:t>
                  </w:r>
                </w:p>
              </w:tc>
              <w:tc>
                <w:tcPr>
                  <w:tcW w:w="1847" w:type="dxa"/>
                  <w:shd w:val="clear" w:color="auto" w:fill="auto"/>
                  <w:vAlign w:val="center"/>
                </w:tcPr>
                <w:p w14:paraId="35B6327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264" w:type="dxa"/>
                  <w:vAlign w:val="center"/>
                </w:tcPr>
                <w:p w14:paraId="7D0DD4E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7" w:type="dxa"/>
                  <w:shd w:val="clear" w:color="auto" w:fill="auto"/>
                  <w:vAlign w:val="center"/>
                </w:tcPr>
                <w:p w14:paraId="237FC0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3.237</w:t>
                  </w:r>
                </w:p>
              </w:tc>
              <w:tc>
                <w:tcPr>
                  <w:tcW w:w="1196" w:type="dxa"/>
                  <w:vAlign w:val="center"/>
                </w:tcPr>
                <w:p w14:paraId="18A9C5C7">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50</w:t>
                  </w:r>
                </w:p>
              </w:tc>
              <w:tc>
                <w:tcPr>
                  <w:tcW w:w="1869" w:type="dxa"/>
                  <w:shd w:val="clear" w:color="auto" w:fill="auto"/>
                  <w:vAlign w:val="center"/>
                </w:tcPr>
                <w:p w14:paraId="1D2BFA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0"/>
                      <w:sz w:val="21"/>
                      <w:szCs w:val="21"/>
                      <w:highlight w:val="none"/>
                      <w:u w:val="none"/>
                      <w:lang w:val="en-US" w:eastAsia="zh-CN" w:bidi="ar"/>
                    </w:rPr>
                    <w:t>0.06474</w:t>
                  </w:r>
                </w:p>
              </w:tc>
            </w:tr>
            <w:tr w14:paraId="4AF887F9">
              <w:trPr>
                <w:trHeight w:val="340" w:hRule="atLeast"/>
                <w:jc w:val="center"/>
              </w:trPr>
              <w:tc>
                <w:tcPr>
                  <w:tcW w:w="669" w:type="dxa"/>
                  <w:shd w:val="clear" w:color="auto" w:fill="auto"/>
                  <w:vAlign w:val="center"/>
                </w:tcPr>
                <w:p w14:paraId="41345CF7">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4</w:t>
                  </w:r>
                </w:p>
              </w:tc>
              <w:tc>
                <w:tcPr>
                  <w:tcW w:w="1847" w:type="dxa"/>
                  <w:shd w:val="clear" w:color="auto" w:fill="auto"/>
                  <w:vAlign w:val="center"/>
                </w:tcPr>
                <w:p w14:paraId="77924EF0">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废过滤棉</w:t>
                  </w:r>
                </w:p>
              </w:tc>
              <w:tc>
                <w:tcPr>
                  <w:tcW w:w="1264" w:type="dxa"/>
                  <w:shd w:val="clear" w:color="auto" w:fill="auto"/>
                  <w:vAlign w:val="center"/>
                </w:tcPr>
                <w:p w14:paraId="5A37CFF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677" w:type="dxa"/>
                  <w:shd w:val="clear" w:color="auto" w:fill="auto"/>
                  <w:vAlign w:val="center"/>
                </w:tcPr>
                <w:p w14:paraId="6362EC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1.273</w:t>
                  </w:r>
                </w:p>
              </w:tc>
              <w:tc>
                <w:tcPr>
                  <w:tcW w:w="1196" w:type="dxa"/>
                  <w:vAlign w:val="center"/>
                </w:tcPr>
                <w:p w14:paraId="42A82429">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50</w:t>
                  </w:r>
                </w:p>
              </w:tc>
              <w:tc>
                <w:tcPr>
                  <w:tcW w:w="1869" w:type="dxa"/>
                  <w:shd w:val="clear" w:color="auto" w:fill="auto"/>
                  <w:vAlign w:val="center"/>
                </w:tcPr>
                <w:p w14:paraId="632183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0.02546</w:t>
                  </w:r>
                </w:p>
              </w:tc>
            </w:tr>
            <w:tr w14:paraId="1031A95D">
              <w:trPr>
                <w:trHeight w:val="340" w:hRule="atLeast"/>
                <w:jc w:val="center"/>
              </w:trPr>
              <w:tc>
                <w:tcPr>
                  <w:tcW w:w="669" w:type="dxa"/>
                  <w:shd w:val="clear" w:color="auto" w:fill="auto"/>
                  <w:vAlign w:val="center"/>
                </w:tcPr>
                <w:p w14:paraId="002B8F0A">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5</w:t>
                  </w:r>
                </w:p>
              </w:tc>
              <w:tc>
                <w:tcPr>
                  <w:tcW w:w="1847" w:type="dxa"/>
                  <w:shd w:val="clear" w:color="auto" w:fill="auto"/>
                  <w:vAlign w:val="center"/>
                </w:tcPr>
                <w:p w14:paraId="5DAF8220">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1264" w:type="dxa"/>
                  <w:vAlign w:val="center"/>
                </w:tcPr>
                <w:p w14:paraId="67F2E82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7" w:type="dxa"/>
                  <w:shd w:val="clear" w:color="auto" w:fill="auto"/>
                  <w:vAlign w:val="center"/>
                </w:tcPr>
                <w:p w14:paraId="435494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0.4</w:t>
                  </w:r>
                </w:p>
              </w:tc>
              <w:tc>
                <w:tcPr>
                  <w:tcW w:w="1196" w:type="dxa"/>
                  <w:vAlign w:val="center"/>
                </w:tcPr>
                <w:p w14:paraId="346AB4FC">
                  <w:pPr>
                    <w:keepNext w:val="0"/>
                    <w:keepLines w:val="0"/>
                    <w:suppressLineNumbers w:val="0"/>
                    <w:spacing w:before="0" w:beforeAutospacing="0" w:after="0" w:afterAutospacing="0"/>
                    <w:ind w:left="0" w:right="0"/>
                    <w:jc w:val="center"/>
                    <w:rPr>
                      <w:rFonts w:eastAsia="宋体"/>
                      <w:color w:val="auto"/>
                      <w:szCs w:val="21"/>
                      <w:highlight w:val="none"/>
                    </w:rPr>
                  </w:pPr>
                  <w:r>
                    <w:rPr>
                      <w:color w:val="auto"/>
                      <w:szCs w:val="21"/>
                      <w:highlight w:val="none"/>
                    </w:rPr>
                    <w:t>50</w:t>
                  </w:r>
                </w:p>
              </w:tc>
              <w:tc>
                <w:tcPr>
                  <w:tcW w:w="1869" w:type="dxa"/>
                  <w:shd w:val="clear" w:color="auto" w:fill="auto"/>
                  <w:vAlign w:val="center"/>
                </w:tcPr>
                <w:p w14:paraId="6298AB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0.008</w:t>
                  </w:r>
                </w:p>
              </w:tc>
            </w:tr>
            <w:tr w14:paraId="71D3B0A4">
              <w:trPr>
                <w:trHeight w:val="340" w:hRule="atLeast"/>
                <w:jc w:val="center"/>
              </w:trPr>
              <w:tc>
                <w:tcPr>
                  <w:tcW w:w="669" w:type="dxa"/>
                  <w:shd w:val="clear" w:color="auto" w:fill="auto"/>
                  <w:vAlign w:val="center"/>
                </w:tcPr>
                <w:p w14:paraId="5E18230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6</w:t>
                  </w:r>
                </w:p>
              </w:tc>
              <w:tc>
                <w:tcPr>
                  <w:tcW w:w="1847" w:type="dxa"/>
                  <w:shd w:val="clear" w:color="auto" w:fill="auto"/>
                  <w:vAlign w:val="center"/>
                </w:tcPr>
                <w:p w14:paraId="5B5552C3">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废切削液</w:t>
                  </w:r>
                </w:p>
              </w:tc>
              <w:tc>
                <w:tcPr>
                  <w:tcW w:w="1264" w:type="dxa"/>
                  <w:vAlign w:val="center"/>
                </w:tcPr>
                <w:p w14:paraId="5987972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7" w:type="dxa"/>
                  <w:shd w:val="clear" w:color="auto" w:fill="auto"/>
                  <w:vAlign w:val="center"/>
                </w:tcPr>
                <w:p w14:paraId="139BECA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0.4</w:t>
                  </w:r>
                </w:p>
              </w:tc>
              <w:tc>
                <w:tcPr>
                  <w:tcW w:w="1196" w:type="dxa"/>
                  <w:vAlign w:val="center"/>
                </w:tcPr>
                <w:p w14:paraId="71B9A3DF">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50</w:t>
                  </w:r>
                </w:p>
              </w:tc>
              <w:tc>
                <w:tcPr>
                  <w:tcW w:w="1869" w:type="dxa"/>
                  <w:shd w:val="clear" w:color="auto" w:fill="auto"/>
                  <w:vAlign w:val="center"/>
                </w:tcPr>
                <w:p w14:paraId="1F3E54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0.008</w:t>
                  </w:r>
                </w:p>
              </w:tc>
            </w:tr>
            <w:tr w14:paraId="10BBB6A7">
              <w:trPr>
                <w:trHeight w:val="340" w:hRule="atLeast"/>
                <w:jc w:val="center"/>
              </w:trPr>
              <w:tc>
                <w:tcPr>
                  <w:tcW w:w="669" w:type="dxa"/>
                  <w:shd w:val="clear" w:color="auto" w:fill="auto"/>
                  <w:vAlign w:val="center"/>
                </w:tcPr>
                <w:p w14:paraId="0BC08D09">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7</w:t>
                  </w:r>
                </w:p>
              </w:tc>
              <w:tc>
                <w:tcPr>
                  <w:tcW w:w="1847" w:type="dxa"/>
                  <w:shd w:val="clear" w:color="auto" w:fill="auto"/>
                  <w:vAlign w:val="center"/>
                </w:tcPr>
                <w:p w14:paraId="251901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1264" w:type="dxa"/>
                  <w:vAlign w:val="center"/>
                </w:tcPr>
                <w:p w14:paraId="1A17DBA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7" w:type="dxa"/>
                  <w:shd w:val="clear" w:color="auto" w:fill="auto"/>
                  <w:vAlign w:val="center"/>
                </w:tcPr>
                <w:p w14:paraId="5509CF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0.12</w:t>
                  </w:r>
                </w:p>
              </w:tc>
              <w:tc>
                <w:tcPr>
                  <w:tcW w:w="1196" w:type="dxa"/>
                  <w:vAlign w:val="center"/>
                </w:tcPr>
                <w:p w14:paraId="3784A1B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50</w:t>
                  </w:r>
                </w:p>
              </w:tc>
              <w:tc>
                <w:tcPr>
                  <w:tcW w:w="1869" w:type="dxa"/>
                  <w:shd w:val="clear" w:color="auto" w:fill="auto"/>
                  <w:vAlign w:val="center"/>
                </w:tcPr>
                <w:p w14:paraId="4D931B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0.0024</w:t>
                  </w:r>
                </w:p>
              </w:tc>
            </w:tr>
            <w:tr w14:paraId="3B56F5C2">
              <w:trPr>
                <w:trHeight w:val="340" w:hRule="atLeast"/>
                <w:jc w:val="center"/>
              </w:trPr>
              <w:tc>
                <w:tcPr>
                  <w:tcW w:w="669" w:type="dxa"/>
                  <w:shd w:val="clear" w:color="auto" w:fill="auto"/>
                  <w:vAlign w:val="center"/>
                </w:tcPr>
                <w:p w14:paraId="44954DD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8</w:t>
                  </w:r>
                </w:p>
              </w:tc>
              <w:tc>
                <w:tcPr>
                  <w:tcW w:w="1847" w:type="dxa"/>
                  <w:shd w:val="clear" w:color="auto" w:fill="auto"/>
                  <w:vAlign w:val="center"/>
                </w:tcPr>
                <w:p w14:paraId="28C29CF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浮渣、污泥</w:t>
                  </w:r>
                </w:p>
              </w:tc>
              <w:tc>
                <w:tcPr>
                  <w:tcW w:w="1264" w:type="dxa"/>
                  <w:shd w:val="clear" w:color="auto" w:fill="auto"/>
                  <w:vAlign w:val="center"/>
                </w:tcPr>
                <w:p w14:paraId="244013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w:t>
                  </w:r>
                </w:p>
              </w:tc>
              <w:tc>
                <w:tcPr>
                  <w:tcW w:w="1677" w:type="dxa"/>
                  <w:shd w:val="clear" w:color="auto" w:fill="auto"/>
                  <w:vAlign w:val="center"/>
                </w:tcPr>
                <w:p w14:paraId="792E6E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0.595</w:t>
                  </w:r>
                </w:p>
              </w:tc>
              <w:tc>
                <w:tcPr>
                  <w:tcW w:w="1196" w:type="dxa"/>
                  <w:vAlign w:val="center"/>
                </w:tcPr>
                <w:p w14:paraId="32D68066">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50</w:t>
                  </w:r>
                </w:p>
              </w:tc>
              <w:tc>
                <w:tcPr>
                  <w:tcW w:w="1869" w:type="dxa"/>
                  <w:shd w:val="clear" w:color="auto" w:fill="auto"/>
                  <w:vAlign w:val="center"/>
                </w:tcPr>
                <w:p w14:paraId="7ADF2D18">
                  <w:pPr>
                    <w:keepNext w:val="0"/>
                    <w:keepLines w:val="0"/>
                    <w:widowControl/>
                    <w:suppressLineNumbers w:val="0"/>
                    <w:spacing w:before="0" w:beforeAutospacing="0" w:after="0" w:afterAutospacing="0"/>
                    <w:ind w:left="0" w:right="0"/>
                    <w:jc w:val="center"/>
                    <w:textAlignment w:val="center"/>
                    <w:rPr>
                      <w:rFonts w:hint="default"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0.0119</w:t>
                  </w:r>
                </w:p>
              </w:tc>
            </w:tr>
            <w:tr w14:paraId="7A79B3D9">
              <w:trPr>
                <w:trHeight w:val="340" w:hRule="atLeast"/>
                <w:jc w:val="center"/>
              </w:trPr>
              <w:tc>
                <w:tcPr>
                  <w:tcW w:w="669" w:type="dxa"/>
                  <w:shd w:val="clear" w:color="auto" w:fill="auto"/>
                  <w:vAlign w:val="center"/>
                </w:tcPr>
                <w:p w14:paraId="54473D8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9</w:t>
                  </w:r>
                </w:p>
              </w:tc>
              <w:tc>
                <w:tcPr>
                  <w:tcW w:w="1847" w:type="dxa"/>
                  <w:shd w:val="clear" w:color="auto" w:fill="auto"/>
                  <w:vAlign w:val="center"/>
                </w:tcPr>
                <w:p w14:paraId="5FEFEEED">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1264" w:type="dxa"/>
                  <w:vAlign w:val="center"/>
                </w:tcPr>
                <w:p w14:paraId="1D43A638">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677" w:type="dxa"/>
                  <w:shd w:val="clear" w:color="auto" w:fill="auto"/>
                  <w:vAlign w:val="center"/>
                </w:tcPr>
                <w:p w14:paraId="384076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0.084</w:t>
                  </w:r>
                </w:p>
              </w:tc>
              <w:tc>
                <w:tcPr>
                  <w:tcW w:w="1196" w:type="dxa"/>
                  <w:vAlign w:val="center"/>
                </w:tcPr>
                <w:p w14:paraId="24E25D85">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50</w:t>
                  </w:r>
                </w:p>
              </w:tc>
              <w:tc>
                <w:tcPr>
                  <w:tcW w:w="1869" w:type="dxa"/>
                  <w:shd w:val="clear" w:color="auto" w:fill="auto"/>
                  <w:vAlign w:val="center"/>
                </w:tcPr>
                <w:p w14:paraId="7ACABEFB">
                  <w:pPr>
                    <w:keepNext w:val="0"/>
                    <w:keepLines w:val="0"/>
                    <w:widowControl/>
                    <w:suppressLineNumbers w:val="0"/>
                    <w:spacing w:before="0" w:beforeAutospacing="0" w:after="0" w:afterAutospacing="0"/>
                    <w:ind w:left="0" w:right="0"/>
                    <w:jc w:val="center"/>
                    <w:textAlignment w:val="center"/>
                    <w:rPr>
                      <w:rFonts w:hint="default"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0.00168</w:t>
                  </w:r>
                </w:p>
              </w:tc>
            </w:tr>
            <w:tr w14:paraId="027DF6F0">
              <w:trPr>
                <w:trHeight w:val="340" w:hRule="atLeast"/>
                <w:jc w:val="center"/>
              </w:trPr>
              <w:tc>
                <w:tcPr>
                  <w:tcW w:w="669" w:type="dxa"/>
                  <w:shd w:val="clear" w:color="auto" w:fill="auto"/>
                  <w:vAlign w:val="center"/>
                </w:tcPr>
                <w:p w14:paraId="77C4ACD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10</w:t>
                  </w:r>
                </w:p>
              </w:tc>
              <w:tc>
                <w:tcPr>
                  <w:tcW w:w="1847" w:type="dxa"/>
                  <w:shd w:val="clear" w:color="auto" w:fill="auto"/>
                  <w:vAlign w:val="center"/>
                </w:tcPr>
                <w:p w14:paraId="3C723EC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水性漆废包装桶</w:t>
                  </w:r>
                </w:p>
              </w:tc>
              <w:tc>
                <w:tcPr>
                  <w:tcW w:w="1264" w:type="dxa"/>
                  <w:vAlign w:val="center"/>
                </w:tcPr>
                <w:p w14:paraId="333343FB">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677" w:type="dxa"/>
                  <w:shd w:val="clear" w:color="auto" w:fill="auto"/>
                  <w:vAlign w:val="center"/>
                </w:tcPr>
                <w:p w14:paraId="2B91328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0.5</w:t>
                  </w:r>
                </w:p>
              </w:tc>
              <w:tc>
                <w:tcPr>
                  <w:tcW w:w="1196" w:type="dxa"/>
                  <w:vAlign w:val="center"/>
                </w:tcPr>
                <w:p w14:paraId="0EBC8446">
                  <w:pPr>
                    <w:keepNext w:val="0"/>
                    <w:keepLines w:val="0"/>
                    <w:suppressLineNumbers w:val="0"/>
                    <w:adjustRightInd w:val="0"/>
                    <w:snapToGrid w:val="0"/>
                    <w:spacing w:before="0" w:beforeAutospacing="0" w:after="0" w:afterAutospacing="0"/>
                    <w:ind w:left="0" w:right="0"/>
                    <w:jc w:val="center"/>
                    <w:rPr>
                      <w:rFonts w:hint="eastAsia"/>
                      <w:bCs/>
                      <w:color w:val="auto"/>
                      <w:szCs w:val="21"/>
                      <w:highlight w:val="none"/>
                    </w:rPr>
                  </w:pPr>
                  <w:r>
                    <w:rPr>
                      <w:bCs/>
                      <w:color w:val="auto"/>
                      <w:szCs w:val="21"/>
                      <w:highlight w:val="none"/>
                    </w:rPr>
                    <w:t>50</w:t>
                  </w:r>
                </w:p>
              </w:tc>
              <w:tc>
                <w:tcPr>
                  <w:tcW w:w="1869" w:type="dxa"/>
                  <w:shd w:val="clear" w:color="auto" w:fill="auto"/>
                  <w:vAlign w:val="center"/>
                </w:tcPr>
                <w:p w14:paraId="166D5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0.01</w:t>
                  </w:r>
                </w:p>
              </w:tc>
            </w:tr>
            <w:tr w14:paraId="3C948712">
              <w:trPr>
                <w:trHeight w:val="340" w:hRule="atLeast"/>
                <w:jc w:val="center"/>
              </w:trPr>
              <w:tc>
                <w:tcPr>
                  <w:tcW w:w="669" w:type="dxa"/>
                  <w:shd w:val="clear" w:color="auto" w:fill="auto"/>
                  <w:vAlign w:val="center"/>
                </w:tcPr>
                <w:p w14:paraId="108D2C5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11</w:t>
                  </w:r>
                </w:p>
              </w:tc>
              <w:tc>
                <w:tcPr>
                  <w:tcW w:w="1847" w:type="dxa"/>
                  <w:shd w:val="clear" w:color="auto" w:fill="auto"/>
                  <w:vAlign w:val="center"/>
                </w:tcPr>
                <w:p w14:paraId="1EB22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1264" w:type="dxa"/>
                  <w:vAlign w:val="center"/>
                </w:tcPr>
                <w:p w14:paraId="303DE6B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677" w:type="dxa"/>
                  <w:shd w:val="clear" w:color="auto" w:fill="auto"/>
                  <w:vAlign w:val="center"/>
                </w:tcPr>
                <w:p w14:paraId="02F6C4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0.025</w:t>
                  </w:r>
                </w:p>
              </w:tc>
              <w:tc>
                <w:tcPr>
                  <w:tcW w:w="1196" w:type="dxa"/>
                  <w:vAlign w:val="center"/>
                </w:tcPr>
                <w:p w14:paraId="31BC1AF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50</w:t>
                  </w:r>
                </w:p>
              </w:tc>
              <w:tc>
                <w:tcPr>
                  <w:tcW w:w="1869" w:type="dxa"/>
                  <w:shd w:val="clear" w:color="auto" w:fill="auto"/>
                  <w:vAlign w:val="center"/>
                </w:tcPr>
                <w:p w14:paraId="1F05C5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0.0005</w:t>
                  </w:r>
                </w:p>
              </w:tc>
            </w:tr>
            <w:tr w14:paraId="2BCA0813">
              <w:trPr>
                <w:trHeight w:val="340" w:hRule="atLeast"/>
                <w:jc w:val="center"/>
              </w:trPr>
              <w:tc>
                <w:tcPr>
                  <w:tcW w:w="6653" w:type="dxa"/>
                  <w:gridSpan w:val="5"/>
                  <w:vAlign w:val="center"/>
                </w:tcPr>
                <w:p w14:paraId="27ABD15A">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合计</w:t>
                  </w:r>
                </w:p>
              </w:tc>
              <w:tc>
                <w:tcPr>
                  <w:tcW w:w="1869" w:type="dxa"/>
                  <w:vAlign w:val="center"/>
                </w:tcPr>
                <w:p w14:paraId="18844210">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Cs w:val="21"/>
                      <w:highlight w:val="none"/>
                      <w:lang w:val="en-US" w:eastAsia="zh-CN"/>
                    </w:rPr>
                    <w:t>0.13284</w:t>
                  </w:r>
                </w:p>
              </w:tc>
            </w:tr>
          </w:tbl>
          <w:p w14:paraId="0B63A56F">
            <w:pPr>
              <w:pStyle w:val="157"/>
              <w:keepNext w:val="0"/>
              <w:keepLines w:val="0"/>
              <w:suppressLineNumbers w:val="0"/>
              <w:adjustRightInd w:val="0"/>
              <w:snapToGrid w:val="0"/>
              <w:spacing w:before="0" w:beforeAutospacing="0" w:after="0" w:afterAutospacing="0" w:line="240" w:lineRule="auto"/>
              <w:ind w:left="0" w:right="0" w:firstLine="420"/>
              <w:rPr>
                <w:color w:val="auto"/>
                <w:sz w:val="21"/>
                <w:szCs w:val="21"/>
                <w:highlight w:val="none"/>
              </w:rPr>
            </w:pPr>
            <w:r>
              <w:rPr>
                <w:rFonts w:hAnsi="宋体"/>
                <w:color w:val="auto"/>
                <w:sz w:val="21"/>
                <w:szCs w:val="21"/>
                <w:highlight w:val="none"/>
              </w:rPr>
              <w:t>注：危险废物从严参照《建设项目环境风险评价技术导则》</w:t>
            </w:r>
            <w:r>
              <w:rPr>
                <w:rFonts w:hint="eastAsia" w:hAnsi="宋体"/>
                <w:color w:val="auto"/>
                <w:sz w:val="21"/>
                <w:szCs w:val="21"/>
                <w:highlight w:val="none"/>
                <w:lang w:eastAsia="zh-CN"/>
              </w:rPr>
              <w:t>（</w:t>
            </w:r>
            <w:r>
              <w:rPr>
                <w:color w:val="auto"/>
                <w:sz w:val="21"/>
                <w:szCs w:val="21"/>
                <w:highlight w:val="none"/>
              </w:rPr>
              <w:t>HJ 169</w:t>
            </w:r>
            <w:r>
              <w:rPr>
                <w:rFonts w:hint="eastAsia"/>
                <w:color w:val="auto"/>
                <w:sz w:val="21"/>
                <w:szCs w:val="21"/>
                <w:highlight w:val="none"/>
              </w:rPr>
              <w:t>-</w:t>
            </w:r>
            <w:r>
              <w:rPr>
                <w:color w:val="auto"/>
                <w:sz w:val="21"/>
                <w:szCs w:val="21"/>
                <w:highlight w:val="none"/>
              </w:rPr>
              <w:t>2018</w:t>
            </w:r>
            <w:r>
              <w:rPr>
                <w:rFonts w:hint="eastAsia"/>
                <w:color w:val="auto"/>
                <w:sz w:val="21"/>
                <w:szCs w:val="21"/>
                <w:highlight w:val="none"/>
                <w:lang w:eastAsia="zh-CN"/>
              </w:rPr>
              <w:t>）</w:t>
            </w:r>
            <w:r>
              <w:rPr>
                <w:rFonts w:hAnsi="宋体"/>
                <w:color w:val="auto"/>
                <w:sz w:val="21"/>
                <w:szCs w:val="21"/>
                <w:highlight w:val="none"/>
              </w:rPr>
              <w:t>健康危险急性毒性物质（类别</w:t>
            </w:r>
            <w:r>
              <w:rPr>
                <w:color w:val="auto"/>
                <w:sz w:val="21"/>
                <w:szCs w:val="21"/>
                <w:highlight w:val="none"/>
              </w:rPr>
              <w:t>2</w:t>
            </w:r>
            <w:r>
              <w:rPr>
                <w:rFonts w:hAnsi="宋体"/>
                <w:color w:val="auto"/>
                <w:sz w:val="21"/>
                <w:szCs w:val="21"/>
                <w:highlight w:val="none"/>
              </w:rPr>
              <w:t>，类别</w:t>
            </w:r>
            <w:r>
              <w:rPr>
                <w:color w:val="auto"/>
                <w:sz w:val="21"/>
                <w:szCs w:val="21"/>
                <w:highlight w:val="none"/>
              </w:rPr>
              <w:t>3</w:t>
            </w:r>
            <w:r>
              <w:rPr>
                <w:rFonts w:hAnsi="宋体"/>
                <w:color w:val="auto"/>
                <w:sz w:val="21"/>
                <w:szCs w:val="21"/>
                <w:highlight w:val="none"/>
              </w:rPr>
              <w:t>）计，临界量取</w:t>
            </w:r>
            <w:r>
              <w:rPr>
                <w:color w:val="auto"/>
                <w:sz w:val="21"/>
                <w:szCs w:val="21"/>
                <w:highlight w:val="none"/>
              </w:rPr>
              <w:t>50t</w:t>
            </w:r>
            <w:r>
              <w:rPr>
                <w:rFonts w:hAnsi="宋体"/>
                <w:color w:val="auto"/>
                <w:sz w:val="21"/>
                <w:szCs w:val="21"/>
                <w:highlight w:val="none"/>
              </w:rPr>
              <w:t>。</w:t>
            </w:r>
          </w:p>
          <w:p w14:paraId="5DD216DD">
            <w:pPr>
              <w:pStyle w:val="157"/>
              <w:keepNext w:val="0"/>
              <w:keepLines w:val="0"/>
              <w:suppressLineNumbers w:val="0"/>
              <w:adjustRightInd w:val="0"/>
              <w:snapToGrid w:val="0"/>
              <w:spacing w:before="0" w:beforeAutospacing="0" w:after="0" w:afterAutospacing="0"/>
              <w:ind w:left="0" w:right="0" w:firstLine="480"/>
              <w:rPr>
                <w:color w:val="auto"/>
                <w:sz w:val="24"/>
                <w:szCs w:val="24"/>
                <w:highlight w:val="none"/>
              </w:rPr>
            </w:pPr>
            <w:r>
              <w:rPr>
                <w:rFonts w:hAnsi="宋体"/>
                <w:color w:val="auto"/>
                <w:sz w:val="24"/>
                <w:szCs w:val="24"/>
                <w:highlight w:val="none"/>
              </w:rPr>
              <w:t>经核算本项目物质总量与其临界量比值</w:t>
            </w:r>
            <w:r>
              <w:rPr>
                <w:rFonts w:hint="eastAsia" w:hAnsi="宋体"/>
                <w:color w:val="auto"/>
                <w:sz w:val="24"/>
                <w:szCs w:val="24"/>
                <w:highlight w:val="none"/>
                <w:lang w:val="en-US" w:eastAsia="zh-CN"/>
              </w:rPr>
              <w:t>为</w:t>
            </w:r>
            <w:r>
              <w:rPr>
                <w:rFonts w:hint="eastAsia"/>
                <w:color w:val="auto"/>
                <w:sz w:val="24"/>
                <w:szCs w:val="24"/>
                <w:highlight w:val="none"/>
              </w:rPr>
              <w:t>0.1</w:t>
            </w:r>
            <w:r>
              <w:rPr>
                <w:rFonts w:hint="eastAsia"/>
                <w:color w:val="auto"/>
                <w:sz w:val="24"/>
                <w:szCs w:val="24"/>
                <w:highlight w:val="none"/>
                <w:lang w:val="en-US" w:eastAsia="zh-CN"/>
              </w:rPr>
              <w:t>2124</w:t>
            </w:r>
            <w:r>
              <w:rPr>
                <w:rFonts w:hAnsi="宋体"/>
                <w:color w:val="auto"/>
                <w:sz w:val="24"/>
                <w:szCs w:val="24"/>
                <w:highlight w:val="none"/>
              </w:rPr>
              <w:t>（</w:t>
            </w:r>
            <w:r>
              <w:rPr>
                <w:color w:val="auto"/>
                <w:sz w:val="24"/>
                <w:szCs w:val="24"/>
                <w:highlight w:val="none"/>
              </w:rPr>
              <w:t>Q</w:t>
            </w: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）。因此本项目环境风险潜势为</w:t>
            </w:r>
            <w:r>
              <w:rPr>
                <w:rFonts w:hint="eastAsia" w:ascii="宋体" w:hAnsi="宋体" w:eastAsia="宋体" w:cs="宋体"/>
                <w:color w:val="auto"/>
                <w:sz w:val="24"/>
                <w:szCs w:val="24"/>
                <w:highlight w:val="none"/>
              </w:rPr>
              <w:t>Ⅰ</w:t>
            </w:r>
            <w:r>
              <w:rPr>
                <w:rFonts w:hAnsi="宋体"/>
                <w:color w:val="auto"/>
                <w:sz w:val="24"/>
                <w:szCs w:val="24"/>
                <w:highlight w:val="none"/>
              </w:rPr>
              <w:t>。</w:t>
            </w:r>
          </w:p>
          <w:p w14:paraId="66732D04">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③评价等级</w:t>
            </w:r>
          </w:p>
          <w:p w14:paraId="4CDE1894">
            <w:pPr>
              <w:pStyle w:val="157"/>
              <w:keepNext w:val="0"/>
              <w:keepLines w:val="0"/>
              <w:suppressLineNumbers w:val="0"/>
              <w:adjustRightInd w:val="0"/>
              <w:snapToGrid w:val="0"/>
              <w:spacing w:before="0" w:beforeAutospacing="0" w:after="0" w:afterAutospacing="0"/>
              <w:ind w:left="0" w:right="0" w:firstLine="480"/>
              <w:rPr>
                <w:rFonts w:hAnsi="宋体"/>
                <w:b/>
                <w:color w:val="auto"/>
                <w:sz w:val="24"/>
                <w:highlight w:val="none"/>
              </w:rPr>
            </w:pPr>
            <w:r>
              <w:rPr>
                <w:rFonts w:hAnsi="宋体"/>
                <w:color w:val="auto"/>
                <w:sz w:val="24"/>
                <w:highlight w:val="none"/>
              </w:rPr>
              <w:t>项目环境风险等级划分情况见表</w:t>
            </w:r>
            <w:r>
              <w:rPr>
                <w:color w:val="auto"/>
                <w:sz w:val="24"/>
                <w:highlight w:val="none"/>
              </w:rPr>
              <w:t>4-2</w:t>
            </w:r>
            <w:r>
              <w:rPr>
                <w:rFonts w:hint="eastAsia"/>
                <w:color w:val="auto"/>
                <w:sz w:val="24"/>
                <w:highlight w:val="none"/>
                <w:lang w:val="en-US" w:eastAsia="zh-CN"/>
              </w:rPr>
              <w:t>5</w:t>
            </w:r>
            <w:r>
              <w:rPr>
                <w:rFonts w:hAnsi="宋体"/>
                <w:color w:val="auto"/>
                <w:sz w:val="24"/>
                <w:highlight w:val="none"/>
              </w:rPr>
              <w:t>。</w:t>
            </w:r>
          </w:p>
          <w:p w14:paraId="42113E9A">
            <w:pPr>
              <w:pStyle w:val="157"/>
              <w:keepNext w:val="0"/>
              <w:keepLines w:val="0"/>
              <w:suppressLineNumbers w:val="0"/>
              <w:adjustRightInd w:val="0"/>
              <w:snapToGrid w:val="0"/>
              <w:spacing w:before="0" w:beforeAutospacing="0" w:after="0" w:afterAutospacing="0" w:line="240" w:lineRule="auto"/>
              <w:ind w:left="0" w:right="0" w:firstLine="482"/>
              <w:jc w:val="center"/>
              <w:rPr>
                <w:b/>
                <w:color w:val="auto"/>
                <w:sz w:val="24"/>
                <w:highlight w:val="none"/>
              </w:rPr>
            </w:pPr>
            <w:r>
              <w:rPr>
                <w:rFonts w:hAnsi="宋体"/>
                <w:b/>
                <w:color w:val="auto"/>
                <w:sz w:val="24"/>
                <w:highlight w:val="none"/>
              </w:rPr>
              <w:t>表</w:t>
            </w:r>
            <w:r>
              <w:rPr>
                <w:b/>
                <w:color w:val="auto"/>
                <w:sz w:val="24"/>
                <w:highlight w:val="none"/>
              </w:rPr>
              <w:t>4-2</w:t>
            </w:r>
            <w:r>
              <w:rPr>
                <w:rFonts w:hint="eastAsia"/>
                <w:b/>
                <w:color w:val="auto"/>
                <w:sz w:val="24"/>
                <w:highlight w:val="none"/>
                <w:lang w:val="en-US" w:eastAsia="zh-CN"/>
              </w:rPr>
              <w:t>5</w:t>
            </w:r>
            <w:r>
              <w:rPr>
                <w:rFonts w:hint="eastAsia"/>
                <w:b/>
                <w:color w:val="auto"/>
                <w:sz w:val="24"/>
                <w:highlight w:val="none"/>
              </w:rPr>
              <w:t xml:space="preserve"> </w:t>
            </w:r>
            <w:r>
              <w:rPr>
                <w:rFonts w:hAnsi="宋体"/>
                <w:b/>
                <w:color w:val="auto"/>
                <w:sz w:val="24"/>
                <w:highlight w:val="none"/>
              </w:rPr>
              <w:t>项目环境风险综合评级工作等级划分</w:t>
            </w:r>
          </w:p>
          <w:tbl>
            <w:tblPr>
              <w:tblStyle w:val="88"/>
              <w:tblW w:w="878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54"/>
              <w:gridCol w:w="1399"/>
              <w:gridCol w:w="1659"/>
              <w:gridCol w:w="1677"/>
              <w:gridCol w:w="1691"/>
            </w:tblGrid>
            <w:tr w14:paraId="33D83A7A">
              <w:trPr>
                <w:trHeight w:val="340" w:hRule="atLeast"/>
                <w:jc w:val="center"/>
              </w:trPr>
              <w:tc>
                <w:tcPr>
                  <w:tcW w:w="2354" w:type="dxa"/>
                  <w:shd w:val="clear" w:color="auto" w:fill="auto"/>
                  <w:vAlign w:val="center"/>
                </w:tcPr>
                <w:p w14:paraId="51599CAA">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环境风险潜势</w:t>
                  </w:r>
                </w:p>
              </w:tc>
              <w:tc>
                <w:tcPr>
                  <w:tcW w:w="1399" w:type="dxa"/>
                  <w:shd w:val="clear" w:color="auto" w:fill="auto"/>
                  <w:vAlign w:val="center"/>
                </w:tcPr>
                <w:p w14:paraId="47FE74A7">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Ⅳ</w:t>
                  </w:r>
                  <w:r>
                    <w:rPr>
                      <w:rFonts w:hAnsi="宋体"/>
                      <w:b/>
                      <w:bCs/>
                      <w:color w:val="auto"/>
                      <w:szCs w:val="21"/>
                      <w:highlight w:val="none"/>
                    </w:rPr>
                    <w:t>、</w:t>
                  </w:r>
                  <w:r>
                    <w:rPr>
                      <w:rFonts w:ascii="宋体" w:hAnsi="宋体"/>
                      <w:b/>
                      <w:bCs/>
                      <w:color w:val="auto"/>
                      <w:szCs w:val="21"/>
                      <w:highlight w:val="none"/>
                    </w:rPr>
                    <w:t>Ⅳ</w:t>
                  </w:r>
                  <w:r>
                    <w:rPr>
                      <w:b/>
                      <w:bCs/>
                      <w:color w:val="auto"/>
                      <w:szCs w:val="21"/>
                      <w:highlight w:val="none"/>
                    </w:rPr>
                    <w:t>+</w:t>
                  </w:r>
                </w:p>
              </w:tc>
              <w:tc>
                <w:tcPr>
                  <w:tcW w:w="1659" w:type="dxa"/>
                  <w:shd w:val="clear" w:color="auto" w:fill="auto"/>
                  <w:vAlign w:val="center"/>
                </w:tcPr>
                <w:p w14:paraId="3C47510D">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Ⅲ</w:t>
                  </w:r>
                </w:p>
              </w:tc>
              <w:tc>
                <w:tcPr>
                  <w:tcW w:w="1677" w:type="dxa"/>
                  <w:shd w:val="clear" w:color="auto" w:fill="auto"/>
                  <w:vAlign w:val="center"/>
                </w:tcPr>
                <w:p w14:paraId="3FE50B7C">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Ⅱ</w:t>
                  </w:r>
                </w:p>
              </w:tc>
              <w:tc>
                <w:tcPr>
                  <w:tcW w:w="1691" w:type="dxa"/>
                  <w:tcBorders>
                    <w:top w:val="single" w:color="000000" w:sz="12" w:space="0"/>
                    <w:bottom w:val="single" w:color="000000" w:sz="4" w:space="0"/>
                  </w:tcBorders>
                  <w:shd w:val="pct25" w:color="auto" w:fill="auto"/>
                  <w:vAlign w:val="center"/>
                </w:tcPr>
                <w:p w14:paraId="128F7BD3">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Ⅰ</w:t>
                  </w:r>
                </w:p>
              </w:tc>
            </w:tr>
            <w:tr w14:paraId="04743269">
              <w:trPr>
                <w:trHeight w:val="340" w:hRule="atLeast"/>
                <w:jc w:val="center"/>
              </w:trPr>
              <w:tc>
                <w:tcPr>
                  <w:tcW w:w="2354" w:type="dxa"/>
                  <w:shd w:val="clear" w:color="auto" w:fill="auto"/>
                  <w:vAlign w:val="center"/>
                </w:tcPr>
                <w:p w14:paraId="0A1E050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评价工作等级</w:t>
                  </w:r>
                </w:p>
              </w:tc>
              <w:tc>
                <w:tcPr>
                  <w:tcW w:w="1399" w:type="dxa"/>
                  <w:shd w:val="clear" w:color="auto" w:fill="auto"/>
                  <w:vAlign w:val="center"/>
                </w:tcPr>
                <w:p w14:paraId="352D919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w:t>
                  </w:r>
                </w:p>
              </w:tc>
              <w:tc>
                <w:tcPr>
                  <w:tcW w:w="1659" w:type="dxa"/>
                  <w:shd w:val="clear" w:color="auto" w:fill="auto"/>
                  <w:vAlign w:val="center"/>
                </w:tcPr>
                <w:p w14:paraId="252E96D8">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二</w:t>
                  </w:r>
                </w:p>
              </w:tc>
              <w:tc>
                <w:tcPr>
                  <w:tcW w:w="1677" w:type="dxa"/>
                  <w:shd w:val="clear" w:color="auto" w:fill="auto"/>
                  <w:vAlign w:val="center"/>
                </w:tcPr>
                <w:p w14:paraId="79C54AA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三</w:t>
                  </w:r>
                </w:p>
              </w:tc>
              <w:tc>
                <w:tcPr>
                  <w:tcW w:w="1691" w:type="dxa"/>
                  <w:tcBorders>
                    <w:top w:val="single" w:color="000000" w:sz="4" w:space="0"/>
                    <w:bottom w:val="single" w:color="000000" w:sz="12" w:space="0"/>
                  </w:tcBorders>
                  <w:shd w:val="pct25" w:color="auto" w:fill="auto"/>
                  <w:vAlign w:val="center"/>
                </w:tcPr>
                <w:p w14:paraId="3E32214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简单分析</w:t>
                  </w:r>
                </w:p>
              </w:tc>
            </w:tr>
          </w:tbl>
          <w:p w14:paraId="2173A206">
            <w:pPr>
              <w:pStyle w:val="157"/>
              <w:keepNext w:val="0"/>
              <w:keepLines w:val="0"/>
              <w:suppressLineNumbers w:val="0"/>
              <w:adjustRightInd w:val="0"/>
              <w:snapToGrid w:val="0"/>
              <w:spacing w:before="0" w:beforeLines="50" w:beforeAutospacing="0" w:after="0" w:afterAutospacing="0"/>
              <w:ind w:left="0" w:right="0" w:firstLine="480"/>
              <w:rPr>
                <w:color w:val="auto"/>
                <w:sz w:val="24"/>
                <w:highlight w:val="none"/>
              </w:rPr>
            </w:pPr>
            <w:r>
              <w:rPr>
                <w:rFonts w:hAnsi="宋体"/>
                <w:color w:val="auto"/>
                <w:sz w:val="24"/>
                <w:highlight w:val="none"/>
              </w:rPr>
              <w:t>项目风险潜势为</w:t>
            </w:r>
            <w:r>
              <w:rPr>
                <w:rFonts w:ascii="宋体" w:hAnsi="宋体"/>
                <w:color w:val="auto"/>
                <w:sz w:val="24"/>
                <w:highlight w:val="none"/>
              </w:rPr>
              <w:t>Ⅰ</w:t>
            </w:r>
            <w:r>
              <w:rPr>
                <w:rFonts w:hAnsi="宋体"/>
                <w:color w:val="auto"/>
                <w:sz w:val="24"/>
                <w:highlight w:val="none"/>
              </w:rPr>
              <w:t>，可开展简单分析，参照附录</w:t>
            </w:r>
            <w:r>
              <w:rPr>
                <w:color w:val="auto"/>
                <w:sz w:val="24"/>
                <w:highlight w:val="none"/>
              </w:rPr>
              <w:t>A</w:t>
            </w:r>
            <w:r>
              <w:rPr>
                <w:rFonts w:hAnsi="宋体"/>
                <w:color w:val="auto"/>
                <w:sz w:val="24"/>
                <w:highlight w:val="none"/>
              </w:rPr>
              <w:t>，在描述危险物质、环境影响途径、环境危害后果、风险防范措施等方面给出定性的说明。</w:t>
            </w:r>
          </w:p>
          <w:p w14:paraId="6DB05AAD">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w:t>
            </w:r>
            <w:r>
              <w:rPr>
                <w:color w:val="auto"/>
                <w:sz w:val="24"/>
                <w:highlight w:val="none"/>
              </w:rPr>
              <w:t>2</w:t>
            </w:r>
            <w:r>
              <w:rPr>
                <w:rFonts w:hAnsi="宋体"/>
                <w:color w:val="auto"/>
                <w:sz w:val="24"/>
                <w:highlight w:val="none"/>
              </w:rPr>
              <w:t>）建设项目环境风险简单分析内容汇总见表</w:t>
            </w:r>
            <w:r>
              <w:rPr>
                <w:color w:val="auto"/>
                <w:sz w:val="24"/>
                <w:highlight w:val="none"/>
              </w:rPr>
              <w:t>4-2</w:t>
            </w:r>
            <w:r>
              <w:rPr>
                <w:rFonts w:hint="eastAsia"/>
                <w:color w:val="auto"/>
                <w:sz w:val="24"/>
                <w:highlight w:val="none"/>
                <w:lang w:val="en-US" w:eastAsia="zh-CN"/>
              </w:rPr>
              <w:t>6</w:t>
            </w:r>
            <w:r>
              <w:rPr>
                <w:rFonts w:hAnsi="宋体"/>
                <w:color w:val="auto"/>
                <w:sz w:val="24"/>
                <w:highlight w:val="none"/>
              </w:rPr>
              <w:t>。</w:t>
            </w:r>
          </w:p>
          <w:p w14:paraId="24299D69">
            <w:pPr>
              <w:pStyle w:val="157"/>
              <w:keepNext w:val="0"/>
              <w:keepLines w:val="0"/>
              <w:suppressLineNumbers w:val="0"/>
              <w:adjustRightInd w:val="0"/>
              <w:snapToGrid w:val="0"/>
              <w:spacing w:before="0" w:beforeAutospacing="0" w:after="0" w:afterAutospacing="0" w:line="240" w:lineRule="auto"/>
              <w:ind w:left="0" w:right="0" w:firstLine="482"/>
              <w:jc w:val="center"/>
              <w:rPr>
                <w:b/>
                <w:color w:val="auto"/>
                <w:sz w:val="24"/>
                <w:highlight w:val="none"/>
              </w:rPr>
            </w:pPr>
            <w:r>
              <w:rPr>
                <w:rFonts w:hAnsi="宋体"/>
                <w:b/>
                <w:color w:val="auto"/>
                <w:sz w:val="24"/>
                <w:highlight w:val="none"/>
              </w:rPr>
              <w:t>表</w:t>
            </w:r>
            <w:r>
              <w:rPr>
                <w:b/>
                <w:color w:val="auto"/>
                <w:sz w:val="24"/>
                <w:highlight w:val="none"/>
              </w:rPr>
              <w:t>4-2</w:t>
            </w:r>
            <w:r>
              <w:rPr>
                <w:rFonts w:hint="eastAsia"/>
                <w:b/>
                <w:color w:val="auto"/>
                <w:sz w:val="24"/>
                <w:highlight w:val="none"/>
                <w:lang w:val="en-US" w:eastAsia="zh-CN"/>
              </w:rPr>
              <w:t>6</w:t>
            </w:r>
            <w:r>
              <w:rPr>
                <w:rFonts w:hint="eastAsia"/>
                <w:b/>
                <w:color w:val="auto"/>
                <w:sz w:val="24"/>
                <w:highlight w:val="none"/>
              </w:rPr>
              <w:t xml:space="preserve"> </w:t>
            </w:r>
            <w:r>
              <w:rPr>
                <w:rFonts w:hAnsi="宋体"/>
                <w:b/>
                <w:color w:val="auto"/>
                <w:sz w:val="24"/>
                <w:highlight w:val="none"/>
              </w:rPr>
              <w:t>建设项目环境风险简单分析内容表</w:t>
            </w:r>
          </w:p>
          <w:tbl>
            <w:tblPr>
              <w:tblStyle w:val="88"/>
              <w:tblW w:w="497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436"/>
              <w:gridCol w:w="1064"/>
              <w:gridCol w:w="2014"/>
              <w:gridCol w:w="1554"/>
              <w:gridCol w:w="861"/>
              <w:gridCol w:w="1506"/>
            </w:tblGrid>
            <w:tr w14:paraId="6A1B02E1">
              <w:trPr>
                <w:trHeight w:val="283" w:hRule="atLeast"/>
              </w:trPr>
              <w:tc>
                <w:tcPr>
                  <w:tcW w:w="851" w:type="pct"/>
                  <w:vAlign w:val="center"/>
                </w:tcPr>
                <w:p w14:paraId="518717DF">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建设项目名称</w:t>
                  </w:r>
                </w:p>
              </w:tc>
              <w:tc>
                <w:tcPr>
                  <w:tcW w:w="4148" w:type="pct"/>
                  <w:gridSpan w:val="5"/>
                  <w:vAlign w:val="center"/>
                </w:tcPr>
                <w:p w14:paraId="6CF3522A">
                  <w:pPr>
                    <w:keepNext w:val="0"/>
                    <w:keepLines w:val="0"/>
                    <w:suppressLineNumbers w:val="0"/>
                    <w:spacing w:before="0" w:beforeAutospacing="0" w:after="0" w:afterAutospacing="0"/>
                    <w:ind w:left="0" w:right="0"/>
                    <w:jc w:val="center"/>
                    <w:rPr>
                      <w:rFonts w:hint="eastAsia" w:asciiTheme="minorEastAsia" w:hAnsiTheme="minorEastAsia" w:eastAsiaTheme="minorEastAsia"/>
                      <w:b/>
                      <w:bCs/>
                      <w:color w:val="auto"/>
                      <w:szCs w:val="21"/>
                      <w:highlight w:val="none"/>
                      <w:lang w:eastAsia="zh-CN"/>
                    </w:rPr>
                  </w:pPr>
                  <w:r>
                    <w:rPr>
                      <w:rFonts w:hint="eastAsia" w:hAnsi="宋体"/>
                      <w:color w:val="auto"/>
                      <w:sz w:val="21"/>
                      <w:szCs w:val="21"/>
                      <w:highlight w:val="none"/>
                      <w:lang w:eastAsia="zh-CN"/>
                    </w:rPr>
                    <w:t>智能整机设备项目</w:t>
                  </w:r>
                </w:p>
              </w:tc>
            </w:tr>
            <w:tr w14:paraId="055E84BB">
              <w:trPr>
                <w:trHeight w:val="283" w:hRule="atLeast"/>
              </w:trPr>
              <w:tc>
                <w:tcPr>
                  <w:tcW w:w="851" w:type="pct"/>
                  <w:vAlign w:val="center"/>
                </w:tcPr>
                <w:p w14:paraId="2EAA134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建设地点</w:t>
                  </w:r>
                </w:p>
              </w:tc>
              <w:tc>
                <w:tcPr>
                  <w:tcW w:w="630" w:type="pct"/>
                  <w:vAlign w:val="center"/>
                </w:tcPr>
                <w:p w14:paraId="6FC7FC4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（江苏）省</w:t>
                  </w:r>
                </w:p>
              </w:tc>
              <w:tc>
                <w:tcPr>
                  <w:tcW w:w="1193" w:type="pct"/>
                  <w:vAlign w:val="center"/>
                </w:tcPr>
                <w:p w14:paraId="7369684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（淮安）市</w:t>
                  </w:r>
                </w:p>
              </w:tc>
              <w:tc>
                <w:tcPr>
                  <w:tcW w:w="921" w:type="pct"/>
                  <w:vAlign w:val="center"/>
                </w:tcPr>
                <w:p w14:paraId="2F981C66">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eastAsia="zh-CN"/>
                    </w:rPr>
                    <w:t>（</w:t>
                  </w:r>
                  <w:r>
                    <w:rPr>
                      <w:rFonts w:hAnsi="宋体"/>
                      <w:color w:val="auto"/>
                      <w:szCs w:val="21"/>
                      <w:highlight w:val="none"/>
                    </w:rPr>
                    <w:t>）区</w:t>
                  </w:r>
                </w:p>
              </w:tc>
              <w:tc>
                <w:tcPr>
                  <w:tcW w:w="510" w:type="pct"/>
                  <w:vAlign w:val="center"/>
                </w:tcPr>
                <w:p w14:paraId="374158D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（涟水）县</w:t>
                  </w:r>
                </w:p>
              </w:tc>
              <w:tc>
                <w:tcPr>
                  <w:tcW w:w="892" w:type="pct"/>
                  <w:vAlign w:val="center"/>
                </w:tcPr>
                <w:p w14:paraId="59C186F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Theme="minorEastAsia" w:eastAsiaTheme="minorEastAsia"/>
                      <w:color w:val="auto"/>
                      <w:sz w:val="21"/>
                      <w:szCs w:val="21"/>
                      <w:highlight w:val="none"/>
                      <w:lang w:val="fr-FR"/>
                    </w:rPr>
                    <w:t>涟水新港电子产业科技园</w:t>
                  </w:r>
                </w:p>
              </w:tc>
            </w:tr>
            <w:tr w14:paraId="1E26FE98">
              <w:trPr>
                <w:trHeight w:val="283" w:hRule="atLeast"/>
              </w:trPr>
              <w:tc>
                <w:tcPr>
                  <w:tcW w:w="851" w:type="pct"/>
                  <w:vAlign w:val="center"/>
                </w:tcPr>
                <w:p w14:paraId="6214D50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地理坐标</w:t>
                  </w:r>
                </w:p>
              </w:tc>
              <w:tc>
                <w:tcPr>
                  <w:tcW w:w="630" w:type="pct"/>
                  <w:vAlign w:val="center"/>
                </w:tcPr>
                <w:p w14:paraId="1DF7690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经度</w:t>
                  </w:r>
                </w:p>
              </w:tc>
              <w:tc>
                <w:tcPr>
                  <w:tcW w:w="1193" w:type="pct"/>
                  <w:vAlign w:val="center"/>
                </w:tcPr>
                <w:p w14:paraId="3E83B0E1">
                  <w:pPr>
                    <w:keepNext w:val="0"/>
                    <w:keepLines w:val="0"/>
                    <w:suppressLineNumbers w:val="0"/>
                    <w:spacing w:before="0" w:beforeAutospacing="0" w:after="0" w:afterAutospacing="0"/>
                    <w:ind w:left="0" w:right="0"/>
                    <w:jc w:val="center"/>
                    <w:rPr>
                      <w:color w:val="auto"/>
                      <w:sz w:val="21"/>
                      <w:szCs w:val="21"/>
                      <w:highlight w:val="none"/>
                    </w:rPr>
                  </w:pPr>
                  <w:r>
                    <w:rPr>
                      <w:color w:val="auto"/>
                      <w:sz w:val="21"/>
                      <w:szCs w:val="21"/>
                      <w:highlight w:val="none"/>
                    </w:rPr>
                    <w:t>119</w:t>
                  </w:r>
                  <w:r>
                    <w:rPr>
                      <w:rFonts w:hAnsi="宋体"/>
                      <w:color w:val="auto"/>
                      <w:sz w:val="21"/>
                      <w:szCs w:val="21"/>
                      <w:highlight w:val="none"/>
                    </w:rPr>
                    <w:t>度</w:t>
                  </w:r>
                  <w:r>
                    <w:rPr>
                      <w:rFonts w:hint="eastAsia"/>
                      <w:color w:val="auto"/>
                      <w:sz w:val="21"/>
                      <w:szCs w:val="21"/>
                      <w:highlight w:val="none"/>
                      <w:lang w:val="en-US" w:eastAsia="zh-CN"/>
                    </w:rPr>
                    <w:t>15</w:t>
                  </w:r>
                  <w:r>
                    <w:rPr>
                      <w:rFonts w:hAnsi="宋体"/>
                      <w:color w:val="auto"/>
                      <w:sz w:val="21"/>
                      <w:szCs w:val="21"/>
                      <w:highlight w:val="none"/>
                    </w:rPr>
                    <w:t>分</w:t>
                  </w:r>
                  <w:r>
                    <w:rPr>
                      <w:rFonts w:hint="eastAsia"/>
                      <w:color w:val="auto"/>
                      <w:sz w:val="21"/>
                      <w:szCs w:val="21"/>
                      <w:highlight w:val="none"/>
                      <w:lang w:val="en-US" w:eastAsia="zh-CN"/>
                    </w:rPr>
                    <w:t>11.494</w:t>
                  </w:r>
                  <w:r>
                    <w:rPr>
                      <w:rFonts w:hAnsi="宋体"/>
                      <w:color w:val="auto"/>
                      <w:sz w:val="21"/>
                      <w:szCs w:val="21"/>
                      <w:highlight w:val="none"/>
                    </w:rPr>
                    <w:t>秒</w:t>
                  </w:r>
                </w:p>
              </w:tc>
              <w:tc>
                <w:tcPr>
                  <w:tcW w:w="921" w:type="pct"/>
                  <w:vAlign w:val="center"/>
                </w:tcPr>
                <w:p w14:paraId="231F3A71">
                  <w:pPr>
                    <w:keepNext w:val="0"/>
                    <w:keepLines w:val="0"/>
                    <w:suppressLineNumbers w:val="0"/>
                    <w:spacing w:before="0" w:beforeAutospacing="0" w:after="0" w:afterAutospacing="0"/>
                    <w:ind w:left="0" w:right="0"/>
                    <w:jc w:val="center"/>
                    <w:rPr>
                      <w:color w:val="auto"/>
                      <w:sz w:val="21"/>
                      <w:szCs w:val="21"/>
                      <w:highlight w:val="none"/>
                    </w:rPr>
                  </w:pPr>
                  <w:r>
                    <w:rPr>
                      <w:rFonts w:hAnsi="宋体"/>
                      <w:color w:val="auto"/>
                      <w:sz w:val="21"/>
                      <w:szCs w:val="21"/>
                      <w:highlight w:val="none"/>
                    </w:rPr>
                    <w:t>纬度</w:t>
                  </w:r>
                </w:p>
              </w:tc>
              <w:tc>
                <w:tcPr>
                  <w:tcW w:w="1403" w:type="pct"/>
                  <w:gridSpan w:val="2"/>
                  <w:vAlign w:val="center"/>
                </w:tcPr>
                <w:p w14:paraId="09319FC6">
                  <w:pPr>
                    <w:keepNext w:val="0"/>
                    <w:keepLines w:val="0"/>
                    <w:suppressLineNumbers w:val="0"/>
                    <w:spacing w:before="0" w:beforeAutospacing="0" w:after="0" w:afterAutospacing="0"/>
                    <w:ind w:left="0" w:right="0"/>
                    <w:jc w:val="center"/>
                    <w:rPr>
                      <w:color w:val="auto"/>
                      <w:sz w:val="21"/>
                      <w:szCs w:val="21"/>
                      <w:highlight w:val="none"/>
                    </w:rPr>
                  </w:pPr>
                  <w:r>
                    <w:rPr>
                      <w:color w:val="auto"/>
                      <w:sz w:val="21"/>
                      <w:szCs w:val="21"/>
                      <w:highlight w:val="none"/>
                    </w:rPr>
                    <w:t>33</w:t>
                  </w:r>
                  <w:r>
                    <w:rPr>
                      <w:rFonts w:hAnsi="宋体"/>
                      <w:color w:val="auto"/>
                      <w:sz w:val="21"/>
                      <w:szCs w:val="21"/>
                      <w:highlight w:val="none"/>
                    </w:rPr>
                    <w:t>度</w:t>
                  </w:r>
                  <w:r>
                    <w:rPr>
                      <w:color w:val="auto"/>
                      <w:sz w:val="21"/>
                      <w:szCs w:val="21"/>
                      <w:highlight w:val="none"/>
                    </w:rPr>
                    <w:t>4</w:t>
                  </w:r>
                  <w:r>
                    <w:rPr>
                      <w:rFonts w:hint="eastAsia"/>
                      <w:color w:val="auto"/>
                      <w:sz w:val="21"/>
                      <w:szCs w:val="21"/>
                      <w:highlight w:val="none"/>
                      <w:lang w:val="en-US" w:eastAsia="zh-CN"/>
                    </w:rPr>
                    <w:t>9</w:t>
                  </w:r>
                  <w:r>
                    <w:rPr>
                      <w:rFonts w:hAnsi="宋体"/>
                      <w:color w:val="auto"/>
                      <w:sz w:val="21"/>
                      <w:szCs w:val="21"/>
                      <w:highlight w:val="none"/>
                    </w:rPr>
                    <w:t>分</w:t>
                  </w:r>
                  <w:r>
                    <w:rPr>
                      <w:rFonts w:hint="eastAsia"/>
                      <w:color w:val="auto"/>
                      <w:sz w:val="21"/>
                      <w:szCs w:val="21"/>
                      <w:highlight w:val="none"/>
                      <w:lang w:val="en-US" w:eastAsia="zh-CN"/>
                    </w:rPr>
                    <w:t>5.624</w:t>
                  </w:r>
                  <w:r>
                    <w:rPr>
                      <w:rFonts w:hAnsi="宋体"/>
                      <w:color w:val="auto"/>
                      <w:sz w:val="21"/>
                      <w:szCs w:val="21"/>
                      <w:highlight w:val="none"/>
                    </w:rPr>
                    <w:t>秒</w:t>
                  </w:r>
                </w:p>
              </w:tc>
            </w:tr>
            <w:tr w14:paraId="55918942">
              <w:trPr>
                <w:trHeight w:val="383" w:hRule="atLeast"/>
              </w:trPr>
              <w:tc>
                <w:tcPr>
                  <w:tcW w:w="851" w:type="pct"/>
                  <w:vAlign w:val="center"/>
                </w:tcPr>
                <w:p w14:paraId="7DC8168E">
                  <w:pPr>
                    <w:keepNext w:val="0"/>
                    <w:keepLines w:val="0"/>
                    <w:suppressLineNumbers w:val="0"/>
                    <w:adjustRightInd w:val="0"/>
                    <w:snapToGrid w:val="0"/>
                    <w:spacing w:before="0" w:beforeLines="50" w:beforeAutospacing="0" w:after="0" w:afterAutospacing="0" w:line="276" w:lineRule="auto"/>
                    <w:ind w:left="0" w:right="0"/>
                    <w:jc w:val="center"/>
                    <w:rPr>
                      <w:b/>
                      <w:color w:val="auto"/>
                      <w:szCs w:val="21"/>
                      <w:highlight w:val="none"/>
                    </w:rPr>
                  </w:pPr>
                  <w:r>
                    <w:rPr>
                      <w:rFonts w:hAnsi="宋体"/>
                      <w:b/>
                      <w:color w:val="auto"/>
                      <w:szCs w:val="21"/>
                      <w:highlight w:val="none"/>
                    </w:rPr>
                    <w:t>主要危险物质及分布</w:t>
                  </w:r>
                </w:p>
              </w:tc>
              <w:tc>
                <w:tcPr>
                  <w:tcW w:w="4148" w:type="pct"/>
                  <w:gridSpan w:val="5"/>
                  <w:vAlign w:val="center"/>
                </w:tcPr>
                <w:tbl>
                  <w:tblPr>
                    <w:tblStyle w:val="88"/>
                    <w:tblW w:w="73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583"/>
                    <w:gridCol w:w="1475"/>
                    <w:gridCol w:w="1856"/>
                  </w:tblGrid>
                  <w:tr w14:paraId="092D70D4">
                    <w:trPr>
                      <w:trHeight w:val="340" w:hRule="atLeast"/>
                      <w:jc w:val="center"/>
                    </w:trPr>
                    <w:tc>
                      <w:tcPr>
                        <w:tcW w:w="2400" w:type="dxa"/>
                        <w:tcBorders>
                          <w:tl2br w:val="nil"/>
                          <w:tr2bl w:val="nil"/>
                        </w:tcBorders>
                        <w:vAlign w:val="center"/>
                      </w:tcPr>
                      <w:p w14:paraId="384F361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名称</w:t>
                        </w:r>
                      </w:p>
                    </w:tc>
                    <w:tc>
                      <w:tcPr>
                        <w:tcW w:w="1583" w:type="dxa"/>
                        <w:tcBorders>
                          <w:tl2br w:val="nil"/>
                          <w:tr2bl w:val="nil"/>
                        </w:tcBorders>
                        <w:vAlign w:val="center"/>
                      </w:tcPr>
                      <w:p w14:paraId="7C339EB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主要规格</w:t>
                        </w:r>
                        <w:r>
                          <w:rPr>
                            <w:color w:val="auto"/>
                            <w:szCs w:val="21"/>
                            <w:highlight w:val="none"/>
                          </w:rPr>
                          <w:t>/</w:t>
                        </w:r>
                        <w:r>
                          <w:rPr>
                            <w:rFonts w:hAnsi="宋体"/>
                            <w:color w:val="auto"/>
                            <w:szCs w:val="21"/>
                            <w:highlight w:val="none"/>
                          </w:rPr>
                          <w:t>型号</w:t>
                        </w:r>
                      </w:p>
                    </w:tc>
                    <w:tc>
                      <w:tcPr>
                        <w:tcW w:w="1475" w:type="dxa"/>
                        <w:tcBorders>
                          <w:tl2br w:val="nil"/>
                          <w:tr2bl w:val="nil"/>
                        </w:tcBorders>
                        <w:vAlign w:val="center"/>
                      </w:tcPr>
                      <w:p w14:paraId="5441001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最大贮存量</w:t>
                        </w:r>
                        <w:r>
                          <w:rPr>
                            <w:color w:val="auto"/>
                            <w:szCs w:val="21"/>
                            <w:highlight w:val="none"/>
                          </w:rPr>
                          <w:t>t</w:t>
                        </w:r>
                      </w:p>
                    </w:tc>
                    <w:tc>
                      <w:tcPr>
                        <w:tcW w:w="1856" w:type="dxa"/>
                        <w:tcBorders>
                          <w:tl2br w:val="nil"/>
                          <w:tr2bl w:val="nil"/>
                        </w:tcBorders>
                        <w:vAlign w:val="center"/>
                      </w:tcPr>
                      <w:p w14:paraId="1034996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分布</w:t>
                        </w:r>
                      </w:p>
                    </w:tc>
                  </w:tr>
                  <w:tr w14:paraId="1483501C">
                    <w:trPr>
                      <w:trHeight w:val="340" w:hRule="atLeast"/>
                      <w:jc w:val="center"/>
                    </w:trPr>
                    <w:tc>
                      <w:tcPr>
                        <w:tcW w:w="2400" w:type="dxa"/>
                        <w:tcBorders>
                          <w:tl2br w:val="nil"/>
                          <w:tr2bl w:val="nil"/>
                        </w:tcBorders>
                        <w:shd w:val="clear" w:color="auto" w:fill="auto"/>
                        <w:vAlign w:val="center"/>
                      </w:tcPr>
                      <w:p w14:paraId="04B197D0">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583" w:type="dxa"/>
                        <w:tcBorders>
                          <w:tl2br w:val="nil"/>
                          <w:tr2bl w:val="nil"/>
                        </w:tcBorders>
                        <w:vAlign w:val="center"/>
                      </w:tcPr>
                      <w:p w14:paraId="59EF4B2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475" w:type="dxa"/>
                        <w:tcBorders>
                          <w:tl2br w:val="nil"/>
                          <w:tr2bl w:val="nil"/>
                        </w:tcBorders>
                        <w:shd w:val="clear" w:color="auto" w:fill="auto"/>
                        <w:vAlign w:val="center"/>
                      </w:tcPr>
                      <w:p w14:paraId="6CBF05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3.237</w:t>
                        </w:r>
                      </w:p>
                    </w:tc>
                    <w:tc>
                      <w:tcPr>
                        <w:tcW w:w="1856" w:type="dxa"/>
                        <w:vMerge w:val="restart"/>
                        <w:tcBorders>
                          <w:tl2br w:val="nil"/>
                          <w:tr2bl w:val="nil"/>
                        </w:tcBorders>
                        <w:vAlign w:val="center"/>
                      </w:tcPr>
                      <w:p w14:paraId="125C399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危废仓库</w:t>
                        </w:r>
                      </w:p>
                    </w:tc>
                  </w:tr>
                  <w:tr w14:paraId="545E68A1">
                    <w:trPr>
                      <w:trHeight w:val="340" w:hRule="atLeast"/>
                      <w:jc w:val="center"/>
                    </w:trPr>
                    <w:tc>
                      <w:tcPr>
                        <w:tcW w:w="2400" w:type="dxa"/>
                        <w:tcBorders>
                          <w:tl2br w:val="nil"/>
                          <w:tr2bl w:val="nil"/>
                        </w:tcBorders>
                        <w:shd w:val="clear" w:color="auto" w:fill="auto"/>
                        <w:vAlign w:val="center"/>
                      </w:tcPr>
                      <w:p w14:paraId="29012EA3">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废过滤棉</w:t>
                        </w:r>
                      </w:p>
                    </w:tc>
                    <w:tc>
                      <w:tcPr>
                        <w:tcW w:w="1583" w:type="dxa"/>
                        <w:tcBorders>
                          <w:tl2br w:val="nil"/>
                          <w:tr2bl w:val="nil"/>
                        </w:tcBorders>
                        <w:shd w:val="clear" w:color="auto" w:fill="auto"/>
                        <w:vAlign w:val="center"/>
                      </w:tcPr>
                      <w:p w14:paraId="6AE6FE1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475" w:type="dxa"/>
                        <w:tcBorders>
                          <w:tl2br w:val="nil"/>
                          <w:tr2bl w:val="nil"/>
                        </w:tcBorders>
                        <w:shd w:val="clear" w:color="auto" w:fill="auto"/>
                        <w:vAlign w:val="center"/>
                      </w:tcPr>
                      <w:p w14:paraId="1D7BFE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1.273</w:t>
                        </w:r>
                      </w:p>
                    </w:tc>
                    <w:tc>
                      <w:tcPr>
                        <w:tcW w:w="1856" w:type="dxa"/>
                        <w:vMerge w:val="continue"/>
                        <w:tcBorders>
                          <w:tl2br w:val="nil"/>
                          <w:tr2bl w:val="nil"/>
                        </w:tcBorders>
                        <w:vAlign w:val="center"/>
                      </w:tcPr>
                      <w:p w14:paraId="3F50A00D">
                        <w:pPr>
                          <w:keepNext w:val="0"/>
                          <w:keepLines w:val="0"/>
                          <w:suppressLineNumbers w:val="0"/>
                          <w:spacing w:before="0" w:beforeAutospacing="0" w:after="0" w:afterAutospacing="0"/>
                          <w:ind w:left="0" w:right="0"/>
                          <w:jc w:val="center"/>
                          <w:rPr>
                            <w:rFonts w:hAnsi="宋体"/>
                            <w:color w:val="auto"/>
                            <w:szCs w:val="21"/>
                            <w:highlight w:val="none"/>
                          </w:rPr>
                        </w:pPr>
                      </w:p>
                    </w:tc>
                  </w:tr>
                  <w:tr w14:paraId="2C82D00D">
                    <w:trPr>
                      <w:trHeight w:val="340" w:hRule="atLeast"/>
                      <w:jc w:val="center"/>
                    </w:trPr>
                    <w:tc>
                      <w:tcPr>
                        <w:tcW w:w="2400" w:type="dxa"/>
                        <w:tcBorders>
                          <w:tl2br w:val="nil"/>
                          <w:tr2bl w:val="nil"/>
                        </w:tcBorders>
                        <w:shd w:val="clear" w:color="auto" w:fill="auto"/>
                        <w:vAlign w:val="center"/>
                      </w:tcPr>
                      <w:p w14:paraId="6D12CFA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1583" w:type="dxa"/>
                        <w:tcBorders>
                          <w:tl2br w:val="nil"/>
                          <w:tr2bl w:val="nil"/>
                        </w:tcBorders>
                        <w:vAlign w:val="center"/>
                      </w:tcPr>
                      <w:p w14:paraId="46378172">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475" w:type="dxa"/>
                        <w:tcBorders>
                          <w:tl2br w:val="nil"/>
                          <w:tr2bl w:val="nil"/>
                        </w:tcBorders>
                        <w:shd w:val="clear" w:color="auto" w:fill="auto"/>
                        <w:vAlign w:val="center"/>
                      </w:tcPr>
                      <w:p w14:paraId="3ABFD52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0.4</w:t>
                        </w:r>
                      </w:p>
                    </w:tc>
                    <w:tc>
                      <w:tcPr>
                        <w:tcW w:w="1856" w:type="dxa"/>
                        <w:vMerge w:val="continue"/>
                        <w:tcBorders>
                          <w:tl2br w:val="nil"/>
                          <w:tr2bl w:val="nil"/>
                        </w:tcBorders>
                        <w:vAlign w:val="center"/>
                      </w:tcPr>
                      <w:p w14:paraId="512A337E">
                        <w:pPr>
                          <w:keepNext w:val="0"/>
                          <w:keepLines w:val="0"/>
                          <w:suppressLineNumbers w:val="0"/>
                          <w:spacing w:before="0" w:beforeAutospacing="0" w:after="0" w:afterAutospacing="0"/>
                          <w:ind w:left="0" w:right="0"/>
                          <w:jc w:val="center"/>
                          <w:rPr>
                            <w:rFonts w:hAnsi="宋体"/>
                            <w:color w:val="auto"/>
                            <w:szCs w:val="21"/>
                            <w:highlight w:val="none"/>
                          </w:rPr>
                        </w:pPr>
                      </w:p>
                    </w:tc>
                  </w:tr>
                  <w:tr w14:paraId="2FB7B54E">
                    <w:trPr>
                      <w:trHeight w:val="340" w:hRule="atLeast"/>
                      <w:jc w:val="center"/>
                    </w:trPr>
                    <w:tc>
                      <w:tcPr>
                        <w:tcW w:w="2400" w:type="dxa"/>
                        <w:tcBorders>
                          <w:tl2br w:val="nil"/>
                          <w:tr2bl w:val="nil"/>
                        </w:tcBorders>
                        <w:shd w:val="clear" w:color="auto" w:fill="auto"/>
                        <w:vAlign w:val="center"/>
                      </w:tcPr>
                      <w:p w14:paraId="705B53B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废切削液</w:t>
                        </w:r>
                      </w:p>
                    </w:tc>
                    <w:tc>
                      <w:tcPr>
                        <w:tcW w:w="1583" w:type="dxa"/>
                        <w:tcBorders>
                          <w:tl2br w:val="nil"/>
                          <w:tr2bl w:val="nil"/>
                        </w:tcBorders>
                        <w:vAlign w:val="center"/>
                      </w:tcPr>
                      <w:p w14:paraId="1216DE70">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475" w:type="dxa"/>
                        <w:tcBorders>
                          <w:tl2br w:val="nil"/>
                          <w:tr2bl w:val="nil"/>
                        </w:tcBorders>
                        <w:shd w:val="clear" w:color="auto" w:fill="auto"/>
                        <w:vAlign w:val="center"/>
                      </w:tcPr>
                      <w:p w14:paraId="0C8A6A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0.4</w:t>
                        </w:r>
                      </w:p>
                    </w:tc>
                    <w:tc>
                      <w:tcPr>
                        <w:tcW w:w="1856" w:type="dxa"/>
                        <w:vMerge w:val="continue"/>
                        <w:tcBorders>
                          <w:tl2br w:val="nil"/>
                          <w:tr2bl w:val="nil"/>
                        </w:tcBorders>
                        <w:vAlign w:val="center"/>
                      </w:tcPr>
                      <w:p w14:paraId="40D7BBC8">
                        <w:pPr>
                          <w:keepNext w:val="0"/>
                          <w:keepLines w:val="0"/>
                          <w:suppressLineNumbers w:val="0"/>
                          <w:spacing w:before="0" w:beforeAutospacing="0" w:after="0" w:afterAutospacing="0"/>
                          <w:ind w:left="0" w:right="0"/>
                          <w:jc w:val="center"/>
                          <w:rPr>
                            <w:rFonts w:hAnsi="宋体"/>
                            <w:color w:val="auto"/>
                            <w:szCs w:val="21"/>
                            <w:highlight w:val="none"/>
                          </w:rPr>
                        </w:pPr>
                      </w:p>
                    </w:tc>
                  </w:tr>
                  <w:tr w14:paraId="435C0016">
                    <w:trPr>
                      <w:trHeight w:val="340" w:hRule="atLeast"/>
                      <w:jc w:val="center"/>
                    </w:trPr>
                    <w:tc>
                      <w:tcPr>
                        <w:tcW w:w="2400" w:type="dxa"/>
                        <w:tcBorders>
                          <w:tl2br w:val="nil"/>
                          <w:tr2bl w:val="nil"/>
                        </w:tcBorders>
                        <w:shd w:val="clear" w:color="auto" w:fill="auto"/>
                        <w:vAlign w:val="center"/>
                      </w:tcPr>
                      <w:p w14:paraId="0B3C8D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1583" w:type="dxa"/>
                        <w:tcBorders>
                          <w:tl2br w:val="nil"/>
                          <w:tr2bl w:val="nil"/>
                        </w:tcBorders>
                        <w:vAlign w:val="center"/>
                      </w:tcPr>
                      <w:p w14:paraId="6C69D639">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475" w:type="dxa"/>
                        <w:tcBorders>
                          <w:tl2br w:val="nil"/>
                          <w:tr2bl w:val="nil"/>
                        </w:tcBorders>
                        <w:shd w:val="clear" w:color="auto" w:fill="auto"/>
                        <w:vAlign w:val="center"/>
                      </w:tcPr>
                      <w:p w14:paraId="4A3E6A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0.12</w:t>
                        </w:r>
                      </w:p>
                    </w:tc>
                    <w:tc>
                      <w:tcPr>
                        <w:tcW w:w="1856" w:type="dxa"/>
                        <w:vMerge w:val="continue"/>
                        <w:tcBorders>
                          <w:tl2br w:val="nil"/>
                          <w:tr2bl w:val="nil"/>
                        </w:tcBorders>
                        <w:vAlign w:val="center"/>
                      </w:tcPr>
                      <w:p w14:paraId="11B14667">
                        <w:pPr>
                          <w:keepNext w:val="0"/>
                          <w:keepLines w:val="0"/>
                          <w:suppressLineNumbers w:val="0"/>
                          <w:spacing w:before="0" w:beforeAutospacing="0" w:after="0" w:afterAutospacing="0"/>
                          <w:ind w:left="0" w:right="0"/>
                          <w:jc w:val="center"/>
                          <w:rPr>
                            <w:rFonts w:hAnsi="宋体"/>
                            <w:color w:val="auto"/>
                            <w:szCs w:val="21"/>
                            <w:highlight w:val="none"/>
                          </w:rPr>
                        </w:pPr>
                      </w:p>
                    </w:tc>
                  </w:tr>
                  <w:tr w14:paraId="0E0375AB">
                    <w:trPr>
                      <w:trHeight w:val="340" w:hRule="atLeast"/>
                      <w:jc w:val="center"/>
                    </w:trPr>
                    <w:tc>
                      <w:tcPr>
                        <w:tcW w:w="2400" w:type="dxa"/>
                        <w:tcBorders>
                          <w:tl2br w:val="nil"/>
                          <w:tr2bl w:val="nil"/>
                        </w:tcBorders>
                        <w:shd w:val="clear" w:color="auto" w:fill="auto"/>
                        <w:vAlign w:val="center"/>
                      </w:tcPr>
                      <w:p w14:paraId="041B0A3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浮渣、污泥</w:t>
                        </w:r>
                      </w:p>
                    </w:tc>
                    <w:tc>
                      <w:tcPr>
                        <w:tcW w:w="1583" w:type="dxa"/>
                        <w:tcBorders>
                          <w:tl2br w:val="nil"/>
                          <w:tr2bl w:val="nil"/>
                        </w:tcBorders>
                        <w:shd w:val="clear" w:color="auto" w:fill="auto"/>
                        <w:vAlign w:val="center"/>
                      </w:tcPr>
                      <w:p w14:paraId="41978DD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w:t>
                        </w:r>
                      </w:p>
                    </w:tc>
                    <w:tc>
                      <w:tcPr>
                        <w:tcW w:w="1475" w:type="dxa"/>
                        <w:tcBorders>
                          <w:tl2br w:val="nil"/>
                          <w:tr2bl w:val="nil"/>
                        </w:tcBorders>
                        <w:shd w:val="clear" w:color="auto" w:fill="auto"/>
                        <w:vAlign w:val="center"/>
                      </w:tcPr>
                      <w:p w14:paraId="6796F8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0.595</w:t>
                        </w:r>
                      </w:p>
                    </w:tc>
                    <w:tc>
                      <w:tcPr>
                        <w:tcW w:w="1856" w:type="dxa"/>
                        <w:vMerge w:val="continue"/>
                        <w:tcBorders>
                          <w:tl2br w:val="nil"/>
                          <w:tr2bl w:val="nil"/>
                        </w:tcBorders>
                        <w:vAlign w:val="center"/>
                      </w:tcPr>
                      <w:p w14:paraId="221A2764">
                        <w:pPr>
                          <w:keepNext w:val="0"/>
                          <w:keepLines w:val="0"/>
                          <w:suppressLineNumbers w:val="0"/>
                          <w:spacing w:before="0" w:beforeAutospacing="0" w:after="0" w:afterAutospacing="0"/>
                          <w:ind w:left="0" w:right="0"/>
                          <w:jc w:val="center"/>
                          <w:rPr>
                            <w:rFonts w:hAnsi="宋体"/>
                            <w:color w:val="auto"/>
                            <w:szCs w:val="21"/>
                            <w:highlight w:val="none"/>
                          </w:rPr>
                        </w:pPr>
                      </w:p>
                    </w:tc>
                  </w:tr>
                  <w:tr w14:paraId="2EE78E80">
                    <w:trPr>
                      <w:trHeight w:val="340" w:hRule="atLeast"/>
                      <w:jc w:val="center"/>
                    </w:trPr>
                    <w:tc>
                      <w:tcPr>
                        <w:tcW w:w="2400" w:type="dxa"/>
                        <w:tcBorders>
                          <w:tl2br w:val="nil"/>
                          <w:tr2bl w:val="nil"/>
                        </w:tcBorders>
                        <w:shd w:val="clear" w:color="auto" w:fill="auto"/>
                        <w:vAlign w:val="center"/>
                      </w:tcPr>
                      <w:p w14:paraId="11B12136">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1583" w:type="dxa"/>
                        <w:tcBorders>
                          <w:tl2br w:val="nil"/>
                          <w:tr2bl w:val="nil"/>
                        </w:tcBorders>
                        <w:vAlign w:val="center"/>
                      </w:tcPr>
                      <w:p w14:paraId="699E3962">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475" w:type="dxa"/>
                        <w:tcBorders>
                          <w:tl2br w:val="nil"/>
                          <w:tr2bl w:val="nil"/>
                        </w:tcBorders>
                        <w:shd w:val="clear" w:color="auto" w:fill="auto"/>
                        <w:vAlign w:val="center"/>
                      </w:tcPr>
                      <w:p w14:paraId="4C97CD7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0.084</w:t>
                        </w:r>
                      </w:p>
                    </w:tc>
                    <w:tc>
                      <w:tcPr>
                        <w:tcW w:w="1856" w:type="dxa"/>
                        <w:vMerge w:val="continue"/>
                        <w:tcBorders>
                          <w:tl2br w:val="nil"/>
                          <w:tr2bl w:val="nil"/>
                        </w:tcBorders>
                        <w:vAlign w:val="center"/>
                      </w:tcPr>
                      <w:p w14:paraId="157D6127">
                        <w:pPr>
                          <w:keepNext w:val="0"/>
                          <w:keepLines w:val="0"/>
                          <w:suppressLineNumbers w:val="0"/>
                          <w:spacing w:before="0" w:beforeAutospacing="0" w:after="0" w:afterAutospacing="0"/>
                          <w:ind w:left="0" w:right="0"/>
                          <w:jc w:val="center"/>
                          <w:rPr>
                            <w:color w:val="auto"/>
                            <w:szCs w:val="21"/>
                            <w:highlight w:val="none"/>
                          </w:rPr>
                        </w:pPr>
                      </w:p>
                    </w:tc>
                  </w:tr>
                  <w:tr w14:paraId="5F66AAA1">
                    <w:trPr>
                      <w:trHeight w:val="340" w:hRule="atLeast"/>
                      <w:jc w:val="center"/>
                    </w:trPr>
                    <w:tc>
                      <w:tcPr>
                        <w:tcW w:w="2400" w:type="dxa"/>
                        <w:tcBorders>
                          <w:tl2br w:val="nil"/>
                          <w:tr2bl w:val="nil"/>
                        </w:tcBorders>
                        <w:shd w:val="clear" w:color="auto" w:fill="auto"/>
                        <w:vAlign w:val="center"/>
                      </w:tcPr>
                      <w:p w14:paraId="5B01847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水性漆废包装桶</w:t>
                        </w:r>
                      </w:p>
                    </w:tc>
                    <w:tc>
                      <w:tcPr>
                        <w:tcW w:w="1583" w:type="dxa"/>
                        <w:tcBorders>
                          <w:tl2br w:val="nil"/>
                          <w:tr2bl w:val="nil"/>
                        </w:tcBorders>
                        <w:vAlign w:val="center"/>
                      </w:tcPr>
                      <w:p w14:paraId="360350ED">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w:t>
                        </w:r>
                      </w:p>
                    </w:tc>
                    <w:tc>
                      <w:tcPr>
                        <w:tcW w:w="1475" w:type="dxa"/>
                        <w:tcBorders>
                          <w:tl2br w:val="nil"/>
                          <w:tr2bl w:val="nil"/>
                        </w:tcBorders>
                        <w:shd w:val="clear" w:color="auto" w:fill="auto"/>
                        <w:vAlign w:val="center"/>
                      </w:tcPr>
                      <w:p w14:paraId="11BBCC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0.5</w:t>
                        </w:r>
                      </w:p>
                    </w:tc>
                    <w:tc>
                      <w:tcPr>
                        <w:tcW w:w="1856" w:type="dxa"/>
                        <w:vMerge w:val="continue"/>
                        <w:tcBorders>
                          <w:tl2br w:val="nil"/>
                          <w:tr2bl w:val="nil"/>
                        </w:tcBorders>
                        <w:vAlign w:val="center"/>
                      </w:tcPr>
                      <w:p w14:paraId="7EAFC552">
                        <w:pPr>
                          <w:keepNext w:val="0"/>
                          <w:keepLines w:val="0"/>
                          <w:suppressLineNumbers w:val="0"/>
                          <w:spacing w:before="0" w:beforeAutospacing="0" w:after="0" w:afterAutospacing="0"/>
                          <w:ind w:left="0" w:right="0"/>
                          <w:jc w:val="center"/>
                          <w:rPr>
                            <w:color w:val="auto"/>
                            <w:szCs w:val="21"/>
                            <w:highlight w:val="none"/>
                          </w:rPr>
                        </w:pPr>
                      </w:p>
                    </w:tc>
                  </w:tr>
                  <w:tr w14:paraId="235D072A">
                    <w:trPr>
                      <w:trHeight w:val="340" w:hRule="atLeast"/>
                      <w:jc w:val="center"/>
                    </w:trPr>
                    <w:tc>
                      <w:tcPr>
                        <w:tcW w:w="2400" w:type="dxa"/>
                        <w:tcBorders>
                          <w:tl2br w:val="nil"/>
                          <w:tr2bl w:val="nil"/>
                        </w:tcBorders>
                        <w:shd w:val="clear" w:color="auto" w:fill="auto"/>
                        <w:vAlign w:val="center"/>
                      </w:tcPr>
                      <w:p w14:paraId="719E6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1583" w:type="dxa"/>
                        <w:tcBorders>
                          <w:tl2br w:val="nil"/>
                          <w:tr2bl w:val="nil"/>
                        </w:tcBorders>
                        <w:vAlign w:val="center"/>
                      </w:tcPr>
                      <w:p w14:paraId="68E2A42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475" w:type="dxa"/>
                        <w:tcBorders>
                          <w:tl2br w:val="nil"/>
                          <w:tr2bl w:val="nil"/>
                        </w:tcBorders>
                        <w:shd w:val="clear" w:color="auto" w:fill="auto"/>
                        <w:vAlign w:val="center"/>
                      </w:tcPr>
                      <w:p w14:paraId="2633BD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0.025</w:t>
                        </w:r>
                      </w:p>
                    </w:tc>
                    <w:tc>
                      <w:tcPr>
                        <w:tcW w:w="1856" w:type="dxa"/>
                        <w:vMerge w:val="continue"/>
                        <w:tcBorders>
                          <w:tl2br w:val="nil"/>
                          <w:tr2bl w:val="nil"/>
                        </w:tcBorders>
                        <w:vAlign w:val="center"/>
                      </w:tcPr>
                      <w:p w14:paraId="614422E5">
                        <w:pPr>
                          <w:keepNext w:val="0"/>
                          <w:keepLines w:val="0"/>
                          <w:suppressLineNumbers w:val="0"/>
                          <w:spacing w:before="0" w:beforeAutospacing="0" w:after="0" w:afterAutospacing="0"/>
                          <w:ind w:left="0" w:right="0"/>
                          <w:jc w:val="center"/>
                          <w:rPr>
                            <w:color w:val="auto"/>
                            <w:szCs w:val="21"/>
                            <w:highlight w:val="none"/>
                          </w:rPr>
                        </w:pPr>
                      </w:p>
                    </w:tc>
                  </w:tr>
                  <w:tr w14:paraId="2C1DEA00">
                    <w:trPr>
                      <w:trHeight w:val="378" w:hRule="atLeast"/>
                      <w:jc w:val="center"/>
                    </w:trPr>
                    <w:tc>
                      <w:tcPr>
                        <w:tcW w:w="2400" w:type="dxa"/>
                        <w:tcBorders>
                          <w:tl2br w:val="nil"/>
                          <w:tr2bl w:val="nil"/>
                        </w:tcBorders>
                        <w:vAlign w:val="center"/>
                      </w:tcPr>
                      <w:p w14:paraId="58ED5ADA">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切削液</w:t>
                        </w:r>
                      </w:p>
                    </w:tc>
                    <w:tc>
                      <w:tcPr>
                        <w:tcW w:w="1583" w:type="dxa"/>
                        <w:tcBorders>
                          <w:tl2br w:val="nil"/>
                          <w:tr2bl w:val="nil"/>
                        </w:tcBorders>
                        <w:vAlign w:val="center"/>
                      </w:tcPr>
                      <w:p w14:paraId="61E4DAA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475" w:type="dxa"/>
                        <w:tcBorders>
                          <w:tl2br w:val="nil"/>
                          <w:tr2bl w:val="nil"/>
                        </w:tcBorders>
                        <w:vAlign w:val="center"/>
                      </w:tcPr>
                      <w:p w14:paraId="2A11990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0.2</w:t>
                        </w:r>
                      </w:p>
                    </w:tc>
                    <w:tc>
                      <w:tcPr>
                        <w:tcW w:w="1856" w:type="dxa"/>
                        <w:vMerge w:val="restart"/>
                        <w:tcBorders>
                          <w:tl2br w:val="nil"/>
                          <w:tr2bl w:val="nil"/>
                        </w:tcBorders>
                        <w:vAlign w:val="center"/>
                      </w:tcPr>
                      <w:p w14:paraId="0C3AF2BE">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原料仓库</w:t>
                        </w:r>
                      </w:p>
                    </w:tc>
                  </w:tr>
                  <w:tr w14:paraId="72621B7F">
                    <w:trPr>
                      <w:trHeight w:val="378" w:hRule="atLeast"/>
                      <w:jc w:val="center"/>
                    </w:trPr>
                    <w:tc>
                      <w:tcPr>
                        <w:tcW w:w="2400" w:type="dxa"/>
                        <w:tcBorders>
                          <w:tl2br w:val="nil"/>
                          <w:tr2bl w:val="nil"/>
                        </w:tcBorders>
                        <w:vAlign w:val="center"/>
                      </w:tcPr>
                      <w:p w14:paraId="43A7533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润滑油</w:t>
                        </w:r>
                      </w:p>
                    </w:tc>
                    <w:tc>
                      <w:tcPr>
                        <w:tcW w:w="1583" w:type="dxa"/>
                        <w:tcBorders>
                          <w:tl2br w:val="nil"/>
                          <w:tr2bl w:val="nil"/>
                        </w:tcBorders>
                        <w:vAlign w:val="center"/>
                      </w:tcPr>
                      <w:p w14:paraId="61C0ADC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475" w:type="dxa"/>
                        <w:tcBorders>
                          <w:tl2br w:val="nil"/>
                          <w:tr2bl w:val="nil"/>
                        </w:tcBorders>
                        <w:vAlign w:val="center"/>
                      </w:tcPr>
                      <w:p w14:paraId="0B987A12">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0.</w:t>
                        </w:r>
                        <w:r>
                          <w:rPr>
                            <w:rFonts w:hint="eastAsia"/>
                            <w:bCs/>
                            <w:color w:val="auto"/>
                            <w:szCs w:val="21"/>
                            <w:highlight w:val="none"/>
                          </w:rPr>
                          <w:t>2</w:t>
                        </w:r>
                      </w:p>
                    </w:tc>
                    <w:tc>
                      <w:tcPr>
                        <w:tcW w:w="1856" w:type="dxa"/>
                        <w:vMerge w:val="continue"/>
                        <w:tcBorders>
                          <w:tl2br w:val="nil"/>
                          <w:tr2bl w:val="nil"/>
                        </w:tcBorders>
                        <w:vAlign w:val="center"/>
                      </w:tcPr>
                      <w:p w14:paraId="7117D627">
                        <w:pPr>
                          <w:keepNext w:val="0"/>
                          <w:keepLines w:val="0"/>
                          <w:suppressLineNumbers w:val="0"/>
                          <w:spacing w:before="0" w:beforeAutospacing="0" w:after="0" w:afterAutospacing="0"/>
                          <w:ind w:left="0" w:right="0"/>
                          <w:jc w:val="center"/>
                          <w:rPr>
                            <w:color w:val="auto"/>
                            <w:szCs w:val="21"/>
                            <w:highlight w:val="none"/>
                          </w:rPr>
                        </w:pPr>
                      </w:p>
                    </w:tc>
                  </w:tr>
                </w:tbl>
                <w:p w14:paraId="0DEA7D31">
                  <w:pPr>
                    <w:keepNext w:val="0"/>
                    <w:keepLines w:val="0"/>
                    <w:suppressLineNumbers w:val="0"/>
                    <w:adjustRightInd w:val="0"/>
                    <w:snapToGrid w:val="0"/>
                    <w:spacing w:before="0" w:beforeAutospacing="0" w:after="0" w:afterAutospacing="0" w:line="276" w:lineRule="auto"/>
                    <w:ind w:left="0" w:right="0"/>
                    <w:rPr>
                      <w:color w:val="auto"/>
                      <w:szCs w:val="21"/>
                      <w:highlight w:val="none"/>
                    </w:rPr>
                  </w:pPr>
                </w:p>
              </w:tc>
            </w:tr>
            <w:tr w14:paraId="135090FC">
              <w:trPr>
                <w:trHeight w:val="340" w:hRule="atLeast"/>
              </w:trPr>
              <w:tc>
                <w:tcPr>
                  <w:tcW w:w="851" w:type="pct"/>
                  <w:vAlign w:val="center"/>
                </w:tcPr>
                <w:p w14:paraId="72FC55F4">
                  <w:pPr>
                    <w:keepNext w:val="0"/>
                    <w:keepLines w:val="0"/>
                    <w:suppressLineNumbers w:val="0"/>
                    <w:autoSpaceDE w:val="0"/>
                    <w:autoSpaceDN w:val="0"/>
                    <w:adjustRightInd w:val="0"/>
                    <w:spacing w:before="0" w:beforeAutospacing="0" w:after="0" w:afterAutospacing="0"/>
                    <w:ind w:left="0" w:right="0"/>
                    <w:rPr>
                      <w:color w:val="auto"/>
                      <w:szCs w:val="21"/>
                      <w:highlight w:val="none"/>
                    </w:rPr>
                  </w:pPr>
                  <w:r>
                    <w:rPr>
                      <w:rFonts w:hAnsi="宋体"/>
                      <w:color w:val="auto"/>
                      <w:szCs w:val="21"/>
                      <w:highlight w:val="none"/>
                    </w:rPr>
                    <w:t>环境影响途径及危害后果（大气、地表水、地下水等）</w:t>
                  </w:r>
                </w:p>
              </w:tc>
              <w:tc>
                <w:tcPr>
                  <w:tcW w:w="4148" w:type="pct"/>
                  <w:gridSpan w:val="5"/>
                  <w:vAlign w:val="center"/>
                </w:tcPr>
                <w:p w14:paraId="497ED489">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①对环境空气的环境风险分析</w:t>
                  </w:r>
                </w:p>
                <w:p w14:paraId="059C0BDA">
                  <w:pPr>
                    <w:keepNext w:val="0"/>
                    <w:keepLines w:val="0"/>
                    <w:suppressLineNumbers w:val="0"/>
                    <w:adjustRightInd w:val="0"/>
                    <w:snapToGrid w:val="0"/>
                    <w:spacing w:before="0" w:beforeAutospacing="0" w:after="0" w:afterAutospacing="0" w:line="276" w:lineRule="auto"/>
                    <w:ind w:left="0" w:right="0" w:firstLine="420" w:firstLineChars="200"/>
                    <w:rPr>
                      <w:rFonts w:hint="eastAsia" w:hAnsi="宋体" w:eastAsiaTheme="minorEastAsia"/>
                      <w:color w:val="auto"/>
                      <w:szCs w:val="21"/>
                      <w:highlight w:val="none"/>
                      <w:lang w:eastAsia="zh-CN"/>
                    </w:rPr>
                  </w:pPr>
                  <w:r>
                    <w:rPr>
                      <w:rFonts w:hAnsi="宋体"/>
                      <w:color w:val="auto"/>
                      <w:szCs w:val="21"/>
                      <w:highlight w:val="none"/>
                    </w:rPr>
                    <w:t>危废仓库内废润滑油</w:t>
                  </w:r>
                  <w:r>
                    <w:rPr>
                      <w:rFonts w:hint="eastAsia" w:hAnsi="宋体"/>
                      <w:color w:val="auto"/>
                      <w:szCs w:val="21"/>
                      <w:highlight w:val="none"/>
                      <w:lang w:eastAsia="zh-CN"/>
                    </w:rPr>
                    <w:t>、</w:t>
                  </w:r>
                  <w:r>
                    <w:rPr>
                      <w:rFonts w:hint="eastAsia"/>
                      <w:color w:val="auto"/>
                      <w:lang w:eastAsia="zh-CN"/>
                    </w:rPr>
                    <w:t>废切削液</w:t>
                  </w:r>
                  <w:r>
                    <w:rPr>
                      <w:rFonts w:hint="eastAsia"/>
                      <w:color w:val="auto"/>
                      <w:lang w:val="en-US" w:eastAsia="zh-CN"/>
                    </w:rPr>
                    <w:t>等液态危废或仓库内</w:t>
                  </w:r>
                  <w:r>
                    <w:rPr>
                      <w:rFonts w:hAnsi="宋体"/>
                      <w:color w:val="auto"/>
                      <w:szCs w:val="21"/>
                      <w:highlight w:val="none"/>
                    </w:rPr>
                    <w:t>润滑油</w:t>
                  </w:r>
                  <w:r>
                    <w:rPr>
                      <w:rFonts w:hint="eastAsia" w:hAnsi="宋体"/>
                      <w:color w:val="auto"/>
                      <w:szCs w:val="21"/>
                      <w:highlight w:val="none"/>
                      <w:lang w:eastAsia="zh-CN"/>
                    </w:rPr>
                    <w:t>、</w:t>
                  </w:r>
                  <w:r>
                    <w:rPr>
                      <w:rFonts w:hint="eastAsia"/>
                      <w:color w:val="auto"/>
                      <w:lang w:eastAsia="zh-CN"/>
                    </w:rPr>
                    <w:t>切削液</w:t>
                  </w:r>
                  <w:r>
                    <w:rPr>
                      <w:rFonts w:hint="eastAsia"/>
                      <w:color w:val="auto"/>
                      <w:lang w:val="en-US" w:eastAsia="zh-CN"/>
                    </w:rPr>
                    <w:t>等液态物料</w:t>
                  </w:r>
                  <w:r>
                    <w:rPr>
                      <w:rFonts w:hAnsi="宋体"/>
                      <w:color w:val="auto"/>
                      <w:szCs w:val="21"/>
                      <w:highlight w:val="none"/>
                    </w:rPr>
                    <w:t>若泄</w:t>
                  </w:r>
                  <w:r>
                    <w:rPr>
                      <w:rFonts w:hint="eastAsia" w:hAnsi="宋体"/>
                      <w:color w:val="auto"/>
                      <w:szCs w:val="21"/>
                      <w:highlight w:val="none"/>
                    </w:rPr>
                    <w:t>漏</w:t>
                  </w:r>
                  <w:r>
                    <w:rPr>
                      <w:rFonts w:hAnsi="宋体"/>
                      <w:color w:val="auto"/>
                      <w:szCs w:val="21"/>
                      <w:highlight w:val="none"/>
                    </w:rPr>
                    <w:t>，其物料以液态形式泄漏到地面形成液池，并在液池表面气流运动作用下部分蒸发进入大气，废润滑油</w:t>
                  </w:r>
                  <w:r>
                    <w:rPr>
                      <w:rFonts w:hint="eastAsia" w:hAnsi="宋体"/>
                      <w:color w:val="auto"/>
                      <w:szCs w:val="21"/>
                      <w:highlight w:val="none"/>
                      <w:lang w:eastAsia="zh-CN"/>
                    </w:rPr>
                    <w:t>、</w:t>
                  </w:r>
                  <w:r>
                    <w:rPr>
                      <w:rFonts w:hint="eastAsia"/>
                      <w:color w:val="auto"/>
                      <w:lang w:eastAsia="zh-CN"/>
                    </w:rPr>
                    <w:t>废切削液</w:t>
                  </w:r>
                  <w:r>
                    <w:rPr>
                      <w:rFonts w:hAnsi="宋体"/>
                      <w:color w:val="auto"/>
                      <w:szCs w:val="21"/>
                      <w:highlight w:val="none"/>
                    </w:rPr>
                    <w:t>等发生燃烧事故时，燃烧次生的</w:t>
                  </w:r>
                  <w:r>
                    <w:rPr>
                      <w:color w:val="auto"/>
                      <w:szCs w:val="21"/>
                      <w:highlight w:val="none"/>
                    </w:rPr>
                    <w:t>CO</w:t>
                  </w:r>
                  <w:r>
                    <w:rPr>
                      <w:rFonts w:hAnsi="宋体"/>
                      <w:color w:val="auto"/>
                      <w:szCs w:val="21"/>
                      <w:highlight w:val="none"/>
                    </w:rPr>
                    <w:t>等气体将通过大气扩散</w:t>
                  </w:r>
                  <w:r>
                    <w:rPr>
                      <w:rFonts w:hint="eastAsia" w:hAnsi="宋体"/>
                      <w:color w:val="auto"/>
                      <w:szCs w:val="21"/>
                      <w:highlight w:val="none"/>
                      <w:lang w:eastAsia="zh-CN"/>
                    </w:rPr>
                    <w:t>。</w:t>
                  </w:r>
                </w:p>
                <w:p w14:paraId="7C2F57C8">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活性炭有机废气</w:t>
                  </w:r>
                  <w:r>
                    <w:rPr>
                      <w:rFonts w:hint="eastAsia" w:hAnsi="宋体"/>
                      <w:color w:val="auto"/>
                      <w:szCs w:val="21"/>
                      <w:highlight w:val="none"/>
                      <w:lang w:val="en-US" w:eastAsia="zh-CN"/>
                    </w:rPr>
                    <w:t>富集，或布袋除尘器</w:t>
                  </w:r>
                  <w:r>
                    <w:rPr>
                      <w:rFonts w:hAnsi="宋体"/>
                      <w:color w:val="auto"/>
                      <w:szCs w:val="21"/>
                      <w:highlight w:val="none"/>
                    </w:rPr>
                    <w:t>长期未更换，</w:t>
                  </w:r>
                  <w:r>
                    <w:rPr>
                      <w:rFonts w:hint="eastAsia" w:hAnsi="宋体"/>
                      <w:color w:val="auto"/>
                      <w:szCs w:val="21"/>
                      <w:highlight w:val="none"/>
                      <w:lang w:val="en-US" w:eastAsia="zh-CN"/>
                    </w:rPr>
                    <w:t>粉尘</w:t>
                  </w:r>
                  <w:r>
                    <w:rPr>
                      <w:rFonts w:hAnsi="宋体"/>
                      <w:color w:val="auto"/>
                      <w:szCs w:val="21"/>
                      <w:highlight w:val="none"/>
                    </w:rPr>
                    <w:t>达到爆炸极限，引发火灾爆炸事故，进而危害周边人群健康</w:t>
                  </w:r>
                  <w:r>
                    <w:rPr>
                      <w:rFonts w:hint="eastAsia" w:hAnsi="宋体"/>
                      <w:color w:val="auto"/>
                      <w:szCs w:val="21"/>
                      <w:highlight w:val="none"/>
                      <w:lang w:eastAsia="zh-CN"/>
                    </w:rPr>
                    <w:t>。</w:t>
                  </w:r>
                </w:p>
                <w:p w14:paraId="31EE6AF2">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②对地表水的环境风险分析</w:t>
                  </w:r>
                </w:p>
                <w:p w14:paraId="719359E7">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厂区发生火灾产生的消防尾水会对地表水产生影响。危险废物贮存量不大，发生火灾的可能性较小。</w:t>
                  </w:r>
                </w:p>
                <w:p w14:paraId="036F14E6">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③对地下水的环境风险分析</w:t>
                  </w:r>
                </w:p>
                <w:p w14:paraId="4B6AB323">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由于区域地下水潜水层含水层渗透系数较小，水力坡度较小，水流速度缓慢，污染物扩散及弥散作用相对缓慢，</w:t>
                  </w:r>
                  <w:r>
                    <w:rPr>
                      <w:rFonts w:hint="eastAsia" w:hAnsi="宋体"/>
                      <w:color w:val="auto"/>
                      <w:szCs w:val="21"/>
                      <w:highlight w:val="none"/>
                      <w:lang w:eastAsia="zh-CN"/>
                    </w:rPr>
                    <w:t>因此</w:t>
                  </w:r>
                  <w:r>
                    <w:rPr>
                      <w:rFonts w:hAnsi="宋体"/>
                      <w:color w:val="auto"/>
                      <w:szCs w:val="21"/>
                      <w:highlight w:val="none"/>
                    </w:rPr>
                    <w:t>污染物对下游方向的地下水影响较小。</w:t>
                  </w:r>
                </w:p>
              </w:tc>
            </w:tr>
            <w:tr w14:paraId="4806E760">
              <w:trPr>
                <w:trHeight w:val="340" w:hRule="atLeast"/>
              </w:trPr>
              <w:tc>
                <w:tcPr>
                  <w:tcW w:w="851" w:type="pct"/>
                  <w:vAlign w:val="center"/>
                </w:tcPr>
                <w:p w14:paraId="6297FC56">
                  <w:pPr>
                    <w:keepNext w:val="0"/>
                    <w:keepLines w:val="0"/>
                    <w:suppressLineNumbers w:val="0"/>
                    <w:adjustRightInd w:val="0"/>
                    <w:snapToGrid w:val="0"/>
                    <w:spacing w:before="0" w:beforeLines="50" w:beforeAutospacing="0" w:after="0" w:afterAutospacing="0" w:line="276" w:lineRule="auto"/>
                    <w:ind w:left="0" w:right="0"/>
                    <w:jc w:val="center"/>
                    <w:rPr>
                      <w:color w:val="auto"/>
                      <w:szCs w:val="21"/>
                      <w:highlight w:val="none"/>
                    </w:rPr>
                  </w:pPr>
                  <w:r>
                    <w:rPr>
                      <w:rFonts w:hAnsi="宋体"/>
                      <w:color w:val="auto"/>
                      <w:szCs w:val="21"/>
                      <w:highlight w:val="none"/>
                    </w:rPr>
                    <w:t>风险防范措施要求</w:t>
                  </w:r>
                </w:p>
              </w:tc>
              <w:tc>
                <w:tcPr>
                  <w:tcW w:w="4148" w:type="pct"/>
                  <w:gridSpan w:val="5"/>
                  <w:vAlign w:val="center"/>
                </w:tcPr>
                <w:p w14:paraId="73A887D1">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①泄漏</w:t>
                  </w:r>
                </w:p>
                <w:p w14:paraId="0449B0AD">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危废仓库设置导流沟及收集槽收集泄漏物料，配备</w:t>
                  </w:r>
                  <w:r>
                    <w:rPr>
                      <w:rFonts w:hint="eastAsia" w:hAnsi="宋体"/>
                      <w:color w:val="auto"/>
                      <w:szCs w:val="21"/>
                      <w:highlight w:val="none"/>
                      <w:lang w:eastAsia="zh-CN"/>
                    </w:rPr>
                    <w:t>消防砂</w:t>
                  </w:r>
                  <w:r>
                    <w:rPr>
                      <w:rFonts w:hAnsi="宋体"/>
                      <w:color w:val="auto"/>
                      <w:szCs w:val="21"/>
                      <w:highlight w:val="none"/>
                    </w:rPr>
                    <w:t>覆盖泄漏物减少蒸发，配备无火花收容工具收纳泄漏物料；生产车间活性炭定期更换，按照排污规范进行例行监测，减少异常排放概率；</w:t>
                  </w:r>
                </w:p>
                <w:p w14:paraId="5A6E6ED0">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p w14:paraId="749C9F27">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②火灾</w:t>
                  </w:r>
                </w:p>
                <w:p w14:paraId="5B32056F">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废活性炭应储存于阴凉、通风的库房。远离火种、热源。采用防爆型照明、通风设施。禁止使用易产生火花的机械设备和工具。储区应备有泄漏应急处理设备。</w:t>
                  </w:r>
                </w:p>
                <w:p w14:paraId="0C129025">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使用过程中远离火种、热源，工作场所严禁吸烟。使用防爆型的通风系统和设备。防止气体泄漏到工作场所空气中。在传送过程中，钢瓶必须接地和跨接，防止产生静电。搬运时轻装轻卸，防止钢瓶及附件破损。</w:t>
                  </w:r>
                </w:p>
                <w:p w14:paraId="0B39DECA">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各区域按规范设置灭火器、消防设施并定期检查维护。</w:t>
                  </w:r>
                </w:p>
                <w:p w14:paraId="4D9A3B2F">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发生火灾时切断气源。若不能切断气源，则不允许熄灭泄漏处的火焰。喷水冷却容器，可能的话将容器从火场移至空旷处。灭火剂：雾状水、泡沫、二氧化碳、干粉。</w:t>
                  </w:r>
                </w:p>
              </w:tc>
            </w:tr>
            <w:tr w14:paraId="51AF946B">
              <w:trPr>
                <w:trHeight w:val="340" w:hRule="atLeast"/>
              </w:trPr>
              <w:tc>
                <w:tcPr>
                  <w:tcW w:w="851" w:type="pct"/>
                  <w:vAlign w:val="center"/>
                </w:tcPr>
                <w:p w14:paraId="67A69490">
                  <w:pPr>
                    <w:keepNext w:val="0"/>
                    <w:keepLines w:val="0"/>
                    <w:suppressLineNumbers w:val="0"/>
                    <w:adjustRightInd w:val="0"/>
                    <w:snapToGrid w:val="0"/>
                    <w:spacing w:before="0" w:beforeLines="50" w:beforeAutospacing="0" w:after="0" w:afterAutospacing="0" w:line="276" w:lineRule="auto"/>
                    <w:ind w:left="0" w:right="0"/>
                    <w:jc w:val="center"/>
                    <w:rPr>
                      <w:color w:val="auto"/>
                      <w:szCs w:val="21"/>
                      <w:highlight w:val="none"/>
                    </w:rPr>
                  </w:pPr>
                  <w:r>
                    <w:rPr>
                      <w:rFonts w:hAnsi="宋体"/>
                      <w:color w:val="auto"/>
                      <w:szCs w:val="21"/>
                      <w:highlight w:val="none"/>
                    </w:rPr>
                    <w:t>填表说明</w:t>
                  </w:r>
                </w:p>
                <w:p w14:paraId="66D268A7">
                  <w:pPr>
                    <w:keepNext w:val="0"/>
                    <w:keepLines w:val="0"/>
                    <w:suppressLineNumbers w:val="0"/>
                    <w:adjustRightInd w:val="0"/>
                    <w:snapToGrid w:val="0"/>
                    <w:spacing w:before="0" w:beforeLines="50" w:beforeAutospacing="0" w:after="0" w:afterAutospacing="0" w:line="276" w:lineRule="auto"/>
                    <w:ind w:left="0" w:right="0"/>
                    <w:jc w:val="center"/>
                    <w:rPr>
                      <w:color w:val="auto"/>
                      <w:szCs w:val="21"/>
                      <w:highlight w:val="none"/>
                    </w:rPr>
                  </w:pPr>
                  <w:r>
                    <w:rPr>
                      <w:rFonts w:hAnsi="宋体"/>
                      <w:color w:val="auto"/>
                      <w:szCs w:val="21"/>
                      <w:highlight w:val="none"/>
                    </w:rPr>
                    <w:t>（列出项目相关信息及评价说明）：</w:t>
                  </w:r>
                </w:p>
              </w:tc>
              <w:tc>
                <w:tcPr>
                  <w:tcW w:w="4148" w:type="pct"/>
                  <w:gridSpan w:val="5"/>
                  <w:vAlign w:val="center"/>
                </w:tcPr>
                <w:p w14:paraId="0D10AB9C">
                  <w:pPr>
                    <w:keepNext w:val="0"/>
                    <w:keepLines w:val="0"/>
                    <w:suppressLineNumbers w:val="0"/>
                    <w:adjustRightInd w:val="0"/>
                    <w:snapToGrid w:val="0"/>
                    <w:spacing w:before="0" w:beforeAutospacing="0" w:after="0" w:afterAutospacing="0" w:line="276" w:lineRule="auto"/>
                    <w:ind w:left="0" w:right="0" w:firstLine="420" w:firstLineChars="200"/>
                    <w:rPr>
                      <w:rFonts w:hAnsi="宋体"/>
                      <w:color w:val="auto"/>
                      <w:szCs w:val="21"/>
                      <w:highlight w:val="none"/>
                    </w:rPr>
                  </w:pPr>
                  <w:r>
                    <w:rPr>
                      <w:rFonts w:hint="eastAsia" w:hAnsi="宋体"/>
                      <w:color w:val="auto"/>
                      <w:szCs w:val="21"/>
                      <w:highlight w:val="none"/>
                      <w:lang w:eastAsia="zh-CN"/>
                    </w:rPr>
                    <w:t>淮安奥凯精密工业有限公司</w:t>
                  </w:r>
                  <w:r>
                    <w:rPr>
                      <w:rFonts w:hAnsi="宋体"/>
                      <w:color w:val="auto"/>
                      <w:szCs w:val="21"/>
                      <w:highlight w:val="none"/>
                    </w:rPr>
                    <w:t>位于</w:t>
                  </w:r>
                  <w:r>
                    <w:rPr>
                      <w:rFonts w:hint="eastAsia" w:hAnsi="宋体"/>
                      <w:color w:val="auto"/>
                      <w:szCs w:val="21"/>
                      <w:highlight w:val="none"/>
                      <w:lang w:eastAsia="zh-CN"/>
                    </w:rPr>
                    <w:t>江苏省淮安市涟水县经济开发区模架产业园北侧、科佳五轴机床东侧</w:t>
                  </w:r>
                  <w:r>
                    <w:rPr>
                      <w:rFonts w:hAnsi="宋体"/>
                      <w:color w:val="auto"/>
                      <w:szCs w:val="21"/>
                      <w:highlight w:val="none"/>
                    </w:rPr>
                    <w:t>，</w:t>
                  </w:r>
                  <w:r>
                    <w:rPr>
                      <w:rFonts w:hAnsi="宋体"/>
                      <w:color w:val="auto"/>
                      <w:sz w:val="21"/>
                      <w:szCs w:val="21"/>
                      <w:highlight w:val="none"/>
                    </w:rPr>
                    <w:t>投资</w:t>
                  </w:r>
                  <w:r>
                    <w:rPr>
                      <w:rFonts w:hint="eastAsia" w:hAnsi="宋体"/>
                      <w:color w:val="auto"/>
                      <w:sz w:val="21"/>
                      <w:szCs w:val="21"/>
                      <w:highlight w:val="none"/>
                      <w:lang w:val="en-US" w:eastAsia="zh-CN"/>
                    </w:rPr>
                    <w:t>38</w:t>
                  </w:r>
                  <w:r>
                    <w:rPr>
                      <w:rFonts w:hint="eastAsia" w:hAnsi="宋体"/>
                      <w:color w:val="auto"/>
                      <w:sz w:val="21"/>
                      <w:szCs w:val="21"/>
                      <w:highlight w:val="none"/>
                    </w:rPr>
                    <w:t>000</w:t>
                  </w:r>
                  <w:r>
                    <w:rPr>
                      <w:rFonts w:hAnsi="宋体"/>
                      <w:color w:val="auto"/>
                      <w:sz w:val="21"/>
                      <w:szCs w:val="21"/>
                      <w:highlight w:val="none"/>
                    </w:rPr>
                    <w:t>万元，建设</w:t>
                  </w:r>
                  <w:r>
                    <w:rPr>
                      <w:rFonts w:hint="eastAsia" w:hAnsi="宋体"/>
                      <w:color w:val="auto"/>
                      <w:sz w:val="21"/>
                      <w:szCs w:val="21"/>
                      <w:highlight w:val="none"/>
                      <w:lang w:eastAsia="zh-CN"/>
                    </w:rPr>
                    <w:t>淮安奥凯精密工业有限公司智能整机设备项目</w:t>
                  </w:r>
                  <w:r>
                    <w:rPr>
                      <w:rFonts w:hAnsi="宋体"/>
                      <w:color w:val="auto"/>
                      <w:sz w:val="21"/>
                      <w:szCs w:val="21"/>
                      <w:highlight w:val="none"/>
                    </w:rPr>
                    <w:t>，项目于202</w:t>
                  </w:r>
                  <w:r>
                    <w:rPr>
                      <w:rFonts w:hint="eastAsia" w:hAnsi="宋体"/>
                      <w:color w:val="auto"/>
                      <w:sz w:val="21"/>
                      <w:szCs w:val="21"/>
                      <w:highlight w:val="none"/>
                    </w:rPr>
                    <w:t>4</w:t>
                  </w:r>
                  <w:r>
                    <w:rPr>
                      <w:rFonts w:hAnsi="宋体"/>
                      <w:color w:val="auto"/>
                      <w:sz w:val="21"/>
                      <w:szCs w:val="21"/>
                      <w:highlight w:val="none"/>
                    </w:rPr>
                    <w:t>年</w:t>
                  </w:r>
                  <w:r>
                    <w:rPr>
                      <w:rFonts w:hint="eastAsia" w:hAnsi="宋体"/>
                      <w:color w:val="auto"/>
                      <w:sz w:val="21"/>
                      <w:szCs w:val="21"/>
                      <w:highlight w:val="none"/>
                      <w:lang w:val="en-US" w:eastAsia="zh-CN"/>
                    </w:rPr>
                    <w:t>6</w:t>
                  </w:r>
                  <w:r>
                    <w:rPr>
                      <w:rFonts w:hAnsi="宋体"/>
                      <w:color w:val="auto"/>
                      <w:sz w:val="21"/>
                      <w:szCs w:val="21"/>
                      <w:highlight w:val="none"/>
                    </w:rPr>
                    <w:t>月取得</w:t>
                  </w:r>
                  <w:r>
                    <w:rPr>
                      <w:rFonts w:hint="eastAsia" w:hAnsi="宋体"/>
                      <w:color w:val="auto"/>
                      <w:sz w:val="21"/>
                      <w:szCs w:val="21"/>
                      <w:highlight w:val="none"/>
                    </w:rPr>
                    <w:t>江苏涟水经济开发区管理委员会</w:t>
                  </w:r>
                  <w:r>
                    <w:rPr>
                      <w:rFonts w:hAnsi="宋体"/>
                      <w:color w:val="auto"/>
                      <w:sz w:val="21"/>
                      <w:szCs w:val="21"/>
                      <w:highlight w:val="none"/>
                    </w:rPr>
                    <w:t>备案，项目代码</w:t>
                  </w:r>
                  <w:r>
                    <w:rPr>
                      <w:rFonts w:hint="eastAsia" w:hAnsi="宋体"/>
                      <w:color w:val="auto"/>
                      <w:sz w:val="21"/>
                      <w:szCs w:val="21"/>
                      <w:highlight w:val="none"/>
                      <w:lang w:eastAsia="zh-CN"/>
                    </w:rPr>
                    <w:t>：</w:t>
                  </w:r>
                  <w:r>
                    <w:rPr>
                      <w:rFonts w:hint="eastAsia"/>
                      <w:color w:val="auto"/>
                      <w:sz w:val="21"/>
                      <w:szCs w:val="21"/>
                      <w:highlight w:val="none"/>
                    </w:rPr>
                    <w:t>2406-320860-89-01-398061</w:t>
                  </w:r>
                  <w:r>
                    <w:rPr>
                      <w:rFonts w:hAnsi="宋体"/>
                      <w:color w:val="auto"/>
                      <w:sz w:val="21"/>
                      <w:szCs w:val="21"/>
                      <w:highlight w:val="none"/>
                    </w:rPr>
                    <w:t>。</w:t>
                  </w:r>
                  <w:r>
                    <w:rPr>
                      <w:rFonts w:hAnsi="宋体"/>
                      <w:color w:val="auto"/>
                      <w:szCs w:val="21"/>
                      <w:highlight w:val="none"/>
                    </w:rPr>
                    <w:t>项目建成后</w:t>
                  </w:r>
                  <w:r>
                    <w:rPr>
                      <w:rFonts w:hint="eastAsia" w:hAnsi="宋体"/>
                      <w:color w:val="auto"/>
                      <w:szCs w:val="21"/>
                      <w:highlight w:val="none"/>
                    </w:rPr>
                    <w:t>形成年产1000</w:t>
                  </w:r>
                  <w:r>
                    <w:rPr>
                      <w:rFonts w:hint="eastAsia" w:hAnsi="宋体"/>
                      <w:color w:val="auto"/>
                      <w:szCs w:val="21"/>
                      <w:highlight w:val="none"/>
                      <w:lang w:val="en-US" w:eastAsia="zh-CN"/>
                    </w:rPr>
                    <w:t>台</w:t>
                  </w:r>
                  <w:r>
                    <w:rPr>
                      <w:rFonts w:hint="eastAsia" w:hAnsi="宋体"/>
                      <w:color w:val="auto"/>
                      <w:szCs w:val="21"/>
                      <w:highlight w:val="none"/>
                    </w:rPr>
                    <w:t>套智能</w:t>
                  </w:r>
                  <w:r>
                    <w:rPr>
                      <w:rFonts w:hint="eastAsia" w:hAnsi="宋体"/>
                      <w:color w:val="auto"/>
                      <w:szCs w:val="21"/>
                      <w:highlight w:val="none"/>
                      <w:lang w:val="en-US" w:eastAsia="zh-CN"/>
                    </w:rPr>
                    <w:t>整机设备的</w:t>
                  </w:r>
                  <w:r>
                    <w:rPr>
                      <w:rFonts w:hint="eastAsia" w:hAnsi="宋体"/>
                      <w:color w:val="auto"/>
                      <w:szCs w:val="21"/>
                      <w:highlight w:val="none"/>
                    </w:rPr>
                    <w:t>生产规模</w:t>
                  </w:r>
                  <w:r>
                    <w:rPr>
                      <w:rFonts w:hAnsi="宋体"/>
                      <w:color w:val="auto"/>
                      <w:szCs w:val="21"/>
                      <w:highlight w:val="none"/>
                    </w:rPr>
                    <w:t>。本项目不涉及风险导则附录C表C.1中的危险工艺，只涉及危险物质的贮存，Q＜1。</w:t>
                  </w:r>
                </w:p>
                <w:p w14:paraId="03CB2DD7">
                  <w:pPr>
                    <w:keepNext w:val="0"/>
                    <w:keepLines w:val="0"/>
                    <w:suppressLineNumbers w:val="0"/>
                    <w:adjustRightInd w:val="0"/>
                    <w:snapToGrid w:val="0"/>
                    <w:spacing w:before="0" w:beforeAutospacing="0" w:after="0" w:afterAutospacing="0" w:line="276" w:lineRule="auto"/>
                    <w:ind w:left="0" w:right="0" w:firstLine="420" w:firstLineChars="200"/>
                    <w:rPr>
                      <w:rFonts w:hAnsi="宋体"/>
                      <w:color w:val="auto"/>
                      <w:szCs w:val="21"/>
                      <w:highlight w:val="none"/>
                    </w:rPr>
                  </w:pPr>
                  <w:r>
                    <w:rPr>
                      <w:rFonts w:hAnsi="宋体"/>
                      <w:color w:val="auto"/>
                      <w:szCs w:val="21"/>
                      <w:highlight w:val="none"/>
                    </w:rPr>
                    <w:t>本项目采用成熟可靠的工艺和设备，但在运营期间存在一定的环境风险，建设单位在加强管理，建立健全相应的风险防范管理、应急措施，并在设计、施工、管理及运行中认真落实安全评估报</w:t>
                  </w:r>
                  <w:r>
                    <w:rPr>
                      <w:rFonts w:hint="eastAsia" w:hAnsi="宋体"/>
                      <w:color w:val="auto"/>
                      <w:szCs w:val="21"/>
                      <w:highlight w:val="none"/>
                      <w:lang w:eastAsia="zh-CN"/>
                    </w:rPr>
                    <w:t>告中</w:t>
                  </w:r>
                  <w:r>
                    <w:rPr>
                      <w:rFonts w:hAnsi="宋体"/>
                      <w:color w:val="auto"/>
                      <w:szCs w:val="21"/>
                      <w:highlight w:val="none"/>
                    </w:rPr>
                    <w:t>提出的措施和相关安全管理规定、环境风险评价中提出的措施和相关环保规定，在得到生态环境管理部门许可后再运营，严格遵守各项安全操作规程、制度和落实风险评价要求的防范措施之后，项目营运期风险是可接受的。</w:t>
                  </w:r>
                </w:p>
              </w:tc>
            </w:tr>
          </w:tbl>
          <w:p w14:paraId="42A070DF">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sz w:val="24"/>
                <w:highlight w:val="none"/>
              </w:rPr>
            </w:pPr>
            <w:r>
              <w:rPr>
                <w:b/>
                <w:color w:val="auto"/>
                <w:sz w:val="24"/>
                <w:highlight w:val="none"/>
              </w:rPr>
              <w:t>7.“</w:t>
            </w:r>
            <w:r>
              <w:rPr>
                <w:rFonts w:hAnsi="宋体"/>
                <w:b/>
                <w:color w:val="auto"/>
                <w:sz w:val="24"/>
                <w:highlight w:val="none"/>
              </w:rPr>
              <w:t>三同时</w:t>
            </w:r>
            <w:r>
              <w:rPr>
                <w:b/>
                <w:color w:val="auto"/>
                <w:sz w:val="24"/>
                <w:highlight w:val="none"/>
              </w:rPr>
              <w:t>”</w:t>
            </w:r>
            <w:r>
              <w:rPr>
                <w:rFonts w:hAnsi="宋体"/>
                <w:b/>
                <w:color w:val="auto"/>
                <w:sz w:val="24"/>
                <w:highlight w:val="none"/>
              </w:rPr>
              <w:t>验收</w:t>
            </w:r>
          </w:p>
          <w:p w14:paraId="07601B9D">
            <w:pPr>
              <w:keepNext w:val="0"/>
              <w:keepLines w:val="0"/>
              <w:suppressLineNumbers w:val="0"/>
              <w:adjustRightInd w:val="0"/>
              <w:snapToGrid w:val="0"/>
              <w:spacing w:before="0" w:beforeAutospacing="0" w:after="0" w:afterAutospacing="0" w:line="360" w:lineRule="auto"/>
              <w:ind w:left="0" w:right="145" w:rightChars="69" w:firstLine="720" w:firstLineChars="300"/>
              <w:rPr>
                <w:color w:val="auto"/>
                <w:sz w:val="24"/>
                <w:highlight w:val="none"/>
              </w:rPr>
            </w:pPr>
            <w:r>
              <w:rPr>
                <w:rFonts w:hAnsi="宋体"/>
                <w:color w:val="auto"/>
                <w:sz w:val="24"/>
                <w:highlight w:val="none"/>
              </w:rPr>
              <w:t>项目环保</w:t>
            </w:r>
            <w:r>
              <w:rPr>
                <w:color w:val="auto"/>
                <w:sz w:val="24"/>
                <w:highlight w:val="none"/>
              </w:rPr>
              <w:t>“</w:t>
            </w:r>
            <w:r>
              <w:rPr>
                <w:rFonts w:hAnsi="宋体"/>
                <w:color w:val="auto"/>
                <w:sz w:val="24"/>
                <w:highlight w:val="none"/>
              </w:rPr>
              <w:t>三同时</w:t>
            </w:r>
            <w:r>
              <w:rPr>
                <w:color w:val="auto"/>
                <w:sz w:val="24"/>
                <w:highlight w:val="none"/>
              </w:rPr>
              <w:t>”</w:t>
            </w:r>
            <w:r>
              <w:rPr>
                <w:rFonts w:hAnsi="宋体"/>
                <w:color w:val="auto"/>
                <w:sz w:val="24"/>
                <w:highlight w:val="none"/>
              </w:rPr>
              <w:t>验收情况见表</w:t>
            </w:r>
            <w:r>
              <w:rPr>
                <w:color w:val="auto"/>
                <w:sz w:val="24"/>
                <w:highlight w:val="none"/>
              </w:rPr>
              <w:t>4-2</w:t>
            </w:r>
            <w:r>
              <w:rPr>
                <w:rFonts w:hint="eastAsia"/>
                <w:color w:val="auto"/>
                <w:sz w:val="24"/>
                <w:highlight w:val="none"/>
                <w:lang w:val="en-US" w:eastAsia="zh-CN"/>
              </w:rPr>
              <w:t>7</w:t>
            </w:r>
            <w:r>
              <w:rPr>
                <w:rFonts w:hAnsi="宋体"/>
                <w:color w:val="auto"/>
                <w:sz w:val="24"/>
                <w:highlight w:val="none"/>
              </w:rPr>
              <w:t>。</w:t>
            </w:r>
          </w:p>
          <w:p w14:paraId="05DC68D0">
            <w:pPr>
              <w:keepNext w:val="0"/>
              <w:keepLines w:val="0"/>
              <w:suppressLineNumbers w:val="0"/>
              <w:adjustRightInd w:val="0"/>
              <w:snapToGrid w:val="0"/>
              <w:spacing w:before="0" w:beforeAutospacing="0" w:after="0" w:afterAutospacing="0"/>
              <w:ind w:left="0" w:right="145" w:rightChars="69"/>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rPr>
              <w:t>2</w:t>
            </w:r>
            <w:r>
              <w:rPr>
                <w:rFonts w:hint="eastAsia"/>
                <w:b/>
                <w:color w:val="auto"/>
                <w:sz w:val="24"/>
                <w:highlight w:val="none"/>
                <w:lang w:val="en-US" w:eastAsia="zh-CN"/>
              </w:rPr>
              <w:t>7</w:t>
            </w:r>
            <w:r>
              <w:rPr>
                <w:rFonts w:hint="eastAsia"/>
                <w:b/>
                <w:color w:val="auto"/>
                <w:sz w:val="24"/>
                <w:highlight w:val="none"/>
              </w:rPr>
              <w:t xml:space="preserve"> </w:t>
            </w:r>
            <w:r>
              <w:rPr>
                <w:rFonts w:hAnsi="宋体"/>
                <w:b/>
                <w:color w:val="auto"/>
                <w:sz w:val="24"/>
                <w:highlight w:val="none"/>
              </w:rPr>
              <w:t>项目环保</w:t>
            </w:r>
            <w:r>
              <w:rPr>
                <w:b/>
                <w:color w:val="auto"/>
                <w:sz w:val="24"/>
                <w:highlight w:val="none"/>
              </w:rPr>
              <w:t>“</w:t>
            </w:r>
            <w:r>
              <w:rPr>
                <w:rFonts w:hAnsi="宋体"/>
                <w:b/>
                <w:color w:val="auto"/>
                <w:sz w:val="24"/>
                <w:highlight w:val="none"/>
              </w:rPr>
              <w:t>三同时</w:t>
            </w:r>
            <w:r>
              <w:rPr>
                <w:b/>
                <w:color w:val="auto"/>
                <w:sz w:val="24"/>
                <w:highlight w:val="none"/>
              </w:rPr>
              <w:t>”</w:t>
            </w:r>
            <w:r>
              <w:rPr>
                <w:rFonts w:hAnsi="宋体"/>
                <w:b/>
                <w:color w:val="auto"/>
                <w:sz w:val="24"/>
                <w:highlight w:val="none"/>
              </w:rPr>
              <w:t>验收一览表</w:t>
            </w:r>
          </w:p>
          <w:tbl>
            <w:tblPr>
              <w:tblStyle w:val="8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2"/>
              <w:gridCol w:w="696"/>
              <w:gridCol w:w="2785"/>
              <w:gridCol w:w="785"/>
              <w:gridCol w:w="799"/>
              <w:gridCol w:w="640"/>
              <w:gridCol w:w="562"/>
              <w:gridCol w:w="1101"/>
              <w:gridCol w:w="533"/>
            </w:tblGrid>
            <w:tr w14:paraId="07D5D7B7">
              <w:trPr>
                <w:trHeight w:val="340" w:hRule="atLeast"/>
                <w:jc w:val="center"/>
              </w:trPr>
              <w:tc>
                <w:tcPr>
                  <w:tcW w:w="195" w:type="pct"/>
                  <w:tcBorders>
                    <w:top w:val="single" w:color="auto" w:sz="12" w:space="0"/>
                    <w:left w:val="nil"/>
                  </w:tcBorders>
                  <w:vAlign w:val="center"/>
                </w:tcPr>
                <w:p w14:paraId="4AF3C13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污染源</w:t>
                  </w:r>
                </w:p>
              </w:tc>
              <w:tc>
                <w:tcPr>
                  <w:tcW w:w="423" w:type="pct"/>
                  <w:tcBorders>
                    <w:top w:val="single" w:color="auto" w:sz="12" w:space="0"/>
                  </w:tcBorders>
                  <w:vAlign w:val="center"/>
                </w:tcPr>
                <w:p w14:paraId="0170F99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环保设施</w:t>
                  </w:r>
                </w:p>
                <w:p w14:paraId="4B1B42A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名称</w:t>
                  </w:r>
                </w:p>
              </w:tc>
              <w:tc>
                <w:tcPr>
                  <w:tcW w:w="1693" w:type="pct"/>
                  <w:tcBorders>
                    <w:top w:val="single" w:color="auto" w:sz="12" w:space="0"/>
                  </w:tcBorders>
                  <w:vAlign w:val="center"/>
                </w:tcPr>
                <w:p w14:paraId="103586B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环保设施内容</w:t>
                  </w:r>
                </w:p>
              </w:tc>
              <w:tc>
                <w:tcPr>
                  <w:tcW w:w="477" w:type="pct"/>
                  <w:tcBorders>
                    <w:top w:val="single" w:color="auto" w:sz="12" w:space="0"/>
                  </w:tcBorders>
                  <w:vAlign w:val="center"/>
                </w:tcPr>
                <w:p w14:paraId="0EFA93D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处理能力</w:t>
                  </w:r>
                </w:p>
              </w:tc>
              <w:tc>
                <w:tcPr>
                  <w:tcW w:w="485" w:type="pct"/>
                  <w:tcBorders>
                    <w:top w:val="single" w:color="auto" w:sz="12" w:space="0"/>
                  </w:tcBorders>
                  <w:vAlign w:val="center"/>
                </w:tcPr>
                <w:p w14:paraId="0809A91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数量</w:t>
                  </w:r>
                </w:p>
              </w:tc>
              <w:tc>
                <w:tcPr>
                  <w:tcW w:w="389" w:type="pct"/>
                  <w:tcBorders>
                    <w:top w:val="single" w:color="auto" w:sz="12" w:space="0"/>
                  </w:tcBorders>
                  <w:vAlign w:val="center"/>
                </w:tcPr>
                <w:p w14:paraId="1379E35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环保措施说明</w:t>
                  </w:r>
                </w:p>
              </w:tc>
              <w:tc>
                <w:tcPr>
                  <w:tcW w:w="341" w:type="pct"/>
                  <w:tcBorders>
                    <w:top w:val="single" w:color="auto" w:sz="12" w:space="0"/>
                  </w:tcBorders>
                  <w:tcMar>
                    <w:left w:w="28" w:type="dxa"/>
                    <w:right w:w="28" w:type="dxa"/>
                  </w:tcMar>
                  <w:vAlign w:val="center"/>
                </w:tcPr>
                <w:p w14:paraId="674BC126">
                  <w:pPr>
                    <w:keepNext w:val="0"/>
                    <w:keepLines w:val="0"/>
                    <w:suppressLineNumbers w:val="0"/>
                    <w:spacing w:before="0" w:beforeAutospacing="0" w:after="0" w:afterAutospacing="0"/>
                    <w:ind w:left="0" w:right="0"/>
                    <w:jc w:val="center"/>
                    <w:rPr>
                      <w:color w:val="auto"/>
                      <w:spacing w:val="-20"/>
                      <w:szCs w:val="21"/>
                      <w:highlight w:val="none"/>
                    </w:rPr>
                  </w:pPr>
                  <w:r>
                    <w:rPr>
                      <w:rFonts w:hAnsi="宋体"/>
                      <w:color w:val="auto"/>
                      <w:szCs w:val="21"/>
                      <w:highlight w:val="none"/>
                    </w:rPr>
                    <w:t>投</w:t>
                  </w:r>
                  <w:r>
                    <w:rPr>
                      <w:rFonts w:hAnsi="宋体"/>
                      <w:color w:val="auto"/>
                      <w:spacing w:val="-20"/>
                      <w:szCs w:val="21"/>
                      <w:highlight w:val="none"/>
                    </w:rPr>
                    <w:t>资</w:t>
                  </w:r>
                </w:p>
                <w:p w14:paraId="24F749B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万元</w:t>
                  </w:r>
                </w:p>
              </w:tc>
              <w:tc>
                <w:tcPr>
                  <w:tcW w:w="669" w:type="pct"/>
                  <w:tcBorders>
                    <w:top w:val="single" w:color="auto" w:sz="12" w:space="0"/>
                    <w:right w:val="nil"/>
                  </w:tcBorders>
                  <w:vAlign w:val="center"/>
                </w:tcPr>
                <w:p w14:paraId="1C56C4E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预计效果</w:t>
                  </w:r>
                </w:p>
              </w:tc>
              <w:tc>
                <w:tcPr>
                  <w:tcW w:w="324" w:type="pct"/>
                  <w:tcBorders>
                    <w:top w:val="single" w:color="auto" w:sz="12" w:space="0"/>
                    <w:right w:val="nil"/>
                  </w:tcBorders>
                  <w:vAlign w:val="center"/>
                </w:tcPr>
                <w:p w14:paraId="320DC1F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备注</w:t>
                  </w:r>
                </w:p>
              </w:tc>
            </w:tr>
            <w:tr w14:paraId="4EBED365">
              <w:trPr>
                <w:trHeight w:val="340" w:hRule="atLeast"/>
                <w:jc w:val="center"/>
              </w:trPr>
              <w:tc>
                <w:tcPr>
                  <w:tcW w:w="195" w:type="pct"/>
                  <w:vMerge w:val="restart"/>
                  <w:tcBorders>
                    <w:left w:val="nil"/>
                  </w:tcBorders>
                  <w:vAlign w:val="center"/>
                </w:tcPr>
                <w:p w14:paraId="7FC8727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w:t>
                  </w:r>
                </w:p>
                <w:p w14:paraId="0DE147BE">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气</w:t>
                  </w:r>
                </w:p>
              </w:tc>
              <w:tc>
                <w:tcPr>
                  <w:tcW w:w="423" w:type="pct"/>
                  <w:vAlign w:val="center"/>
                </w:tcPr>
                <w:p w14:paraId="294EDF4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废气</w:t>
                  </w:r>
                </w:p>
                <w:p w14:paraId="5C35BEA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收集系统</w:t>
                  </w:r>
                </w:p>
              </w:tc>
              <w:tc>
                <w:tcPr>
                  <w:tcW w:w="1693" w:type="pct"/>
                  <w:vAlign w:val="center"/>
                </w:tcPr>
                <w:p w14:paraId="5FB1C8D3">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包括管道、风机等</w:t>
                  </w:r>
                </w:p>
              </w:tc>
              <w:tc>
                <w:tcPr>
                  <w:tcW w:w="477" w:type="pct"/>
                  <w:vAlign w:val="center"/>
                </w:tcPr>
                <w:p w14:paraId="1730475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44125BCF">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w:t>
                  </w:r>
                  <w:r>
                    <w:rPr>
                      <w:rFonts w:hAnsi="宋体"/>
                      <w:color w:val="auto"/>
                      <w:szCs w:val="21"/>
                      <w:highlight w:val="none"/>
                    </w:rPr>
                    <w:t>套</w:t>
                  </w:r>
                </w:p>
              </w:tc>
              <w:tc>
                <w:tcPr>
                  <w:tcW w:w="389" w:type="pct"/>
                  <w:vAlign w:val="center"/>
                </w:tcPr>
                <w:p w14:paraId="182E045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Merge w:val="restart"/>
                  <w:vAlign w:val="center"/>
                </w:tcPr>
                <w:p w14:paraId="56A41F14">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25</w:t>
                  </w:r>
                </w:p>
              </w:tc>
              <w:tc>
                <w:tcPr>
                  <w:tcW w:w="669" w:type="pct"/>
                  <w:vMerge w:val="restart"/>
                  <w:tcBorders>
                    <w:right w:val="nil"/>
                  </w:tcBorders>
                  <w:vAlign w:val="center"/>
                </w:tcPr>
                <w:p w14:paraId="17323FF1">
                  <w:pPr>
                    <w:keepNext w:val="0"/>
                    <w:keepLines w:val="0"/>
                    <w:suppressLineNumbers w:val="0"/>
                    <w:spacing w:before="0" w:beforeAutospacing="0" w:after="0" w:afterAutospacing="0"/>
                    <w:ind w:left="0" w:right="0"/>
                    <w:jc w:val="center"/>
                    <w:rPr>
                      <w:bCs/>
                      <w:color w:val="auto"/>
                      <w:szCs w:val="21"/>
                      <w:highlight w:val="none"/>
                    </w:rPr>
                  </w:pPr>
                  <w:r>
                    <w:rPr>
                      <w:rFonts w:hAnsi="宋体"/>
                      <w:color w:val="auto"/>
                      <w:szCs w:val="21"/>
                      <w:highlight w:val="none"/>
                    </w:rPr>
                    <w:t>达标排放</w:t>
                  </w:r>
                </w:p>
              </w:tc>
              <w:tc>
                <w:tcPr>
                  <w:tcW w:w="324" w:type="pct"/>
                  <w:vMerge w:val="restart"/>
                  <w:tcBorders>
                    <w:right w:val="nil"/>
                  </w:tcBorders>
                  <w:vAlign w:val="center"/>
                </w:tcPr>
                <w:p w14:paraId="4897635A">
                  <w:pPr>
                    <w:keepNext w:val="0"/>
                    <w:keepLines w:val="0"/>
                    <w:suppressLineNumbers w:val="0"/>
                    <w:spacing w:before="0" w:beforeAutospacing="0" w:after="0" w:afterAutospacing="0"/>
                    <w:ind w:left="0" w:right="0"/>
                    <w:jc w:val="center"/>
                    <w:rPr>
                      <w:bCs/>
                      <w:color w:val="auto"/>
                      <w:spacing w:val="4"/>
                      <w:szCs w:val="21"/>
                      <w:highlight w:val="none"/>
                    </w:rPr>
                  </w:pPr>
                  <w:r>
                    <w:rPr>
                      <w:rFonts w:hAnsi="宋体"/>
                      <w:bCs/>
                      <w:color w:val="auto"/>
                      <w:spacing w:val="4"/>
                      <w:szCs w:val="21"/>
                      <w:highlight w:val="none"/>
                    </w:rPr>
                    <w:t>与主体工程同时设计、同时施工、同时投入使用</w:t>
                  </w:r>
                </w:p>
              </w:tc>
            </w:tr>
            <w:tr w14:paraId="165A039E">
              <w:trPr>
                <w:trHeight w:val="510" w:hRule="atLeast"/>
                <w:jc w:val="center"/>
              </w:trPr>
              <w:tc>
                <w:tcPr>
                  <w:tcW w:w="195" w:type="pct"/>
                  <w:vMerge w:val="continue"/>
                  <w:tcBorders>
                    <w:left w:val="nil"/>
                  </w:tcBorders>
                  <w:vAlign w:val="center"/>
                </w:tcPr>
                <w:p w14:paraId="671601A4">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Merge w:val="restart"/>
                  <w:vAlign w:val="center"/>
                </w:tcPr>
                <w:p w14:paraId="0901460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工艺尾气</w:t>
                  </w:r>
                </w:p>
                <w:p w14:paraId="34EF9C8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处理系统</w:t>
                  </w:r>
                </w:p>
              </w:tc>
              <w:tc>
                <w:tcPr>
                  <w:tcW w:w="1693" w:type="pct"/>
                  <w:shd w:val="clear" w:color="auto" w:fill="auto"/>
                  <w:vAlign w:val="center"/>
                </w:tcPr>
                <w:p w14:paraId="27360F8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干式</w:t>
                  </w:r>
                  <w:r>
                    <w:rPr>
                      <w:rFonts w:hint="eastAsia" w:hAnsi="宋体"/>
                      <w:color w:val="auto"/>
                      <w:szCs w:val="21"/>
                      <w:highlight w:val="none"/>
                    </w:rPr>
                    <w:t>过滤+</w:t>
                  </w:r>
                  <w:r>
                    <w:rPr>
                      <w:rFonts w:hAnsi="宋体"/>
                      <w:color w:val="auto"/>
                      <w:szCs w:val="21"/>
                      <w:highlight w:val="none"/>
                    </w:rPr>
                    <w:t>二级活性炭</w:t>
                  </w:r>
                  <w:r>
                    <w:rPr>
                      <w:color w:val="auto"/>
                      <w:szCs w:val="21"/>
                      <w:highlight w:val="none"/>
                    </w:rPr>
                    <w:t>+15m</w:t>
                  </w:r>
                  <w:r>
                    <w:rPr>
                      <w:rFonts w:hAnsi="宋体"/>
                      <w:color w:val="auto"/>
                      <w:szCs w:val="21"/>
                      <w:highlight w:val="none"/>
                    </w:rPr>
                    <w:t>排气筒</w:t>
                  </w:r>
                  <w:r>
                    <w:rPr>
                      <w:rFonts w:hint="eastAsia" w:hAnsi="宋体"/>
                      <w:color w:val="auto"/>
                      <w:szCs w:val="21"/>
                      <w:highlight w:val="none"/>
                      <w:lang w:val="en-US" w:eastAsia="zh-CN"/>
                    </w:rPr>
                    <w:t>DA001</w:t>
                  </w:r>
                </w:p>
              </w:tc>
              <w:tc>
                <w:tcPr>
                  <w:tcW w:w="477" w:type="pct"/>
                  <w:shd w:val="clear" w:color="auto" w:fill="auto"/>
                  <w:vAlign w:val="center"/>
                </w:tcPr>
                <w:p w14:paraId="170AA1A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2</w:t>
                  </w:r>
                  <w:r>
                    <w:rPr>
                      <w:rFonts w:hint="eastAsia"/>
                      <w:color w:val="auto"/>
                      <w:szCs w:val="21"/>
                      <w:highlight w:val="none"/>
                      <w:lang w:val="en-US" w:eastAsia="zh-CN"/>
                    </w:rPr>
                    <w:t>4</w:t>
                  </w:r>
                  <w:r>
                    <w:rPr>
                      <w:color w:val="auto"/>
                      <w:szCs w:val="21"/>
                      <w:highlight w:val="none"/>
                    </w:rPr>
                    <w:t>000m</w:t>
                  </w:r>
                  <w:r>
                    <w:rPr>
                      <w:color w:val="auto"/>
                      <w:szCs w:val="21"/>
                      <w:highlight w:val="none"/>
                      <w:vertAlign w:val="superscript"/>
                    </w:rPr>
                    <w:t>3</w:t>
                  </w:r>
                  <w:r>
                    <w:rPr>
                      <w:color w:val="auto"/>
                      <w:szCs w:val="21"/>
                      <w:highlight w:val="none"/>
                    </w:rPr>
                    <w:t>/h</w:t>
                  </w:r>
                </w:p>
              </w:tc>
              <w:tc>
                <w:tcPr>
                  <w:tcW w:w="485" w:type="pct"/>
                  <w:shd w:val="clear" w:color="auto" w:fill="auto"/>
                  <w:vAlign w:val="center"/>
                </w:tcPr>
                <w:p w14:paraId="3D29978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1</w:t>
                  </w:r>
                  <w:r>
                    <w:rPr>
                      <w:rFonts w:hAnsi="宋体"/>
                      <w:color w:val="auto"/>
                      <w:szCs w:val="21"/>
                      <w:highlight w:val="none"/>
                    </w:rPr>
                    <w:t>套</w:t>
                  </w:r>
                </w:p>
              </w:tc>
              <w:tc>
                <w:tcPr>
                  <w:tcW w:w="389" w:type="pct"/>
                  <w:vAlign w:val="center"/>
                </w:tcPr>
                <w:p w14:paraId="3FE67EA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Merge w:val="continue"/>
                  <w:vAlign w:val="center"/>
                </w:tcPr>
                <w:p w14:paraId="6521FBF2">
                  <w:pPr>
                    <w:keepNext w:val="0"/>
                    <w:keepLines w:val="0"/>
                    <w:suppressLineNumbers w:val="0"/>
                    <w:spacing w:before="0" w:beforeAutospacing="0" w:after="0" w:afterAutospacing="0"/>
                    <w:ind w:left="0" w:right="0"/>
                    <w:jc w:val="center"/>
                    <w:rPr>
                      <w:color w:val="auto"/>
                      <w:szCs w:val="21"/>
                      <w:highlight w:val="none"/>
                    </w:rPr>
                  </w:pPr>
                </w:p>
              </w:tc>
              <w:tc>
                <w:tcPr>
                  <w:tcW w:w="669" w:type="pct"/>
                  <w:vMerge w:val="continue"/>
                  <w:tcBorders>
                    <w:right w:val="nil"/>
                  </w:tcBorders>
                  <w:vAlign w:val="center"/>
                </w:tcPr>
                <w:p w14:paraId="31785312">
                  <w:pPr>
                    <w:keepNext w:val="0"/>
                    <w:keepLines w:val="0"/>
                    <w:suppressLineNumbers w:val="0"/>
                    <w:spacing w:before="0" w:beforeAutospacing="0" w:after="0" w:afterAutospacing="0"/>
                    <w:ind w:left="0" w:right="0"/>
                    <w:jc w:val="center"/>
                    <w:rPr>
                      <w:bCs/>
                      <w:color w:val="auto"/>
                      <w:szCs w:val="21"/>
                      <w:highlight w:val="none"/>
                    </w:rPr>
                  </w:pPr>
                </w:p>
              </w:tc>
              <w:tc>
                <w:tcPr>
                  <w:tcW w:w="324" w:type="pct"/>
                  <w:vMerge w:val="continue"/>
                  <w:tcBorders>
                    <w:right w:val="nil"/>
                  </w:tcBorders>
                </w:tcPr>
                <w:p w14:paraId="196652CC">
                  <w:pPr>
                    <w:keepNext w:val="0"/>
                    <w:keepLines w:val="0"/>
                    <w:suppressLineNumbers w:val="0"/>
                    <w:spacing w:before="0" w:beforeAutospacing="0" w:after="0" w:afterAutospacing="0"/>
                    <w:ind w:left="0" w:right="0"/>
                    <w:jc w:val="center"/>
                    <w:rPr>
                      <w:bCs/>
                      <w:color w:val="auto"/>
                      <w:szCs w:val="21"/>
                      <w:highlight w:val="none"/>
                    </w:rPr>
                  </w:pPr>
                </w:p>
              </w:tc>
            </w:tr>
            <w:tr w14:paraId="1868E532">
              <w:trPr>
                <w:trHeight w:val="510" w:hRule="atLeast"/>
                <w:jc w:val="center"/>
              </w:trPr>
              <w:tc>
                <w:tcPr>
                  <w:tcW w:w="195" w:type="pct"/>
                  <w:vMerge w:val="continue"/>
                  <w:tcBorders>
                    <w:left w:val="nil"/>
                  </w:tcBorders>
                  <w:vAlign w:val="center"/>
                </w:tcPr>
                <w:p w14:paraId="40BC666D">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Merge w:val="continue"/>
                  <w:vAlign w:val="center"/>
                </w:tcPr>
                <w:p w14:paraId="47BB05FF">
                  <w:pPr>
                    <w:keepNext w:val="0"/>
                    <w:keepLines w:val="0"/>
                    <w:suppressLineNumbers w:val="0"/>
                    <w:spacing w:before="0" w:beforeAutospacing="0" w:after="0" w:afterAutospacing="0"/>
                    <w:ind w:left="0" w:right="0"/>
                    <w:jc w:val="center"/>
                    <w:rPr>
                      <w:rFonts w:hAnsi="宋体"/>
                      <w:color w:val="auto"/>
                      <w:szCs w:val="21"/>
                      <w:highlight w:val="none"/>
                    </w:rPr>
                  </w:pPr>
                </w:p>
              </w:tc>
              <w:tc>
                <w:tcPr>
                  <w:tcW w:w="1693" w:type="pct"/>
                  <w:vAlign w:val="center"/>
                </w:tcPr>
                <w:p w14:paraId="529951E3">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color w:val="auto"/>
                      <w:szCs w:val="21"/>
                      <w:highlight w:val="none"/>
                      <w:lang w:val="en-US" w:eastAsia="zh-CN"/>
                    </w:rPr>
                    <w:t>布袋除尘器</w:t>
                  </w:r>
                  <w:r>
                    <w:rPr>
                      <w:color w:val="auto"/>
                      <w:szCs w:val="21"/>
                      <w:highlight w:val="none"/>
                    </w:rPr>
                    <w:t>+15m</w:t>
                  </w:r>
                  <w:r>
                    <w:rPr>
                      <w:rFonts w:hAnsi="宋体"/>
                      <w:color w:val="auto"/>
                      <w:szCs w:val="21"/>
                      <w:highlight w:val="none"/>
                    </w:rPr>
                    <w:t>排气筒</w:t>
                  </w:r>
                  <w:r>
                    <w:rPr>
                      <w:rFonts w:hint="eastAsia" w:hAnsi="宋体"/>
                      <w:color w:val="auto"/>
                      <w:szCs w:val="21"/>
                      <w:highlight w:val="none"/>
                      <w:lang w:val="en-US" w:eastAsia="zh-CN"/>
                    </w:rPr>
                    <w:t>DA002</w:t>
                  </w:r>
                </w:p>
              </w:tc>
              <w:tc>
                <w:tcPr>
                  <w:tcW w:w="477" w:type="pct"/>
                  <w:vAlign w:val="center"/>
                </w:tcPr>
                <w:p w14:paraId="4C291374">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lang w:val="en-US" w:eastAsia="zh-CN"/>
                    </w:rPr>
                    <w:t>12</w:t>
                  </w:r>
                  <w:r>
                    <w:rPr>
                      <w:color w:val="auto"/>
                      <w:szCs w:val="21"/>
                      <w:highlight w:val="none"/>
                    </w:rPr>
                    <w:t>000m</w:t>
                  </w:r>
                  <w:r>
                    <w:rPr>
                      <w:color w:val="auto"/>
                      <w:szCs w:val="21"/>
                      <w:highlight w:val="none"/>
                      <w:vertAlign w:val="superscript"/>
                    </w:rPr>
                    <w:t>3</w:t>
                  </w:r>
                  <w:r>
                    <w:rPr>
                      <w:color w:val="auto"/>
                      <w:szCs w:val="21"/>
                      <w:highlight w:val="none"/>
                    </w:rPr>
                    <w:t>/h</w:t>
                  </w:r>
                </w:p>
              </w:tc>
              <w:tc>
                <w:tcPr>
                  <w:tcW w:w="485" w:type="pct"/>
                  <w:shd w:val="clear" w:color="auto" w:fill="auto"/>
                  <w:vAlign w:val="center"/>
                </w:tcPr>
                <w:p w14:paraId="44C9E06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1</w:t>
                  </w:r>
                  <w:r>
                    <w:rPr>
                      <w:rFonts w:hAnsi="宋体"/>
                      <w:color w:val="auto"/>
                      <w:szCs w:val="21"/>
                      <w:highlight w:val="none"/>
                    </w:rPr>
                    <w:t>套</w:t>
                  </w:r>
                </w:p>
              </w:tc>
              <w:tc>
                <w:tcPr>
                  <w:tcW w:w="389" w:type="pct"/>
                  <w:shd w:val="clear" w:color="auto" w:fill="auto"/>
                  <w:vAlign w:val="center"/>
                </w:tcPr>
                <w:p w14:paraId="7D006F5C">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新建</w:t>
                  </w:r>
                </w:p>
              </w:tc>
              <w:tc>
                <w:tcPr>
                  <w:tcW w:w="341" w:type="pct"/>
                  <w:vMerge w:val="continue"/>
                  <w:vAlign w:val="center"/>
                </w:tcPr>
                <w:p w14:paraId="21A36FEF">
                  <w:pPr>
                    <w:keepNext w:val="0"/>
                    <w:keepLines w:val="0"/>
                    <w:suppressLineNumbers w:val="0"/>
                    <w:spacing w:before="0" w:beforeAutospacing="0" w:after="0" w:afterAutospacing="0"/>
                    <w:ind w:left="0" w:right="0"/>
                    <w:jc w:val="center"/>
                    <w:rPr>
                      <w:color w:val="auto"/>
                      <w:szCs w:val="21"/>
                      <w:highlight w:val="none"/>
                    </w:rPr>
                  </w:pPr>
                </w:p>
              </w:tc>
              <w:tc>
                <w:tcPr>
                  <w:tcW w:w="669" w:type="pct"/>
                  <w:vMerge w:val="continue"/>
                  <w:tcBorders>
                    <w:right w:val="nil"/>
                  </w:tcBorders>
                  <w:vAlign w:val="center"/>
                </w:tcPr>
                <w:p w14:paraId="321E3BF1">
                  <w:pPr>
                    <w:keepNext w:val="0"/>
                    <w:keepLines w:val="0"/>
                    <w:suppressLineNumbers w:val="0"/>
                    <w:spacing w:before="0" w:beforeAutospacing="0" w:after="0" w:afterAutospacing="0"/>
                    <w:ind w:left="0" w:right="0"/>
                    <w:jc w:val="center"/>
                    <w:rPr>
                      <w:bCs/>
                      <w:color w:val="auto"/>
                      <w:szCs w:val="21"/>
                      <w:highlight w:val="none"/>
                    </w:rPr>
                  </w:pPr>
                </w:p>
              </w:tc>
              <w:tc>
                <w:tcPr>
                  <w:tcW w:w="324" w:type="pct"/>
                  <w:vMerge w:val="continue"/>
                  <w:tcBorders>
                    <w:right w:val="nil"/>
                  </w:tcBorders>
                </w:tcPr>
                <w:p w14:paraId="16BA0619">
                  <w:pPr>
                    <w:keepNext w:val="0"/>
                    <w:keepLines w:val="0"/>
                    <w:suppressLineNumbers w:val="0"/>
                    <w:spacing w:before="0" w:beforeAutospacing="0" w:after="0" w:afterAutospacing="0"/>
                    <w:ind w:left="0" w:right="0"/>
                    <w:jc w:val="center"/>
                    <w:rPr>
                      <w:bCs/>
                      <w:color w:val="auto"/>
                      <w:szCs w:val="21"/>
                      <w:highlight w:val="none"/>
                    </w:rPr>
                  </w:pPr>
                </w:p>
              </w:tc>
            </w:tr>
            <w:tr w14:paraId="4995B399">
              <w:trPr>
                <w:trHeight w:val="340" w:hRule="atLeast"/>
                <w:jc w:val="center"/>
              </w:trPr>
              <w:tc>
                <w:tcPr>
                  <w:tcW w:w="195" w:type="pct"/>
                  <w:vMerge w:val="continue"/>
                  <w:tcBorders>
                    <w:left w:val="nil"/>
                  </w:tcBorders>
                  <w:vAlign w:val="center"/>
                </w:tcPr>
                <w:p w14:paraId="2BB22FE5">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Align w:val="center"/>
                </w:tcPr>
                <w:p w14:paraId="71422D9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排气口规范化</w:t>
                  </w:r>
                </w:p>
              </w:tc>
              <w:tc>
                <w:tcPr>
                  <w:tcW w:w="1693" w:type="pct"/>
                  <w:vAlign w:val="center"/>
                </w:tcPr>
                <w:p w14:paraId="3AD968F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排气筒应设置便于采样、监测的采样口、监测平台；在净化设施前同样</w:t>
                  </w:r>
                  <w:r>
                    <w:rPr>
                      <w:rFonts w:hint="eastAsia" w:hAnsi="宋体"/>
                      <w:color w:val="auto"/>
                      <w:szCs w:val="21"/>
                      <w:highlight w:val="none"/>
                      <w:lang w:eastAsia="zh-CN"/>
                    </w:rPr>
                    <w:t>设置</w:t>
                  </w:r>
                  <w:r>
                    <w:rPr>
                      <w:rFonts w:hAnsi="宋体"/>
                      <w:color w:val="auto"/>
                      <w:szCs w:val="21"/>
                      <w:highlight w:val="none"/>
                    </w:rPr>
                    <w:t>采样口；</w:t>
                  </w:r>
                </w:p>
                <w:p w14:paraId="7CED178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b.</w:t>
                  </w:r>
                  <w:r>
                    <w:rPr>
                      <w:rFonts w:hAnsi="宋体"/>
                      <w:color w:val="auto"/>
                      <w:szCs w:val="21"/>
                      <w:highlight w:val="none"/>
                    </w:rPr>
                    <w:t>在排气筒附近醒目处</w:t>
                  </w:r>
                  <w:r>
                    <w:rPr>
                      <w:rFonts w:hint="eastAsia" w:hAnsi="宋体"/>
                      <w:color w:val="auto"/>
                      <w:szCs w:val="21"/>
                      <w:highlight w:val="none"/>
                      <w:lang w:eastAsia="zh-CN"/>
                    </w:rPr>
                    <w:t>设置</w:t>
                  </w:r>
                  <w:r>
                    <w:rPr>
                      <w:rFonts w:hAnsi="宋体"/>
                      <w:color w:val="auto"/>
                      <w:szCs w:val="21"/>
                      <w:highlight w:val="none"/>
                    </w:rPr>
                    <w:t>环境保护图形标志牌。</w:t>
                  </w:r>
                </w:p>
              </w:tc>
              <w:tc>
                <w:tcPr>
                  <w:tcW w:w="477" w:type="pct"/>
                  <w:vAlign w:val="center"/>
                </w:tcPr>
                <w:p w14:paraId="10D283E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37AD14E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w:t>
                  </w:r>
                  <w:r>
                    <w:rPr>
                      <w:rFonts w:hAnsi="宋体"/>
                      <w:color w:val="auto"/>
                      <w:szCs w:val="21"/>
                      <w:highlight w:val="none"/>
                    </w:rPr>
                    <w:t>套</w:t>
                  </w:r>
                </w:p>
              </w:tc>
              <w:tc>
                <w:tcPr>
                  <w:tcW w:w="389" w:type="pct"/>
                  <w:vAlign w:val="center"/>
                </w:tcPr>
                <w:p w14:paraId="40C246A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新建规范化排污口</w:t>
                  </w:r>
                </w:p>
              </w:tc>
              <w:tc>
                <w:tcPr>
                  <w:tcW w:w="341" w:type="pct"/>
                  <w:vMerge w:val="continue"/>
                  <w:vAlign w:val="center"/>
                </w:tcPr>
                <w:p w14:paraId="14877317">
                  <w:pPr>
                    <w:keepNext w:val="0"/>
                    <w:keepLines w:val="0"/>
                    <w:suppressLineNumbers w:val="0"/>
                    <w:spacing w:before="0" w:beforeAutospacing="0" w:after="0" w:afterAutospacing="0"/>
                    <w:ind w:left="0" w:right="0"/>
                    <w:jc w:val="center"/>
                    <w:rPr>
                      <w:color w:val="auto"/>
                      <w:szCs w:val="21"/>
                      <w:highlight w:val="none"/>
                    </w:rPr>
                  </w:pPr>
                </w:p>
              </w:tc>
              <w:tc>
                <w:tcPr>
                  <w:tcW w:w="669" w:type="pct"/>
                  <w:vMerge w:val="continue"/>
                  <w:tcBorders>
                    <w:right w:val="nil"/>
                  </w:tcBorders>
                  <w:vAlign w:val="center"/>
                </w:tcPr>
                <w:p w14:paraId="638DB28F">
                  <w:pPr>
                    <w:keepNext w:val="0"/>
                    <w:keepLines w:val="0"/>
                    <w:suppressLineNumbers w:val="0"/>
                    <w:spacing w:before="0" w:beforeAutospacing="0" w:after="0" w:afterAutospacing="0"/>
                    <w:ind w:left="0" w:right="0"/>
                    <w:jc w:val="center"/>
                    <w:rPr>
                      <w:bCs/>
                      <w:color w:val="auto"/>
                      <w:szCs w:val="21"/>
                      <w:highlight w:val="none"/>
                    </w:rPr>
                  </w:pPr>
                </w:p>
              </w:tc>
              <w:tc>
                <w:tcPr>
                  <w:tcW w:w="324" w:type="pct"/>
                  <w:vMerge w:val="continue"/>
                  <w:tcBorders>
                    <w:right w:val="nil"/>
                  </w:tcBorders>
                </w:tcPr>
                <w:p w14:paraId="157CC0AA">
                  <w:pPr>
                    <w:keepNext w:val="0"/>
                    <w:keepLines w:val="0"/>
                    <w:suppressLineNumbers w:val="0"/>
                    <w:spacing w:before="0" w:beforeAutospacing="0" w:after="0" w:afterAutospacing="0"/>
                    <w:ind w:left="0" w:right="0"/>
                    <w:jc w:val="center"/>
                    <w:rPr>
                      <w:bCs/>
                      <w:color w:val="auto"/>
                      <w:szCs w:val="21"/>
                      <w:highlight w:val="none"/>
                    </w:rPr>
                  </w:pPr>
                </w:p>
              </w:tc>
            </w:tr>
            <w:tr w14:paraId="2A048174">
              <w:trPr>
                <w:trHeight w:val="340" w:hRule="atLeast"/>
                <w:jc w:val="center"/>
              </w:trPr>
              <w:tc>
                <w:tcPr>
                  <w:tcW w:w="195" w:type="pct"/>
                  <w:vMerge w:val="restart"/>
                  <w:tcBorders>
                    <w:left w:val="nil"/>
                  </w:tcBorders>
                  <w:vAlign w:val="center"/>
                </w:tcPr>
                <w:p w14:paraId="52B9DBEC">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废</w:t>
                  </w:r>
                </w:p>
                <w:p w14:paraId="700A0C10">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水</w:t>
                  </w:r>
                </w:p>
              </w:tc>
              <w:tc>
                <w:tcPr>
                  <w:tcW w:w="423" w:type="pct"/>
                  <w:vAlign w:val="center"/>
                </w:tcPr>
                <w:p w14:paraId="06048683">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排水</w:t>
                  </w:r>
                </w:p>
                <w:p w14:paraId="18625C3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收集系统</w:t>
                  </w:r>
                </w:p>
              </w:tc>
              <w:tc>
                <w:tcPr>
                  <w:tcW w:w="1693" w:type="pct"/>
                  <w:vAlign w:val="center"/>
                </w:tcPr>
                <w:p w14:paraId="363FF4D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按照雨污分流原则建设排水管网，雨水排入雨水管网；生活污水进入污水管网</w:t>
                  </w:r>
                </w:p>
              </w:tc>
              <w:tc>
                <w:tcPr>
                  <w:tcW w:w="477" w:type="pct"/>
                  <w:vAlign w:val="center"/>
                </w:tcPr>
                <w:p w14:paraId="5495640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0A54B70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2</w:t>
                  </w:r>
                  <w:r>
                    <w:rPr>
                      <w:rFonts w:hAnsi="宋体"/>
                      <w:color w:val="auto"/>
                      <w:szCs w:val="21"/>
                      <w:highlight w:val="none"/>
                    </w:rPr>
                    <w:t>套（雨污水管网各</w:t>
                  </w:r>
                  <w:r>
                    <w:rPr>
                      <w:color w:val="auto"/>
                      <w:szCs w:val="21"/>
                      <w:highlight w:val="none"/>
                    </w:rPr>
                    <w:t>1</w:t>
                  </w:r>
                  <w:r>
                    <w:rPr>
                      <w:rFonts w:hAnsi="宋体"/>
                      <w:color w:val="auto"/>
                      <w:szCs w:val="21"/>
                      <w:highlight w:val="none"/>
                    </w:rPr>
                    <w:t>套）</w:t>
                  </w:r>
                </w:p>
              </w:tc>
              <w:tc>
                <w:tcPr>
                  <w:tcW w:w="389" w:type="pct"/>
                  <w:vAlign w:val="center"/>
                </w:tcPr>
                <w:p w14:paraId="7CA7122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Merge w:val="restart"/>
                  <w:vAlign w:val="center"/>
                </w:tcPr>
                <w:p w14:paraId="170E46C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15</w:t>
                  </w:r>
                </w:p>
              </w:tc>
              <w:tc>
                <w:tcPr>
                  <w:tcW w:w="669" w:type="pct"/>
                  <w:vMerge w:val="restart"/>
                  <w:tcBorders>
                    <w:right w:val="nil"/>
                  </w:tcBorders>
                  <w:vAlign w:val="center"/>
                </w:tcPr>
                <w:p w14:paraId="4282C1F3">
                  <w:pPr>
                    <w:keepNext w:val="0"/>
                    <w:keepLines w:val="0"/>
                    <w:suppressLineNumbers w:val="0"/>
                    <w:spacing w:before="0" w:beforeAutospacing="0" w:after="0" w:afterAutospacing="0"/>
                    <w:ind w:left="0" w:right="0"/>
                    <w:jc w:val="center"/>
                    <w:rPr>
                      <w:bCs/>
                      <w:color w:val="auto"/>
                      <w:szCs w:val="21"/>
                      <w:highlight w:val="none"/>
                    </w:rPr>
                  </w:pPr>
                  <w:r>
                    <w:rPr>
                      <w:rFonts w:hAnsi="宋体"/>
                      <w:color w:val="auto"/>
                      <w:szCs w:val="21"/>
                      <w:highlight w:val="none"/>
                    </w:rPr>
                    <w:t>达标排放</w:t>
                  </w:r>
                </w:p>
              </w:tc>
              <w:tc>
                <w:tcPr>
                  <w:tcW w:w="324" w:type="pct"/>
                  <w:vMerge w:val="continue"/>
                  <w:tcBorders>
                    <w:right w:val="nil"/>
                  </w:tcBorders>
                </w:tcPr>
                <w:p w14:paraId="65DBBB83">
                  <w:pPr>
                    <w:keepNext w:val="0"/>
                    <w:keepLines w:val="0"/>
                    <w:suppressLineNumbers w:val="0"/>
                    <w:spacing w:before="0" w:beforeAutospacing="0" w:after="0" w:afterAutospacing="0"/>
                    <w:ind w:left="0" w:right="0"/>
                    <w:jc w:val="center"/>
                    <w:rPr>
                      <w:bCs/>
                      <w:color w:val="auto"/>
                      <w:szCs w:val="21"/>
                      <w:highlight w:val="none"/>
                    </w:rPr>
                  </w:pPr>
                </w:p>
              </w:tc>
            </w:tr>
            <w:tr w14:paraId="4DE021C2">
              <w:trPr>
                <w:trHeight w:val="340" w:hRule="atLeast"/>
                <w:jc w:val="center"/>
              </w:trPr>
              <w:tc>
                <w:tcPr>
                  <w:tcW w:w="195" w:type="pct"/>
                  <w:vMerge w:val="continue"/>
                  <w:tcBorders>
                    <w:left w:val="nil"/>
                  </w:tcBorders>
                  <w:vAlign w:val="center"/>
                </w:tcPr>
                <w:p w14:paraId="38E8FEED">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Align w:val="center"/>
                </w:tcPr>
                <w:p w14:paraId="55C2658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生活污水预处理</w:t>
                  </w:r>
                </w:p>
              </w:tc>
              <w:tc>
                <w:tcPr>
                  <w:tcW w:w="1693" w:type="pct"/>
                  <w:vAlign w:val="center"/>
                </w:tcPr>
                <w:p w14:paraId="164948D0">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val="en-US" w:eastAsia="zh-CN"/>
                    </w:rPr>
                    <w:t>食堂废水经隔油池处理后和</w:t>
                  </w:r>
                  <w:r>
                    <w:rPr>
                      <w:rFonts w:hAnsi="宋体"/>
                      <w:color w:val="auto"/>
                      <w:szCs w:val="21"/>
                      <w:highlight w:val="none"/>
                    </w:rPr>
                    <w:t>生活污水</w:t>
                  </w:r>
                  <w:r>
                    <w:rPr>
                      <w:rFonts w:hint="eastAsia" w:hAnsi="宋体"/>
                      <w:color w:val="auto"/>
                      <w:szCs w:val="21"/>
                      <w:highlight w:val="none"/>
                      <w:lang w:val="en-US" w:eastAsia="zh-CN"/>
                    </w:rPr>
                    <w:t>共同进入</w:t>
                  </w:r>
                  <w:r>
                    <w:rPr>
                      <w:rFonts w:hAnsi="宋体"/>
                      <w:color w:val="auto"/>
                      <w:szCs w:val="21"/>
                      <w:highlight w:val="none"/>
                    </w:rPr>
                    <w:t>化粪池处理后</w:t>
                  </w:r>
                  <w:r>
                    <w:rPr>
                      <w:rFonts w:hint="eastAsia" w:hAnsi="宋体"/>
                      <w:color w:val="auto"/>
                      <w:szCs w:val="21"/>
                      <w:highlight w:val="none"/>
                    </w:rPr>
                    <w:t>排入</w:t>
                  </w:r>
                  <w:r>
                    <w:rPr>
                      <w:rFonts w:hint="eastAsia" w:ascii="宋体" w:hAnsi="宋体"/>
                      <w:color w:val="auto"/>
                      <w:sz w:val="21"/>
                      <w:szCs w:val="21"/>
                      <w:highlight w:val="none"/>
                    </w:rPr>
                    <w:t>涟水经济开发区西区污水处理厂</w:t>
                  </w:r>
                </w:p>
              </w:tc>
              <w:tc>
                <w:tcPr>
                  <w:tcW w:w="477" w:type="pct"/>
                  <w:vAlign w:val="center"/>
                </w:tcPr>
                <w:p w14:paraId="75B13F33">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Ansi="宋体"/>
                      <w:color w:val="auto"/>
                      <w:szCs w:val="21"/>
                      <w:highlight w:val="none"/>
                    </w:rPr>
                    <w:t>化粪池</w:t>
                  </w:r>
                  <w:r>
                    <w:rPr>
                      <w:color w:val="auto"/>
                      <w:szCs w:val="21"/>
                      <w:highlight w:val="none"/>
                    </w:rPr>
                    <w:t>10t/d</w:t>
                  </w:r>
                  <w:r>
                    <w:rPr>
                      <w:rFonts w:hint="eastAsia"/>
                      <w:color w:val="auto"/>
                      <w:szCs w:val="21"/>
                      <w:highlight w:val="none"/>
                      <w:lang w:val="en-US" w:eastAsia="zh-CN"/>
                    </w:rPr>
                    <w:t>隔油池5t/d</w:t>
                  </w:r>
                </w:p>
              </w:tc>
              <w:tc>
                <w:tcPr>
                  <w:tcW w:w="485" w:type="pct"/>
                  <w:vAlign w:val="center"/>
                </w:tcPr>
                <w:p w14:paraId="637911A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r>
                    <w:rPr>
                      <w:rFonts w:hAnsi="宋体"/>
                      <w:color w:val="auto"/>
                      <w:szCs w:val="21"/>
                      <w:highlight w:val="none"/>
                    </w:rPr>
                    <w:t>套</w:t>
                  </w:r>
                </w:p>
              </w:tc>
              <w:tc>
                <w:tcPr>
                  <w:tcW w:w="389" w:type="pct"/>
                  <w:vAlign w:val="center"/>
                </w:tcPr>
                <w:p w14:paraId="7A1529D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Merge w:val="continue"/>
                  <w:vAlign w:val="center"/>
                </w:tcPr>
                <w:p w14:paraId="7DB68DD1">
                  <w:pPr>
                    <w:keepNext w:val="0"/>
                    <w:keepLines w:val="0"/>
                    <w:suppressLineNumbers w:val="0"/>
                    <w:spacing w:before="0" w:beforeAutospacing="0" w:after="0" w:afterAutospacing="0"/>
                    <w:ind w:left="0" w:right="0"/>
                    <w:jc w:val="center"/>
                    <w:rPr>
                      <w:color w:val="auto"/>
                      <w:szCs w:val="21"/>
                      <w:highlight w:val="none"/>
                    </w:rPr>
                  </w:pPr>
                </w:p>
              </w:tc>
              <w:tc>
                <w:tcPr>
                  <w:tcW w:w="669" w:type="pct"/>
                  <w:vMerge w:val="continue"/>
                  <w:tcBorders>
                    <w:right w:val="nil"/>
                  </w:tcBorders>
                  <w:vAlign w:val="center"/>
                </w:tcPr>
                <w:p w14:paraId="05BC32A8">
                  <w:pPr>
                    <w:keepNext w:val="0"/>
                    <w:keepLines w:val="0"/>
                    <w:suppressLineNumbers w:val="0"/>
                    <w:spacing w:before="0" w:beforeAutospacing="0" w:after="0" w:afterAutospacing="0"/>
                    <w:ind w:left="0" w:right="0"/>
                    <w:jc w:val="center"/>
                    <w:rPr>
                      <w:color w:val="auto"/>
                      <w:szCs w:val="21"/>
                      <w:highlight w:val="none"/>
                    </w:rPr>
                  </w:pPr>
                </w:p>
              </w:tc>
              <w:tc>
                <w:tcPr>
                  <w:tcW w:w="324" w:type="pct"/>
                  <w:vMerge w:val="continue"/>
                  <w:tcBorders>
                    <w:right w:val="nil"/>
                  </w:tcBorders>
                </w:tcPr>
                <w:p w14:paraId="5D7B96D1">
                  <w:pPr>
                    <w:keepNext w:val="0"/>
                    <w:keepLines w:val="0"/>
                    <w:suppressLineNumbers w:val="0"/>
                    <w:spacing w:before="0" w:beforeAutospacing="0" w:after="0" w:afterAutospacing="0"/>
                    <w:ind w:left="0" w:right="0"/>
                    <w:jc w:val="center"/>
                    <w:rPr>
                      <w:color w:val="auto"/>
                      <w:szCs w:val="21"/>
                      <w:highlight w:val="none"/>
                    </w:rPr>
                  </w:pPr>
                </w:p>
              </w:tc>
            </w:tr>
            <w:tr w14:paraId="48417C89">
              <w:trPr>
                <w:trHeight w:val="340" w:hRule="atLeast"/>
                <w:jc w:val="center"/>
              </w:trPr>
              <w:tc>
                <w:tcPr>
                  <w:tcW w:w="195" w:type="pct"/>
                  <w:vMerge w:val="continue"/>
                  <w:tcBorders>
                    <w:left w:val="nil"/>
                  </w:tcBorders>
                  <w:vAlign w:val="center"/>
                </w:tcPr>
                <w:p w14:paraId="04E6B6A3">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Align w:val="center"/>
                </w:tcPr>
                <w:p w14:paraId="4A0B4105">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清洗废水处理</w:t>
                  </w:r>
                </w:p>
              </w:tc>
              <w:tc>
                <w:tcPr>
                  <w:tcW w:w="1693" w:type="pct"/>
                  <w:vAlign w:val="center"/>
                </w:tcPr>
                <w:p w14:paraId="61C35FCE">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气浮混凝沉淀一体化设备</w:t>
                  </w:r>
                </w:p>
              </w:tc>
              <w:tc>
                <w:tcPr>
                  <w:tcW w:w="477" w:type="pct"/>
                  <w:vAlign w:val="center"/>
                </w:tcPr>
                <w:p w14:paraId="02E46C77">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2t/d</w:t>
                  </w:r>
                </w:p>
              </w:tc>
              <w:tc>
                <w:tcPr>
                  <w:tcW w:w="485" w:type="pct"/>
                  <w:shd w:val="clear" w:color="auto" w:fill="auto"/>
                  <w:vAlign w:val="center"/>
                </w:tcPr>
                <w:p w14:paraId="6A809FC6">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1</w:t>
                  </w:r>
                  <w:r>
                    <w:rPr>
                      <w:rFonts w:hAnsi="宋体"/>
                      <w:color w:val="auto"/>
                      <w:szCs w:val="21"/>
                      <w:highlight w:val="none"/>
                    </w:rPr>
                    <w:t>套</w:t>
                  </w:r>
                </w:p>
              </w:tc>
              <w:tc>
                <w:tcPr>
                  <w:tcW w:w="389" w:type="pct"/>
                  <w:shd w:val="clear" w:color="auto" w:fill="auto"/>
                  <w:vAlign w:val="center"/>
                </w:tcPr>
                <w:p w14:paraId="30040F81">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新建</w:t>
                  </w:r>
                </w:p>
              </w:tc>
              <w:tc>
                <w:tcPr>
                  <w:tcW w:w="341" w:type="pct"/>
                  <w:vMerge w:val="continue"/>
                  <w:vAlign w:val="center"/>
                </w:tcPr>
                <w:p w14:paraId="0E210D3F">
                  <w:pPr>
                    <w:keepNext w:val="0"/>
                    <w:keepLines w:val="0"/>
                    <w:suppressLineNumbers w:val="0"/>
                    <w:spacing w:before="0" w:beforeAutospacing="0" w:after="0" w:afterAutospacing="0"/>
                    <w:ind w:left="0" w:right="0"/>
                    <w:jc w:val="center"/>
                    <w:rPr>
                      <w:color w:val="auto"/>
                      <w:szCs w:val="21"/>
                      <w:highlight w:val="none"/>
                    </w:rPr>
                  </w:pPr>
                </w:p>
              </w:tc>
              <w:tc>
                <w:tcPr>
                  <w:tcW w:w="669" w:type="pct"/>
                  <w:vMerge w:val="continue"/>
                  <w:tcBorders>
                    <w:right w:val="nil"/>
                  </w:tcBorders>
                  <w:vAlign w:val="center"/>
                </w:tcPr>
                <w:p w14:paraId="71D748D6">
                  <w:pPr>
                    <w:keepNext w:val="0"/>
                    <w:keepLines w:val="0"/>
                    <w:suppressLineNumbers w:val="0"/>
                    <w:spacing w:before="0" w:beforeAutospacing="0" w:after="0" w:afterAutospacing="0"/>
                    <w:ind w:left="0" w:right="0"/>
                    <w:jc w:val="center"/>
                    <w:rPr>
                      <w:bCs/>
                      <w:color w:val="auto"/>
                      <w:szCs w:val="21"/>
                      <w:highlight w:val="none"/>
                    </w:rPr>
                  </w:pPr>
                </w:p>
              </w:tc>
              <w:tc>
                <w:tcPr>
                  <w:tcW w:w="324" w:type="pct"/>
                  <w:vMerge w:val="continue"/>
                  <w:tcBorders>
                    <w:right w:val="nil"/>
                  </w:tcBorders>
                </w:tcPr>
                <w:p w14:paraId="335040D1">
                  <w:pPr>
                    <w:keepNext w:val="0"/>
                    <w:keepLines w:val="0"/>
                    <w:suppressLineNumbers w:val="0"/>
                    <w:spacing w:before="0" w:beforeAutospacing="0" w:after="0" w:afterAutospacing="0"/>
                    <w:ind w:left="0" w:right="0"/>
                    <w:jc w:val="center"/>
                    <w:rPr>
                      <w:color w:val="auto"/>
                      <w:szCs w:val="21"/>
                      <w:highlight w:val="none"/>
                    </w:rPr>
                  </w:pPr>
                </w:p>
              </w:tc>
            </w:tr>
            <w:tr w14:paraId="356DC35F">
              <w:trPr>
                <w:trHeight w:val="340" w:hRule="atLeast"/>
                <w:jc w:val="center"/>
              </w:trPr>
              <w:tc>
                <w:tcPr>
                  <w:tcW w:w="195" w:type="pct"/>
                  <w:vMerge w:val="continue"/>
                  <w:tcBorders>
                    <w:left w:val="nil"/>
                  </w:tcBorders>
                  <w:vAlign w:val="center"/>
                </w:tcPr>
                <w:p w14:paraId="28F66E04">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Align w:val="center"/>
                </w:tcPr>
                <w:p w14:paraId="6419FDF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排污口规范化</w:t>
                  </w:r>
                </w:p>
              </w:tc>
              <w:tc>
                <w:tcPr>
                  <w:tcW w:w="1693" w:type="pct"/>
                  <w:vAlign w:val="center"/>
                </w:tcPr>
                <w:p w14:paraId="3C0F651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排污口设置规范化标志</w:t>
                  </w:r>
                </w:p>
              </w:tc>
              <w:tc>
                <w:tcPr>
                  <w:tcW w:w="477" w:type="pct"/>
                  <w:vAlign w:val="center"/>
                </w:tcPr>
                <w:p w14:paraId="58C60517">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5420825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r>
                    <w:rPr>
                      <w:rFonts w:hAnsi="宋体"/>
                      <w:color w:val="auto"/>
                      <w:szCs w:val="21"/>
                      <w:highlight w:val="none"/>
                    </w:rPr>
                    <w:t>套</w:t>
                  </w:r>
                </w:p>
              </w:tc>
              <w:tc>
                <w:tcPr>
                  <w:tcW w:w="389" w:type="pct"/>
                  <w:vAlign w:val="center"/>
                </w:tcPr>
                <w:p w14:paraId="615B7F5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Merge w:val="continue"/>
                  <w:vAlign w:val="center"/>
                </w:tcPr>
                <w:p w14:paraId="3388CEDA">
                  <w:pPr>
                    <w:keepNext w:val="0"/>
                    <w:keepLines w:val="0"/>
                    <w:suppressLineNumbers w:val="0"/>
                    <w:spacing w:before="0" w:beforeAutospacing="0" w:after="0" w:afterAutospacing="0"/>
                    <w:ind w:left="0" w:right="0"/>
                    <w:jc w:val="center"/>
                    <w:rPr>
                      <w:color w:val="auto"/>
                      <w:szCs w:val="21"/>
                      <w:highlight w:val="none"/>
                    </w:rPr>
                  </w:pPr>
                </w:p>
              </w:tc>
              <w:tc>
                <w:tcPr>
                  <w:tcW w:w="669" w:type="pct"/>
                  <w:vMerge w:val="continue"/>
                  <w:tcBorders>
                    <w:right w:val="nil"/>
                  </w:tcBorders>
                  <w:vAlign w:val="center"/>
                </w:tcPr>
                <w:p w14:paraId="62487C02">
                  <w:pPr>
                    <w:keepNext w:val="0"/>
                    <w:keepLines w:val="0"/>
                    <w:suppressLineNumbers w:val="0"/>
                    <w:spacing w:before="0" w:beforeAutospacing="0" w:after="0" w:afterAutospacing="0"/>
                    <w:ind w:left="0" w:right="0"/>
                    <w:jc w:val="center"/>
                    <w:rPr>
                      <w:bCs/>
                      <w:color w:val="auto"/>
                      <w:szCs w:val="21"/>
                      <w:highlight w:val="none"/>
                    </w:rPr>
                  </w:pPr>
                </w:p>
              </w:tc>
              <w:tc>
                <w:tcPr>
                  <w:tcW w:w="324" w:type="pct"/>
                  <w:vMerge w:val="continue"/>
                  <w:tcBorders>
                    <w:right w:val="nil"/>
                  </w:tcBorders>
                </w:tcPr>
                <w:p w14:paraId="41E7A9D8">
                  <w:pPr>
                    <w:keepNext w:val="0"/>
                    <w:keepLines w:val="0"/>
                    <w:suppressLineNumbers w:val="0"/>
                    <w:spacing w:before="0" w:beforeAutospacing="0" w:after="0" w:afterAutospacing="0"/>
                    <w:ind w:left="0" w:right="0"/>
                    <w:jc w:val="center"/>
                    <w:rPr>
                      <w:color w:val="auto"/>
                      <w:szCs w:val="21"/>
                      <w:highlight w:val="none"/>
                    </w:rPr>
                  </w:pPr>
                </w:p>
              </w:tc>
            </w:tr>
            <w:tr w14:paraId="1E6A1356">
              <w:trPr>
                <w:trHeight w:val="340" w:hRule="atLeast"/>
                <w:jc w:val="center"/>
              </w:trPr>
              <w:tc>
                <w:tcPr>
                  <w:tcW w:w="195" w:type="pct"/>
                  <w:tcBorders>
                    <w:left w:val="nil"/>
                  </w:tcBorders>
                  <w:vAlign w:val="center"/>
                </w:tcPr>
                <w:p w14:paraId="2FC7DD1F">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噪</w:t>
                  </w:r>
                </w:p>
                <w:p w14:paraId="3E711363">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声</w:t>
                  </w:r>
                </w:p>
              </w:tc>
              <w:tc>
                <w:tcPr>
                  <w:tcW w:w="423" w:type="pct"/>
                  <w:vAlign w:val="center"/>
                </w:tcPr>
                <w:p w14:paraId="3C16D3C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设备</w:t>
                  </w:r>
                </w:p>
                <w:p w14:paraId="072C2BE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噪声治理</w:t>
                  </w:r>
                </w:p>
              </w:tc>
              <w:tc>
                <w:tcPr>
                  <w:tcW w:w="1693" w:type="pct"/>
                  <w:vAlign w:val="center"/>
                </w:tcPr>
                <w:p w14:paraId="7437AD7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将高噪声设备安装在房间内，采用建筑隔声；并辅以消声、减震设施；</w:t>
                  </w:r>
                </w:p>
              </w:tc>
              <w:tc>
                <w:tcPr>
                  <w:tcW w:w="477" w:type="pct"/>
                  <w:vAlign w:val="center"/>
                </w:tcPr>
                <w:p w14:paraId="3322B73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6222410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389" w:type="pct"/>
                  <w:vAlign w:val="center"/>
                </w:tcPr>
                <w:p w14:paraId="382830B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Align w:val="center"/>
                </w:tcPr>
                <w:p w14:paraId="7173A96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20</w:t>
                  </w:r>
                </w:p>
              </w:tc>
              <w:tc>
                <w:tcPr>
                  <w:tcW w:w="669" w:type="pct"/>
                  <w:tcBorders>
                    <w:right w:val="nil"/>
                  </w:tcBorders>
                  <w:vAlign w:val="center"/>
                </w:tcPr>
                <w:p w14:paraId="37F5087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达标排放</w:t>
                  </w:r>
                </w:p>
              </w:tc>
              <w:tc>
                <w:tcPr>
                  <w:tcW w:w="324" w:type="pct"/>
                  <w:vMerge w:val="continue"/>
                  <w:tcBorders>
                    <w:right w:val="nil"/>
                  </w:tcBorders>
                </w:tcPr>
                <w:p w14:paraId="5776772C">
                  <w:pPr>
                    <w:keepNext w:val="0"/>
                    <w:keepLines w:val="0"/>
                    <w:suppressLineNumbers w:val="0"/>
                    <w:spacing w:before="0" w:beforeAutospacing="0" w:after="0" w:afterAutospacing="0"/>
                    <w:ind w:left="0" w:right="0"/>
                    <w:jc w:val="center"/>
                    <w:rPr>
                      <w:color w:val="auto"/>
                      <w:szCs w:val="21"/>
                      <w:highlight w:val="none"/>
                    </w:rPr>
                  </w:pPr>
                </w:p>
              </w:tc>
            </w:tr>
            <w:tr w14:paraId="300BC0F9">
              <w:trPr>
                <w:trHeight w:val="340" w:hRule="atLeast"/>
                <w:jc w:val="center"/>
              </w:trPr>
              <w:tc>
                <w:tcPr>
                  <w:tcW w:w="195" w:type="pct"/>
                  <w:vMerge w:val="restart"/>
                  <w:tcBorders>
                    <w:left w:val="nil"/>
                  </w:tcBorders>
                  <w:vAlign w:val="center"/>
                </w:tcPr>
                <w:p w14:paraId="53B36B1E">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固</w:t>
                  </w:r>
                </w:p>
                <w:p w14:paraId="6778C76F">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废</w:t>
                  </w:r>
                </w:p>
              </w:tc>
              <w:tc>
                <w:tcPr>
                  <w:tcW w:w="423" w:type="pct"/>
                  <w:vAlign w:val="center"/>
                </w:tcPr>
                <w:p w14:paraId="31171D6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危废库</w:t>
                  </w:r>
                </w:p>
              </w:tc>
              <w:tc>
                <w:tcPr>
                  <w:tcW w:w="1693" w:type="pct"/>
                  <w:vAlign w:val="center"/>
                </w:tcPr>
                <w:p w14:paraId="42E90150">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用以存放装载液体容器的地方，满足</w:t>
                  </w:r>
                  <w:r>
                    <w:rPr>
                      <w:color w:val="auto"/>
                      <w:szCs w:val="21"/>
                      <w:highlight w:val="none"/>
                    </w:rPr>
                    <w:t>“</w:t>
                  </w:r>
                  <w:r>
                    <w:rPr>
                      <w:rFonts w:hAnsi="宋体"/>
                      <w:color w:val="auto"/>
                      <w:szCs w:val="21"/>
                      <w:highlight w:val="none"/>
                    </w:rPr>
                    <w:t>四防</w:t>
                  </w:r>
                  <w:r>
                    <w:rPr>
                      <w:color w:val="auto"/>
                      <w:szCs w:val="21"/>
                      <w:highlight w:val="none"/>
                    </w:rPr>
                    <w:t>”</w:t>
                  </w:r>
                  <w:r>
                    <w:rPr>
                      <w:rFonts w:hAnsi="宋体"/>
                      <w:color w:val="auto"/>
                      <w:szCs w:val="21"/>
                      <w:highlight w:val="none"/>
                    </w:rPr>
                    <w:t>要求；</w:t>
                  </w:r>
                  <w:r>
                    <w:rPr>
                      <w:color w:val="auto"/>
                      <w:szCs w:val="21"/>
                      <w:highlight w:val="none"/>
                    </w:rPr>
                    <w:t>b.</w:t>
                  </w:r>
                  <w:r>
                    <w:rPr>
                      <w:rFonts w:hAnsi="宋体"/>
                      <w:color w:val="auto"/>
                      <w:szCs w:val="21"/>
                      <w:highlight w:val="none"/>
                    </w:rPr>
                    <w:t>设有导流沟和收集槽；</w:t>
                  </w:r>
                  <w:r>
                    <w:rPr>
                      <w:color w:val="auto"/>
                      <w:szCs w:val="21"/>
                      <w:highlight w:val="none"/>
                    </w:rPr>
                    <w:t xml:space="preserve">c. </w:t>
                  </w:r>
                  <w:r>
                    <w:rPr>
                      <w:rFonts w:hAnsi="宋体"/>
                      <w:color w:val="auto"/>
                      <w:szCs w:val="21"/>
                      <w:highlight w:val="none"/>
                    </w:rPr>
                    <w:t>产生的固废妥善处置，实现零排放。</w:t>
                  </w:r>
                </w:p>
              </w:tc>
              <w:tc>
                <w:tcPr>
                  <w:tcW w:w="477" w:type="pct"/>
                  <w:vAlign w:val="center"/>
                </w:tcPr>
                <w:p w14:paraId="5EC30925">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3</w:t>
                  </w:r>
                  <w:r>
                    <w:rPr>
                      <w:color w:val="auto"/>
                      <w:szCs w:val="21"/>
                      <w:highlight w:val="none"/>
                    </w:rPr>
                    <w:t>0m</w:t>
                  </w:r>
                  <w:r>
                    <w:rPr>
                      <w:color w:val="auto"/>
                      <w:szCs w:val="21"/>
                      <w:highlight w:val="none"/>
                      <w:vertAlign w:val="superscript"/>
                    </w:rPr>
                    <w:t>2</w:t>
                  </w:r>
                </w:p>
              </w:tc>
              <w:tc>
                <w:tcPr>
                  <w:tcW w:w="485" w:type="pct"/>
                  <w:vAlign w:val="center"/>
                </w:tcPr>
                <w:p w14:paraId="7238211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389" w:type="pct"/>
                  <w:vAlign w:val="center"/>
                </w:tcPr>
                <w:p w14:paraId="46ED4FF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Align w:val="center"/>
                </w:tcPr>
                <w:p w14:paraId="25F15616">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4</w:t>
                  </w:r>
                </w:p>
              </w:tc>
              <w:tc>
                <w:tcPr>
                  <w:tcW w:w="669" w:type="pct"/>
                  <w:tcBorders>
                    <w:right w:val="nil"/>
                  </w:tcBorders>
                  <w:vAlign w:val="center"/>
                </w:tcPr>
                <w:p w14:paraId="738E5B1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安全暂存</w:t>
                  </w:r>
                </w:p>
              </w:tc>
              <w:tc>
                <w:tcPr>
                  <w:tcW w:w="324" w:type="pct"/>
                  <w:vMerge w:val="continue"/>
                  <w:tcBorders>
                    <w:right w:val="nil"/>
                  </w:tcBorders>
                </w:tcPr>
                <w:p w14:paraId="20C1F9E6">
                  <w:pPr>
                    <w:keepNext w:val="0"/>
                    <w:keepLines w:val="0"/>
                    <w:suppressLineNumbers w:val="0"/>
                    <w:spacing w:before="0" w:beforeAutospacing="0" w:after="0" w:afterAutospacing="0"/>
                    <w:ind w:left="0" w:right="0"/>
                    <w:jc w:val="center"/>
                    <w:rPr>
                      <w:color w:val="auto"/>
                      <w:szCs w:val="21"/>
                      <w:highlight w:val="none"/>
                    </w:rPr>
                  </w:pPr>
                </w:p>
              </w:tc>
            </w:tr>
            <w:tr w14:paraId="5E2516ED">
              <w:trPr>
                <w:trHeight w:val="340" w:hRule="atLeast"/>
                <w:jc w:val="center"/>
              </w:trPr>
              <w:tc>
                <w:tcPr>
                  <w:tcW w:w="195" w:type="pct"/>
                  <w:vMerge w:val="continue"/>
                  <w:tcBorders>
                    <w:left w:val="nil"/>
                  </w:tcBorders>
                  <w:vAlign w:val="center"/>
                </w:tcPr>
                <w:p w14:paraId="79436447">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423" w:type="pct"/>
                  <w:vAlign w:val="center"/>
                </w:tcPr>
                <w:p w14:paraId="255DF94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一般固废</w:t>
                  </w:r>
                </w:p>
                <w:p w14:paraId="04BF40D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仓库</w:t>
                  </w:r>
                </w:p>
              </w:tc>
              <w:tc>
                <w:tcPr>
                  <w:tcW w:w="1693" w:type="pct"/>
                  <w:vAlign w:val="center"/>
                </w:tcPr>
                <w:p w14:paraId="54137BE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用以存放边角料等一般固废；</w:t>
                  </w:r>
                  <w:r>
                    <w:rPr>
                      <w:color w:val="auto"/>
                      <w:szCs w:val="21"/>
                      <w:highlight w:val="none"/>
                    </w:rPr>
                    <w:t>b.</w:t>
                  </w:r>
                  <w:r>
                    <w:rPr>
                      <w:rFonts w:hAnsi="宋体"/>
                      <w:color w:val="auto"/>
                      <w:szCs w:val="21"/>
                      <w:highlight w:val="none"/>
                    </w:rPr>
                    <w:t>产生的固废妥善处置，实现零排放。</w:t>
                  </w:r>
                </w:p>
              </w:tc>
              <w:tc>
                <w:tcPr>
                  <w:tcW w:w="477" w:type="pct"/>
                  <w:vAlign w:val="center"/>
                </w:tcPr>
                <w:p w14:paraId="7A31090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4</w:t>
                  </w:r>
                  <w:r>
                    <w:rPr>
                      <w:rFonts w:hint="eastAsia"/>
                      <w:color w:val="auto"/>
                      <w:szCs w:val="21"/>
                      <w:highlight w:val="none"/>
                    </w:rPr>
                    <w:t>0</w:t>
                  </w:r>
                  <w:r>
                    <w:rPr>
                      <w:color w:val="auto"/>
                      <w:szCs w:val="21"/>
                      <w:highlight w:val="none"/>
                    </w:rPr>
                    <w:t>m</w:t>
                  </w:r>
                  <w:r>
                    <w:rPr>
                      <w:color w:val="auto"/>
                      <w:szCs w:val="21"/>
                      <w:highlight w:val="none"/>
                      <w:vertAlign w:val="superscript"/>
                    </w:rPr>
                    <w:t>2</w:t>
                  </w:r>
                </w:p>
              </w:tc>
              <w:tc>
                <w:tcPr>
                  <w:tcW w:w="485" w:type="pct"/>
                  <w:vAlign w:val="center"/>
                </w:tcPr>
                <w:p w14:paraId="180DB6C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389" w:type="pct"/>
                  <w:vAlign w:val="center"/>
                </w:tcPr>
                <w:p w14:paraId="0DC31B0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Align w:val="center"/>
                </w:tcPr>
                <w:p w14:paraId="16A47D7F">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w:t>
                  </w:r>
                </w:p>
              </w:tc>
              <w:tc>
                <w:tcPr>
                  <w:tcW w:w="669" w:type="pct"/>
                  <w:tcBorders>
                    <w:right w:val="nil"/>
                  </w:tcBorders>
                  <w:vAlign w:val="center"/>
                </w:tcPr>
                <w:p w14:paraId="3D56AF2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安全暂存</w:t>
                  </w:r>
                </w:p>
              </w:tc>
              <w:tc>
                <w:tcPr>
                  <w:tcW w:w="324" w:type="pct"/>
                  <w:vMerge w:val="continue"/>
                  <w:tcBorders>
                    <w:right w:val="nil"/>
                  </w:tcBorders>
                </w:tcPr>
                <w:p w14:paraId="175C2210">
                  <w:pPr>
                    <w:keepNext w:val="0"/>
                    <w:keepLines w:val="0"/>
                    <w:suppressLineNumbers w:val="0"/>
                    <w:spacing w:before="0" w:beforeAutospacing="0" w:after="0" w:afterAutospacing="0"/>
                    <w:ind w:left="0" w:right="0"/>
                    <w:jc w:val="center"/>
                    <w:rPr>
                      <w:color w:val="auto"/>
                      <w:szCs w:val="21"/>
                      <w:highlight w:val="none"/>
                    </w:rPr>
                  </w:pPr>
                </w:p>
              </w:tc>
            </w:tr>
            <w:tr w14:paraId="71F39D50">
              <w:trPr>
                <w:trHeight w:val="340" w:hRule="atLeast"/>
                <w:jc w:val="center"/>
              </w:trPr>
              <w:tc>
                <w:tcPr>
                  <w:tcW w:w="195" w:type="pct"/>
                  <w:tcBorders>
                    <w:left w:val="nil"/>
                  </w:tcBorders>
                  <w:vAlign w:val="center"/>
                </w:tcPr>
                <w:p w14:paraId="6D8C905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绿化</w:t>
                  </w:r>
                </w:p>
              </w:tc>
              <w:tc>
                <w:tcPr>
                  <w:tcW w:w="423" w:type="pct"/>
                  <w:vAlign w:val="center"/>
                </w:tcPr>
                <w:p w14:paraId="09E877B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厂区绿化</w:t>
                  </w:r>
                </w:p>
              </w:tc>
              <w:tc>
                <w:tcPr>
                  <w:tcW w:w="2656" w:type="pct"/>
                  <w:gridSpan w:val="3"/>
                  <w:vAlign w:val="center"/>
                </w:tcPr>
                <w:p w14:paraId="74ADB8F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在厂房之间种植灌木以吸收生产过程中产生的</w:t>
                  </w:r>
                  <w:r>
                    <w:rPr>
                      <w:rFonts w:hint="eastAsia" w:hAnsi="宋体"/>
                      <w:color w:val="auto"/>
                      <w:szCs w:val="21"/>
                      <w:highlight w:val="none"/>
                      <w:lang w:eastAsia="zh-CN"/>
                    </w:rPr>
                    <w:t>噪声</w:t>
                  </w:r>
                  <w:r>
                    <w:rPr>
                      <w:rFonts w:hAnsi="宋体"/>
                      <w:color w:val="auto"/>
                      <w:szCs w:val="21"/>
                      <w:highlight w:val="none"/>
                    </w:rPr>
                    <w:t>；</w:t>
                  </w:r>
                  <w:r>
                    <w:rPr>
                      <w:color w:val="auto"/>
                      <w:szCs w:val="21"/>
                      <w:highlight w:val="none"/>
                    </w:rPr>
                    <w:t>b.</w:t>
                  </w:r>
                  <w:r>
                    <w:rPr>
                      <w:rFonts w:hAnsi="宋体"/>
                      <w:color w:val="auto"/>
                      <w:szCs w:val="21"/>
                      <w:highlight w:val="none"/>
                    </w:rPr>
                    <w:t>厂区内道路两侧和厂界围墙边种植高大乔木为主的绿化带；</w:t>
                  </w:r>
                  <w:r>
                    <w:rPr>
                      <w:color w:val="auto"/>
                      <w:szCs w:val="21"/>
                      <w:highlight w:val="none"/>
                    </w:rPr>
                    <w:t>c.</w:t>
                  </w:r>
                  <w:r>
                    <w:rPr>
                      <w:rFonts w:hAnsi="宋体"/>
                      <w:color w:val="auto"/>
                      <w:szCs w:val="21"/>
                      <w:highlight w:val="none"/>
                    </w:rPr>
                    <w:t>在厂区</w:t>
                  </w:r>
                  <w:r>
                    <w:rPr>
                      <w:rFonts w:hint="eastAsia" w:hAnsi="宋体"/>
                      <w:color w:val="auto"/>
                      <w:szCs w:val="21"/>
                      <w:highlight w:val="none"/>
                      <w:lang w:eastAsia="zh-CN"/>
                    </w:rPr>
                    <w:t>建设</w:t>
                  </w:r>
                  <w:r>
                    <w:rPr>
                      <w:rFonts w:hAnsi="宋体"/>
                      <w:color w:val="auto"/>
                      <w:szCs w:val="21"/>
                      <w:highlight w:val="none"/>
                    </w:rPr>
                    <w:t>草坪等易生长的草本植物，不但可以增加厂内绿地的面积还可以吸收厂内排放的废气，用以净化空气。</w:t>
                  </w:r>
                </w:p>
              </w:tc>
              <w:tc>
                <w:tcPr>
                  <w:tcW w:w="389" w:type="pct"/>
                  <w:vAlign w:val="center"/>
                </w:tcPr>
                <w:p w14:paraId="7390F67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341" w:type="pct"/>
                  <w:vAlign w:val="center"/>
                </w:tcPr>
                <w:p w14:paraId="2D02576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669" w:type="pct"/>
                  <w:tcBorders>
                    <w:right w:val="nil"/>
                  </w:tcBorders>
                  <w:vAlign w:val="center"/>
                </w:tcPr>
                <w:p w14:paraId="7585D093">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美化环境减少污染，绿化率</w:t>
                  </w:r>
                </w:p>
                <w:p w14:paraId="7F4DBA9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5</w:t>
                  </w:r>
                  <w:r>
                    <w:rPr>
                      <w:color w:val="auto"/>
                      <w:szCs w:val="21"/>
                      <w:highlight w:val="none"/>
                    </w:rPr>
                    <w:t>%</w:t>
                  </w:r>
                </w:p>
              </w:tc>
              <w:tc>
                <w:tcPr>
                  <w:tcW w:w="324" w:type="pct"/>
                  <w:vMerge w:val="continue"/>
                  <w:tcBorders>
                    <w:right w:val="nil"/>
                  </w:tcBorders>
                </w:tcPr>
                <w:p w14:paraId="6992962E">
                  <w:pPr>
                    <w:keepNext w:val="0"/>
                    <w:keepLines w:val="0"/>
                    <w:suppressLineNumbers w:val="0"/>
                    <w:spacing w:before="0" w:beforeAutospacing="0" w:after="0" w:afterAutospacing="0"/>
                    <w:ind w:left="0" w:right="0"/>
                    <w:jc w:val="center"/>
                    <w:rPr>
                      <w:color w:val="auto"/>
                      <w:szCs w:val="21"/>
                      <w:highlight w:val="none"/>
                    </w:rPr>
                  </w:pPr>
                </w:p>
              </w:tc>
            </w:tr>
            <w:tr w14:paraId="4C790FC3">
              <w:trPr>
                <w:trHeight w:val="340" w:hRule="atLeast"/>
                <w:jc w:val="center"/>
              </w:trPr>
              <w:tc>
                <w:tcPr>
                  <w:tcW w:w="618" w:type="pct"/>
                  <w:gridSpan w:val="2"/>
                  <w:tcBorders>
                    <w:left w:val="nil"/>
                  </w:tcBorders>
                  <w:vAlign w:val="center"/>
                </w:tcPr>
                <w:p w14:paraId="0966805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环保概算</w:t>
                  </w:r>
                </w:p>
              </w:tc>
              <w:tc>
                <w:tcPr>
                  <w:tcW w:w="3045" w:type="pct"/>
                  <w:gridSpan w:val="4"/>
                  <w:tcBorders>
                    <w:left w:val="nil"/>
                  </w:tcBorders>
                  <w:vAlign w:val="center"/>
                </w:tcPr>
                <w:p w14:paraId="0F05833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合计</w:t>
                  </w:r>
                </w:p>
              </w:tc>
              <w:tc>
                <w:tcPr>
                  <w:tcW w:w="341" w:type="pct"/>
                  <w:vAlign w:val="center"/>
                </w:tcPr>
                <w:p w14:paraId="1B612411">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65</w:t>
                  </w:r>
                </w:p>
              </w:tc>
              <w:tc>
                <w:tcPr>
                  <w:tcW w:w="669" w:type="pct"/>
                  <w:tcBorders>
                    <w:right w:val="nil"/>
                  </w:tcBorders>
                  <w:vAlign w:val="center"/>
                </w:tcPr>
                <w:p w14:paraId="54944D2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324" w:type="pct"/>
                  <w:vMerge w:val="continue"/>
                  <w:tcBorders>
                    <w:right w:val="nil"/>
                  </w:tcBorders>
                </w:tcPr>
                <w:p w14:paraId="6F2D1FBC">
                  <w:pPr>
                    <w:keepNext w:val="0"/>
                    <w:keepLines w:val="0"/>
                    <w:suppressLineNumbers w:val="0"/>
                    <w:spacing w:before="0" w:beforeAutospacing="0" w:after="0" w:afterAutospacing="0"/>
                    <w:ind w:left="0" w:right="0"/>
                    <w:jc w:val="center"/>
                    <w:rPr>
                      <w:color w:val="auto"/>
                      <w:szCs w:val="21"/>
                      <w:highlight w:val="none"/>
                    </w:rPr>
                  </w:pPr>
                </w:p>
              </w:tc>
            </w:tr>
          </w:tbl>
          <w:p w14:paraId="76565FE5">
            <w:pPr>
              <w:pStyle w:val="100"/>
              <w:keepNext w:val="0"/>
              <w:keepLines w:val="0"/>
              <w:suppressLineNumbers w:val="0"/>
              <w:spacing w:before="0" w:beforeAutospacing="0" w:after="0" w:afterAutospacing="0"/>
              <w:ind w:left="0" w:leftChars="0" w:right="0" w:firstLine="0" w:firstLineChars="0"/>
              <w:rPr>
                <w:color w:val="auto"/>
                <w:highlight w:val="none"/>
              </w:rPr>
            </w:pPr>
          </w:p>
          <w:p w14:paraId="3D7A1C20">
            <w:pPr>
              <w:pStyle w:val="100"/>
              <w:keepNext w:val="0"/>
              <w:keepLines w:val="0"/>
              <w:suppressLineNumbers w:val="0"/>
              <w:spacing w:before="0" w:beforeAutospacing="0" w:after="0" w:afterAutospacing="0"/>
              <w:ind w:left="0" w:leftChars="0" w:right="0" w:firstLine="0" w:firstLineChars="0"/>
              <w:rPr>
                <w:color w:val="auto"/>
                <w:highlight w:val="none"/>
              </w:rPr>
            </w:pPr>
          </w:p>
          <w:p w14:paraId="3035D0D9">
            <w:pPr>
              <w:pStyle w:val="100"/>
              <w:keepNext w:val="0"/>
              <w:keepLines w:val="0"/>
              <w:suppressLineNumbers w:val="0"/>
              <w:spacing w:before="0" w:beforeAutospacing="0" w:after="0" w:afterAutospacing="0"/>
              <w:ind w:left="0" w:leftChars="0" w:right="0" w:firstLine="0" w:firstLineChars="0"/>
              <w:rPr>
                <w:color w:val="auto"/>
                <w:highlight w:val="none"/>
              </w:rPr>
            </w:pPr>
          </w:p>
          <w:p w14:paraId="1263ADD1">
            <w:pPr>
              <w:pStyle w:val="100"/>
              <w:keepNext w:val="0"/>
              <w:keepLines w:val="0"/>
              <w:suppressLineNumbers w:val="0"/>
              <w:spacing w:before="0" w:beforeAutospacing="0" w:after="0" w:afterAutospacing="0"/>
              <w:ind w:left="0" w:leftChars="0" w:right="0" w:firstLine="0" w:firstLineChars="0"/>
              <w:rPr>
                <w:color w:val="auto"/>
                <w:highlight w:val="none"/>
              </w:rPr>
            </w:pPr>
          </w:p>
          <w:p w14:paraId="39563063">
            <w:pPr>
              <w:pStyle w:val="100"/>
              <w:keepNext w:val="0"/>
              <w:keepLines w:val="0"/>
              <w:suppressLineNumbers w:val="0"/>
              <w:spacing w:before="0" w:beforeAutospacing="0" w:after="0" w:afterAutospacing="0"/>
              <w:ind w:left="0" w:leftChars="0" w:right="0" w:firstLine="0" w:firstLineChars="0"/>
              <w:rPr>
                <w:color w:val="auto"/>
                <w:highlight w:val="none"/>
              </w:rPr>
            </w:pPr>
          </w:p>
          <w:p w14:paraId="3432FC79">
            <w:pPr>
              <w:pStyle w:val="100"/>
              <w:keepNext w:val="0"/>
              <w:keepLines w:val="0"/>
              <w:suppressLineNumbers w:val="0"/>
              <w:spacing w:before="0" w:beforeAutospacing="0" w:after="0" w:afterAutospacing="0"/>
              <w:ind w:left="0" w:leftChars="0" w:right="0" w:firstLine="0" w:firstLineChars="0"/>
              <w:rPr>
                <w:color w:val="auto"/>
                <w:highlight w:val="none"/>
              </w:rPr>
            </w:pPr>
          </w:p>
          <w:p w14:paraId="4A124B69">
            <w:pPr>
              <w:pStyle w:val="100"/>
              <w:keepNext w:val="0"/>
              <w:keepLines w:val="0"/>
              <w:suppressLineNumbers w:val="0"/>
              <w:spacing w:before="0" w:beforeAutospacing="0" w:after="0" w:afterAutospacing="0"/>
              <w:ind w:left="0" w:leftChars="0" w:right="0" w:firstLine="0" w:firstLineChars="0"/>
              <w:rPr>
                <w:color w:val="auto"/>
                <w:highlight w:val="none"/>
              </w:rPr>
            </w:pPr>
          </w:p>
          <w:p w14:paraId="7E7226EB">
            <w:pPr>
              <w:pStyle w:val="100"/>
              <w:keepNext w:val="0"/>
              <w:keepLines w:val="0"/>
              <w:suppressLineNumbers w:val="0"/>
              <w:spacing w:before="0" w:beforeAutospacing="0" w:after="0" w:afterAutospacing="0"/>
              <w:ind w:left="0" w:leftChars="0" w:right="0" w:firstLine="0" w:firstLineChars="0"/>
              <w:rPr>
                <w:color w:val="auto"/>
                <w:highlight w:val="none"/>
              </w:rPr>
            </w:pPr>
          </w:p>
          <w:p w14:paraId="6A0D69AF">
            <w:pPr>
              <w:pStyle w:val="100"/>
              <w:keepNext w:val="0"/>
              <w:keepLines w:val="0"/>
              <w:suppressLineNumbers w:val="0"/>
              <w:spacing w:before="0" w:beforeAutospacing="0" w:after="0" w:afterAutospacing="0"/>
              <w:ind w:left="0" w:leftChars="0" w:right="0" w:firstLine="0" w:firstLineChars="0"/>
              <w:rPr>
                <w:color w:val="auto"/>
                <w:highlight w:val="none"/>
              </w:rPr>
            </w:pPr>
          </w:p>
          <w:p w14:paraId="1C0578A3">
            <w:pPr>
              <w:pStyle w:val="100"/>
              <w:keepNext w:val="0"/>
              <w:keepLines w:val="0"/>
              <w:suppressLineNumbers w:val="0"/>
              <w:spacing w:before="0" w:beforeAutospacing="0" w:after="0" w:afterAutospacing="0"/>
              <w:ind w:left="0" w:leftChars="0" w:right="0" w:firstLine="0" w:firstLineChars="0"/>
              <w:rPr>
                <w:color w:val="auto"/>
                <w:highlight w:val="none"/>
              </w:rPr>
            </w:pPr>
          </w:p>
          <w:p w14:paraId="3B131BBF">
            <w:pPr>
              <w:pStyle w:val="100"/>
              <w:keepNext w:val="0"/>
              <w:keepLines w:val="0"/>
              <w:suppressLineNumbers w:val="0"/>
              <w:spacing w:before="0" w:beforeAutospacing="0" w:after="0" w:afterAutospacing="0"/>
              <w:ind w:left="0" w:leftChars="0" w:right="0" w:firstLine="0" w:firstLineChars="0"/>
              <w:rPr>
                <w:color w:val="auto"/>
                <w:highlight w:val="none"/>
              </w:rPr>
            </w:pPr>
          </w:p>
          <w:p w14:paraId="1EF05C16">
            <w:pPr>
              <w:pStyle w:val="100"/>
              <w:keepNext w:val="0"/>
              <w:keepLines w:val="0"/>
              <w:suppressLineNumbers w:val="0"/>
              <w:spacing w:before="0" w:beforeAutospacing="0" w:after="0" w:afterAutospacing="0"/>
              <w:ind w:left="0" w:leftChars="0" w:right="0" w:firstLine="0" w:firstLineChars="0"/>
              <w:rPr>
                <w:color w:val="auto"/>
                <w:highlight w:val="none"/>
              </w:rPr>
            </w:pPr>
          </w:p>
          <w:p w14:paraId="60B57D0E">
            <w:pPr>
              <w:pStyle w:val="100"/>
              <w:keepNext w:val="0"/>
              <w:keepLines w:val="0"/>
              <w:suppressLineNumbers w:val="0"/>
              <w:spacing w:before="0" w:beforeAutospacing="0" w:after="0" w:afterAutospacing="0"/>
              <w:ind w:left="0" w:leftChars="0" w:right="0" w:firstLine="0" w:firstLineChars="0"/>
              <w:rPr>
                <w:color w:val="auto"/>
                <w:highlight w:val="none"/>
              </w:rPr>
            </w:pPr>
          </w:p>
          <w:p w14:paraId="78E6433F">
            <w:pPr>
              <w:pStyle w:val="100"/>
              <w:keepNext w:val="0"/>
              <w:keepLines w:val="0"/>
              <w:suppressLineNumbers w:val="0"/>
              <w:spacing w:before="0" w:beforeAutospacing="0" w:after="0" w:afterAutospacing="0"/>
              <w:ind w:left="0" w:leftChars="0" w:right="0" w:firstLine="0" w:firstLineChars="0"/>
              <w:rPr>
                <w:color w:val="auto"/>
                <w:highlight w:val="none"/>
              </w:rPr>
            </w:pPr>
          </w:p>
          <w:p w14:paraId="1C06D6C3">
            <w:pPr>
              <w:pStyle w:val="100"/>
              <w:keepNext w:val="0"/>
              <w:keepLines w:val="0"/>
              <w:suppressLineNumbers w:val="0"/>
              <w:spacing w:before="0" w:beforeAutospacing="0" w:after="0" w:afterAutospacing="0"/>
              <w:ind w:left="0" w:leftChars="0" w:right="0" w:firstLine="0" w:firstLineChars="0"/>
              <w:rPr>
                <w:color w:val="auto"/>
                <w:highlight w:val="none"/>
              </w:rPr>
            </w:pPr>
          </w:p>
          <w:p w14:paraId="60A7BB0A">
            <w:pPr>
              <w:pStyle w:val="100"/>
              <w:keepNext w:val="0"/>
              <w:keepLines w:val="0"/>
              <w:suppressLineNumbers w:val="0"/>
              <w:spacing w:before="0" w:beforeAutospacing="0" w:after="0" w:afterAutospacing="0"/>
              <w:ind w:left="0" w:leftChars="0" w:right="0" w:firstLine="0" w:firstLineChars="0"/>
              <w:rPr>
                <w:color w:val="auto"/>
                <w:highlight w:val="none"/>
              </w:rPr>
            </w:pPr>
          </w:p>
          <w:p w14:paraId="6F12A4A9">
            <w:pPr>
              <w:pStyle w:val="100"/>
              <w:keepNext w:val="0"/>
              <w:keepLines w:val="0"/>
              <w:suppressLineNumbers w:val="0"/>
              <w:spacing w:before="0" w:beforeAutospacing="0" w:after="0" w:afterAutospacing="0"/>
              <w:ind w:left="0" w:leftChars="0" w:right="0" w:firstLine="0" w:firstLineChars="0"/>
              <w:rPr>
                <w:color w:val="auto"/>
                <w:highlight w:val="none"/>
              </w:rPr>
            </w:pPr>
          </w:p>
          <w:p w14:paraId="0BCE383C">
            <w:pPr>
              <w:pStyle w:val="100"/>
              <w:keepNext w:val="0"/>
              <w:keepLines w:val="0"/>
              <w:suppressLineNumbers w:val="0"/>
              <w:spacing w:before="0" w:beforeAutospacing="0" w:after="0" w:afterAutospacing="0"/>
              <w:ind w:left="0" w:leftChars="0" w:right="0" w:firstLine="0" w:firstLineChars="0"/>
              <w:rPr>
                <w:color w:val="auto"/>
                <w:highlight w:val="none"/>
              </w:rPr>
            </w:pPr>
          </w:p>
          <w:p w14:paraId="14D0777A">
            <w:pPr>
              <w:pStyle w:val="100"/>
              <w:keepNext w:val="0"/>
              <w:keepLines w:val="0"/>
              <w:suppressLineNumbers w:val="0"/>
              <w:spacing w:before="0" w:beforeAutospacing="0" w:after="0" w:afterAutospacing="0"/>
              <w:ind w:left="0" w:leftChars="0" w:right="0" w:firstLine="0" w:firstLineChars="0"/>
              <w:rPr>
                <w:color w:val="auto"/>
                <w:highlight w:val="none"/>
              </w:rPr>
            </w:pPr>
          </w:p>
          <w:p w14:paraId="1E46621B">
            <w:pPr>
              <w:pStyle w:val="100"/>
              <w:keepNext w:val="0"/>
              <w:keepLines w:val="0"/>
              <w:suppressLineNumbers w:val="0"/>
              <w:spacing w:before="0" w:beforeAutospacing="0" w:after="0" w:afterAutospacing="0"/>
              <w:ind w:left="0" w:leftChars="0" w:right="0" w:firstLine="0" w:firstLineChars="0"/>
              <w:rPr>
                <w:color w:val="auto"/>
                <w:highlight w:val="none"/>
              </w:rPr>
            </w:pPr>
          </w:p>
          <w:p w14:paraId="029EAFAD">
            <w:pPr>
              <w:pStyle w:val="100"/>
              <w:keepNext w:val="0"/>
              <w:keepLines w:val="0"/>
              <w:suppressLineNumbers w:val="0"/>
              <w:spacing w:before="0" w:beforeAutospacing="0" w:after="0" w:afterAutospacing="0"/>
              <w:ind w:left="0" w:leftChars="0" w:right="0" w:firstLine="0" w:firstLineChars="0"/>
              <w:rPr>
                <w:color w:val="auto"/>
                <w:highlight w:val="none"/>
              </w:rPr>
            </w:pPr>
          </w:p>
          <w:p w14:paraId="4CE730C9">
            <w:pPr>
              <w:pStyle w:val="100"/>
              <w:keepNext w:val="0"/>
              <w:keepLines w:val="0"/>
              <w:suppressLineNumbers w:val="0"/>
              <w:spacing w:before="0" w:beforeAutospacing="0" w:after="0" w:afterAutospacing="0"/>
              <w:ind w:left="0" w:leftChars="0" w:right="0" w:firstLine="0" w:firstLineChars="0"/>
              <w:rPr>
                <w:color w:val="auto"/>
                <w:highlight w:val="none"/>
              </w:rPr>
            </w:pPr>
          </w:p>
          <w:p w14:paraId="3B86281A">
            <w:pPr>
              <w:pStyle w:val="100"/>
              <w:keepNext w:val="0"/>
              <w:keepLines w:val="0"/>
              <w:suppressLineNumbers w:val="0"/>
              <w:spacing w:before="0" w:beforeAutospacing="0" w:after="0" w:afterAutospacing="0"/>
              <w:ind w:left="0" w:leftChars="0" w:right="0" w:firstLine="0" w:firstLineChars="0"/>
              <w:rPr>
                <w:color w:val="auto"/>
                <w:highlight w:val="none"/>
              </w:rPr>
            </w:pPr>
          </w:p>
          <w:p w14:paraId="1704CCCC">
            <w:pPr>
              <w:pStyle w:val="100"/>
              <w:keepNext w:val="0"/>
              <w:keepLines w:val="0"/>
              <w:suppressLineNumbers w:val="0"/>
              <w:spacing w:before="0" w:beforeAutospacing="0" w:after="0" w:afterAutospacing="0"/>
              <w:ind w:left="0" w:leftChars="0" w:right="0" w:firstLine="0" w:firstLineChars="0"/>
              <w:rPr>
                <w:color w:val="auto"/>
                <w:highlight w:val="none"/>
              </w:rPr>
            </w:pPr>
          </w:p>
          <w:p w14:paraId="22C86B41">
            <w:pPr>
              <w:pStyle w:val="100"/>
              <w:keepNext w:val="0"/>
              <w:keepLines w:val="0"/>
              <w:suppressLineNumbers w:val="0"/>
              <w:spacing w:before="0" w:beforeAutospacing="0" w:after="0" w:afterAutospacing="0"/>
              <w:ind w:left="0" w:leftChars="0" w:right="0" w:firstLine="0" w:firstLineChars="0"/>
              <w:rPr>
                <w:color w:val="auto"/>
                <w:highlight w:val="none"/>
              </w:rPr>
            </w:pPr>
          </w:p>
          <w:p w14:paraId="4DB8F083">
            <w:pPr>
              <w:pStyle w:val="100"/>
              <w:keepNext w:val="0"/>
              <w:keepLines w:val="0"/>
              <w:suppressLineNumbers w:val="0"/>
              <w:spacing w:before="0" w:beforeAutospacing="0" w:after="0" w:afterAutospacing="0"/>
              <w:ind w:left="0" w:leftChars="0" w:right="0" w:firstLine="0" w:firstLineChars="0"/>
              <w:rPr>
                <w:color w:val="auto"/>
                <w:highlight w:val="none"/>
              </w:rPr>
            </w:pPr>
          </w:p>
          <w:p w14:paraId="37E2BEA7">
            <w:pPr>
              <w:pStyle w:val="100"/>
              <w:keepNext w:val="0"/>
              <w:keepLines w:val="0"/>
              <w:suppressLineNumbers w:val="0"/>
              <w:spacing w:before="0" w:beforeAutospacing="0" w:after="0" w:afterAutospacing="0"/>
              <w:ind w:left="0" w:leftChars="0" w:right="0" w:firstLine="0" w:firstLineChars="0"/>
              <w:rPr>
                <w:color w:val="auto"/>
                <w:highlight w:val="none"/>
              </w:rPr>
            </w:pPr>
          </w:p>
          <w:p w14:paraId="34434228">
            <w:pPr>
              <w:pStyle w:val="100"/>
              <w:keepNext w:val="0"/>
              <w:keepLines w:val="0"/>
              <w:suppressLineNumbers w:val="0"/>
              <w:spacing w:before="0" w:beforeAutospacing="0" w:after="0" w:afterAutospacing="0"/>
              <w:ind w:left="0" w:leftChars="0" w:right="0" w:firstLine="0" w:firstLineChars="0"/>
              <w:rPr>
                <w:color w:val="auto"/>
                <w:highlight w:val="none"/>
              </w:rPr>
            </w:pPr>
          </w:p>
          <w:p w14:paraId="6AD2224F">
            <w:pPr>
              <w:keepNext w:val="0"/>
              <w:keepLines w:val="0"/>
              <w:suppressLineNumbers w:val="0"/>
              <w:spacing w:before="0" w:beforeAutospacing="0" w:after="0" w:afterAutospacing="0"/>
              <w:ind w:left="0" w:right="0"/>
              <w:rPr>
                <w:color w:val="auto"/>
                <w:highlight w:val="none"/>
              </w:rPr>
            </w:pPr>
          </w:p>
        </w:tc>
      </w:tr>
    </w:tbl>
    <w:p w14:paraId="4273F159">
      <w:pPr>
        <w:pStyle w:val="81"/>
        <w:rPr>
          <w:snapToGrid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DE7D118">
      <w:pPr>
        <w:pStyle w:val="81"/>
        <w:rPr>
          <w:rFonts w:hAnsi="Times New Roman"/>
          <w:snapToGrid w:val="0"/>
          <w:color w:val="auto"/>
          <w:highlight w:val="none"/>
        </w:rPr>
      </w:pPr>
      <w:bookmarkStart w:id="51" w:name="_Toc10252"/>
      <w:r>
        <w:rPr>
          <w:snapToGrid w:val="0"/>
          <w:color w:val="auto"/>
          <w:highlight w:val="none"/>
        </w:rPr>
        <w:t>五、</w:t>
      </w:r>
      <w:bookmarkStart w:id="52" w:name="_Hlk54167917"/>
      <w:r>
        <w:rPr>
          <w:snapToGrid w:val="0"/>
          <w:color w:val="auto"/>
          <w:highlight w:val="none"/>
        </w:rPr>
        <w:t>环境保护措施监督检查清单</w:t>
      </w:r>
      <w:bookmarkEnd w:id="51"/>
      <w:bookmarkEnd w:id="52"/>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988"/>
        <w:gridCol w:w="1136"/>
        <w:gridCol w:w="1313"/>
        <w:gridCol w:w="1607"/>
        <w:gridCol w:w="2533"/>
      </w:tblGrid>
      <w:tr w14:paraId="4E865961">
        <w:trPr>
          <w:trHeight w:val="425" w:hRule="atLeast"/>
          <w:jc w:val="center"/>
        </w:trPr>
        <w:tc>
          <w:tcPr>
            <w:tcW w:w="1483" w:type="dxa"/>
            <w:tcBorders>
              <w:tl2br w:val="single" w:color="auto" w:sz="4" w:space="0"/>
            </w:tcBorders>
          </w:tcPr>
          <w:p w14:paraId="1A2B554C">
            <w:pPr>
              <w:keepNext w:val="0"/>
              <w:keepLines w:val="0"/>
              <w:suppressLineNumbers w:val="0"/>
              <w:adjustRightInd w:val="0"/>
              <w:snapToGrid w:val="0"/>
              <w:spacing w:before="0" w:beforeAutospacing="0" w:after="0" w:afterAutospacing="0"/>
              <w:ind w:left="0" w:right="0" w:firstLine="840"/>
              <w:rPr>
                <w:color w:val="auto"/>
                <w:szCs w:val="21"/>
                <w:highlight w:val="none"/>
              </w:rPr>
            </w:pPr>
            <w:r>
              <w:rPr>
                <w:rFonts w:hAnsi="宋体"/>
                <w:color w:val="auto"/>
                <w:szCs w:val="21"/>
                <w:highlight w:val="none"/>
              </w:rPr>
              <w:t>内容</w:t>
            </w:r>
          </w:p>
          <w:p w14:paraId="4BD79BFE">
            <w:pPr>
              <w:keepNext w:val="0"/>
              <w:keepLines w:val="0"/>
              <w:suppressLineNumbers w:val="0"/>
              <w:adjustRightInd w:val="0"/>
              <w:snapToGrid w:val="0"/>
              <w:spacing w:before="0" w:beforeAutospacing="0" w:after="0" w:afterAutospacing="0"/>
              <w:ind w:left="0" w:right="0"/>
              <w:rPr>
                <w:color w:val="auto"/>
                <w:szCs w:val="21"/>
                <w:highlight w:val="none"/>
              </w:rPr>
            </w:pPr>
            <w:r>
              <w:rPr>
                <w:rFonts w:hAnsi="宋体"/>
                <w:color w:val="auto"/>
                <w:szCs w:val="21"/>
                <w:highlight w:val="none"/>
              </w:rPr>
              <w:t>要素</w:t>
            </w:r>
          </w:p>
        </w:tc>
        <w:tc>
          <w:tcPr>
            <w:tcW w:w="2124" w:type="dxa"/>
            <w:gridSpan w:val="2"/>
            <w:vAlign w:val="center"/>
          </w:tcPr>
          <w:p w14:paraId="287E214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排放口</w:t>
            </w:r>
            <w:r>
              <w:rPr>
                <w:rFonts w:hint="eastAsia" w:hAnsi="宋体"/>
                <w:color w:val="auto"/>
                <w:szCs w:val="21"/>
                <w:highlight w:val="none"/>
                <w:lang w:eastAsia="zh-CN"/>
              </w:rPr>
              <w:t>（</w:t>
            </w:r>
            <w:r>
              <w:rPr>
                <w:rFonts w:hAnsi="宋体"/>
                <w:color w:val="auto"/>
                <w:szCs w:val="21"/>
                <w:highlight w:val="none"/>
              </w:rPr>
              <w:t>编号、</w:t>
            </w:r>
          </w:p>
          <w:p w14:paraId="3F12E5E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名称</w:t>
            </w:r>
            <w:r>
              <w:rPr>
                <w:rFonts w:hint="eastAsia" w:hAnsi="宋体"/>
                <w:color w:val="auto"/>
                <w:szCs w:val="21"/>
                <w:highlight w:val="none"/>
                <w:lang w:eastAsia="zh-CN"/>
              </w:rPr>
              <w:t>）</w:t>
            </w:r>
            <w:r>
              <w:rPr>
                <w:color w:val="auto"/>
                <w:szCs w:val="21"/>
                <w:highlight w:val="none"/>
              </w:rPr>
              <w:t>/</w:t>
            </w:r>
            <w:r>
              <w:rPr>
                <w:rFonts w:hAnsi="宋体"/>
                <w:color w:val="auto"/>
                <w:szCs w:val="21"/>
                <w:highlight w:val="none"/>
              </w:rPr>
              <w:t>污染源</w:t>
            </w:r>
          </w:p>
        </w:tc>
        <w:tc>
          <w:tcPr>
            <w:tcW w:w="1313" w:type="dxa"/>
            <w:vAlign w:val="center"/>
          </w:tcPr>
          <w:p w14:paraId="5966BFF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污染物项目</w:t>
            </w:r>
          </w:p>
        </w:tc>
        <w:tc>
          <w:tcPr>
            <w:tcW w:w="1607" w:type="dxa"/>
            <w:vAlign w:val="center"/>
          </w:tcPr>
          <w:p w14:paraId="3297246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环境保护措施</w:t>
            </w:r>
          </w:p>
        </w:tc>
        <w:tc>
          <w:tcPr>
            <w:tcW w:w="2533" w:type="dxa"/>
            <w:vAlign w:val="center"/>
          </w:tcPr>
          <w:p w14:paraId="2745541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执行标准</w:t>
            </w:r>
          </w:p>
        </w:tc>
      </w:tr>
      <w:tr w14:paraId="19F4E826">
        <w:trPr>
          <w:trHeight w:val="397" w:hRule="atLeast"/>
          <w:jc w:val="center"/>
        </w:trPr>
        <w:tc>
          <w:tcPr>
            <w:tcW w:w="1483" w:type="dxa"/>
            <w:vMerge w:val="restart"/>
            <w:vAlign w:val="center"/>
          </w:tcPr>
          <w:p w14:paraId="1220ED5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大气环境</w:t>
            </w:r>
          </w:p>
        </w:tc>
        <w:tc>
          <w:tcPr>
            <w:tcW w:w="988" w:type="dxa"/>
            <w:tcBorders>
              <w:right w:val="single" w:color="000000" w:sz="4" w:space="0"/>
            </w:tcBorders>
            <w:shd w:val="clear" w:color="auto" w:fill="auto"/>
            <w:vAlign w:val="center"/>
          </w:tcPr>
          <w:p w14:paraId="2158823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DA00</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1</w:t>
            </w:r>
            <w:r>
              <w:rPr>
                <w:rFonts w:hint="eastAsia"/>
                <w:color w:val="auto"/>
                <w:szCs w:val="21"/>
                <w:highlight w:val="none"/>
              </w:rPr>
              <w:t>#排气筒）</w:t>
            </w:r>
          </w:p>
        </w:tc>
        <w:tc>
          <w:tcPr>
            <w:tcW w:w="1136" w:type="dxa"/>
            <w:tcBorders>
              <w:left w:val="single" w:color="000000" w:sz="4" w:space="0"/>
            </w:tcBorders>
            <w:shd w:val="clear" w:color="auto" w:fill="auto"/>
            <w:vAlign w:val="center"/>
          </w:tcPr>
          <w:p w14:paraId="0A74F2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喷漆烘干、固化</w:t>
            </w:r>
          </w:p>
        </w:tc>
        <w:tc>
          <w:tcPr>
            <w:tcW w:w="1313" w:type="dxa"/>
            <w:shd w:val="clear" w:color="auto" w:fill="auto"/>
            <w:vAlign w:val="center"/>
          </w:tcPr>
          <w:p w14:paraId="5560E934">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rPr>
              <w:t>NMHC</w:t>
            </w:r>
            <w:r>
              <w:rPr>
                <w:rFonts w:hint="eastAsia" w:hAnsi="宋体"/>
                <w:color w:val="auto"/>
                <w:szCs w:val="21"/>
                <w:highlight w:val="none"/>
                <w:lang w:eastAsia="zh-CN"/>
              </w:rPr>
              <w:t>、</w:t>
            </w:r>
            <w:r>
              <w:rPr>
                <w:rFonts w:hint="eastAsia" w:hAnsi="宋体"/>
                <w:color w:val="auto"/>
                <w:szCs w:val="21"/>
                <w:highlight w:val="none"/>
              </w:rPr>
              <w:t>颗粒物</w:t>
            </w:r>
          </w:p>
        </w:tc>
        <w:tc>
          <w:tcPr>
            <w:tcW w:w="1607" w:type="dxa"/>
            <w:shd w:val="clear" w:color="auto" w:fill="auto"/>
            <w:vAlign w:val="center"/>
          </w:tcPr>
          <w:p w14:paraId="5A55D047">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密闭车间负压</w:t>
            </w:r>
            <w:r>
              <w:rPr>
                <w:rFonts w:hint="eastAsia" w:hAnsi="宋体"/>
                <w:color w:val="auto"/>
                <w:szCs w:val="21"/>
                <w:highlight w:val="none"/>
              </w:rPr>
              <w:t>收集+</w:t>
            </w:r>
            <w:r>
              <w:rPr>
                <w:rFonts w:hint="eastAsia" w:hAnsi="宋体"/>
                <w:color w:val="auto"/>
                <w:szCs w:val="21"/>
                <w:highlight w:val="none"/>
                <w:lang w:val="en-US" w:eastAsia="zh-CN"/>
              </w:rPr>
              <w:t>干式</w:t>
            </w:r>
            <w:r>
              <w:rPr>
                <w:rFonts w:hint="eastAsia" w:hAnsi="宋体"/>
                <w:color w:val="auto"/>
                <w:szCs w:val="21"/>
                <w:highlight w:val="none"/>
              </w:rPr>
              <w:t>过滤+二级活性炭吸附装置+15m排气筒（DA00</w:t>
            </w:r>
            <w:r>
              <w:rPr>
                <w:rFonts w:hint="eastAsia" w:hAnsi="宋体"/>
                <w:color w:val="auto"/>
                <w:szCs w:val="21"/>
                <w:highlight w:val="none"/>
                <w:lang w:val="en-US" w:eastAsia="zh-CN"/>
              </w:rPr>
              <w:t>1）</w:t>
            </w:r>
          </w:p>
        </w:tc>
        <w:tc>
          <w:tcPr>
            <w:tcW w:w="2533" w:type="dxa"/>
            <w:vMerge w:val="restart"/>
            <w:vAlign w:val="center"/>
          </w:tcPr>
          <w:p w14:paraId="63F05B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《表面涂装（工程机械和钢结构行业）大气污染物排放标准》（DB32/4147-2021）</w:t>
            </w:r>
          </w:p>
          <w:p w14:paraId="65BABF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bCs/>
                <w:color w:val="auto"/>
                <w:highlight w:val="none"/>
              </w:rPr>
              <w:t>表1标准限值</w:t>
            </w:r>
          </w:p>
        </w:tc>
      </w:tr>
      <w:tr w14:paraId="7AA10BA7">
        <w:trPr>
          <w:trHeight w:val="397" w:hRule="atLeast"/>
          <w:jc w:val="center"/>
        </w:trPr>
        <w:tc>
          <w:tcPr>
            <w:tcW w:w="1483" w:type="dxa"/>
            <w:vMerge w:val="continue"/>
            <w:vAlign w:val="center"/>
          </w:tcPr>
          <w:p w14:paraId="098AB67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988" w:type="dxa"/>
            <w:tcBorders>
              <w:right w:val="single" w:color="000000" w:sz="4" w:space="0"/>
            </w:tcBorders>
            <w:vAlign w:val="center"/>
          </w:tcPr>
          <w:p w14:paraId="2834EE3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lang w:val="en-US" w:eastAsia="zh-CN"/>
              </w:rPr>
              <w:t>2</w:t>
            </w:r>
            <w:r>
              <w:rPr>
                <w:rFonts w:hint="eastAsia"/>
                <w:color w:val="auto"/>
                <w:szCs w:val="21"/>
                <w:highlight w:val="none"/>
              </w:rPr>
              <w:t>#排气筒）</w:t>
            </w:r>
          </w:p>
        </w:tc>
        <w:tc>
          <w:tcPr>
            <w:tcW w:w="1136" w:type="dxa"/>
            <w:tcBorders>
              <w:left w:val="single" w:color="000000" w:sz="4" w:space="0"/>
            </w:tcBorders>
            <w:vAlign w:val="center"/>
          </w:tcPr>
          <w:p w14:paraId="0FFED830">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喷塑</w:t>
            </w:r>
          </w:p>
        </w:tc>
        <w:tc>
          <w:tcPr>
            <w:tcW w:w="1313" w:type="dxa"/>
            <w:vAlign w:val="center"/>
          </w:tcPr>
          <w:p w14:paraId="02F66094">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hAnsi="宋体"/>
                <w:color w:val="auto"/>
                <w:szCs w:val="21"/>
                <w:highlight w:val="none"/>
              </w:rPr>
              <w:t>颗粒物</w:t>
            </w:r>
          </w:p>
        </w:tc>
        <w:tc>
          <w:tcPr>
            <w:tcW w:w="1607" w:type="dxa"/>
            <w:vAlign w:val="center"/>
          </w:tcPr>
          <w:p w14:paraId="63470E55">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hAnsi="宋体"/>
                <w:color w:val="auto"/>
                <w:szCs w:val="21"/>
                <w:highlight w:val="none"/>
                <w:lang w:val="en-US" w:eastAsia="zh-CN"/>
              </w:rPr>
              <w:t>半密闭</w:t>
            </w:r>
            <w:r>
              <w:rPr>
                <w:rFonts w:hint="eastAsia" w:hAnsi="宋体"/>
                <w:color w:val="auto"/>
                <w:szCs w:val="21"/>
                <w:highlight w:val="none"/>
              </w:rPr>
              <w:t>收集+</w:t>
            </w:r>
            <w:r>
              <w:rPr>
                <w:rFonts w:hint="eastAsia" w:hAnsi="宋体"/>
                <w:color w:val="auto"/>
                <w:szCs w:val="21"/>
                <w:highlight w:val="none"/>
                <w:lang w:val="en-US" w:eastAsia="zh-CN"/>
              </w:rPr>
              <w:t>布袋除尘器</w:t>
            </w:r>
            <w:r>
              <w:rPr>
                <w:rFonts w:hint="eastAsia" w:hAnsi="宋体"/>
                <w:color w:val="auto"/>
                <w:szCs w:val="21"/>
                <w:highlight w:val="none"/>
              </w:rPr>
              <w:t>+15m排气筒（DA00</w:t>
            </w:r>
            <w:r>
              <w:rPr>
                <w:rFonts w:hint="eastAsia" w:hAnsi="宋体"/>
                <w:color w:val="auto"/>
                <w:szCs w:val="21"/>
                <w:highlight w:val="none"/>
                <w:lang w:val="en-US" w:eastAsia="zh-CN"/>
              </w:rPr>
              <w:t>2）</w:t>
            </w:r>
          </w:p>
        </w:tc>
        <w:tc>
          <w:tcPr>
            <w:tcW w:w="2533" w:type="dxa"/>
            <w:vMerge w:val="continue"/>
            <w:vAlign w:val="center"/>
          </w:tcPr>
          <w:p w14:paraId="6DE92E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26EABBF3">
        <w:trPr>
          <w:trHeight w:val="907" w:hRule="atLeast"/>
          <w:jc w:val="center"/>
        </w:trPr>
        <w:tc>
          <w:tcPr>
            <w:tcW w:w="1483" w:type="dxa"/>
            <w:vMerge w:val="continue"/>
            <w:vAlign w:val="center"/>
          </w:tcPr>
          <w:p w14:paraId="53BCF2D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24" w:type="dxa"/>
            <w:gridSpan w:val="2"/>
            <w:vAlign w:val="center"/>
          </w:tcPr>
          <w:p w14:paraId="6B21128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厂界</w:t>
            </w:r>
          </w:p>
        </w:tc>
        <w:tc>
          <w:tcPr>
            <w:tcW w:w="1313" w:type="dxa"/>
            <w:vAlign w:val="center"/>
          </w:tcPr>
          <w:p w14:paraId="30F82F7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颗粒物</w:t>
            </w:r>
            <w:r>
              <w:rPr>
                <w:rFonts w:hint="eastAsia"/>
                <w:color w:val="auto"/>
                <w:szCs w:val="21"/>
                <w:highlight w:val="none"/>
                <w:lang w:eastAsia="zh-CN"/>
              </w:rPr>
              <w:t>、</w:t>
            </w:r>
            <w:r>
              <w:rPr>
                <w:color w:val="auto"/>
                <w:szCs w:val="21"/>
                <w:highlight w:val="none"/>
              </w:rPr>
              <w:t>NMHC</w:t>
            </w:r>
          </w:p>
        </w:tc>
        <w:tc>
          <w:tcPr>
            <w:tcW w:w="1607" w:type="dxa"/>
            <w:vAlign w:val="center"/>
          </w:tcPr>
          <w:p w14:paraId="6E8B7D9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加强通风</w:t>
            </w:r>
          </w:p>
        </w:tc>
        <w:tc>
          <w:tcPr>
            <w:tcW w:w="2533" w:type="dxa"/>
            <w:vAlign w:val="center"/>
          </w:tcPr>
          <w:p w14:paraId="104B5D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《大气污染物综合排放标准》（DB32/4041-2021）表3大气污染物排放限值</w:t>
            </w:r>
          </w:p>
        </w:tc>
      </w:tr>
      <w:tr w14:paraId="600B12EC">
        <w:trPr>
          <w:trHeight w:val="425" w:hRule="atLeast"/>
          <w:jc w:val="center"/>
        </w:trPr>
        <w:tc>
          <w:tcPr>
            <w:tcW w:w="1483" w:type="dxa"/>
            <w:vMerge w:val="continue"/>
            <w:vAlign w:val="center"/>
          </w:tcPr>
          <w:p w14:paraId="3F339FD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124" w:type="dxa"/>
            <w:gridSpan w:val="2"/>
            <w:vAlign w:val="center"/>
          </w:tcPr>
          <w:p w14:paraId="0C0BF15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厂区内</w:t>
            </w:r>
          </w:p>
        </w:tc>
        <w:tc>
          <w:tcPr>
            <w:tcW w:w="1313" w:type="dxa"/>
            <w:vAlign w:val="center"/>
          </w:tcPr>
          <w:p w14:paraId="6CBAA7B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1607" w:type="dxa"/>
            <w:vAlign w:val="center"/>
          </w:tcPr>
          <w:p w14:paraId="0915DE5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加强通风</w:t>
            </w:r>
          </w:p>
        </w:tc>
        <w:tc>
          <w:tcPr>
            <w:tcW w:w="2533" w:type="dxa"/>
            <w:vAlign w:val="center"/>
          </w:tcPr>
          <w:p w14:paraId="4F29F5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eastAsia="zh-CN"/>
              </w:rPr>
              <w:t>《表面涂装（工程机械和钢结构行业）大气污染物排放标准》（DB32/4147-2021）</w:t>
            </w:r>
            <w:r>
              <w:rPr>
                <w:rFonts w:hint="default" w:ascii="Times New Roman" w:hAnsi="Times New Roman" w:cs="Times New Roman"/>
                <w:color w:val="auto"/>
                <w:szCs w:val="21"/>
                <w:highlight w:val="none"/>
              </w:rPr>
              <w:t>表</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大气污染物排放限值</w:t>
            </w:r>
          </w:p>
        </w:tc>
      </w:tr>
      <w:tr w14:paraId="2BD346C2">
        <w:trPr>
          <w:trHeight w:val="425" w:hRule="atLeast"/>
          <w:jc w:val="center"/>
        </w:trPr>
        <w:tc>
          <w:tcPr>
            <w:tcW w:w="1483" w:type="dxa"/>
            <w:vAlign w:val="center"/>
          </w:tcPr>
          <w:p w14:paraId="0963048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地表水环境</w:t>
            </w:r>
          </w:p>
        </w:tc>
        <w:tc>
          <w:tcPr>
            <w:tcW w:w="988" w:type="dxa"/>
            <w:vAlign w:val="center"/>
          </w:tcPr>
          <w:p w14:paraId="076E9F35">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D</w:t>
            </w:r>
            <w:r>
              <w:rPr>
                <w:rFonts w:hint="eastAsia"/>
                <w:color w:val="auto"/>
                <w:szCs w:val="21"/>
                <w:highlight w:val="none"/>
              </w:rPr>
              <w:t>W</w:t>
            </w:r>
            <w:r>
              <w:rPr>
                <w:color w:val="auto"/>
                <w:szCs w:val="21"/>
                <w:highlight w:val="none"/>
              </w:rPr>
              <w:t>00</w:t>
            </w:r>
            <w:r>
              <w:rPr>
                <w:rFonts w:hint="eastAsia"/>
                <w:color w:val="auto"/>
                <w:szCs w:val="21"/>
                <w:highlight w:val="none"/>
                <w:lang w:val="en-US" w:eastAsia="zh-CN"/>
              </w:rPr>
              <w:t>2</w:t>
            </w:r>
          </w:p>
        </w:tc>
        <w:tc>
          <w:tcPr>
            <w:tcW w:w="1136" w:type="dxa"/>
            <w:vAlign w:val="center"/>
          </w:tcPr>
          <w:p w14:paraId="0B42A1AD">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val="en-US" w:eastAsia="zh-CN"/>
              </w:rPr>
              <w:t>综合废水</w:t>
            </w:r>
          </w:p>
        </w:tc>
        <w:tc>
          <w:tcPr>
            <w:tcW w:w="1313" w:type="dxa"/>
            <w:vAlign w:val="center"/>
          </w:tcPr>
          <w:p w14:paraId="3122C48D">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color w:val="auto"/>
                <w:szCs w:val="21"/>
                <w:highlight w:val="none"/>
              </w:rPr>
              <w:t>COD</w:t>
            </w:r>
            <w:r>
              <w:rPr>
                <w:rFonts w:hAnsi="宋体"/>
                <w:color w:val="auto"/>
                <w:szCs w:val="21"/>
                <w:highlight w:val="none"/>
              </w:rPr>
              <w:t>、</w:t>
            </w:r>
            <w:r>
              <w:rPr>
                <w:color w:val="auto"/>
                <w:szCs w:val="21"/>
                <w:highlight w:val="none"/>
              </w:rPr>
              <w:t>SS</w:t>
            </w:r>
            <w:r>
              <w:rPr>
                <w:rFonts w:hAnsi="宋体"/>
                <w:color w:val="auto"/>
                <w:szCs w:val="21"/>
                <w:highlight w:val="none"/>
              </w:rPr>
              <w:t>、氨氮、</w:t>
            </w:r>
            <w:r>
              <w:rPr>
                <w:color w:val="auto"/>
                <w:szCs w:val="21"/>
                <w:highlight w:val="none"/>
              </w:rPr>
              <w:t>TN</w:t>
            </w:r>
            <w:r>
              <w:rPr>
                <w:rFonts w:hAnsi="宋体"/>
                <w:color w:val="auto"/>
                <w:szCs w:val="21"/>
                <w:highlight w:val="none"/>
              </w:rPr>
              <w:t>、</w:t>
            </w:r>
            <w:r>
              <w:rPr>
                <w:color w:val="auto"/>
                <w:szCs w:val="21"/>
                <w:highlight w:val="none"/>
              </w:rPr>
              <w:t>TP</w:t>
            </w:r>
            <w:r>
              <w:rPr>
                <w:rFonts w:hint="eastAsia"/>
                <w:color w:val="auto"/>
                <w:szCs w:val="21"/>
                <w:highlight w:val="none"/>
                <w:lang w:eastAsia="zh-CN"/>
              </w:rPr>
              <w:t>、</w:t>
            </w:r>
            <w:r>
              <w:rPr>
                <w:rFonts w:hint="eastAsia"/>
                <w:color w:val="auto"/>
                <w:szCs w:val="21"/>
                <w:highlight w:val="none"/>
                <w:lang w:val="en-US" w:eastAsia="zh-CN"/>
              </w:rPr>
              <w:t>动植物油、石油类</w:t>
            </w:r>
          </w:p>
        </w:tc>
        <w:tc>
          <w:tcPr>
            <w:tcW w:w="1607" w:type="dxa"/>
            <w:vAlign w:val="center"/>
          </w:tcPr>
          <w:p w14:paraId="5A147B6B">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cs="Times New Roman"/>
                <w:color w:val="auto"/>
                <w:szCs w:val="21"/>
                <w:lang w:eastAsia="zh-CN"/>
              </w:rPr>
              <w:t>生活污水：</w:t>
            </w:r>
            <w:r>
              <w:rPr>
                <w:rFonts w:hint="eastAsia" w:ascii="Times New Roman" w:hAnsi="Times New Roman" w:cs="Times New Roman"/>
                <w:color w:val="auto"/>
                <w:szCs w:val="21"/>
                <w:lang w:eastAsia="zh-CN"/>
              </w:rPr>
              <w:t>隔油池</w:t>
            </w:r>
            <w:r>
              <w:rPr>
                <w:rFonts w:hint="eastAsia" w:ascii="Times New Roman" w:hAnsi="Times New Roman" w:cs="Times New Roman"/>
                <w:color w:val="auto"/>
                <w:szCs w:val="21"/>
                <w:lang w:val="en-US" w:eastAsia="zh-CN"/>
              </w:rPr>
              <w:t>+化粪池</w:t>
            </w:r>
          </w:p>
          <w:p w14:paraId="1175F6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生产废水：气浮+混凝沉淀</w:t>
            </w:r>
          </w:p>
        </w:tc>
        <w:tc>
          <w:tcPr>
            <w:tcW w:w="2533" w:type="dxa"/>
            <w:vAlign w:val="center"/>
          </w:tcPr>
          <w:p w14:paraId="3893EBD6">
            <w:pPr>
              <w:keepNext w:val="0"/>
              <w:keepLines w:val="0"/>
              <w:suppressLineNumbers w:val="0"/>
              <w:spacing w:before="0" w:beforeAutospacing="0" w:after="0" w:afterAutospacing="0"/>
              <w:ind w:left="0" w:right="0"/>
              <w:jc w:val="center"/>
              <w:rPr>
                <w:color w:val="auto"/>
                <w:sz w:val="21"/>
                <w:szCs w:val="21"/>
                <w:highlight w:val="none"/>
              </w:rPr>
            </w:pPr>
            <w:r>
              <w:rPr>
                <w:rFonts w:hint="eastAsia" w:ascii="宋体" w:hAnsi="宋体"/>
                <w:color w:val="auto"/>
                <w:sz w:val="21"/>
                <w:szCs w:val="21"/>
                <w:highlight w:val="none"/>
              </w:rPr>
              <w:t>涟水经济开发区西区污水处理厂</w:t>
            </w:r>
          </w:p>
        </w:tc>
      </w:tr>
      <w:tr w14:paraId="0944E445">
        <w:trPr>
          <w:trHeight w:val="425" w:hRule="atLeast"/>
          <w:jc w:val="center"/>
        </w:trPr>
        <w:tc>
          <w:tcPr>
            <w:tcW w:w="1483" w:type="dxa"/>
            <w:vAlign w:val="center"/>
          </w:tcPr>
          <w:p w14:paraId="62E02A7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声环境</w:t>
            </w:r>
          </w:p>
        </w:tc>
        <w:tc>
          <w:tcPr>
            <w:tcW w:w="988" w:type="dxa"/>
            <w:tcBorders>
              <w:right w:val="single" w:color="000000" w:sz="4" w:space="0"/>
            </w:tcBorders>
            <w:vAlign w:val="center"/>
          </w:tcPr>
          <w:p w14:paraId="4183AFC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ZS001</w:t>
            </w:r>
          </w:p>
        </w:tc>
        <w:tc>
          <w:tcPr>
            <w:tcW w:w="1136" w:type="dxa"/>
            <w:tcBorders>
              <w:left w:val="single" w:color="000000" w:sz="4" w:space="0"/>
            </w:tcBorders>
            <w:vAlign w:val="center"/>
          </w:tcPr>
          <w:p w14:paraId="55901BC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生产车间</w:t>
            </w:r>
          </w:p>
        </w:tc>
        <w:tc>
          <w:tcPr>
            <w:tcW w:w="1313" w:type="dxa"/>
            <w:vAlign w:val="center"/>
          </w:tcPr>
          <w:p w14:paraId="7890649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dB</w:t>
            </w:r>
            <w:r>
              <w:rPr>
                <w:rFonts w:hint="eastAsia"/>
                <w:color w:val="auto"/>
                <w:szCs w:val="21"/>
                <w:highlight w:val="none"/>
                <w:lang w:eastAsia="zh-CN"/>
              </w:rPr>
              <w:t>(</w:t>
            </w:r>
            <w:r>
              <w:rPr>
                <w:color w:val="auto"/>
                <w:szCs w:val="21"/>
                <w:highlight w:val="none"/>
              </w:rPr>
              <w:t>A</w:t>
            </w:r>
            <w:r>
              <w:rPr>
                <w:rFonts w:hint="eastAsia"/>
                <w:color w:val="auto"/>
                <w:szCs w:val="21"/>
                <w:highlight w:val="none"/>
                <w:lang w:eastAsia="zh-CN"/>
              </w:rPr>
              <w:t>)</w:t>
            </w:r>
          </w:p>
        </w:tc>
        <w:tc>
          <w:tcPr>
            <w:tcW w:w="1607" w:type="dxa"/>
            <w:vAlign w:val="center"/>
          </w:tcPr>
          <w:p w14:paraId="463917F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选用低噪音设备、消声减震、利用建筑物隔声屏蔽、加强操作管理和维护、合理布局等</w:t>
            </w:r>
          </w:p>
        </w:tc>
        <w:tc>
          <w:tcPr>
            <w:tcW w:w="2533" w:type="dxa"/>
            <w:vAlign w:val="center"/>
          </w:tcPr>
          <w:p w14:paraId="1DA8913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《工业企业厂界环境噪声排放标准》（</w:t>
            </w:r>
            <w:r>
              <w:rPr>
                <w:color w:val="auto"/>
                <w:szCs w:val="21"/>
                <w:highlight w:val="none"/>
              </w:rPr>
              <w:t>GB12348-2008</w:t>
            </w:r>
            <w:r>
              <w:rPr>
                <w:rFonts w:hAnsi="宋体"/>
                <w:color w:val="auto"/>
                <w:szCs w:val="21"/>
                <w:highlight w:val="none"/>
              </w:rPr>
              <w:t>）中的</w:t>
            </w:r>
            <w:r>
              <w:rPr>
                <w:color w:val="auto"/>
                <w:szCs w:val="21"/>
                <w:highlight w:val="none"/>
              </w:rPr>
              <w:t>3</w:t>
            </w:r>
            <w:r>
              <w:rPr>
                <w:rFonts w:hAnsi="宋体"/>
                <w:color w:val="auto"/>
                <w:szCs w:val="21"/>
                <w:highlight w:val="none"/>
              </w:rPr>
              <w:t>类标准值</w:t>
            </w:r>
          </w:p>
        </w:tc>
      </w:tr>
      <w:tr w14:paraId="68ED5EBE">
        <w:trPr>
          <w:trHeight w:val="425" w:hRule="atLeast"/>
          <w:jc w:val="center"/>
        </w:trPr>
        <w:tc>
          <w:tcPr>
            <w:tcW w:w="1483" w:type="dxa"/>
            <w:vAlign w:val="center"/>
          </w:tcPr>
          <w:p w14:paraId="2140260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电磁辐射</w:t>
            </w:r>
          </w:p>
        </w:tc>
        <w:tc>
          <w:tcPr>
            <w:tcW w:w="2124" w:type="dxa"/>
            <w:gridSpan w:val="2"/>
            <w:tcBorders>
              <w:right w:val="single" w:color="000000" w:sz="4" w:space="0"/>
            </w:tcBorders>
            <w:vAlign w:val="center"/>
          </w:tcPr>
          <w:p w14:paraId="29495F2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1313" w:type="dxa"/>
            <w:tcBorders>
              <w:left w:val="single" w:color="000000" w:sz="4" w:space="0"/>
              <w:right w:val="single" w:color="000000" w:sz="4" w:space="0"/>
            </w:tcBorders>
            <w:vAlign w:val="center"/>
          </w:tcPr>
          <w:p w14:paraId="4DFDB86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1607" w:type="dxa"/>
            <w:tcBorders>
              <w:left w:val="single" w:color="000000" w:sz="4" w:space="0"/>
              <w:right w:val="single" w:color="000000" w:sz="4" w:space="0"/>
            </w:tcBorders>
            <w:vAlign w:val="center"/>
          </w:tcPr>
          <w:p w14:paraId="094797B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2533" w:type="dxa"/>
            <w:tcBorders>
              <w:left w:val="single" w:color="000000" w:sz="4" w:space="0"/>
            </w:tcBorders>
            <w:vAlign w:val="center"/>
          </w:tcPr>
          <w:p w14:paraId="0D7712A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r>
      <w:tr w14:paraId="3DDE1B42">
        <w:trPr>
          <w:trHeight w:val="1956" w:hRule="atLeast"/>
          <w:jc w:val="center"/>
        </w:trPr>
        <w:tc>
          <w:tcPr>
            <w:tcW w:w="1483" w:type="dxa"/>
            <w:vMerge w:val="restart"/>
            <w:vAlign w:val="center"/>
          </w:tcPr>
          <w:p w14:paraId="130EE4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固体废物</w:t>
            </w:r>
          </w:p>
        </w:tc>
        <w:tc>
          <w:tcPr>
            <w:tcW w:w="2124" w:type="dxa"/>
            <w:gridSpan w:val="2"/>
            <w:vAlign w:val="center"/>
          </w:tcPr>
          <w:p w14:paraId="29E3D154">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危险废物</w:t>
            </w:r>
          </w:p>
        </w:tc>
        <w:tc>
          <w:tcPr>
            <w:tcW w:w="1313" w:type="dxa"/>
            <w:vAlign w:val="center"/>
          </w:tcPr>
          <w:p w14:paraId="4D1A2ADB">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eastAsia="宋体"/>
                <w:color w:val="auto"/>
                <w:szCs w:val="21"/>
                <w:highlight w:val="none"/>
              </w:rPr>
              <w:t>废活性炭、</w:t>
            </w:r>
            <w:r>
              <w:rPr>
                <w:rFonts w:hint="eastAsia" w:eastAsia="宋体"/>
                <w:color w:val="auto"/>
                <w:szCs w:val="21"/>
                <w:highlight w:val="none"/>
              </w:rPr>
              <w:t>废过滤棉、废</w:t>
            </w:r>
            <w:r>
              <w:rPr>
                <w:rFonts w:hint="eastAsia" w:eastAsia="宋体"/>
                <w:color w:val="auto"/>
                <w:szCs w:val="21"/>
                <w:highlight w:val="none"/>
                <w:lang w:val="en-US" w:eastAsia="zh-CN"/>
              </w:rPr>
              <w:t>润滑油</w:t>
            </w:r>
            <w:r>
              <w:rPr>
                <w:rFonts w:hint="eastAsia" w:eastAsia="宋体"/>
                <w:color w:val="auto"/>
                <w:szCs w:val="21"/>
                <w:highlight w:val="none"/>
              </w:rPr>
              <w:t>、废</w:t>
            </w:r>
            <w:r>
              <w:rPr>
                <w:rFonts w:hint="eastAsia" w:eastAsia="宋体"/>
                <w:color w:val="auto"/>
                <w:szCs w:val="21"/>
                <w:highlight w:val="none"/>
                <w:lang w:val="en-US" w:eastAsia="zh-CN"/>
              </w:rPr>
              <w:t>切削液</w:t>
            </w:r>
            <w:r>
              <w:rPr>
                <w:rFonts w:hint="eastAsia" w:eastAsia="宋体"/>
                <w:color w:val="auto"/>
                <w:szCs w:val="21"/>
                <w:highlight w:val="none"/>
                <w:lang w:eastAsia="zh-CN"/>
              </w:rPr>
              <w:t>、</w:t>
            </w:r>
            <w:r>
              <w:rPr>
                <w:rFonts w:hint="eastAsia" w:eastAsia="宋体"/>
                <w:color w:val="auto"/>
                <w:szCs w:val="21"/>
                <w:highlight w:val="none"/>
                <w:lang w:val="en-US" w:eastAsia="zh-CN"/>
              </w:rPr>
              <w:t>漆渣、浮渣、污泥、盐雾试验废液、废包装桶</w:t>
            </w:r>
          </w:p>
        </w:tc>
        <w:tc>
          <w:tcPr>
            <w:tcW w:w="1607" w:type="dxa"/>
            <w:vAlign w:val="center"/>
          </w:tcPr>
          <w:p w14:paraId="746D43A5">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1座</w:t>
            </w:r>
            <w:r>
              <w:rPr>
                <w:rFonts w:hint="eastAsia" w:eastAsia="宋体"/>
                <w:color w:val="auto"/>
                <w:szCs w:val="21"/>
                <w:highlight w:val="none"/>
                <w:lang w:val="en-US" w:eastAsia="zh-CN"/>
              </w:rPr>
              <w:t>3</w:t>
            </w:r>
            <w:r>
              <w:rPr>
                <w:rFonts w:eastAsia="宋体"/>
                <w:color w:val="auto"/>
                <w:szCs w:val="21"/>
                <w:highlight w:val="none"/>
              </w:rPr>
              <w:t>0m</w:t>
            </w:r>
            <w:r>
              <w:rPr>
                <w:rFonts w:eastAsia="宋体"/>
                <w:color w:val="auto"/>
                <w:szCs w:val="21"/>
                <w:highlight w:val="none"/>
                <w:vertAlign w:val="superscript"/>
              </w:rPr>
              <w:t>2</w:t>
            </w:r>
            <w:r>
              <w:rPr>
                <w:rFonts w:eastAsia="宋体"/>
                <w:color w:val="auto"/>
                <w:szCs w:val="21"/>
                <w:highlight w:val="none"/>
              </w:rPr>
              <w:t>危废仓库</w:t>
            </w:r>
          </w:p>
        </w:tc>
        <w:tc>
          <w:tcPr>
            <w:tcW w:w="2533" w:type="dxa"/>
            <w:vAlign w:val="center"/>
          </w:tcPr>
          <w:p w14:paraId="2699FAF5">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《危险废物贮存污染控制标准》（GB18597-2023）</w:t>
            </w:r>
          </w:p>
        </w:tc>
      </w:tr>
      <w:tr w14:paraId="3D6C46FE">
        <w:trPr>
          <w:trHeight w:val="340" w:hRule="atLeast"/>
          <w:jc w:val="center"/>
        </w:trPr>
        <w:tc>
          <w:tcPr>
            <w:tcW w:w="1483" w:type="dxa"/>
            <w:vMerge w:val="continue"/>
            <w:vAlign w:val="center"/>
          </w:tcPr>
          <w:p w14:paraId="1AAD0E8C">
            <w:pPr>
              <w:keepNext w:val="0"/>
              <w:keepLines w:val="0"/>
              <w:suppressLineNumbers w:val="0"/>
              <w:adjustRightInd w:val="0"/>
              <w:snapToGrid w:val="0"/>
              <w:spacing w:before="0" w:beforeAutospacing="0" w:after="0" w:afterAutospacing="0"/>
              <w:ind w:left="0" w:right="0" w:firstLine="420" w:firstLineChars="200"/>
              <w:jc w:val="left"/>
              <w:rPr>
                <w:color w:val="auto"/>
                <w:highlight w:val="none"/>
              </w:rPr>
            </w:pPr>
          </w:p>
        </w:tc>
        <w:tc>
          <w:tcPr>
            <w:tcW w:w="2124" w:type="dxa"/>
            <w:gridSpan w:val="2"/>
            <w:vAlign w:val="center"/>
          </w:tcPr>
          <w:p w14:paraId="64108B45">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一般工业固废</w:t>
            </w:r>
          </w:p>
        </w:tc>
        <w:tc>
          <w:tcPr>
            <w:tcW w:w="1313" w:type="dxa"/>
            <w:vAlign w:val="center"/>
          </w:tcPr>
          <w:p w14:paraId="112601FA">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Cs w:val="21"/>
                <w:highlight w:val="none"/>
              </w:rPr>
              <w:t>废</w:t>
            </w:r>
            <w:r>
              <w:rPr>
                <w:rFonts w:hint="eastAsia" w:eastAsia="宋体"/>
                <w:color w:val="auto"/>
                <w:szCs w:val="21"/>
                <w:highlight w:val="none"/>
                <w:lang w:val="en-US" w:eastAsia="zh-CN"/>
              </w:rPr>
              <w:t>焊料</w:t>
            </w:r>
            <w:r>
              <w:rPr>
                <w:rFonts w:eastAsia="宋体"/>
                <w:color w:val="auto"/>
                <w:szCs w:val="21"/>
                <w:highlight w:val="none"/>
              </w:rPr>
              <w:t>、</w:t>
            </w:r>
            <w:r>
              <w:rPr>
                <w:rFonts w:hint="eastAsia" w:eastAsia="宋体"/>
                <w:color w:val="auto"/>
                <w:szCs w:val="21"/>
                <w:highlight w:val="none"/>
              </w:rPr>
              <w:t>废包装</w:t>
            </w:r>
            <w:r>
              <w:rPr>
                <w:rFonts w:hint="eastAsia" w:eastAsia="宋体"/>
                <w:color w:val="auto"/>
                <w:szCs w:val="21"/>
                <w:highlight w:val="none"/>
                <w:lang w:val="en-US" w:eastAsia="zh-CN"/>
              </w:rPr>
              <w:t>材料、边角料、废布袋、除尘器收集尘</w:t>
            </w:r>
          </w:p>
        </w:tc>
        <w:tc>
          <w:tcPr>
            <w:tcW w:w="1607" w:type="dxa"/>
            <w:vAlign w:val="center"/>
          </w:tcPr>
          <w:p w14:paraId="53F18304">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1座</w:t>
            </w:r>
            <w:r>
              <w:rPr>
                <w:rFonts w:hint="eastAsia" w:eastAsia="宋体"/>
                <w:color w:val="auto"/>
                <w:szCs w:val="21"/>
                <w:highlight w:val="none"/>
                <w:lang w:val="en-US" w:eastAsia="zh-CN"/>
              </w:rPr>
              <w:t>4</w:t>
            </w:r>
            <w:r>
              <w:rPr>
                <w:rFonts w:hint="eastAsia" w:eastAsia="宋体"/>
                <w:color w:val="auto"/>
                <w:szCs w:val="21"/>
                <w:highlight w:val="none"/>
              </w:rPr>
              <w:t>0</w:t>
            </w:r>
            <w:r>
              <w:rPr>
                <w:rFonts w:eastAsia="宋体"/>
                <w:color w:val="auto"/>
                <w:szCs w:val="21"/>
                <w:highlight w:val="none"/>
              </w:rPr>
              <w:t>m</w:t>
            </w:r>
            <w:r>
              <w:rPr>
                <w:rFonts w:eastAsia="宋体"/>
                <w:color w:val="auto"/>
                <w:szCs w:val="21"/>
                <w:highlight w:val="none"/>
                <w:vertAlign w:val="superscript"/>
              </w:rPr>
              <w:t>2</w:t>
            </w:r>
            <w:r>
              <w:rPr>
                <w:rFonts w:eastAsia="宋体"/>
                <w:color w:val="auto"/>
                <w:szCs w:val="21"/>
                <w:highlight w:val="none"/>
              </w:rPr>
              <w:t>一般固废仓库</w:t>
            </w:r>
          </w:p>
        </w:tc>
        <w:tc>
          <w:tcPr>
            <w:tcW w:w="2533" w:type="dxa"/>
            <w:vAlign w:val="center"/>
          </w:tcPr>
          <w:p w14:paraId="18889358">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《一般工业固体废物贮存和填埋污染控制标准》 （GB18599-2020）</w:t>
            </w:r>
          </w:p>
        </w:tc>
      </w:tr>
      <w:tr w14:paraId="617DEA8F">
        <w:trPr>
          <w:trHeight w:val="340" w:hRule="atLeast"/>
          <w:jc w:val="center"/>
        </w:trPr>
        <w:tc>
          <w:tcPr>
            <w:tcW w:w="1483" w:type="dxa"/>
            <w:vMerge w:val="continue"/>
            <w:vAlign w:val="center"/>
          </w:tcPr>
          <w:p w14:paraId="02795392">
            <w:pPr>
              <w:keepNext w:val="0"/>
              <w:keepLines w:val="0"/>
              <w:suppressLineNumbers w:val="0"/>
              <w:adjustRightInd w:val="0"/>
              <w:snapToGrid w:val="0"/>
              <w:spacing w:before="0" w:beforeAutospacing="0" w:after="0" w:afterAutospacing="0"/>
              <w:ind w:left="0" w:right="0" w:firstLine="420" w:firstLineChars="200"/>
              <w:jc w:val="left"/>
              <w:rPr>
                <w:rFonts w:hAnsi="宋体"/>
                <w:color w:val="auto"/>
                <w:szCs w:val="21"/>
                <w:highlight w:val="none"/>
              </w:rPr>
            </w:pPr>
          </w:p>
        </w:tc>
        <w:tc>
          <w:tcPr>
            <w:tcW w:w="2124" w:type="dxa"/>
            <w:gridSpan w:val="2"/>
            <w:vMerge w:val="restart"/>
            <w:vAlign w:val="center"/>
          </w:tcPr>
          <w:p w14:paraId="63EAF0B7">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生活垃圾</w:t>
            </w:r>
          </w:p>
        </w:tc>
        <w:tc>
          <w:tcPr>
            <w:tcW w:w="1313" w:type="dxa"/>
            <w:vAlign w:val="center"/>
          </w:tcPr>
          <w:p w14:paraId="61004BED">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eastAsia="宋体"/>
                <w:color w:val="auto"/>
                <w:szCs w:val="21"/>
                <w:highlight w:val="none"/>
              </w:rPr>
              <w:t>生活垃圾</w:t>
            </w:r>
            <w:r>
              <w:rPr>
                <w:rFonts w:hint="eastAsia" w:eastAsia="宋体"/>
                <w:color w:val="auto"/>
                <w:szCs w:val="21"/>
                <w:highlight w:val="none"/>
                <w:lang w:eastAsia="zh-CN"/>
              </w:rPr>
              <w:t>、</w:t>
            </w:r>
            <w:r>
              <w:rPr>
                <w:rFonts w:hint="eastAsia" w:ascii="Times New Roman" w:hAnsi="Times New Roman" w:cs="Times New Roman"/>
                <w:b w:val="0"/>
                <w:color w:val="auto"/>
                <w:lang w:val="en-US" w:eastAsia="zh-CN"/>
              </w:rPr>
              <w:t>隔油池废油</w:t>
            </w:r>
          </w:p>
        </w:tc>
        <w:tc>
          <w:tcPr>
            <w:tcW w:w="1607" w:type="dxa"/>
            <w:vAlign w:val="center"/>
          </w:tcPr>
          <w:p w14:paraId="57BCD0BC">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垃圾桶</w:t>
            </w:r>
          </w:p>
        </w:tc>
        <w:tc>
          <w:tcPr>
            <w:tcW w:w="2533" w:type="dxa"/>
            <w:vMerge w:val="restart"/>
            <w:vAlign w:val="center"/>
          </w:tcPr>
          <w:p w14:paraId="46C370FA">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《城市生活垃圾管理办法》（住房和城乡建设部令第24号，2015年5月4日修正）</w:t>
            </w:r>
          </w:p>
        </w:tc>
      </w:tr>
      <w:tr w14:paraId="6B1622A4">
        <w:trPr>
          <w:trHeight w:val="340" w:hRule="atLeast"/>
          <w:jc w:val="center"/>
        </w:trPr>
        <w:tc>
          <w:tcPr>
            <w:tcW w:w="1483" w:type="dxa"/>
            <w:vMerge w:val="continue"/>
            <w:vAlign w:val="center"/>
          </w:tcPr>
          <w:p w14:paraId="0E5C7CD7">
            <w:pPr>
              <w:keepNext w:val="0"/>
              <w:keepLines w:val="0"/>
              <w:suppressLineNumbers w:val="0"/>
              <w:adjustRightInd w:val="0"/>
              <w:snapToGrid w:val="0"/>
              <w:spacing w:before="0" w:beforeAutospacing="0" w:after="0" w:afterAutospacing="0"/>
              <w:ind w:left="0" w:right="0" w:firstLine="420" w:firstLineChars="200"/>
              <w:jc w:val="left"/>
              <w:rPr>
                <w:color w:val="auto"/>
                <w:highlight w:val="none"/>
              </w:rPr>
            </w:pPr>
          </w:p>
        </w:tc>
        <w:tc>
          <w:tcPr>
            <w:tcW w:w="2124" w:type="dxa"/>
            <w:gridSpan w:val="2"/>
            <w:vMerge w:val="continue"/>
            <w:vAlign w:val="center"/>
          </w:tcPr>
          <w:p w14:paraId="695582D2">
            <w:pPr>
              <w:keepNext w:val="0"/>
              <w:keepLines w:val="0"/>
              <w:suppressLineNumbers w:val="0"/>
              <w:adjustRightInd w:val="0"/>
              <w:snapToGrid w:val="0"/>
              <w:spacing w:before="0" w:beforeAutospacing="0" w:after="0" w:afterAutospacing="0"/>
              <w:ind w:left="0" w:right="0" w:firstLine="420" w:firstLineChars="200"/>
              <w:jc w:val="left"/>
              <w:rPr>
                <w:color w:val="auto"/>
                <w:highlight w:val="none"/>
              </w:rPr>
            </w:pPr>
          </w:p>
        </w:tc>
        <w:tc>
          <w:tcPr>
            <w:tcW w:w="1313" w:type="dxa"/>
            <w:vAlign w:val="center"/>
          </w:tcPr>
          <w:p w14:paraId="1292F261">
            <w:pPr>
              <w:keepNext w:val="0"/>
              <w:keepLines w:val="0"/>
              <w:suppressLineNumbers w:val="0"/>
              <w:adjustRightInd w:val="0"/>
              <w:snapToGrid w:val="0"/>
              <w:spacing w:before="0" w:beforeAutospacing="0" w:after="0" w:afterAutospacing="0"/>
              <w:ind w:left="0" w:right="0"/>
              <w:jc w:val="center"/>
              <w:rPr>
                <w:color w:val="auto"/>
                <w:highlight w:val="none"/>
              </w:rPr>
            </w:pPr>
            <w:r>
              <w:rPr>
                <w:rFonts w:hAnsi="宋体"/>
                <w:color w:val="auto"/>
                <w:szCs w:val="21"/>
                <w:highlight w:val="none"/>
              </w:rPr>
              <w:t>化粪池污泥</w:t>
            </w:r>
          </w:p>
        </w:tc>
        <w:tc>
          <w:tcPr>
            <w:tcW w:w="1607" w:type="dxa"/>
            <w:vAlign w:val="center"/>
          </w:tcPr>
          <w:p w14:paraId="0EF77A1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化粪池</w:t>
            </w:r>
          </w:p>
        </w:tc>
        <w:tc>
          <w:tcPr>
            <w:tcW w:w="2533" w:type="dxa"/>
            <w:vMerge w:val="continue"/>
            <w:vAlign w:val="center"/>
          </w:tcPr>
          <w:p w14:paraId="0737D771">
            <w:pPr>
              <w:keepNext w:val="0"/>
              <w:keepLines w:val="0"/>
              <w:suppressLineNumbers w:val="0"/>
              <w:adjustRightInd w:val="0"/>
              <w:snapToGrid w:val="0"/>
              <w:spacing w:before="0" w:beforeAutospacing="0" w:after="0" w:afterAutospacing="0"/>
              <w:ind w:left="0" w:right="0" w:firstLine="420" w:firstLineChars="200"/>
              <w:jc w:val="left"/>
              <w:rPr>
                <w:rFonts w:hAnsi="宋体"/>
                <w:color w:val="auto"/>
                <w:szCs w:val="21"/>
                <w:highlight w:val="none"/>
              </w:rPr>
            </w:pPr>
          </w:p>
        </w:tc>
      </w:tr>
      <w:tr w14:paraId="27F95E44">
        <w:trPr>
          <w:trHeight w:val="340" w:hRule="atLeast"/>
          <w:jc w:val="center"/>
        </w:trPr>
        <w:tc>
          <w:tcPr>
            <w:tcW w:w="1483" w:type="dxa"/>
            <w:vAlign w:val="center"/>
          </w:tcPr>
          <w:p w14:paraId="3DC3F0C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土壤及地下水</w:t>
            </w:r>
          </w:p>
          <w:p w14:paraId="25384F3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污染防治措施</w:t>
            </w:r>
          </w:p>
        </w:tc>
        <w:tc>
          <w:tcPr>
            <w:tcW w:w="7577" w:type="dxa"/>
            <w:gridSpan w:val="5"/>
            <w:vAlign w:val="center"/>
          </w:tcPr>
          <w:p w14:paraId="592824B9">
            <w:pPr>
              <w:keepNext w:val="0"/>
              <w:keepLines w:val="0"/>
              <w:suppressLineNumbers w:val="0"/>
              <w:adjustRightInd w:val="0"/>
              <w:snapToGrid w:val="0"/>
              <w:spacing w:before="0" w:beforeAutospacing="0" w:after="0" w:afterAutospacing="0"/>
              <w:ind w:left="0" w:right="0" w:firstLine="420" w:firstLineChars="200"/>
              <w:jc w:val="left"/>
              <w:rPr>
                <w:color w:val="auto"/>
                <w:highlight w:val="none"/>
              </w:rPr>
            </w:pPr>
            <w:r>
              <w:rPr>
                <w:rFonts w:hAnsi="宋体"/>
                <w:color w:val="auto"/>
                <w:highlight w:val="none"/>
              </w:rPr>
              <w:t>危废仓库设置为重点防渗区，拟</w:t>
            </w:r>
            <w:r>
              <w:rPr>
                <w:rFonts w:hAnsi="宋体"/>
                <w:snapToGrid w:val="0"/>
                <w:color w:val="auto"/>
                <w:highlight w:val="none"/>
              </w:rPr>
              <w:t>按照《危险废物贮存污染控制标准》（</w:t>
            </w:r>
            <w:r>
              <w:rPr>
                <w:snapToGrid w:val="0"/>
                <w:color w:val="auto"/>
                <w:highlight w:val="none"/>
              </w:rPr>
              <w:t>GB18597-</w:t>
            </w:r>
            <w:r>
              <w:rPr>
                <w:rFonts w:hint="eastAsia"/>
                <w:snapToGrid w:val="0"/>
                <w:color w:val="auto"/>
                <w:highlight w:val="none"/>
              </w:rPr>
              <w:t>2023</w:t>
            </w:r>
            <w:r>
              <w:rPr>
                <w:rFonts w:hAnsi="宋体"/>
                <w:snapToGrid w:val="0"/>
                <w:color w:val="auto"/>
                <w:highlight w:val="none"/>
              </w:rPr>
              <w:t>）要求设置，</w:t>
            </w:r>
            <w:r>
              <w:rPr>
                <w:rFonts w:hAnsi="宋体"/>
                <w:color w:val="auto"/>
                <w:highlight w:val="none"/>
              </w:rPr>
              <w:t>生产车间、原料仓库、成品仓库、一般固废仓库设置为一般防渗区，拟按照</w:t>
            </w:r>
            <w:r>
              <w:rPr>
                <w:rFonts w:hAnsi="宋体"/>
                <w:color w:val="auto"/>
                <w:szCs w:val="21"/>
                <w:highlight w:val="none"/>
              </w:rPr>
              <w:t>《一般工业固体废物贮存和填埋污染控制标准》（</w:t>
            </w:r>
            <w:r>
              <w:rPr>
                <w:color w:val="auto"/>
                <w:szCs w:val="21"/>
                <w:highlight w:val="none"/>
              </w:rPr>
              <w:t>GB 18599-2020</w:t>
            </w:r>
            <w:r>
              <w:rPr>
                <w:rFonts w:hAnsi="宋体"/>
                <w:color w:val="auto"/>
                <w:szCs w:val="21"/>
                <w:highlight w:val="none"/>
              </w:rPr>
              <w:t>）要求</w:t>
            </w:r>
            <w:r>
              <w:rPr>
                <w:rFonts w:hAnsi="宋体"/>
                <w:snapToGrid w:val="0"/>
                <w:color w:val="auto"/>
                <w:highlight w:val="none"/>
              </w:rPr>
              <w:t>设置</w:t>
            </w:r>
          </w:p>
        </w:tc>
      </w:tr>
      <w:tr w14:paraId="21A0FE9D">
        <w:trPr>
          <w:trHeight w:val="397" w:hRule="atLeast"/>
          <w:jc w:val="center"/>
        </w:trPr>
        <w:tc>
          <w:tcPr>
            <w:tcW w:w="1483" w:type="dxa"/>
            <w:vAlign w:val="center"/>
          </w:tcPr>
          <w:p w14:paraId="5892B8A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生态保护措施</w:t>
            </w:r>
          </w:p>
        </w:tc>
        <w:tc>
          <w:tcPr>
            <w:tcW w:w="7577" w:type="dxa"/>
            <w:gridSpan w:val="5"/>
            <w:vAlign w:val="center"/>
          </w:tcPr>
          <w:p w14:paraId="6516B25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r>
      <w:tr w14:paraId="50D9D7BF">
        <w:trPr>
          <w:trHeight w:val="703" w:hRule="atLeast"/>
          <w:jc w:val="center"/>
        </w:trPr>
        <w:tc>
          <w:tcPr>
            <w:tcW w:w="1483" w:type="dxa"/>
            <w:vAlign w:val="center"/>
          </w:tcPr>
          <w:p w14:paraId="08DB284F">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环境风险</w:t>
            </w:r>
          </w:p>
          <w:p w14:paraId="300558E4">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防范措施</w:t>
            </w:r>
          </w:p>
        </w:tc>
        <w:tc>
          <w:tcPr>
            <w:tcW w:w="7577" w:type="dxa"/>
            <w:gridSpan w:val="5"/>
            <w:vAlign w:val="center"/>
          </w:tcPr>
          <w:p w14:paraId="2916F743">
            <w:pPr>
              <w:keepNext w:val="0"/>
              <w:keepLines w:val="0"/>
              <w:suppressLineNumbers w:val="0"/>
              <w:adjustRightInd w:val="0"/>
              <w:snapToGrid w:val="0"/>
              <w:spacing w:before="0" w:beforeAutospacing="0" w:after="0" w:afterAutospacing="0"/>
              <w:ind w:left="0" w:right="0" w:firstLine="420" w:firstLineChars="200"/>
              <w:rPr>
                <w:color w:val="auto"/>
                <w:szCs w:val="21"/>
                <w:highlight w:val="none"/>
              </w:rPr>
            </w:pPr>
            <w:r>
              <w:rPr>
                <w:rFonts w:hAnsi="宋体"/>
                <w:color w:val="auto"/>
                <w:szCs w:val="21"/>
                <w:highlight w:val="none"/>
              </w:rPr>
              <w:t>危废仓库设置导流沟及收集槽收集泄漏物料，配备</w:t>
            </w:r>
            <w:r>
              <w:rPr>
                <w:rFonts w:hint="eastAsia" w:hAnsi="宋体"/>
                <w:color w:val="auto"/>
                <w:szCs w:val="21"/>
                <w:highlight w:val="none"/>
                <w:lang w:eastAsia="zh-CN"/>
              </w:rPr>
              <w:t>消防砂</w:t>
            </w:r>
            <w:r>
              <w:rPr>
                <w:rFonts w:hAnsi="宋体"/>
                <w:color w:val="auto"/>
                <w:szCs w:val="21"/>
                <w:highlight w:val="none"/>
              </w:rPr>
              <w:t>覆盖泄漏物减少蒸发，配备无火花收容工具收纳泄漏物料。</w:t>
            </w:r>
          </w:p>
          <w:p w14:paraId="5FD29049">
            <w:pPr>
              <w:keepNext w:val="0"/>
              <w:keepLines w:val="0"/>
              <w:suppressLineNumbers w:val="0"/>
              <w:adjustRightInd w:val="0"/>
              <w:snapToGrid w:val="0"/>
              <w:spacing w:before="0" w:beforeAutospacing="0" w:after="0" w:afterAutospacing="0"/>
              <w:ind w:left="0" w:right="0" w:firstLine="420" w:firstLineChars="200"/>
              <w:rPr>
                <w:color w:val="auto"/>
                <w:szCs w:val="21"/>
                <w:highlight w:val="none"/>
              </w:rPr>
            </w:pPr>
            <w:r>
              <w:rPr>
                <w:rFonts w:hAnsi="宋体"/>
                <w:color w:val="auto"/>
                <w:szCs w:val="21"/>
                <w:highlight w:val="none"/>
              </w:rPr>
              <w:t>各区域按规范设置灭火器、消防设施并定期检查维护。</w:t>
            </w:r>
          </w:p>
        </w:tc>
      </w:tr>
      <w:tr w14:paraId="20503C68">
        <w:trPr>
          <w:trHeight w:val="227" w:hRule="atLeast"/>
          <w:jc w:val="center"/>
        </w:trPr>
        <w:tc>
          <w:tcPr>
            <w:tcW w:w="1483" w:type="dxa"/>
            <w:vAlign w:val="center"/>
          </w:tcPr>
          <w:p w14:paraId="4583037A">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其他环境</w:t>
            </w:r>
          </w:p>
          <w:p w14:paraId="51B294F1">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管理要求</w:t>
            </w:r>
          </w:p>
        </w:tc>
        <w:tc>
          <w:tcPr>
            <w:tcW w:w="7577" w:type="dxa"/>
            <w:gridSpan w:val="5"/>
            <w:vAlign w:val="center"/>
          </w:tcPr>
          <w:p w14:paraId="331A2DC0">
            <w:pPr>
              <w:keepNext w:val="0"/>
              <w:keepLines w:val="0"/>
              <w:suppressLineNumbers w:val="0"/>
              <w:spacing w:before="0" w:beforeAutospacing="0" w:after="0" w:afterAutospacing="0"/>
              <w:ind w:left="0" w:right="0" w:firstLine="420" w:firstLineChars="200"/>
              <w:rPr>
                <w:color w:val="auto"/>
                <w:szCs w:val="21"/>
                <w:highlight w:val="none"/>
              </w:rPr>
            </w:pPr>
            <w:r>
              <w:rPr>
                <w:rFonts w:hint="eastAsia"/>
                <w:color w:val="auto"/>
                <w:szCs w:val="21"/>
                <w:highlight w:val="none"/>
                <w:lang w:eastAsia="zh-CN"/>
              </w:rPr>
              <w:t>1.</w:t>
            </w:r>
            <w:r>
              <w:rPr>
                <w:rFonts w:hAnsi="宋体"/>
                <w:color w:val="auto"/>
                <w:szCs w:val="21"/>
                <w:highlight w:val="none"/>
              </w:rPr>
              <w:t>环境管理与监测计划</w:t>
            </w:r>
          </w:p>
          <w:p w14:paraId="21684B72">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）环境管理计划</w:t>
            </w:r>
          </w:p>
          <w:p w14:paraId="3B9AFD34">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①严格执行</w:t>
            </w:r>
            <w:r>
              <w:rPr>
                <w:color w:val="auto"/>
                <w:szCs w:val="21"/>
                <w:highlight w:val="none"/>
              </w:rPr>
              <w:t>“</w:t>
            </w:r>
            <w:r>
              <w:rPr>
                <w:rFonts w:hAnsi="宋体"/>
                <w:color w:val="auto"/>
                <w:szCs w:val="21"/>
                <w:highlight w:val="none"/>
              </w:rPr>
              <w:t>三同时</w:t>
            </w:r>
            <w:r>
              <w:rPr>
                <w:color w:val="auto"/>
                <w:szCs w:val="21"/>
                <w:highlight w:val="none"/>
              </w:rPr>
              <w:t>”</w:t>
            </w:r>
            <w:r>
              <w:rPr>
                <w:rFonts w:hAnsi="宋体"/>
                <w:color w:val="auto"/>
                <w:szCs w:val="21"/>
                <w:highlight w:val="none"/>
              </w:rPr>
              <w:t>制度</w:t>
            </w:r>
          </w:p>
          <w:p w14:paraId="4B878A5B">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在项目筹备、设计和施工建设不同阶段，均应严格执行</w:t>
            </w:r>
            <w:r>
              <w:rPr>
                <w:color w:val="auto"/>
                <w:szCs w:val="21"/>
                <w:highlight w:val="none"/>
              </w:rPr>
              <w:t>“</w:t>
            </w:r>
            <w:r>
              <w:rPr>
                <w:rFonts w:hAnsi="宋体"/>
                <w:color w:val="auto"/>
                <w:szCs w:val="21"/>
                <w:highlight w:val="none"/>
              </w:rPr>
              <w:t>三同时</w:t>
            </w:r>
            <w:r>
              <w:rPr>
                <w:color w:val="auto"/>
                <w:szCs w:val="21"/>
                <w:highlight w:val="none"/>
              </w:rPr>
              <w:t>”</w:t>
            </w:r>
            <w:r>
              <w:rPr>
                <w:rFonts w:hAnsi="宋体"/>
                <w:color w:val="auto"/>
                <w:szCs w:val="21"/>
                <w:highlight w:val="none"/>
              </w:rPr>
              <w:t>制度，确保</w:t>
            </w:r>
            <w:r>
              <w:rPr>
                <w:rFonts w:hint="eastAsia" w:hAnsi="宋体"/>
                <w:color w:val="auto"/>
                <w:szCs w:val="21"/>
                <w:highlight w:val="none"/>
                <w:lang w:eastAsia="zh-CN"/>
              </w:rPr>
              <w:t>污水处理</w:t>
            </w:r>
            <w:r>
              <w:rPr>
                <w:rFonts w:hAnsi="宋体"/>
                <w:color w:val="auto"/>
                <w:szCs w:val="21"/>
                <w:highlight w:val="none"/>
              </w:rPr>
              <w:t>设施能够与生产工艺设施</w:t>
            </w:r>
            <w:r>
              <w:rPr>
                <w:color w:val="auto"/>
                <w:szCs w:val="21"/>
                <w:highlight w:val="none"/>
              </w:rPr>
              <w:t>“</w:t>
            </w:r>
            <w:r>
              <w:rPr>
                <w:rFonts w:hAnsi="宋体"/>
                <w:color w:val="auto"/>
                <w:szCs w:val="21"/>
                <w:highlight w:val="none"/>
              </w:rPr>
              <w:t>同时设计、同时施工、同时</w:t>
            </w:r>
            <w:r>
              <w:rPr>
                <w:rFonts w:hint="eastAsia" w:hAnsi="宋体"/>
                <w:color w:val="auto"/>
                <w:szCs w:val="21"/>
                <w:highlight w:val="none"/>
                <w:lang w:eastAsia="zh-CN"/>
              </w:rPr>
              <w:t>投产使用</w:t>
            </w:r>
            <w:r>
              <w:rPr>
                <w:color w:val="auto"/>
                <w:szCs w:val="21"/>
                <w:highlight w:val="none"/>
              </w:rPr>
              <w:t>”</w:t>
            </w:r>
            <w:r>
              <w:rPr>
                <w:rFonts w:hAnsi="宋体"/>
                <w:color w:val="auto"/>
                <w:szCs w:val="21"/>
                <w:highlight w:val="none"/>
              </w:rPr>
              <w:t>。</w:t>
            </w:r>
          </w:p>
          <w:p w14:paraId="7886DD9E">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②建立环境报告制度</w:t>
            </w:r>
          </w:p>
          <w:p w14:paraId="3CB4D9ED">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应按有关法规的要求，严格执行排污申报制度；此外，在项目工程排污发生重大变化、污染治理设施发生重大改变或拟实施新、改、新建项目时必须及时向相关环保行政主管部门申报。</w:t>
            </w:r>
          </w:p>
          <w:p w14:paraId="34A752D9">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③健全污染治理设施管理制度</w:t>
            </w:r>
          </w:p>
          <w:p w14:paraId="21151FB7">
            <w:pPr>
              <w:keepNext w:val="0"/>
              <w:keepLines w:val="0"/>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建立健全污染治理设施的运行、检修、维护保养的作业规程和管理制度，将污染治理设施的管理与生产经营管理一同纳入公司日常管理工作的范畴，落实责任人，建立</w:t>
            </w:r>
            <w:r>
              <w:rPr>
                <w:rFonts w:hint="eastAsia" w:hAnsi="宋体"/>
                <w:color w:val="auto"/>
                <w:szCs w:val="21"/>
                <w:highlight w:val="none"/>
                <w:lang w:eastAsia="zh-CN"/>
              </w:rPr>
              <w:t>管理台账</w:t>
            </w:r>
            <w:r>
              <w:rPr>
                <w:rFonts w:hAnsi="宋体"/>
                <w:color w:val="auto"/>
                <w:szCs w:val="21"/>
                <w:highlight w:val="none"/>
              </w:rPr>
              <w:t>。</w:t>
            </w:r>
          </w:p>
          <w:p w14:paraId="5EC6FD72">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④建立环境目标管理责任制和奖惩条例</w:t>
            </w:r>
          </w:p>
          <w:p w14:paraId="695AE417">
            <w:pPr>
              <w:keepNext w:val="0"/>
              <w:keepLines w:val="0"/>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建立并实施各级人员的环境目标管理责任制，把环境目标责任完成情况与奖惩制度结合起来。设置环境保护奖惩条例，在公司内部形成注重环境管理，持续改进环境绩效的氛围。</w:t>
            </w:r>
          </w:p>
          <w:p w14:paraId="2B999788">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⑤建设单位应通过</w:t>
            </w:r>
            <w:r>
              <w:rPr>
                <w:color w:val="auto"/>
                <w:szCs w:val="21"/>
                <w:highlight w:val="none"/>
              </w:rPr>
              <w:t>“</w:t>
            </w:r>
            <w:r>
              <w:rPr>
                <w:rFonts w:hAnsi="宋体"/>
                <w:color w:val="auto"/>
                <w:szCs w:val="21"/>
                <w:highlight w:val="none"/>
              </w:rPr>
              <w:t>江苏省危险废物动态管理信息系统</w:t>
            </w:r>
            <w:r>
              <w:rPr>
                <w:color w:val="auto"/>
                <w:szCs w:val="21"/>
                <w:highlight w:val="none"/>
              </w:rPr>
              <w:t>”</w:t>
            </w:r>
            <w:r>
              <w:rPr>
                <w:rFonts w:hAnsi="宋体"/>
                <w:color w:val="auto"/>
                <w:szCs w:val="21"/>
                <w:highlight w:val="none"/>
              </w:rPr>
              <w:t>（江苏省环保厅网站）进行危险废物申报登记。</w:t>
            </w:r>
          </w:p>
          <w:p w14:paraId="58B08107">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⑥建立风险管理及应急救援体系，执行环境监测计划、转移联单管理制度及国家和省有关转移管理的相关规定、处置过程安全操作规程、人员培训考核制度、档案管理制度、处置全过程管理制度。</w:t>
            </w:r>
          </w:p>
          <w:p w14:paraId="7F60BBA3">
            <w:pPr>
              <w:keepNext/>
              <w:keepLines w:val="0"/>
              <w:widowControl/>
              <w:suppressLineNumbers w:val="0"/>
              <w:spacing w:before="0" w:beforeAutospacing="0" w:after="0" w:afterAutospacing="0"/>
              <w:ind w:left="0" w:right="0" w:firstLine="420" w:firstLineChars="200"/>
              <w:rPr>
                <w:color w:val="auto"/>
                <w:szCs w:val="21"/>
                <w:highlight w:val="none"/>
              </w:rPr>
            </w:pPr>
            <w:r>
              <w:rPr>
                <w:rFonts w:hAnsi="宋体"/>
                <w:color w:val="auto"/>
                <w:szCs w:val="21"/>
                <w:highlight w:val="none"/>
              </w:rPr>
              <w:t>⑦规范建设危险废物贮存场所并按照要求设置警告标志，危废包装、容器和贮存场所应按照《危险废物贮存污染控制标准》（</w:t>
            </w:r>
            <w:r>
              <w:rPr>
                <w:color w:val="auto"/>
                <w:szCs w:val="21"/>
                <w:highlight w:val="none"/>
              </w:rPr>
              <w:t>GB18597-</w:t>
            </w:r>
            <w:r>
              <w:rPr>
                <w:rFonts w:hint="eastAsia"/>
                <w:color w:val="auto"/>
                <w:szCs w:val="21"/>
                <w:highlight w:val="none"/>
              </w:rPr>
              <w:t>2023</w:t>
            </w:r>
            <w:r>
              <w:rPr>
                <w:rFonts w:hint="eastAsia" w:hAnsi="宋体"/>
                <w:color w:val="auto"/>
                <w:szCs w:val="21"/>
                <w:highlight w:val="none"/>
              </w:rPr>
              <w:t>）</w:t>
            </w:r>
            <w:r>
              <w:rPr>
                <w:rFonts w:hAnsi="宋体"/>
                <w:color w:val="auto"/>
                <w:szCs w:val="21"/>
                <w:highlight w:val="none"/>
              </w:rPr>
              <w:t>要求张贴标识。</w:t>
            </w:r>
          </w:p>
          <w:p w14:paraId="6DA75B55">
            <w:pPr>
              <w:keepNext w:val="0"/>
              <w:keepLines w:val="0"/>
              <w:suppressLineNumbers w:val="0"/>
              <w:autoSpaceDE w:val="0"/>
              <w:autoSpaceDN w:val="0"/>
              <w:adjustRightInd w:val="0"/>
              <w:spacing w:before="0" w:beforeAutospacing="0" w:after="0" w:afterAutospacing="0"/>
              <w:ind w:left="0" w:right="0" w:firstLine="420" w:firstLineChars="200"/>
              <w:rPr>
                <w:color w:val="auto"/>
                <w:szCs w:val="21"/>
                <w:highlight w:val="none"/>
              </w:rPr>
            </w:pPr>
            <w:r>
              <w:rPr>
                <w:rFonts w:hAnsi="宋体"/>
                <w:color w:val="auto"/>
                <w:szCs w:val="21"/>
                <w:highlight w:val="none"/>
              </w:rPr>
              <w:t>⑧企业需要根据《公共企事业单位信息公开规定制</w:t>
            </w:r>
            <w:r>
              <w:rPr>
                <w:rFonts w:hint="eastAsia" w:hAnsi="宋体"/>
                <w:color w:val="auto"/>
                <w:szCs w:val="21"/>
                <w:highlight w:val="none"/>
                <w:lang w:eastAsia="zh-CN"/>
              </w:rPr>
              <w:t>行</w:t>
            </w:r>
            <w:r>
              <w:rPr>
                <w:rFonts w:hAnsi="宋体"/>
                <w:color w:val="auto"/>
                <w:szCs w:val="21"/>
                <w:highlight w:val="none"/>
              </w:rPr>
              <w:t>办法</w:t>
            </w:r>
            <w:r>
              <w:rPr>
                <w:rFonts w:hint="eastAsia" w:hAnsi="宋体"/>
                <w:color w:val="auto"/>
                <w:szCs w:val="21"/>
                <w:highlight w:val="none"/>
                <w:lang w:eastAsia="zh-CN"/>
              </w:rPr>
              <w:t>》《</w:t>
            </w:r>
            <w:r>
              <w:rPr>
                <w:rFonts w:hAnsi="宋体"/>
                <w:color w:val="auto"/>
                <w:szCs w:val="21"/>
                <w:highlight w:val="none"/>
              </w:rPr>
              <w:t>企业环境信息依法披露管理办法》要求向社会公开相关信息。</w:t>
            </w:r>
          </w:p>
          <w:p w14:paraId="3EE809B9">
            <w:pPr>
              <w:keepNext w:val="0"/>
              <w:keepLines w:val="0"/>
              <w:suppressLineNumbers w:val="0"/>
              <w:spacing w:before="0" w:beforeAutospacing="0" w:after="0" w:afterAutospacing="0"/>
              <w:ind w:left="0" w:right="0" w:firstLine="480"/>
              <w:rPr>
                <w:color w:val="auto"/>
                <w:szCs w:val="21"/>
                <w:highlight w:val="none"/>
              </w:rPr>
            </w:pPr>
            <w:r>
              <w:rPr>
                <w:rFonts w:hAnsi="宋体"/>
                <w:color w:val="auto"/>
                <w:szCs w:val="21"/>
                <w:highlight w:val="none"/>
              </w:rPr>
              <w:t>（</w:t>
            </w:r>
            <w:r>
              <w:rPr>
                <w:rFonts w:hint="eastAsia"/>
                <w:color w:val="auto"/>
                <w:szCs w:val="21"/>
                <w:highlight w:val="none"/>
                <w:lang w:val="en-US" w:eastAsia="zh-CN"/>
              </w:rPr>
              <w:t>2</w:t>
            </w:r>
            <w:r>
              <w:rPr>
                <w:rFonts w:hAnsi="宋体"/>
                <w:color w:val="auto"/>
                <w:szCs w:val="21"/>
                <w:highlight w:val="none"/>
              </w:rPr>
              <w:t>）验收监测计划</w:t>
            </w:r>
          </w:p>
          <w:p w14:paraId="4312CD0F">
            <w:pPr>
              <w:keepNext w:val="0"/>
              <w:keepLines w:val="0"/>
              <w:suppressLineNumbers w:val="0"/>
              <w:spacing w:before="0" w:beforeAutospacing="0" w:after="0" w:afterAutospacing="0"/>
              <w:ind w:left="0" w:right="0" w:firstLine="480"/>
              <w:rPr>
                <w:rFonts w:hint="eastAsia" w:hAnsi="宋体"/>
                <w:color w:val="auto"/>
                <w:szCs w:val="21"/>
                <w:highlight w:val="none"/>
                <w:lang w:eastAsia="zh-CN"/>
              </w:rPr>
            </w:pPr>
            <w:r>
              <w:rPr>
                <w:rFonts w:hAnsi="宋体"/>
                <w:color w:val="auto"/>
                <w:szCs w:val="21"/>
                <w:highlight w:val="none"/>
              </w:rPr>
              <w:t>当本项目达到验收标准时根据《建设项目竣工环境保护验收技术指南污染影响类》委托有资质的检</w:t>
            </w:r>
            <w:r>
              <w:rPr>
                <w:rFonts w:hint="eastAsia" w:hAnsi="宋体"/>
                <w:color w:val="auto"/>
                <w:szCs w:val="21"/>
                <w:highlight w:val="none"/>
                <w:lang w:eastAsia="zh-CN"/>
              </w:rPr>
              <w:t>（</w:t>
            </w:r>
            <w:r>
              <w:rPr>
                <w:rFonts w:hAnsi="宋体"/>
                <w:color w:val="auto"/>
                <w:szCs w:val="21"/>
                <w:highlight w:val="none"/>
              </w:rPr>
              <w:t>监</w:t>
            </w:r>
            <w:r>
              <w:rPr>
                <w:rFonts w:hint="eastAsia" w:hAnsi="宋体"/>
                <w:color w:val="auto"/>
                <w:szCs w:val="21"/>
                <w:highlight w:val="none"/>
                <w:lang w:eastAsia="zh-CN"/>
              </w:rPr>
              <w:t>）</w:t>
            </w:r>
            <w:r>
              <w:rPr>
                <w:rFonts w:hAnsi="宋体"/>
                <w:color w:val="auto"/>
                <w:szCs w:val="21"/>
                <w:highlight w:val="none"/>
              </w:rPr>
              <w:t>测机构代其开展验收监测，根据监测结果编写验收监测报告</w:t>
            </w:r>
            <w:r>
              <w:rPr>
                <w:rFonts w:hint="eastAsia" w:hAnsi="宋体"/>
                <w:color w:val="auto"/>
                <w:szCs w:val="21"/>
                <w:highlight w:val="none"/>
                <w:lang w:eastAsia="zh-CN"/>
              </w:rPr>
              <w:t>。</w:t>
            </w:r>
          </w:p>
          <w:p w14:paraId="1606FCFF">
            <w:pPr>
              <w:keepNext w:val="0"/>
              <w:keepLines w:val="0"/>
              <w:suppressLineNumbers w:val="0"/>
              <w:spacing w:before="0" w:beforeAutospacing="0" w:after="0" w:afterAutospacing="0"/>
              <w:ind w:left="0" w:right="0" w:firstLine="480"/>
              <w:rPr>
                <w:rFonts w:hint="eastAsia" w:hAnsi="宋体"/>
                <w:color w:val="auto"/>
                <w:szCs w:val="21"/>
                <w:highlight w:val="none"/>
                <w:lang w:eastAsia="zh-CN"/>
              </w:rPr>
            </w:pPr>
          </w:p>
          <w:p w14:paraId="73D213EC">
            <w:pPr>
              <w:keepNext w:val="0"/>
              <w:keepLines w:val="0"/>
              <w:suppressLineNumbers w:val="0"/>
              <w:spacing w:before="0" w:beforeAutospacing="0" w:after="0" w:afterAutospacing="0"/>
              <w:ind w:left="0" w:right="0" w:firstLine="480"/>
              <w:rPr>
                <w:rFonts w:hint="eastAsia" w:hAnsi="宋体"/>
                <w:color w:val="auto"/>
                <w:szCs w:val="21"/>
                <w:highlight w:val="none"/>
                <w:lang w:eastAsia="zh-CN"/>
              </w:rPr>
            </w:pPr>
          </w:p>
          <w:p w14:paraId="17754400">
            <w:pPr>
              <w:keepNext w:val="0"/>
              <w:keepLines w:val="0"/>
              <w:suppressLineNumbers w:val="0"/>
              <w:spacing w:before="0" w:beforeAutospacing="0" w:after="0" w:afterAutospacing="0"/>
              <w:ind w:left="0" w:right="0" w:firstLine="480"/>
              <w:rPr>
                <w:rFonts w:hint="eastAsia" w:hAnsi="宋体"/>
                <w:color w:val="auto"/>
                <w:szCs w:val="21"/>
                <w:highlight w:val="none"/>
                <w:lang w:eastAsia="zh-CN"/>
              </w:rPr>
            </w:pPr>
          </w:p>
          <w:p w14:paraId="0EBE5496">
            <w:pPr>
              <w:keepNext w:val="0"/>
              <w:keepLines w:val="0"/>
              <w:suppressLineNumbers w:val="0"/>
              <w:spacing w:before="0" w:beforeAutospacing="0" w:after="0" w:afterAutospacing="0"/>
              <w:ind w:left="0" w:right="0" w:firstLine="480"/>
              <w:rPr>
                <w:rFonts w:hint="eastAsia" w:hAnsi="宋体"/>
                <w:color w:val="auto"/>
                <w:szCs w:val="21"/>
                <w:highlight w:val="none"/>
                <w:lang w:eastAsia="zh-CN"/>
              </w:rPr>
            </w:pPr>
          </w:p>
        </w:tc>
      </w:tr>
    </w:tbl>
    <w:p w14:paraId="6C67FB28">
      <w:pPr>
        <w:pStyle w:val="81"/>
        <w:rPr>
          <w:rFonts w:hAnsi="Times New Roman"/>
          <w:snapToGrid w:val="0"/>
          <w:color w:val="auto"/>
          <w:highlight w:val="none"/>
        </w:rPr>
      </w:pPr>
      <w:r>
        <w:rPr>
          <w:rFonts w:hAnsi="Times New Roman"/>
          <w:snapToGrid w:val="0"/>
          <w:color w:val="auto"/>
          <w:highlight w:val="none"/>
        </w:rPr>
        <w:br w:type="page"/>
      </w:r>
      <w:bookmarkStart w:id="53" w:name="_Toc13759"/>
      <w:r>
        <w:rPr>
          <w:snapToGrid w:val="0"/>
          <w:color w:val="auto"/>
          <w:highlight w:val="none"/>
        </w:rPr>
        <w:t>六、结论</w:t>
      </w:r>
      <w:bookmarkEnd w:id="53"/>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54F69CF">
        <w:trPr>
          <w:trHeight w:val="11991" w:hRule="atLeast"/>
          <w:jc w:val="center"/>
        </w:trPr>
        <w:tc>
          <w:tcPr>
            <w:tcW w:w="8865" w:type="dxa"/>
          </w:tcPr>
          <w:p w14:paraId="28E5099C">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highlight w:val="none"/>
              </w:rPr>
            </w:pPr>
            <w:r>
              <w:rPr>
                <w:rFonts w:hAnsi="宋体"/>
                <w:color w:val="auto"/>
                <w:sz w:val="24"/>
                <w:highlight w:val="none"/>
              </w:rPr>
              <w:t>综上所述：本项目符合国家和地方产业政策，拟采用的各项污染防治措施合理、有效，废气、</w:t>
            </w:r>
            <w:r>
              <w:rPr>
                <w:rFonts w:hint="eastAsia" w:hAnsi="宋体"/>
                <w:color w:val="auto"/>
                <w:sz w:val="24"/>
                <w:highlight w:val="none"/>
              </w:rPr>
              <w:t>废水、</w:t>
            </w:r>
            <w:r>
              <w:rPr>
                <w:rFonts w:hAnsi="宋体"/>
                <w:color w:val="auto"/>
                <w:sz w:val="24"/>
                <w:highlight w:val="none"/>
              </w:rPr>
              <w:t>噪声均可实现达标排放，固体废物可实现零排放；项目投产后，对周边环境污染影响较小。因此在下一步的工程设计和建设中，如能严格落实建设单位既定的污染防治措施和本报告中提出的各项环境保护对策建议，从环保角度分析，项目在拟建地址建设是可行的。</w:t>
            </w:r>
          </w:p>
        </w:tc>
      </w:tr>
    </w:tbl>
    <w:p w14:paraId="6F6F2A49">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8F42F0">
      <w:pPr>
        <w:pStyle w:val="81"/>
        <w:jc w:val="left"/>
        <w:rPr>
          <w:rFonts w:hAnsi="Times New Roman"/>
          <w:b/>
          <w:bCs/>
          <w:snapToGrid w:val="0"/>
          <w:color w:val="auto"/>
          <w:highlight w:val="none"/>
        </w:rPr>
      </w:pPr>
      <w:bookmarkStart w:id="54" w:name="_Toc9634"/>
      <w:r>
        <w:rPr>
          <w:b/>
          <w:bCs/>
          <w:snapToGrid w:val="0"/>
          <w:color w:val="auto"/>
          <w:highlight w:val="none"/>
        </w:rPr>
        <w:t>附表</w:t>
      </w:r>
      <w:bookmarkEnd w:id="54"/>
    </w:p>
    <w:p w14:paraId="5C0C4048">
      <w:pPr>
        <w:pStyle w:val="81"/>
        <w:rPr>
          <w:rFonts w:hAnsi="Times New Roman"/>
          <w:snapToGrid w:val="0"/>
          <w:color w:val="auto"/>
          <w:sz w:val="30"/>
          <w:szCs w:val="30"/>
          <w:highlight w:val="none"/>
        </w:rPr>
      </w:pPr>
      <w:bookmarkStart w:id="55" w:name="_Toc12086"/>
      <w:r>
        <w:rPr>
          <w:snapToGrid w:val="0"/>
          <w:color w:val="auto"/>
          <w:sz w:val="30"/>
          <w:szCs w:val="30"/>
          <w:highlight w:val="none"/>
        </w:rPr>
        <w:t>建设项目污染物排放量汇总表</w:t>
      </w:r>
      <w:bookmarkEnd w:id="55"/>
    </w:p>
    <w:tbl>
      <w:tblPr>
        <w:tblStyle w:val="88"/>
        <w:tblW w:w="1349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701"/>
        <w:gridCol w:w="1276"/>
        <w:gridCol w:w="1426"/>
        <w:gridCol w:w="1525"/>
        <w:gridCol w:w="1458"/>
        <w:gridCol w:w="1808"/>
        <w:gridCol w:w="1296"/>
      </w:tblGrid>
      <w:tr w14:paraId="69DA1647">
        <w:trPr>
          <w:trHeight w:val="340" w:hRule="atLeast"/>
        </w:trPr>
        <w:tc>
          <w:tcPr>
            <w:tcW w:w="1162" w:type="dxa"/>
            <w:tcBorders>
              <w:tl2br w:val="single" w:color="auto" w:sz="4" w:space="0"/>
            </w:tcBorders>
            <w:tcMar>
              <w:left w:w="28" w:type="dxa"/>
              <w:right w:w="28" w:type="dxa"/>
            </w:tcMar>
            <w:vAlign w:val="center"/>
          </w:tcPr>
          <w:p w14:paraId="15A44EE2">
            <w:pPr>
              <w:pStyle w:val="129"/>
              <w:keepNext w:val="0"/>
              <w:keepLines w:val="0"/>
              <w:suppressLineNumbers w:val="0"/>
              <w:spacing w:before="0" w:beforeAutospacing="0" w:after="0" w:afterAutospacing="0"/>
              <w:ind w:left="0" w:right="0" w:firstLine="630" w:firstLineChars="300"/>
              <w:rPr>
                <w:rFonts w:hAnsi="Times New Roman"/>
                <w:snapToGrid w:val="0"/>
                <w:color w:val="auto"/>
                <w:kern w:val="21"/>
                <w:highlight w:val="none"/>
              </w:rPr>
            </w:pPr>
            <w:r>
              <w:rPr>
                <w:snapToGrid w:val="0"/>
                <w:color w:val="auto"/>
                <w:kern w:val="21"/>
                <w:highlight w:val="none"/>
              </w:rPr>
              <w:t>项目</w:t>
            </w:r>
          </w:p>
          <w:p w14:paraId="540E955E">
            <w:pPr>
              <w:pStyle w:val="129"/>
              <w:keepNext w:val="0"/>
              <w:keepLines w:val="0"/>
              <w:suppressLineNumbers w:val="0"/>
              <w:spacing w:before="0" w:beforeAutospacing="0" w:after="0" w:afterAutospacing="0"/>
              <w:ind w:left="0" w:right="0"/>
              <w:rPr>
                <w:rFonts w:hAnsi="Times New Roman"/>
                <w:snapToGrid w:val="0"/>
                <w:color w:val="auto"/>
                <w:kern w:val="21"/>
                <w:highlight w:val="none"/>
              </w:rPr>
            </w:pPr>
            <w:r>
              <w:rPr>
                <w:snapToGrid w:val="0"/>
                <w:color w:val="auto"/>
                <w:kern w:val="21"/>
                <w:highlight w:val="none"/>
              </w:rPr>
              <w:t>分类</w:t>
            </w:r>
          </w:p>
        </w:tc>
        <w:tc>
          <w:tcPr>
            <w:tcW w:w="1843" w:type="dxa"/>
            <w:tcMar>
              <w:left w:w="28" w:type="dxa"/>
              <w:right w:w="28" w:type="dxa"/>
            </w:tcMar>
            <w:vAlign w:val="center"/>
          </w:tcPr>
          <w:p w14:paraId="04C8A614">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污染物名称</w:t>
            </w:r>
          </w:p>
        </w:tc>
        <w:tc>
          <w:tcPr>
            <w:tcW w:w="1701" w:type="dxa"/>
            <w:tcMar>
              <w:left w:w="28" w:type="dxa"/>
              <w:right w:w="28" w:type="dxa"/>
            </w:tcMar>
            <w:vAlign w:val="center"/>
          </w:tcPr>
          <w:p w14:paraId="124D20B3">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现有工程</w:t>
            </w:r>
          </w:p>
          <w:p w14:paraId="409CF753">
            <w:pPr>
              <w:pStyle w:val="129"/>
              <w:keepNext w:val="0"/>
              <w:keepLines w:val="0"/>
              <w:suppressLineNumbers w:val="0"/>
              <w:spacing w:before="0" w:beforeAutospacing="0" w:after="0" w:afterAutospacing="0"/>
              <w:ind w:left="0" w:right="0"/>
              <w:jc w:val="center"/>
              <w:rPr>
                <w:snapToGrid w:val="0"/>
                <w:color w:val="auto"/>
                <w:kern w:val="21"/>
                <w:highlight w:val="none"/>
              </w:rPr>
            </w:pPr>
            <w:r>
              <w:rPr>
                <w:rFonts w:hAnsi="宋体"/>
                <w:snapToGrid w:val="0"/>
                <w:color w:val="auto"/>
                <w:kern w:val="21"/>
                <w:highlight w:val="none"/>
              </w:rPr>
              <w:t>排放量（固体废物产生量）</w:t>
            </w:r>
            <w:r>
              <w:rPr>
                <w:snapToGrid w:val="0"/>
                <w:color w:val="auto"/>
                <w:kern w:val="21"/>
                <w:highlight w:val="none"/>
              </w:rPr>
              <w:fldChar w:fldCharType="begin"/>
            </w:r>
            <w:r>
              <w:rPr>
                <w:snapToGrid w:val="0"/>
                <w:color w:val="auto"/>
                <w:kern w:val="21"/>
                <w:highlight w:val="none"/>
              </w:rPr>
              <w:instrText xml:space="preserve"> = 1 \* GB3 \* MERGEFORMAT </w:instrText>
            </w:r>
            <w:r>
              <w:rPr>
                <w:snapToGrid w:val="0"/>
                <w:color w:val="auto"/>
                <w:kern w:val="21"/>
                <w:highlight w:val="none"/>
              </w:rPr>
              <w:fldChar w:fldCharType="separate"/>
            </w:r>
            <w:r>
              <w:rPr>
                <w:rFonts w:hAnsi="宋体"/>
                <w:color w:val="auto"/>
                <w:highlight w:val="none"/>
              </w:rPr>
              <w:t>①</w:t>
            </w:r>
            <w:r>
              <w:rPr>
                <w:snapToGrid w:val="0"/>
                <w:color w:val="auto"/>
                <w:kern w:val="21"/>
                <w:highlight w:val="none"/>
              </w:rPr>
              <w:fldChar w:fldCharType="end"/>
            </w:r>
          </w:p>
        </w:tc>
        <w:tc>
          <w:tcPr>
            <w:tcW w:w="1276" w:type="dxa"/>
            <w:tcMar>
              <w:left w:w="28" w:type="dxa"/>
              <w:right w:w="28" w:type="dxa"/>
            </w:tcMar>
            <w:vAlign w:val="center"/>
          </w:tcPr>
          <w:p w14:paraId="20A0AA63">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现有工程</w:t>
            </w:r>
          </w:p>
          <w:p w14:paraId="7F0288BD">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许可排放量</w:t>
            </w:r>
          </w:p>
          <w:p w14:paraId="22E87667">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fldChar w:fldCharType="begin"/>
            </w:r>
            <w:r>
              <w:rPr>
                <w:snapToGrid w:val="0"/>
                <w:color w:val="auto"/>
                <w:kern w:val="21"/>
                <w:highlight w:val="none"/>
              </w:rPr>
              <w:instrText xml:space="preserve"> = 2 \* GB3 \* MERGEFORMAT </w:instrText>
            </w:r>
            <w:r>
              <w:rPr>
                <w:snapToGrid w:val="0"/>
                <w:color w:val="auto"/>
                <w:kern w:val="21"/>
                <w:highlight w:val="none"/>
              </w:rPr>
              <w:fldChar w:fldCharType="separate"/>
            </w:r>
            <w:r>
              <w:rPr>
                <w:rFonts w:hAnsi="宋体"/>
                <w:snapToGrid w:val="0"/>
                <w:color w:val="auto"/>
                <w:kern w:val="21"/>
                <w:highlight w:val="none"/>
              </w:rPr>
              <w:t>②</w:t>
            </w:r>
            <w:r>
              <w:rPr>
                <w:snapToGrid w:val="0"/>
                <w:color w:val="auto"/>
                <w:kern w:val="21"/>
                <w:highlight w:val="none"/>
              </w:rPr>
              <w:fldChar w:fldCharType="end"/>
            </w:r>
          </w:p>
        </w:tc>
        <w:tc>
          <w:tcPr>
            <w:tcW w:w="1426" w:type="dxa"/>
            <w:tcMar>
              <w:left w:w="28" w:type="dxa"/>
              <w:right w:w="28" w:type="dxa"/>
            </w:tcMar>
            <w:vAlign w:val="center"/>
          </w:tcPr>
          <w:p w14:paraId="4C3BFEE6">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在建工程</w:t>
            </w:r>
          </w:p>
          <w:p w14:paraId="630F04F7">
            <w:pPr>
              <w:pStyle w:val="129"/>
              <w:keepNext w:val="0"/>
              <w:keepLines w:val="0"/>
              <w:suppressLineNumbers w:val="0"/>
              <w:spacing w:before="0" w:beforeAutospacing="0" w:after="0" w:afterAutospacing="0"/>
              <w:ind w:left="0" w:right="0"/>
              <w:jc w:val="center"/>
              <w:rPr>
                <w:snapToGrid w:val="0"/>
                <w:color w:val="auto"/>
                <w:kern w:val="21"/>
                <w:highlight w:val="none"/>
              </w:rPr>
            </w:pPr>
            <w:r>
              <w:rPr>
                <w:rFonts w:hAnsi="宋体"/>
                <w:snapToGrid w:val="0"/>
                <w:color w:val="auto"/>
                <w:kern w:val="21"/>
                <w:highlight w:val="none"/>
              </w:rPr>
              <w:t>排放量（固体废物产生量）</w:t>
            </w:r>
            <w:r>
              <w:rPr>
                <w:snapToGrid w:val="0"/>
                <w:color w:val="auto"/>
                <w:kern w:val="21"/>
                <w:highlight w:val="none"/>
              </w:rPr>
              <w:fldChar w:fldCharType="begin"/>
            </w:r>
            <w:r>
              <w:rPr>
                <w:snapToGrid w:val="0"/>
                <w:color w:val="auto"/>
                <w:kern w:val="21"/>
                <w:highlight w:val="none"/>
              </w:rPr>
              <w:instrText xml:space="preserve"> = 3 \* GB3 \* MERGEFORMAT </w:instrText>
            </w:r>
            <w:r>
              <w:rPr>
                <w:snapToGrid w:val="0"/>
                <w:color w:val="auto"/>
                <w:kern w:val="21"/>
                <w:highlight w:val="none"/>
              </w:rPr>
              <w:fldChar w:fldCharType="separate"/>
            </w:r>
            <w:r>
              <w:rPr>
                <w:rFonts w:hAnsi="宋体"/>
                <w:color w:val="auto"/>
                <w:highlight w:val="none"/>
              </w:rPr>
              <w:t>③</w:t>
            </w:r>
            <w:r>
              <w:rPr>
                <w:snapToGrid w:val="0"/>
                <w:color w:val="auto"/>
                <w:kern w:val="21"/>
                <w:highlight w:val="none"/>
              </w:rPr>
              <w:fldChar w:fldCharType="end"/>
            </w:r>
          </w:p>
        </w:tc>
        <w:tc>
          <w:tcPr>
            <w:tcW w:w="1525" w:type="dxa"/>
            <w:tcMar>
              <w:left w:w="28" w:type="dxa"/>
              <w:right w:w="28" w:type="dxa"/>
            </w:tcMar>
            <w:vAlign w:val="center"/>
          </w:tcPr>
          <w:p w14:paraId="1B09CE1A">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本项目</w:t>
            </w:r>
          </w:p>
          <w:p w14:paraId="3989AA2C">
            <w:pPr>
              <w:pStyle w:val="129"/>
              <w:keepNext w:val="0"/>
              <w:keepLines w:val="0"/>
              <w:suppressLineNumbers w:val="0"/>
              <w:spacing w:before="0" w:beforeAutospacing="0" w:after="0" w:afterAutospacing="0"/>
              <w:ind w:left="0" w:right="0"/>
              <w:jc w:val="center"/>
              <w:rPr>
                <w:snapToGrid w:val="0"/>
                <w:color w:val="auto"/>
                <w:kern w:val="21"/>
                <w:highlight w:val="none"/>
              </w:rPr>
            </w:pPr>
            <w:r>
              <w:rPr>
                <w:rFonts w:hAnsi="宋体"/>
                <w:snapToGrid w:val="0"/>
                <w:color w:val="auto"/>
                <w:kern w:val="21"/>
                <w:highlight w:val="none"/>
              </w:rPr>
              <w:t>排放量（固体废物产生量）</w:t>
            </w:r>
            <w:r>
              <w:rPr>
                <w:snapToGrid w:val="0"/>
                <w:color w:val="auto"/>
                <w:kern w:val="21"/>
                <w:highlight w:val="none"/>
              </w:rPr>
              <w:fldChar w:fldCharType="begin"/>
            </w:r>
            <w:r>
              <w:rPr>
                <w:snapToGrid w:val="0"/>
                <w:color w:val="auto"/>
                <w:kern w:val="21"/>
                <w:highlight w:val="none"/>
              </w:rPr>
              <w:instrText xml:space="preserve"> = 4 \* GB3 \* MERGEFORMAT </w:instrText>
            </w:r>
            <w:r>
              <w:rPr>
                <w:snapToGrid w:val="0"/>
                <w:color w:val="auto"/>
                <w:kern w:val="21"/>
                <w:highlight w:val="none"/>
              </w:rPr>
              <w:fldChar w:fldCharType="separate"/>
            </w:r>
            <w:r>
              <w:rPr>
                <w:rFonts w:hAnsi="宋体"/>
                <w:color w:val="auto"/>
                <w:highlight w:val="none"/>
              </w:rPr>
              <w:t>④</w:t>
            </w:r>
            <w:r>
              <w:rPr>
                <w:snapToGrid w:val="0"/>
                <w:color w:val="auto"/>
                <w:kern w:val="21"/>
                <w:highlight w:val="none"/>
              </w:rPr>
              <w:fldChar w:fldCharType="end"/>
            </w:r>
          </w:p>
        </w:tc>
        <w:tc>
          <w:tcPr>
            <w:tcW w:w="1458" w:type="dxa"/>
            <w:tcMar>
              <w:left w:w="28" w:type="dxa"/>
              <w:right w:w="28" w:type="dxa"/>
            </w:tcMar>
            <w:vAlign w:val="center"/>
          </w:tcPr>
          <w:p w14:paraId="7FC600A8">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以新带老削减量</w:t>
            </w:r>
            <w:r>
              <w:rPr>
                <w:rFonts w:hAnsi="宋体"/>
                <w:snapToGrid w:val="0"/>
                <w:color w:val="auto"/>
                <w:kern w:val="21"/>
                <w:highlight w:val="none"/>
              </w:rPr>
              <w:t>（新建项目不填）</w:t>
            </w:r>
            <w:r>
              <w:rPr>
                <w:snapToGrid w:val="0"/>
                <w:color w:val="auto"/>
                <w:kern w:val="21"/>
                <w:highlight w:val="none"/>
              </w:rPr>
              <w:fldChar w:fldCharType="begin"/>
            </w:r>
            <w:r>
              <w:rPr>
                <w:snapToGrid w:val="0"/>
                <w:color w:val="auto"/>
                <w:kern w:val="21"/>
                <w:highlight w:val="none"/>
              </w:rPr>
              <w:instrText xml:space="preserve"> = 5 \* GB3 \* MERGEFORMAT </w:instrText>
            </w:r>
            <w:r>
              <w:rPr>
                <w:snapToGrid w:val="0"/>
                <w:color w:val="auto"/>
                <w:kern w:val="21"/>
                <w:highlight w:val="none"/>
              </w:rPr>
              <w:fldChar w:fldCharType="separate"/>
            </w:r>
            <w:r>
              <w:rPr>
                <w:rFonts w:hAnsi="宋体"/>
                <w:color w:val="auto"/>
                <w:highlight w:val="none"/>
              </w:rPr>
              <w:t>⑤</w:t>
            </w:r>
            <w:r>
              <w:rPr>
                <w:snapToGrid w:val="0"/>
                <w:color w:val="auto"/>
                <w:kern w:val="21"/>
                <w:highlight w:val="none"/>
              </w:rPr>
              <w:fldChar w:fldCharType="end"/>
            </w:r>
          </w:p>
        </w:tc>
        <w:tc>
          <w:tcPr>
            <w:tcW w:w="1808" w:type="dxa"/>
            <w:tcMar>
              <w:left w:w="28" w:type="dxa"/>
              <w:right w:w="28" w:type="dxa"/>
            </w:tcMar>
            <w:vAlign w:val="center"/>
          </w:tcPr>
          <w:p w14:paraId="7F36EE43">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本项目建成后</w:t>
            </w:r>
            <w:r>
              <w:rPr>
                <w:rFonts w:hAnsi="宋体"/>
                <w:snapToGrid w:val="0"/>
                <w:color w:val="auto"/>
                <w:kern w:val="21"/>
                <w:highlight w:val="none"/>
              </w:rPr>
              <w:t>全厂排放量（固体废物产生量）</w:t>
            </w:r>
            <w:r>
              <w:rPr>
                <w:snapToGrid w:val="0"/>
                <w:color w:val="auto"/>
                <w:kern w:val="21"/>
                <w:highlight w:val="none"/>
              </w:rPr>
              <w:fldChar w:fldCharType="begin"/>
            </w:r>
            <w:r>
              <w:rPr>
                <w:snapToGrid w:val="0"/>
                <w:color w:val="auto"/>
                <w:kern w:val="21"/>
                <w:highlight w:val="none"/>
              </w:rPr>
              <w:instrText xml:space="preserve"> = 6 \* GB3 \* MERGEFORMAT </w:instrText>
            </w:r>
            <w:r>
              <w:rPr>
                <w:snapToGrid w:val="0"/>
                <w:color w:val="auto"/>
                <w:kern w:val="21"/>
                <w:highlight w:val="none"/>
              </w:rPr>
              <w:fldChar w:fldCharType="separate"/>
            </w:r>
            <w:r>
              <w:rPr>
                <w:rFonts w:hAnsi="宋体"/>
                <w:color w:val="auto"/>
                <w:highlight w:val="none"/>
              </w:rPr>
              <w:t>⑥</w:t>
            </w:r>
            <w:r>
              <w:rPr>
                <w:snapToGrid w:val="0"/>
                <w:color w:val="auto"/>
                <w:kern w:val="21"/>
                <w:highlight w:val="none"/>
              </w:rPr>
              <w:fldChar w:fldCharType="end"/>
            </w:r>
          </w:p>
        </w:tc>
        <w:tc>
          <w:tcPr>
            <w:tcW w:w="1296" w:type="dxa"/>
            <w:tcMar>
              <w:left w:w="28" w:type="dxa"/>
              <w:right w:w="28" w:type="dxa"/>
            </w:tcMar>
            <w:vAlign w:val="center"/>
          </w:tcPr>
          <w:p w14:paraId="002DE3E5">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变化量</w:t>
            </w:r>
          </w:p>
          <w:p w14:paraId="58986506">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fldChar w:fldCharType="begin"/>
            </w:r>
            <w:r>
              <w:rPr>
                <w:snapToGrid w:val="0"/>
                <w:color w:val="auto"/>
                <w:kern w:val="21"/>
                <w:highlight w:val="none"/>
              </w:rPr>
              <w:instrText xml:space="preserve"> = 7 \* GB3 \* MERGEFORMAT </w:instrText>
            </w:r>
            <w:r>
              <w:rPr>
                <w:snapToGrid w:val="0"/>
                <w:color w:val="auto"/>
                <w:kern w:val="21"/>
                <w:highlight w:val="none"/>
              </w:rPr>
              <w:fldChar w:fldCharType="separate"/>
            </w:r>
            <w:r>
              <w:rPr>
                <w:rFonts w:hAnsi="宋体"/>
                <w:color w:val="auto"/>
                <w:highlight w:val="none"/>
              </w:rPr>
              <w:t>⑦</w:t>
            </w:r>
            <w:r>
              <w:rPr>
                <w:snapToGrid w:val="0"/>
                <w:color w:val="auto"/>
                <w:kern w:val="21"/>
                <w:highlight w:val="none"/>
              </w:rPr>
              <w:fldChar w:fldCharType="end"/>
            </w:r>
          </w:p>
        </w:tc>
      </w:tr>
      <w:tr w14:paraId="743ED5F5">
        <w:trPr>
          <w:trHeight w:val="397" w:hRule="atLeast"/>
        </w:trPr>
        <w:tc>
          <w:tcPr>
            <w:tcW w:w="1162" w:type="dxa"/>
            <w:vMerge w:val="restart"/>
            <w:vAlign w:val="center"/>
          </w:tcPr>
          <w:p w14:paraId="013DED01">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废气</w:t>
            </w:r>
            <w:r>
              <w:rPr>
                <w:rFonts w:hint="eastAsia"/>
                <w:color w:val="auto"/>
                <w:highlight w:val="none"/>
              </w:rPr>
              <w:t>（有组织）</w:t>
            </w:r>
          </w:p>
        </w:tc>
        <w:tc>
          <w:tcPr>
            <w:tcW w:w="1843" w:type="dxa"/>
            <w:vAlign w:val="center"/>
          </w:tcPr>
          <w:p w14:paraId="6EA876C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1701" w:type="dxa"/>
            <w:vAlign w:val="center"/>
          </w:tcPr>
          <w:p w14:paraId="31B842C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5DB8163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0EDB231">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vAlign w:val="center"/>
          </w:tcPr>
          <w:p w14:paraId="79B61297">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0.1193</w:t>
            </w:r>
          </w:p>
        </w:tc>
        <w:tc>
          <w:tcPr>
            <w:tcW w:w="1458" w:type="dxa"/>
            <w:vAlign w:val="center"/>
          </w:tcPr>
          <w:p w14:paraId="02BBDF35">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1808" w:type="dxa"/>
            <w:shd w:val="clear" w:color="auto" w:fill="auto"/>
            <w:vAlign w:val="center"/>
          </w:tcPr>
          <w:p w14:paraId="0008D423">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0.1193</w:t>
            </w:r>
          </w:p>
        </w:tc>
        <w:tc>
          <w:tcPr>
            <w:tcW w:w="1296" w:type="dxa"/>
            <w:shd w:val="clear" w:color="auto" w:fill="auto"/>
            <w:vAlign w:val="center"/>
          </w:tcPr>
          <w:p w14:paraId="2E432FB8">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+0.1193</w:t>
            </w:r>
          </w:p>
        </w:tc>
      </w:tr>
      <w:tr w14:paraId="0EAD4B83">
        <w:trPr>
          <w:trHeight w:val="397" w:hRule="atLeast"/>
        </w:trPr>
        <w:tc>
          <w:tcPr>
            <w:tcW w:w="1162" w:type="dxa"/>
            <w:vMerge w:val="continue"/>
            <w:vAlign w:val="center"/>
          </w:tcPr>
          <w:p w14:paraId="116D8BBB">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5A034D7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颗粒物</w:t>
            </w:r>
          </w:p>
        </w:tc>
        <w:tc>
          <w:tcPr>
            <w:tcW w:w="1701" w:type="dxa"/>
            <w:vAlign w:val="center"/>
          </w:tcPr>
          <w:p w14:paraId="51438C2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5B15CD2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1426" w:type="dxa"/>
            <w:vAlign w:val="center"/>
          </w:tcPr>
          <w:p w14:paraId="3D32F313">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w:t>
            </w:r>
          </w:p>
        </w:tc>
        <w:tc>
          <w:tcPr>
            <w:tcW w:w="1525" w:type="dxa"/>
            <w:vAlign w:val="center"/>
          </w:tcPr>
          <w:p w14:paraId="24729C5E">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0.1781</w:t>
            </w:r>
          </w:p>
        </w:tc>
        <w:tc>
          <w:tcPr>
            <w:tcW w:w="1458" w:type="dxa"/>
            <w:vAlign w:val="center"/>
          </w:tcPr>
          <w:p w14:paraId="188A2ABE">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w:t>
            </w:r>
          </w:p>
        </w:tc>
        <w:tc>
          <w:tcPr>
            <w:tcW w:w="1808" w:type="dxa"/>
            <w:shd w:val="clear" w:color="auto" w:fill="auto"/>
            <w:vAlign w:val="center"/>
          </w:tcPr>
          <w:p w14:paraId="554B2F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0.1781</w:t>
            </w:r>
          </w:p>
        </w:tc>
        <w:tc>
          <w:tcPr>
            <w:tcW w:w="1296" w:type="dxa"/>
            <w:shd w:val="clear" w:color="auto" w:fill="auto"/>
            <w:vAlign w:val="center"/>
          </w:tcPr>
          <w:p w14:paraId="3E0F3E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0.1781</w:t>
            </w:r>
          </w:p>
        </w:tc>
      </w:tr>
      <w:tr w14:paraId="5E44457C">
        <w:trPr>
          <w:trHeight w:val="397" w:hRule="atLeast"/>
        </w:trPr>
        <w:tc>
          <w:tcPr>
            <w:tcW w:w="1162" w:type="dxa"/>
            <w:vMerge w:val="restart"/>
            <w:vAlign w:val="center"/>
          </w:tcPr>
          <w:p w14:paraId="5243D021">
            <w:pPr>
              <w:pStyle w:val="129"/>
              <w:keepNext w:val="0"/>
              <w:keepLines w:val="0"/>
              <w:suppressLineNumbers w:val="0"/>
              <w:spacing w:before="0" w:beforeAutospacing="0" w:after="0" w:afterAutospacing="0"/>
              <w:ind w:left="0" w:right="0"/>
              <w:jc w:val="center"/>
              <w:rPr>
                <w:rFonts w:hint="default" w:eastAsiaTheme="minorEastAsia"/>
                <w:snapToGrid w:val="0"/>
                <w:color w:val="auto"/>
                <w:kern w:val="21"/>
                <w:highlight w:val="none"/>
                <w:lang w:val="en-US" w:eastAsia="zh-CN"/>
              </w:rPr>
            </w:pPr>
            <w:r>
              <w:rPr>
                <w:rFonts w:hint="eastAsia"/>
                <w:snapToGrid w:val="0"/>
                <w:color w:val="auto"/>
                <w:kern w:val="21"/>
                <w:highlight w:val="none"/>
                <w:lang w:val="en-US" w:eastAsia="zh-CN"/>
              </w:rPr>
              <w:t>废气（无组织）</w:t>
            </w:r>
          </w:p>
        </w:tc>
        <w:tc>
          <w:tcPr>
            <w:tcW w:w="1843" w:type="dxa"/>
            <w:shd w:val="clear" w:color="auto" w:fill="auto"/>
            <w:vAlign w:val="center"/>
          </w:tcPr>
          <w:p w14:paraId="34488CA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1701" w:type="dxa"/>
            <w:shd w:val="clear" w:color="auto" w:fill="auto"/>
            <w:vAlign w:val="center"/>
          </w:tcPr>
          <w:p w14:paraId="353EC2B1">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6144EBB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5637D762">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eastAsia="宋体"/>
                <w:snapToGrid w:val="0"/>
                <w:color w:val="auto"/>
                <w:kern w:val="21"/>
                <w:szCs w:val="21"/>
                <w:highlight w:val="none"/>
              </w:rPr>
              <w:t>/</w:t>
            </w:r>
          </w:p>
        </w:tc>
        <w:tc>
          <w:tcPr>
            <w:tcW w:w="1525" w:type="dxa"/>
            <w:shd w:val="clear" w:color="auto" w:fill="auto"/>
            <w:vAlign w:val="center"/>
          </w:tcPr>
          <w:p w14:paraId="287984C8">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0.0633</w:t>
            </w:r>
          </w:p>
        </w:tc>
        <w:tc>
          <w:tcPr>
            <w:tcW w:w="1458" w:type="dxa"/>
            <w:shd w:val="clear" w:color="auto" w:fill="auto"/>
            <w:vAlign w:val="center"/>
          </w:tcPr>
          <w:p w14:paraId="436F9011">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1808" w:type="dxa"/>
            <w:shd w:val="clear" w:color="auto" w:fill="auto"/>
            <w:vAlign w:val="center"/>
          </w:tcPr>
          <w:p w14:paraId="48F39A44">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0.0633</w:t>
            </w:r>
          </w:p>
        </w:tc>
        <w:tc>
          <w:tcPr>
            <w:tcW w:w="1296" w:type="dxa"/>
            <w:shd w:val="clear" w:color="auto" w:fill="auto"/>
            <w:vAlign w:val="center"/>
          </w:tcPr>
          <w:p w14:paraId="33D07A43">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+0.0633</w:t>
            </w:r>
          </w:p>
        </w:tc>
      </w:tr>
      <w:tr w14:paraId="7E2D0A0B">
        <w:trPr>
          <w:trHeight w:val="397" w:hRule="atLeast"/>
        </w:trPr>
        <w:tc>
          <w:tcPr>
            <w:tcW w:w="1162" w:type="dxa"/>
            <w:vMerge w:val="continue"/>
            <w:vAlign w:val="center"/>
          </w:tcPr>
          <w:p w14:paraId="5DED5638">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46D9C08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1701" w:type="dxa"/>
            <w:shd w:val="clear" w:color="auto" w:fill="auto"/>
            <w:vAlign w:val="center"/>
          </w:tcPr>
          <w:p w14:paraId="74A848A0">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4A19A3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0</w:t>
            </w:r>
          </w:p>
        </w:tc>
        <w:tc>
          <w:tcPr>
            <w:tcW w:w="1426" w:type="dxa"/>
            <w:shd w:val="clear" w:color="auto" w:fill="auto"/>
            <w:vAlign w:val="center"/>
          </w:tcPr>
          <w:p w14:paraId="0B613FCC">
            <w:pPr>
              <w:pStyle w:val="129"/>
              <w:keepNext w:val="0"/>
              <w:keepLines w:val="0"/>
              <w:suppressLineNumbers w:val="0"/>
              <w:spacing w:before="0" w:beforeAutospacing="0" w:after="0" w:afterAutospacing="0"/>
              <w:ind w:left="0" w:leftChars="0" w:right="0" w:rightChars="0"/>
              <w:jc w:val="center"/>
              <w:rPr>
                <w:rFonts w:ascii="宋体" w:hAnsiTheme="minorHAnsi" w:eastAsiaTheme="minorEastAsia" w:cstheme="minorBidi"/>
                <w:snapToGrid w:val="0"/>
                <w:color w:val="auto"/>
                <w:kern w:val="21"/>
                <w:sz w:val="21"/>
                <w:szCs w:val="22"/>
                <w:highlight w:val="none"/>
                <w:lang w:val="en-US" w:eastAsia="zh-CN" w:bidi="ar-SA"/>
              </w:rPr>
            </w:pPr>
            <w:r>
              <w:rPr>
                <w:snapToGrid w:val="0"/>
                <w:color w:val="auto"/>
                <w:kern w:val="21"/>
                <w:highlight w:val="none"/>
              </w:rPr>
              <w:t>/</w:t>
            </w:r>
          </w:p>
        </w:tc>
        <w:tc>
          <w:tcPr>
            <w:tcW w:w="1525" w:type="dxa"/>
            <w:shd w:val="clear" w:color="auto" w:fill="auto"/>
            <w:vAlign w:val="center"/>
          </w:tcPr>
          <w:p w14:paraId="2F512E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w:t>
            </w:r>
            <w:r>
              <w:rPr>
                <w:rFonts w:hint="eastAsia" w:cs="Times New Roman"/>
                <w:bCs/>
                <w:color w:val="auto"/>
                <w:sz w:val="21"/>
                <w:szCs w:val="21"/>
                <w:highlight w:val="none"/>
                <w:lang w:val="en-US" w:eastAsia="zh-CN"/>
              </w:rPr>
              <w:t>2823</w:t>
            </w:r>
          </w:p>
        </w:tc>
        <w:tc>
          <w:tcPr>
            <w:tcW w:w="1458" w:type="dxa"/>
            <w:shd w:val="clear" w:color="auto" w:fill="auto"/>
            <w:vAlign w:val="center"/>
          </w:tcPr>
          <w:p w14:paraId="732121F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0"/>
                <w:szCs w:val="20"/>
                <w:highlight w:val="none"/>
                <w:lang w:val="en-US" w:eastAsia="zh-CN" w:bidi="ar-SA"/>
              </w:rPr>
            </w:pPr>
            <w:r>
              <w:rPr>
                <w:rFonts w:hint="eastAsia"/>
                <w:color w:val="auto"/>
                <w:sz w:val="20"/>
                <w:szCs w:val="20"/>
                <w:highlight w:val="none"/>
              </w:rPr>
              <w:t>/</w:t>
            </w:r>
          </w:p>
        </w:tc>
        <w:tc>
          <w:tcPr>
            <w:tcW w:w="1808" w:type="dxa"/>
            <w:shd w:val="clear" w:color="auto" w:fill="auto"/>
            <w:vAlign w:val="center"/>
          </w:tcPr>
          <w:p w14:paraId="5556BBA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w:t>
            </w:r>
            <w:r>
              <w:rPr>
                <w:rFonts w:hint="eastAsia" w:cs="Times New Roman"/>
                <w:bCs/>
                <w:color w:val="auto"/>
                <w:sz w:val="21"/>
                <w:szCs w:val="21"/>
                <w:highlight w:val="none"/>
                <w:lang w:val="en-US" w:eastAsia="zh-CN"/>
              </w:rPr>
              <w:t>2823</w:t>
            </w:r>
          </w:p>
        </w:tc>
        <w:tc>
          <w:tcPr>
            <w:tcW w:w="1296" w:type="dxa"/>
            <w:shd w:val="clear" w:color="auto" w:fill="auto"/>
            <w:vAlign w:val="center"/>
          </w:tcPr>
          <w:p w14:paraId="223CF48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cs="Times New Roman"/>
                <w:bCs/>
                <w:color w:val="auto"/>
                <w:sz w:val="21"/>
                <w:szCs w:val="21"/>
                <w:highlight w:val="none"/>
                <w:lang w:val="en-US" w:eastAsia="zh-CN"/>
              </w:rPr>
              <w:t>0.</w:t>
            </w:r>
            <w:r>
              <w:rPr>
                <w:rFonts w:hint="eastAsia" w:cs="Times New Roman"/>
                <w:bCs/>
                <w:color w:val="auto"/>
                <w:sz w:val="21"/>
                <w:szCs w:val="21"/>
                <w:highlight w:val="none"/>
                <w:lang w:val="en-US" w:eastAsia="zh-CN"/>
              </w:rPr>
              <w:t>2823</w:t>
            </w:r>
          </w:p>
        </w:tc>
      </w:tr>
      <w:tr w14:paraId="619EF345">
        <w:trPr>
          <w:trHeight w:val="397" w:hRule="atLeast"/>
        </w:trPr>
        <w:tc>
          <w:tcPr>
            <w:tcW w:w="1162" w:type="dxa"/>
            <w:vMerge w:val="restart"/>
            <w:vAlign w:val="center"/>
          </w:tcPr>
          <w:p w14:paraId="121A2F01">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rFonts w:hint="eastAsia"/>
                <w:snapToGrid w:val="0"/>
                <w:color w:val="auto"/>
                <w:kern w:val="21"/>
                <w:highlight w:val="none"/>
                <w:lang w:val="en-US" w:eastAsia="zh-CN"/>
              </w:rPr>
              <w:t>综合废水</w:t>
            </w:r>
            <w:r>
              <w:rPr>
                <w:rFonts w:hint="eastAsia"/>
                <w:snapToGrid w:val="0"/>
                <w:color w:val="auto"/>
                <w:kern w:val="21"/>
                <w:highlight w:val="none"/>
              </w:rPr>
              <w:t>（</w:t>
            </w:r>
            <w:r>
              <w:rPr>
                <w:rFonts w:hint="eastAsia"/>
                <w:snapToGrid w:val="0"/>
                <w:color w:val="auto"/>
                <w:kern w:val="21"/>
                <w:highlight w:val="none"/>
                <w:lang w:val="en-US" w:eastAsia="zh-CN"/>
              </w:rPr>
              <w:t>接管量</w:t>
            </w:r>
            <w:r>
              <w:rPr>
                <w:rFonts w:hint="eastAsia"/>
                <w:snapToGrid w:val="0"/>
                <w:color w:val="auto"/>
                <w:kern w:val="21"/>
                <w:highlight w:val="none"/>
              </w:rPr>
              <w:t>）</w:t>
            </w:r>
          </w:p>
        </w:tc>
        <w:tc>
          <w:tcPr>
            <w:tcW w:w="1843" w:type="dxa"/>
            <w:vAlign w:val="center"/>
          </w:tcPr>
          <w:p w14:paraId="1D5EC8A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废水量</w:t>
            </w:r>
          </w:p>
        </w:tc>
        <w:tc>
          <w:tcPr>
            <w:tcW w:w="1701" w:type="dxa"/>
            <w:vAlign w:val="center"/>
          </w:tcPr>
          <w:p w14:paraId="34D2958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64BD34D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602E5E23">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w:t>
            </w:r>
          </w:p>
        </w:tc>
        <w:tc>
          <w:tcPr>
            <w:tcW w:w="1525" w:type="dxa"/>
            <w:shd w:val="clear" w:color="auto" w:fill="auto"/>
            <w:vAlign w:val="center"/>
          </w:tcPr>
          <w:p w14:paraId="1EC9579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1620</w:t>
            </w:r>
          </w:p>
        </w:tc>
        <w:tc>
          <w:tcPr>
            <w:tcW w:w="1458" w:type="dxa"/>
            <w:vAlign w:val="center"/>
          </w:tcPr>
          <w:p w14:paraId="0FA0F9E9">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7832C0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1620</w:t>
            </w:r>
          </w:p>
        </w:tc>
        <w:tc>
          <w:tcPr>
            <w:tcW w:w="1296" w:type="dxa"/>
            <w:shd w:val="clear" w:color="auto" w:fill="auto"/>
            <w:vAlign w:val="center"/>
          </w:tcPr>
          <w:p w14:paraId="37A2CA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+1620</w:t>
            </w:r>
          </w:p>
        </w:tc>
      </w:tr>
      <w:tr w14:paraId="70446F71">
        <w:trPr>
          <w:trHeight w:val="397" w:hRule="atLeast"/>
        </w:trPr>
        <w:tc>
          <w:tcPr>
            <w:tcW w:w="1162" w:type="dxa"/>
            <w:vMerge w:val="continue"/>
            <w:vAlign w:val="center"/>
          </w:tcPr>
          <w:p w14:paraId="0AAC088A">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3C45E60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COD</w:t>
            </w:r>
          </w:p>
        </w:tc>
        <w:tc>
          <w:tcPr>
            <w:tcW w:w="1701" w:type="dxa"/>
            <w:vAlign w:val="center"/>
          </w:tcPr>
          <w:p w14:paraId="3179B36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10FC661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74B90F94">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5AE973A1">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0.4584 </w:t>
            </w:r>
          </w:p>
        </w:tc>
        <w:tc>
          <w:tcPr>
            <w:tcW w:w="1458" w:type="dxa"/>
            <w:vAlign w:val="center"/>
          </w:tcPr>
          <w:p w14:paraId="492B7A2B">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588BCA79">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0.4584 </w:t>
            </w:r>
          </w:p>
        </w:tc>
        <w:tc>
          <w:tcPr>
            <w:tcW w:w="1296" w:type="dxa"/>
            <w:shd w:val="clear" w:color="auto" w:fill="auto"/>
            <w:vAlign w:val="center"/>
          </w:tcPr>
          <w:p w14:paraId="0AC29FB0">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0.4584 </w:t>
            </w:r>
          </w:p>
        </w:tc>
      </w:tr>
      <w:tr w14:paraId="15550586">
        <w:trPr>
          <w:trHeight w:val="397" w:hRule="atLeast"/>
        </w:trPr>
        <w:tc>
          <w:tcPr>
            <w:tcW w:w="1162" w:type="dxa"/>
            <w:vMerge w:val="continue"/>
            <w:vAlign w:val="center"/>
          </w:tcPr>
          <w:p w14:paraId="71B5FCC6">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1B6D8D92">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SS</w:t>
            </w:r>
          </w:p>
        </w:tc>
        <w:tc>
          <w:tcPr>
            <w:tcW w:w="1701" w:type="dxa"/>
            <w:vAlign w:val="center"/>
          </w:tcPr>
          <w:p w14:paraId="0C2F12F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3E543B9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7A8B7E47">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70040280">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0.2220 </w:t>
            </w:r>
          </w:p>
        </w:tc>
        <w:tc>
          <w:tcPr>
            <w:tcW w:w="1458" w:type="dxa"/>
            <w:vAlign w:val="center"/>
          </w:tcPr>
          <w:p w14:paraId="4A3980A7">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581C0147">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0.2220 </w:t>
            </w:r>
          </w:p>
        </w:tc>
        <w:tc>
          <w:tcPr>
            <w:tcW w:w="1296" w:type="dxa"/>
            <w:shd w:val="clear" w:color="auto" w:fill="auto"/>
            <w:vAlign w:val="center"/>
          </w:tcPr>
          <w:p w14:paraId="381A6C68">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0.2220 </w:t>
            </w:r>
          </w:p>
        </w:tc>
      </w:tr>
      <w:tr w14:paraId="0877020A">
        <w:trPr>
          <w:trHeight w:val="397" w:hRule="atLeast"/>
        </w:trPr>
        <w:tc>
          <w:tcPr>
            <w:tcW w:w="1162" w:type="dxa"/>
            <w:vMerge w:val="continue"/>
            <w:vAlign w:val="center"/>
          </w:tcPr>
          <w:p w14:paraId="21AA2563">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4D4A85B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701" w:type="dxa"/>
            <w:vAlign w:val="center"/>
          </w:tcPr>
          <w:p w14:paraId="7AD72007">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07C35EAE">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6AD663AD">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3132CFD6">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0.0285 </w:t>
            </w:r>
          </w:p>
        </w:tc>
        <w:tc>
          <w:tcPr>
            <w:tcW w:w="1458" w:type="dxa"/>
            <w:vAlign w:val="center"/>
          </w:tcPr>
          <w:p w14:paraId="4784E6C1">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44AE72E1">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0.0285 </w:t>
            </w:r>
          </w:p>
        </w:tc>
        <w:tc>
          <w:tcPr>
            <w:tcW w:w="1296" w:type="dxa"/>
            <w:shd w:val="clear" w:color="auto" w:fill="auto"/>
            <w:vAlign w:val="center"/>
          </w:tcPr>
          <w:p w14:paraId="1DBFAB21">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0.0285 </w:t>
            </w:r>
          </w:p>
        </w:tc>
      </w:tr>
      <w:tr w14:paraId="266CBBAA">
        <w:trPr>
          <w:trHeight w:val="397" w:hRule="atLeast"/>
        </w:trPr>
        <w:tc>
          <w:tcPr>
            <w:tcW w:w="1162" w:type="dxa"/>
            <w:vMerge w:val="continue"/>
            <w:vAlign w:val="center"/>
          </w:tcPr>
          <w:p w14:paraId="068D49D7">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6B36F5F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TN</w:t>
            </w:r>
          </w:p>
        </w:tc>
        <w:tc>
          <w:tcPr>
            <w:tcW w:w="1701" w:type="dxa"/>
            <w:vAlign w:val="center"/>
          </w:tcPr>
          <w:p w14:paraId="44CFA722">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59D0856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DC35E58">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7F35D9EB">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0.0513 </w:t>
            </w:r>
          </w:p>
        </w:tc>
        <w:tc>
          <w:tcPr>
            <w:tcW w:w="1458" w:type="dxa"/>
            <w:vAlign w:val="center"/>
          </w:tcPr>
          <w:p w14:paraId="093B7EE4">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2A37A4F4">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0.0513 </w:t>
            </w:r>
          </w:p>
        </w:tc>
        <w:tc>
          <w:tcPr>
            <w:tcW w:w="1296" w:type="dxa"/>
            <w:shd w:val="clear" w:color="auto" w:fill="auto"/>
            <w:vAlign w:val="center"/>
          </w:tcPr>
          <w:p w14:paraId="0B312B52">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0.0513 </w:t>
            </w:r>
          </w:p>
        </w:tc>
      </w:tr>
      <w:tr w14:paraId="4D1E3AEE">
        <w:trPr>
          <w:trHeight w:val="397" w:hRule="atLeast"/>
        </w:trPr>
        <w:tc>
          <w:tcPr>
            <w:tcW w:w="1162" w:type="dxa"/>
            <w:vMerge w:val="continue"/>
            <w:vAlign w:val="center"/>
          </w:tcPr>
          <w:p w14:paraId="6580FE96">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734B16D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TP</w:t>
            </w:r>
          </w:p>
        </w:tc>
        <w:tc>
          <w:tcPr>
            <w:tcW w:w="1701" w:type="dxa"/>
            <w:vAlign w:val="center"/>
          </w:tcPr>
          <w:p w14:paraId="542506D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21DD9E8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9B1B00F">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21C75841">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1458" w:type="dxa"/>
            <w:vAlign w:val="center"/>
          </w:tcPr>
          <w:p w14:paraId="78004C55">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1A31C934">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1296" w:type="dxa"/>
            <w:shd w:val="clear" w:color="auto" w:fill="auto"/>
            <w:vAlign w:val="center"/>
          </w:tcPr>
          <w:p w14:paraId="0AA3A315">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0.0034 </w:t>
            </w:r>
          </w:p>
        </w:tc>
      </w:tr>
      <w:tr w14:paraId="6F52B2A1">
        <w:trPr>
          <w:trHeight w:val="397" w:hRule="atLeast"/>
        </w:trPr>
        <w:tc>
          <w:tcPr>
            <w:tcW w:w="1162" w:type="dxa"/>
            <w:vMerge w:val="continue"/>
            <w:vAlign w:val="center"/>
          </w:tcPr>
          <w:p w14:paraId="36E7812B">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680D85DB">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石油类</w:t>
            </w:r>
          </w:p>
        </w:tc>
        <w:tc>
          <w:tcPr>
            <w:tcW w:w="1701" w:type="dxa"/>
            <w:shd w:val="clear" w:color="auto" w:fill="auto"/>
            <w:vAlign w:val="center"/>
          </w:tcPr>
          <w:p w14:paraId="1F2E0CE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78DED94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705F56AC">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eastAsia="宋体"/>
                <w:snapToGrid w:val="0"/>
                <w:color w:val="auto"/>
                <w:kern w:val="21"/>
                <w:szCs w:val="21"/>
                <w:highlight w:val="none"/>
              </w:rPr>
              <w:t>/</w:t>
            </w:r>
          </w:p>
        </w:tc>
        <w:tc>
          <w:tcPr>
            <w:tcW w:w="1525" w:type="dxa"/>
            <w:shd w:val="clear" w:color="auto" w:fill="auto"/>
            <w:vAlign w:val="center"/>
          </w:tcPr>
          <w:p w14:paraId="11448324">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0.0077 </w:t>
            </w:r>
          </w:p>
        </w:tc>
        <w:tc>
          <w:tcPr>
            <w:tcW w:w="1458" w:type="dxa"/>
            <w:vAlign w:val="center"/>
          </w:tcPr>
          <w:p w14:paraId="2D36D76E">
            <w:pPr>
              <w:keepNext w:val="0"/>
              <w:keepLines w:val="0"/>
              <w:suppressLineNumbers w:val="0"/>
              <w:spacing w:before="0" w:beforeAutospacing="0" w:after="0" w:afterAutospacing="0"/>
              <w:ind w:left="0" w:right="0"/>
              <w:jc w:val="center"/>
              <w:rPr>
                <w:rFonts w:hint="default"/>
                <w:color w:val="auto"/>
                <w:sz w:val="20"/>
                <w:szCs w:val="20"/>
                <w:highlight w:val="none"/>
                <w:lang w:val="en-US" w:eastAsia="zh-CN"/>
              </w:rPr>
            </w:pPr>
            <w:r>
              <w:rPr>
                <w:rFonts w:hint="eastAsia"/>
                <w:color w:val="auto"/>
                <w:sz w:val="20"/>
                <w:szCs w:val="20"/>
                <w:highlight w:val="none"/>
                <w:lang w:val="en-US" w:eastAsia="zh-CN"/>
              </w:rPr>
              <w:t>/</w:t>
            </w:r>
          </w:p>
        </w:tc>
        <w:tc>
          <w:tcPr>
            <w:tcW w:w="1808" w:type="dxa"/>
            <w:shd w:val="clear" w:color="auto" w:fill="auto"/>
            <w:vAlign w:val="center"/>
          </w:tcPr>
          <w:p w14:paraId="1EFF0314">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0.0077 </w:t>
            </w:r>
          </w:p>
        </w:tc>
        <w:tc>
          <w:tcPr>
            <w:tcW w:w="1296" w:type="dxa"/>
            <w:shd w:val="clear" w:color="auto" w:fill="auto"/>
            <w:vAlign w:val="center"/>
          </w:tcPr>
          <w:p w14:paraId="2654EF66">
            <w:pPr>
              <w:keepNext w:val="0"/>
              <w:keepLines w:val="0"/>
              <w:widowControl/>
              <w:suppressLineNumbers w:val="0"/>
              <w:spacing w:before="0" w:beforeAutospacing="0" w:after="0" w:afterAutospacing="0"/>
              <w:ind w:left="0" w:right="0"/>
              <w:jc w:val="center"/>
              <w:textAlignment w:val="center"/>
              <w:rPr>
                <w:rFonts w:hint="default"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0.0077 </w:t>
            </w:r>
          </w:p>
        </w:tc>
      </w:tr>
      <w:tr w14:paraId="71F568D0">
        <w:trPr>
          <w:trHeight w:val="397" w:hRule="atLeast"/>
        </w:trPr>
        <w:tc>
          <w:tcPr>
            <w:tcW w:w="1162" w:type="dxa"/>
            <w:vMerge w:val="continue"/>
            <w:vAlign w:val="center"/>
          </w:tcPr>
          <w:p w14:paraId="7080B959">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191C6761">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动植物油</w:t>
            </w:r>
          </w:p>
        </w:tc>
        <w:tc>
          <w:tcPr>
            <w:tcW w:w="1701" w:type="dxa"/>
            <w:shd w:val="clear" w:color="auto" w:fill="auto"/>
            <w:vAlign w:val="center"/>
          </w:tcPr>
          <w:p w14:paraId="4934E92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232F34D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51E6818C">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eastAsia="宋体"/>
                <w:snapToGrid w:val="0"/>
                <w:color w:val="auto"/>
                <w:kern w:val="21"/>
                <w:szCs w:val="21"/>
                <w:highlight w:val="none"/>
              </w:rPr>
              <w:t>/</w:t>
            </w:r>
          </w:p>
        </w:tc>
        <w:tc>
          <w:tcPr>
            <w:tcW w:w="1525" w:type="dxa"/>
            <w:shd w:val="clear" w:color="auto" w:fill="auto"/>
            <w:vAlign w:val="center"/>
          </w:tcPr>
          <w:p w14:paraId="731FC22A">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1458" w:type="dxa"/>
            <w:vAlign w:val="center"/>
          </w:tcPr>
          <w:p w14:paraId="69CA11C4">
            <w:pPr>
              <w:keepNext w:val="0"/>
              <w:keepLines w:val="0"/>
              <w:suppressLineNumbers w:val="0"/>
              <w:spacing w:before="0" w:beforeAutospacing="0" w:after="0" w:afterAutospacing="0"/>
              <w:ind w:left="0" w:right="0"/>
              <w:jc w:val="center"/>
              <w:rPr>
                <w:rFonts w:hint="eastAsia" w:eastAsiaTheme="minorEastAsia"/>
                <w:color w:val="auto"/>
                <w:sz w:val="20"/>
                <w:szCs w:val="20"/>
                <w:highlight w:val="none"/>
                <w:lang w:val="en-US" w:eastAsia="zh-CN"/>
              </w:rPr>
            </w:pPr>
            <w:r>
              <w:rPr>
                <w:rFonts w:hint="eastAsia"/>
                <w:color w:val="auto"/>
                <w:sz w:val="20"/>
                <w:szCs w:val="20"/>
                <w:highlight w:val="none"/>
                <w:lang w:val="en-US" w:eastAsia="zh-CN"/>
              </w:rPr>
              <w:t>/</w:t>
            </w:r>
          </w:p>
        </w:tc>
        <w:tc>
          <w:tcPr>
            <w:tcW w:w="1808" w:type="dxa"/>
            <w:shd w:val="clear" w:color="auto" w:fill="auto"/>
            <w:vAlign w:val="center"/>
          </w:tcPr>
          <w:p w14:paraId="20854647">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0.0144 </w:t>
            </w:r>
          </w:p>
        </w:tc>
        <w:tc>
          <w:tcPr>
            <w:tcW w:w="1296" w:type="dxa"/>
            <w:shd w:val="clear" w:color="auto" w:fill="auto"/>
            <w:vAlign w:val="center"/>
          </w:tcPr>
          <w:p w14:paraId="7D981E12">
            <w:pPr>
              <w:keepNext w:val="0"/>
              <w:keepLines w:val="0"/>
              <w:widowControl/>
              <w:suppressLineNumbers w:val="0"/>
              <w:spacing w:before="0" w:beforeAutospacing="0" w:after="0" w:afterAutospacing="0"/>
              <w:ind w:left="0" w:right="0"/>
              <w:jc w:val="center"/>
              <w:textAlignment w:val="center"/>
              <w:rPr>
                <w:rFonts w:hint="eastAsia" w:ascii="Times New Roman" w:hAnsi="宋体" w:cs="Times New Roman" w:eastAsiaTheme="minorEastAsia"/>
                <w:color w:val="auto"/>
                <w:kern w:val="2"/>
                <w:sz w:val="21"/>
                <w:szCs w:val="21"/>
                <w:highlight w:val="none"/>
                <w:lang w:val="en-US" w:eastAsia="zh-CN" w:bidi="ar-SA"/>
              </w:rPr>
            </w:pPr>
            <w:r>
              <w:rPr>
                <w:rFonts w:hint="eastAsia"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0.0144 </w:t>
            </w:r>
          </w:p>
        </w:tc>
      </w:tr>
      <w:tr w14:paraId="20856604">
        <w:trPr>
          <w:trHeight w:val="397" w:hRule="atLeast"/>
        </w:trPr>
        <w:tc>
          <w:tcPr>
            <w:tcW w:w="1162" w:type="dxa"/>
            <w:vMerge w:val="restart"/>
            <w:vAlign w:val="center"/>
          </w:tcPr>
          <w:p w14:paraId="199234E4">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一般工业</w:t>
            </w:r>
          </w:p>
          <w:p w14:paraId="30DDF36B">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固体废物</w:t>
            </w:r>
          </w:p>
        </w:tc>
        <w:tc>
          <w:tcPr>
            <w:tcW w:w="1843" w:type="dxa"/>
            <w:shd w:val="clear" w:color="auto" w:fill="auto"/>
            <w:vAlign w:val="center"/>
          </w:tcPr>
          <w:p w14:paraId="0CE453F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废包装</w:t>
            </w:r>
            <w:r>
              <w:rPr>
                <w:rFonts w:hint="eastAsia"/>
                <w:bCs/>
                <w:color w:val="auto"/>
                <w:szCs w:val="21"/>
                <w:highlight w:val="none"/>
                <w:lang w:val="en-US" w:eastAsia="zh-CN"/>
              </w:rPr>
              <w:t>材料</w:t>
            </w:r>
          </w:p>
        </w:tc>
        <w:tc>
          <w:tcPr>
            <w:tcW w:w="1701" w:type="dxa"/>
            <w:vAlign w:val="center"/>
          </w:tcPr>
          <w:p w14:paraId="0A917A5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2344C67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7166F1B">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shd w:val="clear" w:color="auto" w:fill="auto"/>
            <w:vAlign w:val="center"/>
          </w:tcPr>
          <w:p w14:paraId="6F99901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w:t>
            </w:r>
          </w:p>
        </w:tc>
        <w:tc>
          <w:tcPr>
            <w:tcW w:w="1458" w:type="dxa"/>
            <w:vAlign w:val="center"/>
          </w:tcPr>
          <w:p w14:paraId="41106384">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2521223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w:t>
            </w:r>
          </w:p>
        </w:tc>
        <w:tc>
          <w:tcPr>
            <w:tcW w:w="1296" w:type="dxa"/>
            <w:shd w:val="clear" w:color="auto" w:fill="auto"/>
            <w:vAlign w:val="center"/>
          </w:tcPr>
          <w:p w14:paraId="24F7E6D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w:t>
            </w:r>
          </w:p>
        </w:tc>
      </w:tr>
      <w:tr w14:paraId="75685876">
        <w:trPr>
          <w:trHeight w:val="397" w:hRule="atLeast"/>
        </w:trPr>
        <w:tc>
          <w:tcPr>
            <w:tcW w:w="1162" w:type="dxa"/>
            <w:vMerge w:val="continue"/>
            <w:vAlign w:val="center"/>
          </w:tcPr>
          <w:p w14:paraId="257787B4">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55454D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废焊料</w:t>
            </w:r>
          </w:p>
        </w:tc>
        <w:tc>
          <w:tcPr>
            <w:tcW w:w="1701" w:type="dxa"/>
            <w:shd w:val="clear" w:color="auto" w:fill="auto"/>
            <w:vAlign w:val="center"/>
          </w:tcPr>
          <w:p w14:paraId="59B1D23E">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36843EB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vAlign w:val="center"/>
          </w:tcPr>
          <w:p w14:paraId="5F93E9F1">
            <w:pPr>
              <w:keepNext w:val="0"/>
              <w:keepLines w:val="0"/>
              <w:suppressLineNumbers w:val="0"/>
              <w:spacing w:before="0" w:beforeAutospacing="0" w:after="0" w:afterAutospacing="0"/>
              <w:ind w:left="0" w:right="0"/>
              <w:jc w:val="center"/>
              <w:rPr>
                <w:rFonts w:hint="eastAsia" w:eastAsiaTheme="minorEastAsia"/>
                <w:color w:val="auto"/>
                <w:sz w:val="20"/>
                <w:szCs w:val="20"/>
                <w:highlight w:val="none"/>
                <w:lang w:val="en-US" w:eastAsia="zh-CN"/>
              </w:rPr>
            </w:pPr>
            <w:r>
              <w:rPr>
                <w:rFonts w:hint="eastAsia"/>
                <w:color w:val="auto"/>
                <w:sz w:val="20"/>
                <w:szCs w:val="20"/>
                <w:highlight w:val="none"/>
                <w:lang w:val="en-US" w:eastAsia="zh-CN"/>
              </w:rPr>
              <w:t>/</w:t>
            </w:r>
          </w:p>
        </w:tc>
        <w:tc>
          <w:tcPr>
            <w:tcW w:w="1525" w:type="dxa"/>
            <w:shd w:val="clear" w:color="auto" w:fill="auto"/>
            <w:vAlign w:val="center"/>
          </w:tcPr>
          <w:p w14:paraId="0D5324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0.3</w:t>
            </w:r>
          </w:p>
        </w:tc>
        <w:tc>
          <w:tcPr>
            <w:tcW w:w="1458" w:type="dxa"/>
            <w:vAlign w:val="center"/>
          </w:tcPr>
          <w:p w14:paraId="1C0FBF55">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1808" w:type="dxa"/>
            <w:shd w:val="clear" w:color="auto" w:fill="auto"/>
            <w:vAlign w:val="center"/>
          </w:tcPr>
          <w:p w14:paraId="742D51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0.3</w:t>
            </w:r>
          </w:p>
        </w:tc>
        <w:tc>
          <w:tcPr>
            <w:tcW w:w="1296" w:type="dxa"/>
            <w:shd w:val="clear" w:color="auto" w:fill="auto"/>
            <w:vAlign w:val="center"/>
          </w:tcPr>
          <w:p w14:paraId="6CF487F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+0.3</w:t>
            </w:r>
          </w:p>
        </w:tc>
      </w:tr>
      <w:tr w14:paraId="6D1D7B4E">
        <w:trPr>
          <w:trHeight w:val="397" w:hRule="atLeast"/>
        </w:trPr>
        <w:tc>
          <w:tcPr>
            <w:tcW w:w="1162" w:type="dxa"/>
            <w:vMerge w:val="continue"/>
            <w:vAlign w:val="center"/>
          </w:tcPr>
          <w:p w14:paraId="7D8DF45E">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1162664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边角料</w:t>
            </w:r>
          </w:p>
        </w:tc>
        <w:tc>
          <w:tcPr>
            <w:tcW w:w="1701" w:type="dxa"/>
            <w:vAlign w:val="center"/>
          </w:tcPr>
          <w:p w14:paraId="58AD9D9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76C94C8E">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29315697">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shd w:val="clear" w:color="auto" w:fill="auto"/>
            <w:vAlign w:val="center"/>
          </w:tcPr>
          <w:p w14:paraId="5D255379">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30</w:t>
            </w:r>
          </w:p>
        </w:tc>
        <w:tc>
          <w:tcPr>
            <w:tcW w:w="1458" w:type="dxa"/>
            <w:vAlign w:val="center"/>
          </w:tcPr>
          <w:p w14:paraId="641EF8E0">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1808" w:type="dxa"/>
            <w:shd w:val="clear" w:color="auto" w:fill="auto"/>
            <w:vAlign w:val="center"/>
          </w:tcPr>
          <w:p w14:paraId="77681A3D">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30</w:t>
            </w:r>
          </w:p>
        </w:tc>
        <w:tc>
          <w:tcPr>
            <w:tcW w:w="1296" w:type="dxa"/>
            <w:shd w:val="clear" w:color="auto" w:fill="auto"/>
            <w:vAlign w:val="center"/>
          </w:tcPr>
          <w:p w14:paraId="0F44B381">
            <w:pPr>
              <w:keepNext w:val="0"/>
              <w:keepLines w:val="0"/>
              <w:suppressLineNumbers w:val="0"/>
              <w:adjustRightInd w:val="0"/>
              <w:snapToGrid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+30</w:t>
            </w:r>
          </w:p>
        </w:tc>
      </w:tr>
      <w:tr w14:paraId="4E4B269E">
        <w:trPr>
          <w:trHeight w:val="397" w:hRule="atLeast"/>
        </w:trPr>
        <w:tc>
          <w:tcPr>
            <w:tcW w:w="1162" w:type="dxa"/>
            <w:vMerge w:val="continue"/>
            <w:vAlign w:val="center"/>
          </w:tcPr>
          <w:p w14:paraId="5000FBDB">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376DFEF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废布袋</w:t>
            </w:r>
          </w:p>
        </w:tc>
        <w:tc>
          <w:tcPr>
            <w:tcW w:w="1701" w:type="dxa"/>
            <w:shd w:val="clear" w:color="auto" w:fill="auto"/>
            <w:vAlign w:val="center"/>
          </w:tcPr>
          <w:p w14:paraId="1C67FB21">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6F0C911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18495DB7">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eastAsia="宋体"/>
                <w:snapToGrid w:val="0"/>
                <w:color w:val="auto"/>
                <w:kern w:val="21"/>
                <w:szCs w:val="21"/>
                <w:highlight w:val="none"/>
              </w:rPr>
              <w:t>/</w:t>
            </w:r>
          </w:p>
        </w:tc>
        <w:tc>
          <w:tcPr>
            <w:tcW w:w="1525" w:type="dxa"/>
            <w:shd w:val="clear" w:color="auto" w:fill="auto"/>
            <w:vAlign w:val="center"/>
          </w:tcPr>
          <w:p w14:paraId="6A1567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0.048</w:t>
            </w:r>
          </w:p>
        </w:tc>
        <w:tc>
          <w:tcPr>
            <w:tcW w:w="1458" w:type="dxa"/>
            <w:shd w:val="clear" w:color="auto" w:fill="auto"/>
            <w:vAlign w:val="center"/>
          </w:tcPr>
          <w:p w14:paraId="25FEF432">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eastAsia="宋体"/>
                <w:snapToGrid w:val="0"/>
                <w:color w:val="auto"/>
                <w:kern w:val="21"/>
                <w:szCs w:val="21"/>
                <w:highlight w:val="none"/>
              </w:rPr>
              <w:t>/</w:t>
            </w:r>
          </w:p>
        </w:tc>
        <w:tc>
          <w:tcPr>
            <w:tcW w:w="1808" w:type="dxa"/>
            <w:shd w:val="clear" w:color="auto" w:fill="auto"/>
            <w:vAlign w:val="center"/>
          </w:tcPr>
          <w:p w14:paraId="32C166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0.048</w:t>
            </w:r>
          </w:p>
        </w:tc>
        <w:tc>
          <w:tcPr>
            <w:tcW w:w="1296" w:type="dxa"/>
            <w:shd w:val="clear" w:color="auto" w:fill="auto"/>
            <w:vAlign w:val="center"/>
          </w:tcPr>
          <w:p w14:paraId="7143B0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+0.048</w:t>
            </w:r>
          </w:p>
        </w:tc>
      </w:tr>
      <w:tr w14:paraId="6528FA40">
        <w:trPr>
          <w:trHeight w:val="397" w:hRule="atLeast"/>
        </w:trPr>
        <w:tc>
          <w:tcPr>
            <w:tcW w:w="1162" w:type="dxa"/>
            <w:vMerge w:val="continue"/>
            <w:vAlign w:val="center"/>
          </w:tcPr>
          <w:p w14:paraId="428021D2">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519E63C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除尘器收集尘</w:t>
            </w:r>
          </w:p>
        </w:tc>
        <w:tc>
          <w:tcPr>
            <w:tcW w:w="1701" w:type="dxa"/>
            <w:shd w:val="clear" w:color="auto" w:fill="auto"/>
            <w:vAlign w:val="center"/>
          </w:tcPr>
          <w:p w14:paraId="26FF78D0">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7CBD2DDC">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0219F54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1525" w:type="dxa"/>
            <w:shd w:val="clear" w:color="auto" w:fill="auto"/>
            <w:vAlign w:val="center"/>
          </w:tcPr>
          <w:p w14:paraId="5CC86FC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1.6071</w:t>
            </w:r>
          </w:p>
        </w:tc>
        <w:tc>
          <w:tcPr>
            <w:tcW w:w="1458" w:type="dxa"/>
            <w:shd w:val="clear" w:color="auto" w:fill="auto"/>
            <w:vAlign w:val="center"/>
          </w:tcPr>
          <w:p w14:paraId="4727697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1808" w:type="dxa"/>
            <w:shd w:val="clear" w:color="auto" w:fill="auto"/>
            <w:vAlign w:val="center"/>
          </w:tcPr>
          <w:p w14:paraId="2BF10F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1.6071</w:t>
            </w:r>
          </w:p>
        </w:tc>
        <w:tc>
          <w:tcPr>
            <w:tcW w:w="1296" w:type="dxa"/>
            <w:shd w:val="clear" w:color="auto" w:fill="auto"/>
            <w:vAlign w:val="center"/>
          </w:tcPr>
          <w:p w14:paraId="2B1EC7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+1.6071</w:t>
            </w:r>
          </w:p>
        </w:tc>
      </w:tr>
      <w:tr w14:paraId="41729950">
        <w:trPr>
          <w:trHeight w:val="397" w:hRule="atLeast"/>
        </w:trPr>
        <w:tc>
          <w:tcPr>
            <w:tcW w:w="1162" w:type="dxa"/>
            <w:vMerge w:val="restart"/>
            <w:vAlign w:val="center"/>
          </w:tcPr>
          <w:p w14:paraId="01D8AC6C">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危险废物</w:t>
            </w:r>
          </w:p>
        </w:tc>
        <w:tc>
          <w:tcPr>
            <w:tcW w:w="1843" w:type="dxa"/>
            <w:shd w:val="clear" w:color="auto" w:fill="auto"/>
            <w:vAlign w:val="center"/>
          </w:tcPr>
          <w:p w14:paraId="1C7FCDA5">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701" w:type="dxa"/>
            <w:shd w:val="clear" w:color="auto" w:fill="auto"/>
            <w:vAlign w:val="center"/>
          </w:tcPr>
          <w:p w14:paraId="6D65B1DF">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2E78C416">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05CAC13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0"/>
                <w:szCs w:val="20"/>
                <w:highlight w:val="none"/>
                <w:lang w:val="en-US" w:eastAsia="zh-CN" w:bidi="ar-SA"/>
              </w:rPr>
            </w:pPr>
            <w:r>
              <w:rPr>
                <w:rFonts w:hint="eastAsia"/>
                <w:color w:val="auto"/>
                <w:sz w:val="20"/>
                <w:szCs w:val="20"/>
                <w:highlight w:val="none"/>
                <w:lang w:val="en-US" w:eastAsia="zh-CN"/>
              </w:rPr>
              <w:t>/</w:t>
            </w:r>
          </w:p>
        </w:tc>
        <w:tc>
          <w:tcPr>
            <w:tcW w:w="1525" w:type="dxa"/>
            <w:shd w:val="clear" w:color="auto" w:fill="auto"/>
            <w:vAlign w:val="center"/>
          </w:tcPr>
          <w:p w14:paraId="3EFC30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6.474</w:t>
            </w:r>
          </w:p>
        </w:tc>
        <w:tc>
          <w:tcPr>
            <w:tcW w:w="1458" w:type="dxa"/>
            <w:shd w:val="clear" w:color="auto" w:fill="auto"/>
            <w:vAlign w:val="center"/>
          </w:tcPr>
          <w:p w14:paraId="5E0BBA4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0"/>
                <w:szCs w:val="20"/>
                <w:highlight w:val="none"/>
                <w:lang w:val="en-US" w:eastAsia="zh-CN" w:bidi="ar-SA"/>
              </w:rPr>
            </w:pPr>
            <w:r>
              <w:rPr>
                <w:rFonts w:hint="eastAsia"/>
                <w:color w:val="auto"/>
                <w:sz w:val="20"/>
                <w:szCs w:val="20"/>
                <w:highlight w:val="none"/>
                <w:lang w:val="en-US" w:eastAsia="zh-CN"/>
              </w:rPr>
              <w:t>/</w:t>
            </w:r>
          </w:p>
        </w:tc>
        <w:tc>
          <w:tcPr>
            <w:tcW w:w="1808" w:type="dxa"/>
            <w:shd w:val="clear" w:color="auto" w:fill="auto"/>
            <w:vAlign w:val="center"/>
          </w:tcPr>
          <w:p w14:paraId="58D6F0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6.474</w:t>
            </w:r>
          </w:p>
        </w:tc>
        <w:tc>
          <w:tcPr>
            <w:tcW w:w="1296" w:type="dxa"/>
            <w:shd w:val="clear" w:color="auto" w:fill="auto"/>
            <w:vAlign w:val="center"/>
          </w:tcPr>
          <w:p w14:paraId="2D8BFF3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+6.474</w:t>
            </w:r>
          </w:p>
        </w:tc>
      </w:tr>
      <w:tr w14:paraId="08EC7A5A">
        <w:trPr>
          <w:trHeight w:val="397" w:hRule="atLeast"/>
        </w:trPr>
        <w:tc>
          <w:tcPr>
            <w:tcW w:w="1162" w:type="dxa"/>
            <w:vMerge w:val="continue"/>
            <w:vAlign w:val="center"/>
          </w:tcPr>
          <w:p w14:paraId="795EDD72">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01712B79">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int="eastAsia" w:hAnsi="宋体"/>
                <w:bCs/>
                <w:color w:val="auto"/>
                <w:szCs w:val="21"/>
                <w:highlight w:val="none"/>
              </w:rPr>
              <w:t>废过滤棉</w:t>
            </w:r>
          </w:p>
        </w:tc>
        <w:tc>
          <w:tcPr>
            <w:tcW w:w="1701" w:type="dxa"/>
            <w:shd w:val="clear" w:color="auto" w:fill="auto"/>
            <w:vAlign w:val="center"/>
          </w:tcPr>
          <w:p w14:paraId="421946F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6EDBD54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1A4E27C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1525" w:type="dxa"/>
            <w:shd w:val="clear" w:color="auto" w:fill="auto"/>
            <w:vAlign w:val="center"/>
          </w:tcPr>
          <w:p w14:paraId="42B221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2.546</w:t>
            </w:r>
          </w:p>
        </w:tc>
        <w:tc>
          <w:tcPr>
            <w:tcW w:w="1458" w:type="dxa"/>
            <w:shd w:val="clear" w:color="auto" w:fill="auto"/>
            <w:vAlign w:val="center"/>
          </w:tcPr>
          <w:p w14:paraId="6C3C412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1808" w:type="dxa"/>
            <w:shd w:val="clear" w:color="auto" w:fill="auto"/>
            <w:vAlign w:val="center"/>
          </w:tcPr>
          <w:p w14:paraId="2B5770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2.546</w:t>
            </w:r>
          </w:p>
        </w:tc>
        <w:tc>
          <w:tcPr>
            <w:tcW w:w="1296" w:type="dxa"/>
            <w:shd w:val="clear" w:color="auto" w:fill="auto"/>
            <w:vAlign w:val="center"/>
          </w:tcPr>
          <w:p w14:paraId="7BD7BC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hAnsi="宋体"/>
                <w:bCs/>
                <w:color w:val="auto"/>
                <w:sz w:val="21"/>
                <w:szCs w:val="21"/>
                <w:highlight w:val="none"/>
                <w:lang w:val="en-US" w:eastAsia="zh-CN"/>
              </w:rPr>
              <w:t>+2.546</w:t>
            </w:r>
          </w:p>
        </w:tc>
      </w:tr>
      <w:tr w14:paraId="1B01CAF8">
        <w:trPr>
          <w:trHeight w:val="397" w:hRule="atLeast"/>
        </w:trPr>
        <w:tc>
          <w:tcPr>
            <w:tcW w:w="1162" w:type="dxa"/>
            <w:vMerge w:val="continue"/>
            <w:vAlign w:val="center"/>
          </w:tcPr>
          <w:p w14:paraId="2342C43A">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741338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废润滑油</w:t>
            </w:r>
          </w:p>
        </w:tc>
        <w:tc>
          <w:tcPr>
            <w:tcW w:w="1701" w:type="dxa"/>
            <w:vAlign w:val="center"/>
          </w:tcPr>
          <w:p w14:paraId="00E1045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14384FA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761E8934">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vAlign w:val="center"/>
          </w:tcPr>
          <w:p w14:paraId="25CABB71">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0.8</w:t>
            </w:r>
          </w:p>
        </w:tc>
        <w:tc>
          <w:tcPr>
            <w:tcW w:w="1458" w:type="dxa"/>
            <w:vAlign w:val="center"/>
          </w:tcPr>
          <w:p w14:paraId="5933AAC1">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w:t>
            </w:r>
          </w:p>
        </w:tc>
        <w:tc>
          <w:tcPr>
            <w:tcW w:w="1808" w:type="dxa"/>
            <w:shd w:val="clear" w:color="auto" w:fill="auto"/>
            <w:vAlign w:val="center"/>
          </w:tcPr>
          <w:p w14:paraId="07D9D2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0.8</w:t>
            </w:r>
          </w:p>
        </w:tc>
        <w:tc>
          <w:tcPr>
            <w:tcW w:w="1296" w:type="dxa"/>
            <w:shd w:val="clear" w:color="auto" w:fill="auto"/>
            <w:vAlign w:val="center"/>
          </w:tcPr>
          <w:p w14:paraId="517514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+0.8</w:t>
            </w:r>
          </w:p>
        </w:tc>
      </w:tr>
      <w:tr w14:paraId="750F3893">
        <w:trPr>
          <w:trHeight w:val="397" w:hRule="atLeast"/>
        </w:trPr>
        <w:tc>
          <w:tcPr>
            <w:tcW w:w="1162" w:type="dxa"/>
            <w:vMerge w:val="continue"/>
            <w:vAlign w:val="center"/>
          </w:tcPr>
          <w:p w14:paraId="2C911FE9">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741D14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废切削液</w:t>
            </w:r>
          </w:p>
        </w:tc>
        <w:tc>
          <w:tcPr>
            <w:tcW w:w="1701" w:type="dxa"/>
            <w:vAlign w:val="center"/>
          </w:tcPr>
          <w:p w14:paraId="608ACC4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3C4936D4">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51F776F">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vAlign w:val="center"/>
          </w:tcPr>
          <w:p w14:paraId="6822C0E6">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0.8</w:t>
            </w:r>
          </w:p>
        </w:tc>
        <w:tc>
          <w:tcPr>
            <w:tcW w:w="1458" w:type="dxa"/>
            <w:vAlign w:val="center"/>
          </w:tcPr>
          <w:p w14:paraId="74EB551D">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w:t>
            </w:r>
          </w:p>
        </w:tc>
        <w:tc>
          <w:tcPr>
            <w:tcW w:w="1808" w:type="dxa"/>
            <w:shd w:val="clear" w:color="auto" w:fill="auto"/>
            <w:vAlign w:val="center"/>
          </w:tcPr>
          <w:p w14:paraId="3D24D2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0.8</w:t>
            </w:r>
          </w:p>
        </w:tc>
        <w:tc>
          <w:tcPr>
            <w:tcW w:w="1296" w:type="dxa"/>
            <w:shd w:val="clear" w:color="auto" w:fill="auto"/>
            <w:vAlign w:val="center"/>
          </w:tcPr>
          <w:p w14:paraId="5573E32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+0.8</w:t>
            </w:r>
          </w:p>
        </w:tc>
      </w:tr>
      <w:tr w14:paraId="39CD3846">
        <w:trPr>
          <w:trHeight w:val="397" w:hRule="atLeast"/>
        </w:trPr>
        <w:tc>
          <w:tcPr>
            <w:tcW w:w="1162" w:type="dxa"/>
            <w:vMerge w:val="continue"/>
            <w:vAlign w:val="center"/>
          </w:tcPr>
          <w:p w14:paraId="7BB201FB">
            <w:pPr>
              <w:pStyle w:val="129"/>
              <w:keepNext w:val="0"/>
              <w:keepLines w:val="0"/>
              <w:suppressLineNumbers w:val="0"/>
              <w:spacing w:before="0" w:beforeAutospacing="0" w:after="0" w:afterAutospacing="0"/>
              <w:ind w:left="0" w:right="0"/>
              <w:rPr>
                <w:snapToGrid w:val="0"/>
                <w:color w:val="auto"/>
                <w:kern w:val="21"/>
                <w:highlight w:val="none"/>
              </w:rPr>
            </w:pPr>
          </w:p>
        </w:tc>
        <w:tc>
          <w:tcPr>
            <w:tcW w:w="1843" w:type="dxa"/>
            <w:shd w:val="clear" w:color="auto" w:fill="auto"/>
            <w:vAlign w:val="center"/>
          </w:tcPr>
          <w:p w14:paraId="1DCB5E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漆渣</w:t>
            </w:r>
          </w:p>
        </w:tc>
        <w:tc>
          <w:tcPr>
            <w:tcW w:w="1701" w:type="dxa"/>
            <w:vAlign w:val="center"/>
          </w:tcPr>
          <w:p w14:paraId="057A7FF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4C7091B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46C679B2">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vAlign w:val="center"/>
          </w:tcPr>
          <w:p w14:paraId="497E5181">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0.24</w:t>
            </w:r>
          </w:p>
        </w:tc>
        <w:tc>
          <w:tcPr>
            <w:tcW w:w="1458" w:type="dxa"/>
            <w:vAlign w:val="center"/>
          </w:tcPr>
          <w:p w14:paraId="2403A62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1808" w:type="dxa"/>
            <w:shd w:val="clear" w:color="auto" w:fill="auto"/>
            <w:vAlign w:val="center"/>
          </w:tcPr>
          <w:p w14:paraId="46CF84B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0.24</w:t>
            </w:r>
          </w:p>
        </w:tc>
        <w:tc>
          <w:tcPr>
            <w:tcW w:w="1296" w:type="dxa"/>
            <w:shd w:val="clear" w:color="auto" w:fill="auto"/>
            <w:vAlign w:val="center"/>
          </w:tcPr>
          <w:p w14:paraId="2985F37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+0.24</w:t>
            </w:r>
          </w:p>
        </w:tc>
      </w:tr>
      <w:tr w14:paraId="2EA28905">
        <w:trPr>
          <w:trHeight w:val="397" w:hRule="atLeast"/>
        </w:trPr>
        <w:tc>
          <w:tcPr>
            <w:tcW w:w="1162" w:type="dxa"/>
            <w:vMerge w:val="continue"/>
            <w:vAlign w:val="center"/>
          </w:tcPr>
          <w:p w14:paraId="18408381">
            <w:pPr>
              <w:pStyle w:val="129"/>
              <w:keepNext w:val="0"/>
              <w:keepLines w:val="0"/>
              <w:suppressLineNumbers w:val="0"/>
              <w:spacing w:before="0" w:beforeAutospacing="0" w:after="0" w:afterAutospacing="0"/>
              <w:ind w:left="0" w:right="0"/>
              <w:rPr>
                <w:snapToGrid w:val="0"/>
                <w:color w:val="auto"/>
                <w:kern w:val="21"/>
                <w:highlight w:val="none"/>
              </w:rPr>
            </w:pPr>
          </w:p>
        </w:tc>
        <w:tc>
          <w:tcPr>
            <w:tcW w:w="1843" w:type="dxa"/>
            <w:shd w:val="clear" w:color="auto" w:fill="auto"/>
            <w:vAlign w:val="center"/>
          </w:tcPr>
          <w:p w14:paraId="0956ECAC">
            <w:pPr>
              <w:keepNext w:val="0"/>
              <w:keepLines w:val="0"/>
              <w:suppressLineNumbers w:val="0"/>
              <w:adjustRightInd w:val="0"/>
              <w:snapToGrid w:val="0"/>
              <w:spacing w:before="0" w:beforeAutospacing="0" w:after="0" w:afterAutospacing="0"/>
              <w:ind w:left="0" w:leftChars="0" w:right="0" w:rightChars="0"/>
              <w:jc w:val="center"/>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浮渣、污泥</w:t>
            </w:r>
          </w:p>
        </w:tc>
        <w:tc>
          <w:tcPr>
            <w:tcW w:w="1701" w:type="dxa"/>
            <w:shd w:val="clear" w:color="auto" w:fill="auto"/>
            <w:vAlign w:val="center"/>
          </w:tcPr>
          <w:p w14:paraId="66BD2373">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59C0213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78CBA63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1525" w:type="dxa"/>
            <w:vAlign w:val="center"/>
          </w:tcPr>
          <w:p w14:paraId="2AADE23A">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1.19</w:t>
            </w:r>
          </w:p>
        </w:tc>
        <w:tc>
          <w:tcPr>
            <w:tcW w:w="1458" w:type="dxa"/>
            <w:vAlign w:val="center"/>
          </w:tcPr>
          <w:p w14:paraId="4A25F525">
            <w:pPr>
              <w:keepNext w:val="0"/>
              <w:keepLines w:val="0"/>
              <w:suppressLineNumbers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w:t>
            </w:r>
          </w:p>
        </w:tc>
        <w:tc>
          <w:tcPr>
            <w:tcW w:w="1808" w:type="dxa"/>
            <w:shd w:val="clear" w:color="auto" w:fill="auto"/>
            <w:vAlign w:val="center"/>
          </w:tcPr>
          <w:p w14:paraId="2CA574DC">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1.19</w:t>
            </w:r>
          </w:p>
        </w:tc>
        <w:tc>
          <w:tcPr>
            <w:tcW w:w="1296" w:type="dxa"/>
            <w:shd w:val="clear" w:color="auto" w:fill="auto"/>
            <w:vAlign w:val="center"/>
          </w:tcPr>
          <w:p w14:paraId="2F72981A">
            <w:pPr>
              <w:keepNext w:val="0"/>
              <w:keepLines w:val="0"/>
              <w:suppressLineNumbers w:val="0"/>
              <w:adjustRightInd w:val="0"/>
              <w:snapToGrid w:val="0"/>
              <w:spacing w:before="0" w:beforeAutospacing="0" w:after="0" w:afterAutospacing="0"/>
              <w:ind w:left="0" w:leftChars="0" w:right="0" w:rightChars="0"/>
              <w:jc w:val="center"/>
              <w:rPr>
                <w:rFonts w:hint="eastAsia"/>
                <w:bCs/>
                <w:color w:val="auto"/>
                <w:szCs w:val="21"/>
                <w:highlight w:val="none"/>
                <w:lang w:val="en-US" w:eastAsia="zh-CN"/>
              </w:rPr>
            </w:pPr>
            <w:r>
              <w:rPr>
                <w:rFonts w:hint="eastAsia"/>
                <w:bCs/>
                <w:color w:val="auto"/>
                <w:szCs w:val="21"/>
                <w:highlight w:val="none"/>
                <w:lang w:val="en-US" w:eastAsia="zh-CN"/>
              </w:rPr>
              <w:t>+1.19</w:t>
            </w:r>
          </w:p>
        </w:tc>
      </w:tr>
      <w:tr w14:paraId="4A127BF6">
        <w:trPr>
          <w:trHeight w:val="397" w:hRule="atLeast"/>
        </w:trPr>
        <w:tc>
          <w:tcPr>
            <w:tcW w:w="1162" w:type="dxa"/>
            <w:vMerge w:val="continue"/>
            <w:vAlign w:val="center"/>
          </w:tcPr>
          <w:p w14:paraId="23D7F7BF">
            <w:pPr>
              <w:pStyle w:val="129"/>
              <w:keepNext w:val="0"/>
              <w:keepLines w:val="0"/>
              <w:suppressLineNumbers w:val="0"/>
              <w:spacing w:before="0" w:beforeAutospacing="0" w:after="0" w:afterAutospacing="0"/>
              <w:ind w:left="0" w:right="0"/>
              <w:rPr>
                <w:snapToGrid w:val="0"/>
                <w:color w:val="auto"/>
                <w:kern w:val="21"/>
                <w:highlight w:val="none"/>
              </w:rPr>
            </w:pPr>
          </w:p>
        </w:tc>
        <w:tc>
          <w:tcPr>
            <w:tcW w:w="1843" w:type="dxa"/>
            <w:shd w:val="clear" w:color="auto" w:fill="auto"/>
            <w:vAlign w:val="center"/>
          </w:tcPr>
          <w:p w14:paraId="3935FB29">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盐雾试验废液</w:t>
            </w:r>
          </w:p>
        </w:tc>
        <w:tc>
          <w:tcPr>
            <w:tcW w:w="1701" w:type="dxa"/>
            <w:shd w:val="clear" w:color="auto" w:fill="auto"/>
            <w:vAlign w:val="center"/>
          </w:tcPr>
          <w:p w14:paraId="4FF470F7">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6768979C">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5179BC48">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1525" w:type="dxa"/>
            <w:vAlign w:val="center"/>
          </w:tcPr>
          <w:p w14:paraId="25DFA50B">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0.168</w:t>
            </w:r>
          </w:p>
        </w:tc>
        <w:tc>
          <w:tcPr>
            <w:tcW w:w="1458" w:type="dxa"/>
            <w:shd w:val="clear" w:color="auto" w:fill="auto"/>
            <w:vAlign w:val="center"/>
          </w:tcPr>
          <w:p w14:paraId="36F6B325">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w:t>
            </w:r>
          </w:p>
        </w:tc>
        <w:tc>
          <w:tcPr>
            <w:tcW w:w="1808" w:type="dxa"/>
            <w:shd w:val="clear" w:color="auto" w:fill="auto"/>
            <w:vAlign w:val="center"/>
          </w:tcPr>
          <w:p w14:paraId="267A493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0.168</w:t>
            </w:r>
          </w:p>
        </w:tc>
        <w:tc>
          <w:tcPr>
            <w:tcW w:w="1296" w:type="dxa"/>
            <w:shd w:val="clear" w:color="auto" w:fill="auto"/>
            <w:vAlign w:val="center"/>
          </w:tcPr>
          <w:p w14:paraId="5DCE0412">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+0.168</w:t>
            </w:r>
          </w:p>
        </w:tc>
      </w:tr>
      <w:tr w14:paraId="1C57037C">
        <w:trPr>
          <w:trHeight w:val="397" w:hRule="atLeast"/>
        </w:trPr>
        <w:tc>
          <w:tcPr>
            <w:tcW w:w="1162" w:type="dxa"/>
            <w:vMerge w:val="continue"/>
          </w:tcPr>
          <w:p w14:paraId="09D6C967">
            <w:pPr>
              <w:pStyle w:val="129"/>
              <w:keepNext w:val="0"/>
              <w:keepLines w:val="0"/>
              <w:suppressLineNumbers w:val="0"/>
              <w:spacing w:before="0" w:beforeAutospacing="0" w:after="0" w:afterAutospacing="0"/>
              <w:ind w:left="0" w:right="0"/>
              <w:rPr>
                <w:snapToGrid w:val="0"/>
                <w:color w:val="auto"/>
                <w:kern w:val="21"/>
                <w:highlight w:val="none"/>
              </w:rPr>
            </w:pPr>
          </w:p>
        </w:tc>
        <w:tc>
          <w:tcPr>
            <w:tcW w:w="0" w:type="auto"/>
            <w:shd w:val="clear" w:color="auto" w:fill="auto"/>
            <w:vAlign w:val="center"/>
          </w:tcPr>
          <w:p w14:paraId="17A2D36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水性漆废包装桶</w:t>
            </w:r>
          </w:p>
        </w:tc>
        <w:tc>
          <w:tcPr>
            <w:tcW w:w="0" w:type="auto"/>
            <w:shd w:val="clear" w:color="auto" w:fill="auto"/>
            <w:vAlign w:val="center"/>
          </w:tcPr>
          <w:p w14:paraId="1BB09E2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0" w:type="auto"/>
            <w:shd w:val="clear" w:color="auto" w:fill="auto"/>
            <w:vAlign w:val="center"/>
          </w:tcPr>
          <w:p w14:paraId="59C05499">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0" w:type="auto"/>
            <w:shd w:val="clear" w:color="auto" w:fill="auto"/>
            <w:vAlign w:val="center"/>
          </w:tcPr>
          <w:p w14:paraId="1A1E623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0" w:type="auto"/>
            <w:vAlign w:val="center"/>
          </w:tcPr>
          <w:p w14:paraId="60A34668">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val="en-US" w:eastAsia="zh-CN"/>
              </w:rPr>
            </w:pPr>
            <w:r>
              <w:rPr>
                <w:rFonts w:hint="eastAsia"/>
                <w:bCs/>
                <w:color w:val="auto"/>
                <w:szCs w:val="21"/>
                <w:highlight w:val="none"/>
                <w:lang w:val="en-US" w:eastAsia="zh-CN"/>
              </w:rPr>
              <w:t>1</w:t>
            </w:r>
          </w:p>
        </w:tc>
        <w:tc>
          <w:tcPr>
            <w:tcW w:w="0" w:type="auto"/>
            <w:shd w:val="clear" w:color="auto" w:fill="auto"/>
            <w:vAlign w:val="center"/>
          </w:tcPr>
          <w:p w14:paraId="632E373E">
            <w:pPr>
              <w:keepNext w:val="0"/>
              <w:keepLines w:val="0"/>
              <w:suppressLineNumbers w:val="0"/>
              <w:spacing w:before="0" w:beforeAutospacing="0" w:after="0" w:afterAutospacing="0"/>
              <w:ind w:left="0" w:leftChars="0" w:right="0" w:rightChars="0"/>
              <w:jc w:val="center"/>
              <w:rPr>
                <w:rFonts w:hint="eastAsia" w:eastAsiaTheme="minorEastAsia"/>
                <w:color w:val="auto"/>
                <w:sz w:val="20"/>
                <w:szCs w:val="20"/>
                <w:highlight w:val="none"/>
                <w:lang w:val="en-US" w:eastAsia="zh-CN"/>
              </w:rPr>
            </w:pPr>
            <w:r>
              <w:rPr>
                <w:rFonts w:hint="eastAsia"/>
                <w:color w:val="auto"/>
                <w:sz w:val="20"/>
                <w:szCs w:val="20"/>
                <w:highlight w:val="none"/>
                <w:lang w:val="en-US" w:eastAsia="zh-CN"/>
              </w:rPr>
              <w:t>/</w:t>
            </w:r>
          </w:p>
        </w:tc>
        <w:tc>
          <w:tcPr>
            <w:tcW w:w="0" w:type="auto"/>
            <w:shd w:val="clear" w:color="auto" w:fill="auto"/>
            <w:vAlign w:val="center"/>
          </w:tcPr>
          <w:p w14:paraId="778DED6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w:t>
            </w:r>
          </w:p>
        </w:tc>
        <w:tc>
          <w:tcPr>
            <w:tcW w:w="0" w:type="auto"/>
            <w:shd w:val="clear" w:color="auto" w:fill="auto"/>
            <w:vAlign w:val="center"/>
          </w:tcPr>
          <w:p w14:paraId="29D15C2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w:t>
            </w:r>
          </w:p>
        </w:tc>
      </w:tr>
      <w:tr w14:paraId="74AD8C17">
        <w:trPr>
          <w:trHeight w:val="397" w:hRule="atLeast"/>
        </w:trPr>
        <w:tc>
          <w:tcPr>
            <w:tcW w:w="1162" w:type="dxa"/>
            <w:vMerge w:val="continue"/>
          </w:tcPr>
          <w:p w14:paraId="33D2D9B1">
            <w:pPr>
              <w:pStyle w:val="129"/>
              <w:keepNext w:val="0"/>
              <w:keepLines w:val="0"/>
              <w:suppressLineNumbers w:val="0"/>
              <w:spacing w:before="0" w:beforeAutospacing="0" w:after="0" w:afterAutospacing="0"/>
              <w:ind w:left="0" w:right="0"/>
              <w:rPr>
                <w:snapToGrid w:val="0"/>
                <w:color w:val="auto"/>
                <w:kern w:val="21"/>
                <w:highlight w:val="none"/>
              </w:rPr>
            </w:pPr>
          </w:p>
        </w:tc>
        <w:tc>
          <w:tcPr>
            <w:tcW w:w="0" w:type="auto"/>
            <w:shd w:val="clear" w:color="auto" w:fill="auto"/>
            <w:vAlign w:val="center"/>
          </w:tcPr>
          <w:p w14:paraId="07F39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润滑油等油类废包装桶</w:t>
            </w:r>
          </w:p>
        </w:tc>
        <w:tc>
          <w:tcPr>
            <w:tcW w:w="0" w:type="auto"/>
            <w:shd w:val="clear" w:color="auto" w:fill="auto"/>
            <w:vAlign w:val="center"/>
          </w:tcPr>
          <w:p w14:paraId="11012BD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0" w:type="auto"/>
            <w:shd w:val="clear" w:color="auto" w:fill="auto"/>
            <w:vAlign w:val="center"/>
          </w:tcPr>
          <w:p w14:paraId="2F1C5C9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0" w:type="auto"/>
            <w:shd w:val="clear" w:color="auto" w:fill="auto"/>
            <w:vAlign w:val="center"/>
          </w:tcPr>
          <w:p w14:paraId="42779B9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0" w:type="auto"/>
            <w:vAlign w:val="center"/>
          </w:tcPr>
          <w:p w14:paraId="48C4D7A1">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0.05</w:t>
            </w:r>
          </w:p>
        </w:tc>
        <w:tc>
          <w:tcPr>
            <w:tcW w:w="0" w:type="auto"/>
            <w:shd w:val="clear" w:color="auto" w:fill="auto"/>
            <w:vAlign w:val="center"/>
          </w:tcPr>
          <w:p w14:paraId="38B4DEFE">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0" w:type="auto"/>
            <w:shd w:val="clear" w:color="auto" w:fill="auto"/>
            <w:vAlign w:val="center"/>
          </w:tcPr>
          <w:p w14:paraId="4AA45E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0.05</w:t>
            </w:r>
          </w:p>
        </w:tc>
        <w:tc>
          <w:tcPr>
            <w:tcW w:w="0" w:type="auto"/>
            <w:shd w:val="clear" w:color="auto" w:fill="auto"/>
            <w:vAlign w:val="center"/>
          </w:tcPr>
          <w:p w14:paraId="77C3ED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+0.05</w:t>
            </w:r>
          </w:p>
        </w:tc>
      </w:tr>
    </w:tbl>
    <w:p w14:paraId="76D5B8E8">
      <w:pPr>
        <w:pStyle w:val="129"/>
        <w:rPr>
          <w:color w:val="auto"/>
          <w:highlight w:val="none"/>
        </w:rPr>
      </w:pPr>
      <w:r>
        <w:rPr>
          <w:rFonts w:hAnsi="宋体"/>
          <w:snapToGrid w:val="0"/>
          <w:color w:val="auto"/>
          <w:kern w:val="21"/>
          <w:highlight w:val="none"/>
        </w:rPr>
        <w:t>注：</w:t>
      </w:r>
      <w:r>
        <w:rPr>
          <w:snapToGrid w:val="0"/>
          <w:color w:val="auto"/>
          <w:kern w:val="21"/>
          <w:highlight w:val="none"/>
        </w:rPr>
        <w:fldChar w:fldCharType="begin"/>
      </w:r>
      <w:r>
        <w:rPr>
          <w:snapToGrid w:val="0"/>
          <w:color w:val="auto"/>
          <w:kern w:val="21"/>
          <w:highlight w:val="none"/>
        </w:rPr>
        <w:instrText xml:space="preserve"> = 6 \* GB3 \* MERGEFORMAT </w:instrText>
      </w:r>
      <w:r>
        <w:rPr>
          <w:snapToGrid w:val="0"/>
          <w:color w:val="auto"/>
          <w:kern w:val="21"/>
          <w:highlight w:val="none"/>
        </w:rPr>
        <w:fldChar w:fldCharType="separate"/>
      </w:r>
      <w:r>
        <w:rPr>
          <w:rFonts w:hAnsi="宋体"/>
          <w:color w:val="auto"/>
          <w:highlight w:val="none"/>
        </w:rPr>
        <w:t>⑥</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1 \* GB3 \* MERGEFORMAT </w:instrText>
      </w:r>
      <w:r>
        <w:rPr>
          <w:snapToGrid w:val="0"/>
          <w:color w:val="auto"/>
          <w:kern w:val="21"/>
          <w:highlight w:val="none"/>
        </w:rPr>
        <w:fldChar w:fldCharType="separate"/>
      </w:r>
      <w:r>
        <w:rPr>
          <w:rFonts w:hAnsi="宋体"/>
          <w:color w:val="auto"/>
          <w:highlight w:val="none"/>
        </w:rPr>
        <w:t>①</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3 \* GB3 \* MERGEFORMAT </w:instrText>
      </w:r>
      <w:r>
        <w:rPr>
          <w:snapToGrid w:val="0"/>
          <w:color w:val="auto"/>
          <w:kern w:val="21"/>
          <w:highlight w:val="none"/>
        </w:rPr>
        <w:fldChar w:fldCharType="separate"/>
      </w:r>
      <w:r>
        <w:rPr>
          <w:rFonts w:hAnsi="宋体"/>
          <w:color w:val="auto"/>
          <w:highlight w:val="none"/>
        </w:rPr>
        <w:t>③</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4 \* GB3 \* MERGEFORMAT </w:instrText>
      </w:r>
      <w:r>
        <w:rPr>
          <w:snapToGrid w:val="0"/>
          <w:color w:val="auto"/>
          <w:kern w:val="21"/>
          <w:highlight w:val="none"/>
        </w:rPr>
        <w:fldChar w:fldCharType="separate"/>
      </w:r>
      <w:r>
        <w:rPr>
          <w:rFonts w:hAnsi="宋体"/>
          <w:color w:val="auto"/>
          <w:highlight w:val="none"/>
        </w:rPr>
        <w:t>④</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5 \* GB3 \* MERGEFORMAT </w:instrText>
      </w:r>
      <w:r>
        <w:rPr>
          <w:snapToGrid w:val="0"/>
          <w:color w:val="auto"/>
          <w:kern w:val="21"/>
          <w:highlight w:val="none"/>
        </w:rPr>
        <w:fldChar w:fldCharType="separate"/>
      </w:r>
      <w:r>
        <w:rPr>
          <w:rFonts w:hAnsi="宋体"/>
          <w:color w:val="auto"/>
          <w:highlight w:val="none"/>
        </w:rPr>
        <w:t>⑤</w:t>
      </w:r>
      <w:r>
        <w:rPr>
          <w:snapToGrid w:val="0"/>
          <w:color w:val="auto"/>
          <w:kern w:val="21"/>
          <w:highlight w:val="none"/>
        </w:rPr>
        <w:fldChar w:fldCharType="end"/>
      </w:r>
      <w:r>
        <w:rPr>
          <w:rFonts w:hAnsi="宋体"/>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7 \* GB3 \* MERGEFORMAT </w:instrText>
      </w:r>
      <w:r>
        <w:rPr>
          <w:snapToGrid w:val="0"/>
          <w:color w:val="auto"/>
          <w:kern w:val="21"/>
          <w:highlight w:val="none"/>
        </w:rPr>
        <w:fldChar w:fldCharType="separate"/>
      </w:r>
      <w:r>
        <w:rPr>
          <w:rFonts w:hAnsi="宋体"/>
          <w:color w:val="auto"/>
          <w:highlight w:val="none"/>
        </w:rPr>
        <w:t>⑦</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6 \* GB3 \* MERGEFORMAT </w:instrText>
      </w:r>
      <w:r>
        <w:rPr>
          <w:snapToGrid w:val="0"/>
          <w:color w:val="auto"/>
          <w:kern w:val="21"/>
          <w:highlight w:val="none"/>
        </w:rPr>
        <w:fldChar w:fldCharType="separate"/>
      </w:r>
      <w:r>
        <w:rPr>
          <w:rFonts w:hAnsi="宋体"/>
          <w:color w:val="auto"/>
          <w:highlight w:val="none"/>
        </w:rPr>
        <w:t>⑥</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1 \* GB3 \* MERGEFORMAT </w:instrText>
      </w:r>
      <w:r>
        <w:rPr>
          <w:snapToGrid w:val="0"/>
          <w:color w:val="auto"/>
          <w:kern w:val="21"/>
          <w:highlight w:val="none"/>
        </w:rPr>
        <w:fldChar w:fldCharType="separate"/>
      </w:r>
      <w:r>
        <w:rPr>
          <w:rFonts w:hAnsi="宋体"/>
          <w:color w:val="auto"/>
          <w:highlight w:val="none"/>
        </w:rPr>
        <w:t>①</w:t>
      </w:r>
      <w:r>
        <w:rPr>
          <w:snapToGrid w:val="0"/>
          <w:color w:val="auto"/>
          <w:kern w:val="21"/>
          <w:highlight w:val="none"/>
        </w:rPr>
        <w:fldChar w:fldCharType="end"/>
      </w:r>
      <w:r>
        <w:rPr>
          <w:rFonts w:hint="eastAsia"/>
          <w:snapToGrid w:val="0"/>
          <w:color w:val="auto"/>
          <w:kern w:val="21"/>
          <w:highlight w:val="none"/>
        </w:rPr>
        <w:t xml:space="preserve">  </w:t>
      </w:r>
      <w:r>
        <w:rPr>
          <w:rFonts w:hAnsi="宋体"/>
          <w:snapToGrid w:val="0"/>
          <w:color w:val="auto"/>
          <w:kern w:val="21"/>
          <w:highlight w:val="none"/>
        </w:rPr>
        <w:t>单位：</w:t>
      </w:r>
      <w:r>
        <w:rPr>
          <w:snapToGrid w:val="0"/>
          <w:color w:val="auto"/>
          <w:kern w:val="21"/>
          <w:highlight w:val="none"/>
        </w:rPr>
        <w:t>t/a</w:t>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1)">
    <w:altName w:val="Times New Roman"/>
    <w:panose1 w:val="00000000000000000000"/>
    <w:charset w:val="00"/>
    <w:family w:val="roman"/>
    <w:pitch w:val="default"/>
    <w:sig w:usb0="00000000" w:usb1="00000000" w:usb2="00000000" w:usb3="00000000" w:csb0="00000001" w:csb1="00000000"/>
  </w:font>
  <w:font w:name="TimesNewRoman">
    <w:altName w:val="宋体"/>
    <w:panose1 w:val="00000000000000000000"/>
    <w:charset w:val="86"/>
    <w:family w:val="auto"/>
    <w:pitch w:val="default"/>
    <w:sig w:usb0="00000000" w:usb1="00000000" w:usb2="00000010" w:usb3="00000000" w:csb0="00060001" w:csb1="00000000"/>
  </w:font>
  <w:font w:name="Angsana New">
    <w:altName w:val="Microsoft Sans Serif"/>
    <w:panose1 w:val="02020603050405020304"/>
    <w:charset w:val="DE"/>
    <w:family w:val="roman"/>
    <w:pitch w:val="default"/>
    <w:sig w:usb0="00000000" w:usb1="00000000" w:usb2="00000000" w:usb3="00000000" w:csb0="00010001" w:csb1="00000000"/>
  </w:font>
  <w:font w:name="KaiTi_GB2312">
    <w:altName w:val="楷体"/>
    <w:panose1 w:val="02010609060101010101"/>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Romantic">
    <w:altName w:val="Segoe Print"/>
    <w:panose1 w:val="00000400000000000000"/>
    <w:charset w:val="02"/>
    <w:family w:val="auto"/>
    <w:pitch w:val="default"/>
    <w:sig w:usb0="00000000" w:usb1="00000000" w:usb2="00000000" w:usb3="00000000" w:csb0="00000000" w:csb1="00000000"/>
  </w:font>
  <w:font w:name="Alaska">
    <w:altName w:val="Lucida Sans Unicode"/>
    <w:panose1 w:val="00000000000000000000"/>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PMingLiU">
    <w:altName w:val="PMingLiU-ExtB"/>
    <w:panose1 w:val="02020500000000000000"/>
    <w:charset w:val="88"/>
    <w:family w:val="auto"/>
    <w:pitch w:val="default"/>
    <w:sig w:usb0="00000000" w:usb1="00000000" w:usb2="00000016" w:usb3="00000000" w:csb0="00100001" w:csb1="00000000"/>
  </w:font>
  <w:font w:name="华文新魏">
    <w:altName w:val="宋体"/>
    <w:panose1 w:val="02010800040101010101"/>
    <w:charset w:val="86"/>
    <w:family w:val="auto"/>
    <w:pitch w:val="default"/>
    <w:sig w:usb0="00000000" w:usb1="00000000" w:usb2="00000000" w:usb3="00000000" w:csb0="00040000" w:csb1="00000000"/>
  </w:font>
  <w:font w:name="Li Super">
    <w:altName w:val="黑体"/>
    <w:panose1 w:val="00000000000000000000"/>
    <w:charset w:val="86"/>
    <w:family w:val="auto"/>
    <w:pitch w:val="default"/>
    <w:sig w:usb0="00000000" w:usb1="00000000" w:usb2="00000010" w:usb3="00000000" w:csb0="00040000" w:csb1="00000000"/>
  </w:font>
  <w:font w:name="Garamond">
    <w:altName w:val="仓耳渔阳体 W05"/>
    <w:panose1 w:val="02020404030301010803"/>
    <w:charset w:val="00"/>
    <w:family w:val="roman"/>
    <w:pitch w:val="default"/>
    <w:sig w:usb0="00000000" w:usb1="00000000" w:usb2="00000000" w:usb3="00000000" w:csb0="0000009F" w:csb1="DFD70000"/>
  </w:font>
  <w:font w:name="Arial Narrow">
    <w:altName w:val="Arial"/>
    <w:panose1 w:val="020B0606020202030204"/>
    <w:charset w:val="00"/>
    <w:family w:val="swiss"/>
    <w:pitch w:val="default"/>
    <w:sig w:usb0="00000000" w:usb1="00000000" w:usb2="00000000" w:usb3="00000000" w:csb0="2000009F" w:csb1="DFD70000"/>
  </w:font>
  <w:font w:name="Bookman Old Style">
    <w:altName w:val="Segoe Print"/>
    <w:panose1 w:val="020506040505050202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Century">
    <w:altName w:val="Times New Roman"/>
    <w:panose1 w:val="02040604050505020304"/>
    <w:charset w:val="00"/>
    <w:family w:val="roman"/>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0" w:usb3="00000000" w:csb0="0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仓耳渔阳体 W05">
    <w:panose1 w:val="02020400000000000000"/>
    <w:charset w:val="80"/>
    <w:family w:val="auto"/>
    <w:pitch w:val="default"/>
    <w:sig w:usb0="80000023" w:usb1="08C10458" w:usb2="00000012" w:usb3="00000000" w:csb0="0002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B140B">
    <w:pPr>
      <w:pStyle w:val="5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4767">
    <w:pPr>
      <w:pStyle w:val="55"/>
      <w:framePr w:wrap="around" w:vAnchor="text" w:hAnchor="margin" w:xAlign="center" w:y="1"/>
      <w:rPr>
        <w:rStyle w:val="92"/>
      </w:rPr>
    </w:pPr>
    <w:r>
      <w:fldChar w:fldCharType="begin"/>
    </w:r>
    <w:r>
      <w:rPr>
        <w:rStyle w:val="92"/>
      </w:rPr>
      <w:instrText xml:space="preserve">PAGE  </w:instrText>
    </w:r>
    <w:r>
      <w:fldChar w:fldCharType="end"/>
    </w:r>
  </w:p>
  <w:p w14:paraId="27C64133">
    <w:pPr>
      <w:pStyle w:val="5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6885">
    <w:pPr>
      <w:pStyle w:val="5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B763A">
    <w:pPr>
      <w:pStyle w:val="5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CE13A">
    <w:pPr>
      <w:pStyle w:val="5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B25C78">
                          <w:pPr>
                            <w:pStyle w:val="55"/>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14B25C78">
                    <w:pPr>
                      <w:pStyle w:val="55"/>
                    </w:pPr>
                    <w:r>
                      <w:fldChar w:fldCharType="begin"/>
                    </w:r>
                    <w:r>
                      <w:instrText xml:space="preserve"> PAGE  \* MERGEFORMAT </w:instrText>
                    </w:r>
                    <w:r>
                      <w:fldChar w:fldCharType="separate"/>
                    </w:r>
                    <w:r>
                      <w:t>95</w:t>
                    </w:r>
                    <w:r>
                      <w:fldChar w:fldCharType="end"/>
                    </w:r>
                  </w:p>
                </w:txbxContent>
              </v:textbox>
            </v:shape>
          </w:pict>
        </mc:Fallback>
      </mc:AlternateContent>
    </w:r>
  </w:p>
  <w:p w14:paraId="79433F6F">
    <w:pPr>
      <w:pStyle w:val="5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96ACC">
    <w:pPr>
      <w:pStyle w:val="5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F16CDD0">
                          <w:pPr>
                            <w:pStyle w:val="55"/>
                            <w:rPr>
                              <w:rStyle w:val="92"/>
                              <w:rFonts w:ascii="宋体" w:hAnsi="宋体"/>
                              <w:sz w:val="28"/>
                              <w:szCs w:val="28"/>
                            </w:rPr>
                          </w:pPr>
                          <w:r>
                            <w:rPr>
                              <w:rStyle w:val="92"/>
                              <w:rFonts w:hint="eastAsia" w:ascii="宋体" w:hAnsi="宋体"/>
                              <w:sz w:val="28"/>
                              <w:szCs w:val="28"/>
                            </w:rPr>
                            <w:t>—</w:t>
                          </w:r>
                          <w:r>
                            <w:rPr>
                              <w:rStyle w:val="92"/>
                              <w:rFonts w:ascii="宋体" w:hAnsi="宋体"/>
                              <w:sz w:val="26"/>
                              <w:szCs w:val="26"/>
                            </w:rPr>
                            <w:fldChar w:fldCharType="begin"/>
                          </w:r>
                          <w:r>
                            <w:rPr>
                              <w:rStyle w:val="92"/>
                              <w:rFonts w:ascii="宋体" w:hAnsi="宋体"/>
                              <w:sz w:val="26"/>
                              <w:szCs w:val="26"/>
                            </w:rPr>
                            <w:instrText xml:space="preserve">PAGE  </w:instrText>
                          </w:r>
                          <w:r>
                            <w:rPr>
                              <w:rStyle w:val="92"/>
                              <w:rFonts w:ascii="宋体" w:hAnsi="宋体"/>
                              <w:sz w:val="26"/>
                              <w:szCs w:val="26"/>
                            </w:rPr>
                            <w:fldChar w:fldCharType="separate"/>
                          </w:r>
                          <w:r>
                            <w:rPr>
                              <w:rStyle w:val="92"/>
                              <w:rFonts w:ascii="宋体" w:hAnsi="宋体"/>
                              <w:sz w:val="26"/>
                              <w:szCs w:val="26"/>
                            </w:rPr>
                            <w:t>100</w:t>
                          </w:r>
                          <w:r>
                            <w:rPr>
                              <w:rStyle w:val="92"/>
                              <w:rFonts w:ascii="宋体" w:hAnsi="宋体"/>
                              <w:sz w:val="26"/>
                              <w:szCs w:val="26"/>
                            </w:rPr>
                            <w:fldChar w:fldCharType="end"/>
                          </w:r>
                          <w:r>
                            <w:rPr>
                              <w:rStyle w:val="92"/>
                              <w:rFonts w:hint="eastAsia" w:ascii="宋体" w:hAnsi="宋体"/>
                              <w:sz w:val="28"/>
                              <w:szCs w:val="28"/>
                            </w:rPr>
                            <w:t>—</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0tsHM8BAACq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5ar&#10;N0mh3mNFhQ+eSuNw5wbamzmOFEzEhzaY9CVKjPKk7/mqLwyRyXRpvVqvS0pJys0O4ReP133A+Bac&#10;YcmoeaABZl3F6T3GsXQuSa9Zd6+0zkPU9q8AYY4RyFsw3U5Mxo6TFYf9MNHbu+ZM7HrahJpbWnzO&#10;9DtLQqelmY0wG/vZOPqgDh01usxdor89Rmopd5peGGGJYXJohJnrtG5pR/70c9XjL7b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zS2wczwEAAKoDAAAOAAAAAAAAAAEAIAAAAB4BAABkcnMv&#10;ZTJvRG9jLnhtbFBLBQYAAAAABgAGAFkBAABfBQAAAAA=&#10;">
              <v:fill on="f" focussize="0,0"/>
              <v:stroke on="f"/>
              <v:imagedata o:title=""/>
              <o:lock v:ext="edit" aspectratio="f"/>
              <v:textbox inset="0mm,0mm,0mm,0mm" style="mso-fit-shape-to-text:t;">
                <w:txbxContent>
                  <w:p w14:paraId="3F16CDD0">
                    <w:pPr>
                      <w:pStyle w:val="55"/>
                      <w:rPr>
                        <w:rStyle w:val="92"/>
                        <w:rFonts w:ascii="宋体" w:hAnsi="宋体"/>
                        <w:sz w:val="28"/>
                        <w:szCs w:val="28"/>
                      </w:rPr>
                    </w:pPr>
                    <w:r>
                      <w:rPr>
                        <w:rStyle w:val="92"/>
                        <w:rFonts w:hint="eastAsia" w:ascii="宋体" w:hAnsi="宋体"/>
                        <w:sz w:val="28"/>
                        <w:szCs w:val="28"/>
                      </w:rPr>
                      <w:t>—</w:t>
                    </w:r>
                    <w:r>
                      <w:rPr>
                        <w:rStyle w:val="92"/>
                        <w:rFonts w:ascii="宋体" w:hAnsi="宋体"/>
                        <w:sz w:val="26"/>
                        <w:szCs w:val="26"/>
                      </w:rPr>
                      <w:fldChar w:fldCharType="begin"/>
                    </w:r>
                    <w:r>
                      <w:rPr>
                        <w:rStyle w:val="92"/>
                        <w:rFonts w:ascii="宋体" w:hAnsi="宋体"/>
                        <w:sz w:val="26"/>
                        <w:szCs w:val="26"/>
                      </w:rPr>
                      <w:instrText xml:space="preserve">PAGE  </w:instrText>
                    </w:r>
                    <w:r>
                      <w:rPr>
                        <w:rStyle w:val="92"/>
                        <w:rFonts w:ascii="宋体" w:hAnsi="宋体"/>
                        <w:sz w:val="26"/>
                        <w:szCs w:val="26"/>
                      </w:rPr>
                      <w:fldChar w:fldCharType="separate"/>
                    </w:r>
                    <w:r>
                      <w:rPr>
                        <w:rStyle w:val="92"/>
                        <w:rFonts w:ascii="宋体" w:hAnsi="宋体"/>
                        <w:sz w:val="26"/>
                        <w:szCs w:val="26"/>
                      </w:rPr>
                      <w:t>100</w:t>
                    </w:r>
                    <w:r>
                      <w:rPr>
                        <w:rStyle w:val="92"/>
                        <w:rFonts w:ascii="宋体" w:hAnsi="宋体"/>
                        <w:sz w:val="26"/>
                        <w:szCs w:val="26"/>
                      </w:rPr>
                      <w:fldChar w:fldCharType="end"/>
                    </w:r>
                    <w:r>
                      <w:rPr>
                        <w:rStyle w:val="92"/>
                        <w:rFonts w:hint="eastAsia" w:ascii="宋体" w:hAnsi="宋体"/>
                        <w:sz w:val="28"/>
                        <w:szCs w:val="28"/>
                      </w:rPr>
                      <w:t>—</w:t>
                    </w:r>
                  </w:p>
                </w:txbxContent>
              </v:textbox>
            </v:shape>
          </w:pict>
        </mc:Fallback>
      </mc:AlternateContent>
    </w:r>
  </w:p>
  <w:p w14:paraId="3C02DE8E"/>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pStyle w:val="3"/>
      <w:lvlText w:val="%1"/>
      <w:lvlJc w:val="left"/>
      <w:pPr>
        <w:tabs>
          <w:tab w:val="left" w:pos="1276"/>
        </w:tabs>
        <w:ind w:left="1276" w:hanging="425"/>
      </w:pPr>
    </w:lvl>
    <w:lvl w:ilvl="1" w:tentative="0">
      <w:start w:val="1"/>
      <w:numFmt w:val="decimal"/>
      <w:lvlText w:val="%1.%2"/>
      <w:lvlJc w:val="left"/>
      <w:pPr>
        <w:tabs>
          <w:tab w:val="left" w:pos="1003"/>
        </w:tabs>
        <w:ind w:left="1003" w:hanging="567"/>
      </w:pPr>
      <w:rPr>
        <w:rFonts w:ascii="华文仿宋" w:hAnsi="华文仿宋" w:eastAsia="华文仿宋"/>
      </w:rPr>
    </w:lvl>
    <w:lvl w:ilvl="2" w:tentative="0">
      <w:start w:val="1"/>
      <w:numFmt w:val="decimal"/>
      <w:lvlText w:val="%1.%2.%3"/>
      <w:lvlJc w:val="left"/>
      <w:pPr>
        <w:tabs>
          <w:tab w:val="left" w:pos="2176"/>
        </w:tabs>
        <w:ind w:left="2023" w:hanging="567"/>
      </w:pPr>
    </w:lvl>
    <w:lvl w:ilvl="3" w:tentative="0">
      <w:start w:val="1"/>
      <w:numFmt w:val="decimal"/>
      <w:lvlText w:val="%1.%2.%3.%4"/>
      <w:lvlJc w:val="left"/>
      <w:pPr>
        <w:tabs>
          <w:tab w:val="left" w:pos="1742"/>
        </w:tabs>
        <w:ind w:left="1370" w:hanging="708"/>
      </w:pPr>
    </w:lvl>
    <w:lvl w:ilvl="4" w:tentative="0">
      <w:start w:val="1"/>
      <w:numFmt w:val="decimal"/>
      <w:lvlText w:val="%1.%2.%3.%4.%5"/>
      <w:lvlJc w:val="left"/>
      <w:pPr>
        <w:tabs>
          <w:tab w:val="left" w:pos="3632"/>
        </w:tabs>
        <w:ind w:left="3402" w:hanging="850"/>
      </w:pPr>
    </w:lvl>
    <w:lvl w:ilvl="5" w:tentative="0">
      <w:start w:val="1"/>
      <w:numFmt w:val="decimal"/>
      <w:lvlText w:val="%1.%2.%3.%4.%5.%6"/>
      <w:lvlJc w:val="left"/>
      <w:pPr>
        <w:tabs>
          <w:tab w:val="left" w:pos="4417"/>
        </w:tabs>
        <w:ind w:left="4111" w:hanging="1134"/>
      </w:pPr>
    </w:lvl>
    <w:lvl w:ilvl="6" w:tentative="0">
      <w:start w:val="1"/>
      <w:numFmt w:val="decimal"/>
      <w:lvlText w:val="%1.%2.%3.%4.%5.%6.%7"/>
      <w:lvlJc w:val="left"/>
      <w:pPr>
        <w:tabs>
          <w:tab w:val="left" w:pos="5202"/>
        </w:tabs>
        <w:ind w:left="4678" w:hanging="1276"/>
      </w:pPr>
    </w:lvl>
    <w:lvl w:ilvl="7" w:tentative="0">
      <w:start w:val="1"/>
      <w:numFmt w:val="decimal"/>
      <w:lvlText w:val="%1.%2.%3.%4.%5.%6.%7.%8"/>
      <w:lvlJc w:val="left"/>
      <w:pPr>
        <w:tabs>
          <w:tab w:val="left" w:pos="5627"/>
        </w:tabs>
        <w:ind w:left="5245" w:hanging="1418"/>
      </w:pPr>
    </w:lvl>
    <w:lvl w:ilvl="8" w:tentative="0">
      <w:start w:val="1"/>
      <w:numFmt w:val="decimal"/>
      <w:lvlText w:val="%1.%2.%3.%4.%5.%6.%7.%8.%9"/>
      <w:lvlJc w:val="left"/>
      <w:pPr>
        <w:tabs>
          <w:tab w:val="left" w:pos="6413"/>
        </w:tabs>
        <w:ind w:left="5953" w:hanging="1700"/>
      </w:pPr>
    </w:lvl>
  </w:abstractNum>
  <w:abstractNum w:abstractNumId="1">
    <w:nsid w:val="5D856340"/>
    <w:multiLevelType w:val="singleLevel"/>
    <w:tmpl w:val="5D85634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658889bb-7f68-4ac8-b139-86be76ed4a6e"/>
  </w:docVars>
  <w:rsids>
    <w:rsidRoot w:val="00172A27"/>
    <w:rsid w:val="0000002A"/>
    <w:rsid w:val="00000F6A"/>
    <w:rsid w:val="00001F81"/>
    <w:rsid w:val="00003592"/>
    <w:rsid w:val="00003882"/>
    <w:rsid w:val="000043EF"/>
    <w:rsid w:val="00004763"/>
    <w:rsid w:val="000048AA"/>
    <w:rsid w:val="00004C5A"/>
    <w:rsid w:val="00004F40"/>
    <w:rsid w:val="00005402"/>
    <w:rsid w:val="000058F6"/>
    <w:rsid w:val="00006EC6"/>
    <w:rsid w:val="000070EE"/>
    <w:rsid w:val="000079F7"/>
    <w:rsid w:val="00007FCB"/>
    <w:rsid w:val="00010028"/>
    <w:rsid w:val="000100E6"/>
    <w:rsid w:val="000102DF"/>
    <w:rsid w:val="000102E1"/>
    <w:rsid w:val="00011253"/>
    <w:rsid w:val="00011B76"/>
    <w:rsid w:val="00011D07"/>
    <w:rsid w:val="00011D48"/>
    <w:rsid w:val="00012B2E"/>
    <w:rsid w:val="00012C03"/>
    <w:rsid w:val="00013654"/>
    <w:rsid w:val="0001382C"/>
    <w:rsid w:val="000138EC"/>
    <w:rsid w:val="00013900"/>
    <w:rsid w:val="000142AB"/>
    <w:rsid w:val="00014CE0"/>
    <w:rsid w:val="000155E1"/>
    <w:rsid w:val="0001652F"/>
    <w:rsid w:val="00020218"/>
    <w:rsid w:val="00020368"/>
    <w:rsid w:val="00021116"/>
    <w:rsid w:val="00021B13"/>
    <w:rsid w:val="000224F1"/>
    <w:rsid w:val="000225C5"/>
    <w:rsid w:val="00022F38"/>
    <w:rsid w:val="0002308E"/>
    <w:rsid w:val="00023235"/>
    <w:rsid w:val="00023674"/>
    <w:rsid w:val="00023AA2"/>
    <w:rsid w:val="0002425C"/>
    <w:rsid w:val="0002472D"/>
    <w:rsid w:val="00024739"/>
    <w:rsid w:val="00024863"/>
    <w:rsid w:val="00024E9B"/>
    <w:rsid w:val="000251C0"/>
    <w:rsid w:val="0002533B"/>
    <w:rsid w:val="00025508"/>
    <w:rsid w:val="000260A7"/>
    <w:rsid w:val="0002659F"/>
    <w:rsid w:val="00026704"/>
    <w:rsid w:val="0002692A"/>
    <w:rsid w:val="00026E83"/>
    <w:rsid w:val="00026ED9"/>
    <w:rsid w:val="00027205"/>
    <w:rsid w:val="00027951"/>
    <w:rsid w:val="00027A65"/>
    <w:rsid w:val="00027AA0"/>
    <w:rsid w:val="00030808"/>
    <w:rsid w:val="000308FC"/>
    <w:rsid w:val="00030B12"/>
    <w:rsid w:val="00030D07"/>
    <w:rsid w:val="00030D0A"/>
    <w:rsid w:val="00032E15"/>
    <w:rsid w:val="0003300D"/>
    <w:rsid w:val="0003363A"/>
    <w:rsid w:val="000340C6"/>
    <w:rsid w:val="000344C6"/>
    <w:rsid w:val="00034AF4"/>
    <w:rsid w:val="00034F9B"/>
    <w:rsid w:val="00035B67"/>
    <w:rsid w:val="00035DE8"/>
    <w:rsid w:val="00036330"/>
    <w:rsid w:val="000367DE"/>
    <w:rsid w:val="0003683D"/>
    <w:rsid w:val="00036B08"/>
    <w:rsid w:val="00036F74"/>
    <w:rsid w:val="00037042"/>
    <w:rsid w:val="00037AC2"/>
    <w:rsid w:val="00037DF0"/>
    <w:rsid w:val="000401B4"/>
    <w:rsid w:val="00040925"/>
    <w:rsid w:val="00041715"/>
    <w:rsid w:val="00041843"/>
    <w:rsid w:val="00041A53"/>
    <w:rsid w:val="0004210F"/>
    <w:rsid w:val="00042163"/>
    <w:rsid w:val="0004271A"/>
    <w:rsid w:val="00042BD7"/>
    <w:rsid w:val="00042D49"/>
    <w:rsid w:val="00042FD9"/>
    <w:rsid w:val="000431F1"/>
    <w:rsid w:val="00043504"/>
    <w:rsid w:val="00043867"/>
    <w:rsid w:val="00044D0E"/>
    <w:rsid w:val="00045012"/>
    <w:rsid w:val="00045611"/>
    <w:rsid w:val="00046E96"/>
    <w:rsid w:val="00047470"/>
    <w:rsid w:val="0005019E"/>
    <w:rsid w:val="000501AE"/>
    <w:rsid w:val="00050390"/>
    <w:rsid w:val="000505C9"/>
    <w:rsid w:val="00050BF6"/>
    <w:rsid w:val="00051592"/>
    <w:rsid w:val="00051B5C"/>
    <w:rsid w:val="000522D4"/>
    <w:rsid w:val="00052A18"/>
    <w:rsid w:val="00052ACC"/>
    <w:rsid w:val="0005313F"/>
    <w:rsid w:val="000532E0"/>
    <w:rsid w:val="00053677"/>
    <w:rsid w:val="000558B4"/>
    <w:rsid w:val="000563B1"/>
    <w:rsid w:val="00056DA3"/>
    <w:rsid w:val="00057091"/>
    <w:rsid w:val="000573BB"/>
    <w:rsid w:val="00057938"/>
    <w:rsid w:val="0005795F"/>
    <w:rsid w:val="00057B32"/>
    <w:rsid w:val="00057EEE"/>
    <w:rsid w:val="00060242"/>
    <w:rsid w:val="00060675"/>
    <w:rsid w:val="000607B7"/>
    <w:rsid w:val="000609D4"/>
    <w:rsid w:val="00060D6A"/>
    <w:rsid w:val="00061244"/>
    <w:rsid w:val="000612A8"/>
    <w:rsid w:val="00061846"/>
    <w:rsid w:val="00062408"/>
    <w:rsid w:val="00062E9B"/>
    <w:rsid w:val="00063073"/>
    <w:rsid w:val="00063A5B"/>
    <w:rsid w:val="00063EDB"/>
    <w:rsid w:val="0006424D"/>
    <w:rsid w:val="0006480E"/>
    <w:rsid w:val="000657F2"/>
    <w:rsid w:val="00065918"/>
    <w:rsid w:val="00065E1D"/>
    <w:rsid w:val="00066C59"/>
    <w:rsid w:val="00066EBC"/>
    <w:rsid w:val="00067064"/>
    <w:rsid w:val="000672BD"/>
    <w:rsid w:val="00067834"/>
    <w:rsid w:val="00067CA4"/>
    <w:rsid w:val="00070144"/>
    <w:rsid w:val="000704EA"/>
    <w:rsid w:val="00070DB6"/>
    <w:rsid w:val="000712BA"/>
    <w:rsid w:val="000712F4"/>
    <w:rsid w:val="000713CA"/>
    <w:rsid w:val="000718C7"/>
    <w:rsid w:val="000722F8"/>
    <w:rsid w:val="00072742"/>
    <w:rsid w:val="00072C79"/>
    <w:rsid w:val="000732E5"/>
    <w:rsid w:val="0007401D"/>
    <w:rsid w:val="0007457A"/>
    <w:rsid w:val="000753CA"/>
    <w:rsid w:val="0007545B"/>
    <w:rsid w:val="000765E2"/>
    <w:rsid w:val="0007789F"/>
    <w:rsid w:val="00077E3F"/>
    <w:rsid w:val="00077FB6"/>
    <w:rsid w:val="00080BA3"/>
    <w:rsid w:val="00080C2F"/>
    <w:rsid w:val="00081480"/>
    <w:rsid w:val="000814B9"/>
    <w:rsid w:val="0008232B"/>
    <w:rsid w:val="00082638"/>
    <w:rsid w:val="0008299A"/>
    <w:rsid w:val="00084171"/>
    <w:rsid w:val="000846B6"/>
    <w:rsid w:val="0008501C"/>
    <w:rsid w:val="0008516B"/>
    <w:rsid w:val="00085923"/>
    <w:rsid w:val="000864C7"/>
    <w:rsid w:val="000872AD"/>
    <w:rsid w:val="00090018"/>
    <w:rsid w:val="00090A58"/>
    <w:rsid w:val="00091046"/>
    <w:rsid w:val="00091145"/>
    <w:rsid w:val="00091C64"/>
    <w:rsid w:val="00092495"/>
    <w:rsid w:val="000927CA"/>
    <w:rsid w:val="00093328"/>
    <w:rsid w:val="000938D6"/>
    <w:rsid w:val="00093BF1"/>
    <w:rsid w:val="00094484"/>
    <w:rsid w:val="00094613"/>
    <w:rsid w:val="000955FF"/>
    <w:rsid w:val="00095F22"/>
    <w:rsid w:val="00096084"/>
    <w:rsid w:val="000964EF"/>
    <w:rsid w:val="00096689"/>
    <w:rsid w:val="000969AD"/>
    <w:rsid w:val="00096AD7"/>
    <w:rsid w:val="0009721A"/>
    <w:rsid w:val="000977AE"/>
    <w:rsid w:val="000A0145"/>
    <w:rsid w:val="000A01EC"/>
    <w:rsid w:val="000A0A88"/>
    <w:rsid w:val="000A10BC"/>
    <w:rsid w:val="000A10E7"/>
    <w:rsid w:val="000A27B5"/>
    <w:rsid w:val="000A283E"/>
    <w:rsid w:val="000A2885"/>
    <w:rsid w:val="000A33C3"/>
    <w:rsid w:val="000A33ED"/>
    <w:rsid w:val="000A3636"/>
    <w:rsid w:val="000A4192"/>
    <w:rsid w:val="000A46B0"/>
    <w:rsid w:val="000A5F68"/>
    <w:rsid w:val="000A6674"/>
    <w:rsid w:val="000A6968"/>
    <w:rsid w:val="000A6B21"/>
    <w:rsid w:val="000A7834"/>
    <w:rsid w:val="000A7B11"/>
    <w:rsid w:val="000B0E49"/>
    <w:rsid w:val="000B1298"/>
    <w:rsid w:val="000B136E"/>
    <w:rsid w:val="000B18AA"/>
    <w:rsid w:val="000B1A62"/>
    <w:rsid w:val="000B1FB1"/>
    <w:rsid w:val="000B2BF4"/>
    <w:rsid w:val="000B32A6"/>
    <w:rsid w:val="000B3E68"/>
    <w:rsid w:val="000B3EF6"/>
    <w:rsid w:val="000B4298"/>
    <w:rsid w:val="000B4A9D"/>
    <w:rsid w:val="000B4FE9"/>
    <w:rsid w:val="000B617B"/>
    <w:rsid w:val="000B63FE"/>
    <w:rsid w:val="000B6F25"/>
    <w:rsid w:val="000B6FBC"/>
    <w:rsid w:val="000B779C"/>
    <w:rsid w:val="000B7983"/>
    <w:rsid w:val="000B7E62"/>
    <w:rsid w:val="000C024B"/>
    <w:rsid w:val="000C0357"/>
    <w:rsid w:val="000C0375"/>
    <w:rsid w:val="000C0D44"/>
    <w:rsid w:val="000C1A68"/>
    <w:rsid w:val="000C1FF9"/>
    <w:rsid w:val="000C216F"/>
    <w:rsid w:val="000C264B"/>
    <w:rsid w:val="000C3866"/>
    <w:rsid w:val="000C3BE6"/>
    <w:rsid w:val="000C3BF8"/>
    <w:rsid w:val="000C3DA7"/>
    <w:rsid w:val="000C4067"/>
    <w:rsid w:val="000C4340"/>
    <w:rsid w:val="000C439E"/>
    <w:rsid w:val="000C45EF"/>
    <w:rsid w:val="000C4EFA"/>
    <w:rsid w:val="000C55EC"/>
    <w:rsid w:val="000C5AF8"/>
    <w:rsid w:val="000C5D97"/>
    <w:rsid w:val="000C6224"/>
    <w:rsid w:val="000C6260"/>
    <w:rsid w:val="000C6FA0"/>
    <w:rsid w:val="000C7740"/>
    <w:rsid w:val="000C7A36"/>
    <w:rsid w:val="000C7F07"/>
    <w:rsid w:val="000D0034"/>
    <w:rsid w:val="000D14A3"/>
    <w:rsid w:val="000D191F"/>
    <w:rsid w:val="000D227E"/>
    <w:rsid w:val="000D26D9"/>
    <w:rsid w:val="000D2E0D"/>
    <w:rsid w:val="000D2FAC"/>
    <w:rsid w:val="000D3349"/>
    <w:rsid w:val="000D341A"/>
    <w:rsid w:val="000D5586"/>
    <w:rsid w:val="000D5E5C"/>
    <w:rsid w:val="000D6048"/>
    <w:rsid w:val="000D61D6"/>
    <w:rsid w:val="000D6743"/>
    <w:rsid w:val="000D6879"/>
    <w:rsid w:val="000D70CF"/>
    <w:rsid w:val="000D7B93"/>
    <w:rsid w:val="000E0426"/>
    <w:rsid w:val="000E0B99"/>
    <w:rsid w:val="000E116E"/>
    <w:rsid w:val="000E2000"/>
    <w:rsid w:val="000E2124"/>
    <w:rsid w:val="000E2412"/>
    <w:rsid w:val="000E2618"/>
    <w:rsid w:val="000E2D33"/>
    <w:rsid w:val="000E3752"/>
    <w:rsid w:val="000E3E52"/>
    <w:rsid w:val="000E40B2"/>
    <w:rsid w:val="000E42FC"/>
    <w:rsid w:val="000E51DD"/>
    <w:rsid w:val="000E5B11"/>
    <w:rsid w:val="000E5D71"/>
    <w:rsid w:val="000E607E"/>
    <w:rsid w:val="000E6940"/>
    <w:rsid w:val="000E6CC1"/>
    <w:rsid w:val="000E72CF"/>
    <w:rsid w:val="000E7D32"/>
    <w:rsid w:val="000F01C4"/>
    <w:rsid w:val="000F01E4"/>
    <w:rsid w:val="000F0B84"/>
    <w:rsid w:val="000F0DDB"/>
    <w:rsid w:val="000F0E4A"/>
    <w:rsid w:val="000F1128"/>
    <w:rsid w:val="000F2B65"/>
    <w:rsid w:val="000F2E77"/>
    <w:rsid w:val="000F3807"/>
    <w:rsid w:val="000F3DAE"/>
    <w:rsid w:val="000F3E7D"/>
    <w:rsid w:val="000F3E8C"/>
    <w:rsid w:val="000F42D8"/>
    <w:rsid w:val="000F4896"/>
    <w:rsid w:val="000F6449"/>
    <w:rsid w:val="000F67B4"/>
    <w:rsid w:val="000F6E21"/>
    <w:rsid w:val="000F72C0"/>
    <w:rsid w:val="000F75C4"/>
    <w:rsid w:val="000F7A05"/>
    <w:rsid w:val="000F7A97"/>
    <w:rsid w:val="001009DC"/>
    <w:rsid w:val="00100CB4"/>
    <w:rsid w:val="00101369"/>
    <w:rsid w:val="00101681"/>
    <w:rsid w:val="00101E0C"/>
    <w:rsid w:val="00102006"/>
    <w:rsid w:val="00102308"/>
    <w:rsid w:val="00104640"/>
    <w:rsid w:val="00104842"/>
    <w:rsid w:val="00104A7E"/>
    <w:rsid w:val="00105386"/>
    <w:rsid w:val="00105AF5"/>
    <w:rsid w:val="00105D31"/>
    <w:rsid w:val="00106063"/>
    <w:rsid w:val="00106175"/>
    <w:rsid w:val="00106245"/>
    <w:rsid w:val="0010641D"/>
    <w:rsid w:val="00106AD0"/>
    <w:rsid w:val="00106E69"/>
    <w:rsid w:val="00106E71"/>
    <w:rsid w:val="0011063D"/>
    <w:rsid w:val="0011100D"/>
    <w:rsid w:val="0011138D"/>
    <w:rsid w:val="001113BD"/>
    <w:rsid w:val="00111535"/>
    <w:rsid w:val="001118DC"/>
    <w:rsid w:val="00111EE6"/>
    <w:rsid w:val="00113165"/>
    <w:rsid w:val="001140D4"/>
    <w:rsid w:val="0011455F"/>
    <w:rsid w:val="001147DE"/>
    <w:rsid w:val="00115468"/>
    <w:rsid w:val="001157A8"/>
    <w:rsid w:val="0011590A"/>
    <w:rsid w:val="001163E4"/>
    <w:rsid w:val="00117339"/>
    <w:rsid w:val="0011760F"/>
    <w:rsid w:val="00117B15"/>
    <w:rsid w:val="00117F99"/>
    <w:rsid w:val="001206E2"/>
    <w:rsid w:val="00120A3F"/>
    <w:rsid w:val="00120D7D"/>
    <w:rsid w:val="001215A2"/>
    <w:rsid w:val="0012198D"/>
    <w:rsid w:val="00121F23"/>
    <w:rsid w:val="001220F3"/>
    <w:rsid w:val="00122312"/>
    <w:rsid w:val="00122323"/>
    <w:rsid w:val="00122343"/>
    <w:rsid w:val="0012283B"/>
    <w:rsid w:val="00122B28"/>
    <w:rsid w:val="0012304C"/>
    <w:rsid w:val="001234BA"/>
    <w:rsid w:val="00123A51"/>
    <w:rsid w:val="0012558B"/>
    <w:rsid w:val="00125861"/>
    <w:rsid w:val="00127376"/>
    <w:rsid w:val="00127AF6"/>
    <w:rsid w:val="00130034"/>
    <w:rsid w:val="001303A7"/>
    <w:rsid w:val="001305C0"/>
    <w:rsid w:val="00130602"/>
    <w:rsid w:val="00130E23"/>
    <w:rsid w:val="001315D9"/>
    <w:rsid w:val="00131C39"/>
    <w:rsid w:val="00132E00"/>
    <w:rsid w:val="00132F86"/>
    <w:rsid w:val="00134169"/>
    <w:rsid w:val="00134AA5"/>
    <w:rsid w:val="00135676"/>
    <w:rsid w:val="001357ED"/>
    <w:rsid w:val="00135DBD"/>
    <w:rsid w:val="00135EA3"/>
    <w:rsid w:val="001360C4"/>
    <w:rsid w:val="0013658D"/>
    <w:rsid w:val="00136A25"/>
    <w:rsid w:val="0013700D"/>
    <w:rsid w:val="001375D8"/>
    <w:rsid w:val="00137B4D"/>
    <w:rsid w:val="00137C5B"/>
    <w:rsid w:val="00140152"/>
    <w:rsid w:val="00140778"/>
    <w:rsid w:val="0014148D"/>
    <w:rsid w:val="00141866"/>
    <w:rsid w:val="00141B46"/>
    <w:rsid w:val="00141E75"/>
    <w:rsid w:val="00142554"/>
    <w:rsid w:val="0014294F"/>
    <w:rsid w:val="00142E48"/>
    <w:rsid w:val="00143320"/>
    <w:rsid w:val="0014518B"/>
    <w:rsid w:val="00146721"/>
    <w:rsid w:val="001469D4"/>
    <w:rsid w:val="00146B5F"/>
    <w:rsid w:val="00146DF8"/>
    <w:rsid w:val="00146F9A"/>
    <w:rsid w:val="0014731F"/>
    <w:rsid w:val="00147712"/>
    <w:rsid w:val="00147AFD"/>
    <w:rsid w:val="0015007D"/>
    <w:rsid w:val="00150803"/>
    <w:rsid w:val="00150A0E"/>
    <w:rsid w:val="00150DB5"/>
    <w:rsid w:val="00150EAD"/>
    <w:rsid w:val="00151847"/>
    <w:rsid w:val="00153088"/>
    <w:rsid w:val="001530F9"/>
    <w:rsid w:val="00153C31"/>
    <w:rsid w:val="00153E1B"/>
    <w:rsid w:val="00153F91"/>
    <w:rsid w:val="0015445D"/>
    <w:rsid w:val="00154838"/>
    <w:rsid w:val="00154F54"/>
    <w:rsid w:val="00155130"/>
    <w:rsid w:val="00155351"/>
    <w:rsid w:val="00155499"/>
    <w:rsid w:val="0015575B"/>
    <w:rsid w:val="00156123"/>
    <w:rsid w:val="00156232"/>
    <w:rsid w:val="001563DB"/>
    <w:rsid w:val="001576E5"/>
    <w:rsid w:val="001577E4"/>
    <w:rsid w:val="00157873"/>
    <w:rsid w:val="00157CAE"/>
    <w:rsid w:val="00157D77"/>
    <w:rsid w:val="0016002F"/>
    <w:rsid w:val="00160B78"/>
    <w:rsid w:val="00161527"/>
    <w:rsid w:val="00161E34"/>
    <w:rsid w:val="001621EA"/>
    <w:rsid w:val="0016293C"/>
    <w:rsid w:val="00162B48"/>
    <w:rsid w:val="00162EBE"/>
    <w:rsid w:val="00164197"/>
    <w:rsid w:val="0016420C"/>
    <w:rsid w:val="0016578F"/>
    <w:rsid w:val="0016583D"/>
    <w:rsid w:val="001669D4"/>
    <w:rsid w:val="00166A4C"/>
    <w:rsid w:val="00166F02"/>
    <w:rsid w:val="00167702"/>
    <w:rsid w:val="0017042F"/>
    <w:rsid w:val="0017044E"/>
    <w:rsid w:val="00170C47"/>
    <w:rsid w:val="0017108C"/>
    <w:rsid w:val="00171CAD"/>
    <w:rsid w:val="00172A27"/>
    <w:rsid w:val="00172A78"/>
    <w:rsid w:val="00172E4B"/>
    <w:rsid w:val="00173725"/>
    <w:rsid w:val="00173D98"/>
    <w:rsid w:val="001745E3"/>
    <w:rsid w:val="001748C0"/>
    <w:rsid w:val="00174E25"/>
    <w:rsid w:val="0017515B"/>
    <w:rsid w:val="00177778"/>
    <w:rsid w:val="00177903"/>
    <w:rsid w:val="00177F7E"/>
    <w:rsid w:val="001814D2"/>
    <w:rsid w:val="00181A3B"/>
    <w:rsid w:val="0018201D"/>
    <w:rsid w:val="00182624"/>
    <w:rsid w:val="00182DE2"/>
    <w:rsid w:val="001833DD"/>
    <w:rsid w:val="0018346B"/>
    <w:rsid w:val="001857FD"/>
    <w:rsid w:val="00186D1E"/>
    <w:rsid w:val="00187999"/>
    <w:rsid w:val="00190431"/>
    <w:rsid w:val="00190EF1"/>
    <w:rsid w:val="00190F99"/>
    <w:rsid w:val="00191565"/>
    <w:rsid w:val="00191950"/>
    <w:rsid w:val="001919F5"/>
    <w:rsid w:val="001925FA"/>
    <w:rsid w:val="001926E9"/>
    <w:rsid w:val="0019288F"/>
    <w:rsid w:val="00192AEE"/>
    <w:rsid w:val="00192DEC"/>
    <w:rsid w:val="00193408"/>
    <w:rsid w:val="00194A23"/>
    <w:rsid w:val="00194F2D"/>
    <w:rsid w:val="00195547"/>
    <w:rsid w:val="00196181"/>
    <w:rsid w:val="001962B5"/>
    <w:rsid w:val="001963D8"/>
    <w:rsid w:val="00197167"/>
    <w:rsid w:val="001A014B"/>
    <w:rsid w:val="001A028C"/>
    <w:rsid w:val="001A02F0"/>
    <w:rsid w:val="001A080C"/>
    <w:rsid w:val="001A0A47"/>
    <w:rsid w:val="001A0B3C"/>
    <w:rsid w:val="001A1305"/>
    <w:rsid w:val="001A1488"/>
    <w:rsid w:val="001A1676"/>
    <w:rsid w:val="001A1865"/>
    <w:rsid w:val="001A18CC"/>
    <w:rsid w:val="001A1B70"/>
    <w:rsid w:val="001A2968"/>
    <w:rsid w:val="001A39EC"/>
    <w:rsid w:val="001A4434"/>
    <w:rsid w:val="001A44B1"/>
    <w:rsid w:val="001A4716"/>
    <w:rsid w:val="001A599D"/>
    <w:rsid w:val="001A64C4"/>
    <w:rsid w:val="001A6DCD"/>
    <w:rsid w:val="001A6F3F"/>
    <w:rsid w:val="001A731C"/>
    <w:rsid w:val="001A7936"/>
    <w:rsid w:val="001B0432"/>
    <w:rsid w:val="001B0735"/>
    <w:rsid w:val="001B1BB9"/>
    <w:rsid w:val="001B35B5"/>
    <w:rsid w:val="001B3AD2"/>
    <w:rsid w:val="001B3FE8"/>
    <w:rsid w:val="001B40E1"/>
    <w:rsid w:val="001B5E9B"/>
    <w:rsid w:val="001B5FEB"/>
    <w:rsid w:val="001B6474"/>
    <w:rsid w:val="001B6D92"/>
    <w:rsid w:val="001B7246"/>
    <w:rsid w:val="001B74E7"/>
    <w:rsid w:val="001B795A"/>
    <w:rsid w:val="001B7B54"/>
    <w:rsid w:val="001C048E"/>
    <w:rsid w:val="001C0699"/>
    <w:rsid w:val="001C0878"/>
    <w:rsid w:val="001C0F3B"/>
    <w:rsid w:val="001C1767"/>
    <w:rsid w:val="001C1DBD"/>
    <w:rsid w:val="001C261F"/>
    <w:rsid w:val="001C29A8"/>
    <w:rsid w:val="001C2D82"/>
    <w:rsid w:val="001C3227"/>
    <w:rsid w:val="001C33F6"/>
    <w:rsid w:val="001C36C3"/>
    <w:rsid w:val="001C43BF"/>
    <w:rsid w:val="001C45DE"/>
    <w:rsid w:val="001C474C"/>
    <w:rsid w:val="001C4881"/>
    <w:rsid w:val="001C5292"/>
    <w:rsid w:val="001C543F"/>
    <w:rsid w:val="001C62B9"/>
    <w:rsid w:val="001C6389"/>
    <w:rsid w:val="001C69E1"/>
    <w:rsid w:val="001C6AFF"/>
    <w:rsid w:val="001C7529"/>
    <w:rsid w:val="001C7BBC"/>
    <w:rsid w:val="001D04E4"/>
    <w:rsid w:val="001D054D"/>
    <w:rsid w:val="001D0609"/>
    <w:rsid w:val="001D1B37"/>
    <w:rsid w:val="001D2022"/>
    <w:rsid w:val="001D3A2F"/>
    <w:rsid w:val="001D3C09"/>
    <w:rsid w:val="001D4080"/>
    <w:rsid w:val="001D408F"/>
    <w:rsid w:val="001D4142"/>
    <w:rsid w:val="001D4206"/>
    <w:rsid w:val="001D4C9B"/>
    <w:rsid w:val="001D4EF6"/>
    <w:rsid w:val="001D5B17"/>
    <w:rsid w:val="001D5B9F"/>
    <w:rsid w:val="001D61DA"/>
    <w:rsid w:val="001D6690"/>
    <w:rsid w:val="001D6921"/>
    <w:rsid w:val="001D6CBA"/>
    <w:rsid w:val="001D6CF5"/>
    <w:rsid w:val="001D7A98"/>
    <w:rsid w:val="001D7E86"/>
    <w:rsid w:val="001E09F7"/>
    <w:rsid w:val="001E0B2C"/>
    <w:rsid w:val="001E11E4"/>
    <w:rsid w:val="001E13AC"/>
    <w:rsid w:val="001E20C8"/>
    <w:rsid w:val="001E2102"/>
    <w:rsid w:val="001E236A"/>
    <w:rsid w:val="001E2EE2"/>
    <w:rsid w:val="001E2FD4"/>
    <w:rsid w:val="001E3D3D"/>
    <w:rsid w:val="001E3EF2"/>
    <w:rsid w:val="001E3F60"/>
    <w:rsid w:val="001E412A"/>
    <w:rsid w:val="001E4AD5"/>
    <w:rsid w:val="001E50C2"/>
    <w:rsid w:val="001E5B9F"/>
    <w:rsid w:val="001E5C9D"/>
    <w:rsid w:val="001E6372"/>
    <w:rsid w:val="001E793C"/>
    <w:rsid w:val="001F0BF8"/>
    <w:rsid w:val="001F1669"/>
    <w:rsid w:val="001F1D91"/>
    <w:rsid w:val="001F1FDB"/>
    <w:rsid w:val="001F3ADA"/>
    <w:rsid w:val="001F3D0A"/>
    <w:rsid w:val="001F4540"/>
    <w:rsid w:val="001F461C"/>
    <w:rsid w:val="001F47D7"/>
    <w:rsid w:val="001F5365"/>
    <w:rsid w:val="001F6E33"/>
    <w:rsid w:val="002003CF"/>
    <w:rsid w:val="0020076C"/>
    <w:rsid w:val="00200D4F"/>
    <w:rsid w:val="00201375"/>
    <w:rsid w:val="00202386"/>
    <w:rsid w:val="00203150"/>
    <w:rsid w:val="002035B3"/>
    <w:rsid w:val="0020381B"/>
    <w:rsid w:val="00203BBE"/>
    <w:rsid w:val="00203FD7"/>
    <w:rsid w:val="00204E39"/>
    <w:rsid w:val="00204FC2"/>
    <w:rsid w:val="00205046"/>
    <w:rsid w:val="00205206"/>
    <w:rsid w:val="002053E7"/>
    <w:rsid w:val="002057C4"/>
    <w:rsid w:val="00205CB2"/>
    <w:rsid w:val="00205E33"/>
    <w:rsid w:val="0020666B"/>
    <w:rsid w:val="00206785"/>
    <w:rsid w:val="0020758A"/>
    <w:rsid w:val="00207852"/>
    <w:rsid w:val="00210337"/>
    <w:rsid w:val="0021098A"/>
    <w:rsid w:val="00211127"/>
    <w:rsid w:val="0021337E"/>
    <w:rsid w:val="00213389"/>
    <w:rsid w:val="0021436D"/>
    <w:rsid w:val="002148FB"/>
    <w:rsid w:val="00214F27"/>
    <w:rsid w:val="002151DC"/>
    <w:rsid w:val="002155CF"/>
    <w:rsid w:val="002159C3"/>
    <w:rsid w:val="00215AA4"/>
    <w:rsid w:val="00215CA8"/>
    <w:rsid w:val="00216448"/>
    <w:rsid w:val="00217044"/>
    <w:rsid w:val="002178AB"/>
    <w:rsid w:val="00217BE7"/>
    <w:rsid w:val="00217E17"/>
    <w:rsid w:val="00217E4C"/>
    <w:rsid w:val="002200EC"/>
    <w:rsid w:val="002204C5"/>
    <w:rsid w:val="0022110C"/>
    <w:rsid w:val="002212A3"/>
    <w:rsid w:val="00222154"/>
    <w:rsid w:val="00222199"/>
    <w:rsid w:val="002222F0"/>
    <w:rsid w:val="00222E74"/>
    <w:rsid w:val="00222F4D"/>
    <w:rsid w:val="002231B4"/>
    <w:rsid w:val="00223468"/>
    <w:rsid w:val="00223660"/>
    <w:rsid w:val="00223A91"/>
    <w:rsid w:val="002242A5"/>
    <w:rsid w:val="002243D0"/>
    <w:rsid w:val="0022471B"/>
    <w:rsid w:val="0022485B"/>
    <w:rsid w:val="0022493E"/>
    <w:rsid w:val="00224DCC"/>
    <w:rsid w:val="00225A56"/>
    <w:rsid w:val="00225FC2"/>
    <w:rsid w:val="00226705"/>
    <w:rsid w:val="00226AA1"/>
    <w:rsid w:val="002271B4"/>
    <w:rsid w:val="00227484"/>
    <w:rsid w:val="002274C4"/>
    <w:rsid w:val="0023090F"/>
    <w:rsid w:val="00230F7D"/>
    <w:rsid w:val="0023240A"/>
    <w:rsid w:val="0023250D"/>
    <w:rsid w:val="00232F17"/>
    <w:rsid w:val="0023368B"/>
    <w:rsid w:val="00234103"/>
    <w:rsid w:val="002341EB"/>
    <w:rsid w:val="00234218"/>
    <w:rsid w:val="00234684"/>
    <w:rsid w:val="00234E22"/>
    <w:rsid w:val="00235204"/>
    <w:rsid w:val="002357B1"/>
    <w:rsid w:val="002364CC"/>
    <w:rsid w:val="00236D62"/>
    <w:rsid w:val="00237441"/>
    <w:rsid w:val="00237B89"/>
    <w:rsid w:val="00237C78"/>
    <w:rsid w:val="0024036B"/>
    <w:rsid w:val="00240535"/>
    <w:rsid w:val="00241291"/>
    <w:rsid w:val="00241F04"/>
    <w:rsid w:val="00241F63"/>
    <w:rsid w:val="002423D6"/>
    <w:rsid w:val="002429F5"/>
    <w:rsid w:val="00242A9A"/>
    <w:rsid w:val="002432FF"/>
    <w:rsid w:val="0024497E"/>
    <w:rsid w:val="002449A3"/>
    <w:rsid w:val="00244A1D"/>
    <w:rsid w:val="00244F6C"/>
    <w:rsid w:val="00245657"/>
    <w:rsid w:val="00245834"/>
    <w:rsid w:val="00245994"/>
    <w:rsid w:val="00245F9D"/>
    <w:rsid w:val="00246525"/>
    <w:rsid w:val="00246A7D"/>
    <w:rsid w:val="00247343"/>
    <w:rsid w:val="00247579"/>
    <w:rsid w:val="00247A8E"/>
    <w:rsid w:val="00247CD7"/>
    <w:rsid w:val="00247DC2"/>
    <w:rsid w:val="002500EF"/>
    <w:rsid w:val="00250600"/>
    <w:rsid w:val="002508C7"/>
    <w:rsid w:val="00250D94"/>
    <w:rsid w:val="00250F62"/>
    <w:rsid w:val="00250F7E"/>
    <w:rsid w:val="002513D0"/>
    <w:rsid w:val="002521B6"/>
    <w:rsid w:val="00252356"/>
    <w:rsid w:val="0025243C"/>
    <w:rsid w:val="00252775"/>
    <w:rsid w:val="00252B61"/>
    <w:rsid w:val="00253ABA"/>
    <w:rsid w:val="00255585"/>
    <w:rsid w:val="002557E2"/>
    <w:rsid w:val="002558C2"/>
    <w:rsid w:val="0025628C"/>
    <w:rsid w:val="002577FD"/>
    <w:rsid w:val="00257F65"/>
    <w:rsid w:val="00260055"/>
    <w:rsid w:val="00260AB7"/>
    <w:rsid w:val="00261A8B"/>
    <w:rsid w:val="002621EC"/>
    <w:rsid w:val="00263029"/>
    <w:rsid w:val="00263049"/>
    <w:rsid w:val="00263F0F"/>
    <w:rsid w:val="00264D6C"/>
    <w:rsid w:val="0026505A"/>
    <w:rsid w:val="00265360"/>
    <w:rsid w:val="002655F8"/>
    <w:rsid w:val="0026570F"/>
    <w:rsid w:val="0026617E"/>
    <w:rsid w:val="002663D4"/>
    <w:rsid w:val="002663FF"/>
    <w:rsid w:val="00266460"/>
    <w:rsid w:val="00266988"/>
    <w:rsid w:val="00267E0E"/>
    <w:rsid w:val="0027066F"/>
    <w:rsid w:val="0027085C"/>
    <w:rsid w:val="00270BE1"/>
    <w:rsid w:val="00271046"/>
    <w:rsid w:val="00271474"/>
    <w:rsid w:val="00271B6D"/>
    <w:rsid w:val="00271CD6"/>
    <w:rsid w:val="00271F50"/>
    <w:rsid w:val="00272D13"/>
    <w:rsid w:val="0027349C"/>
    <w:rsid w:val="002734B3"/>
    <w:rsid w:val="00273E40"/>
    <w:rsid w:val="00273ED2"/>
    <w:rsid w:val="00274A8B"/>
    <w:rsid w:val="00276738"/>
    <w:rsid w:val="00276FEE"/>
    <w:rsid w:val="00277D20"/>
    <w:rsid w:val="00277FE4"/>
    <w:rsid w:val="002807E4"/>
    <w:rsid w:val="00281B4D"/>
    <w:rsid w:val="00283916"/>
    <w:rsid w:val="00283F6A"/>
    <w:rsid w:val="00284400"/>
    <w:rsid w:val="00284FA1"/>
    <w:rsid w:val="00285085"/>
    <w:rsid w:val="002852B3"/>
    <w:rsid w:val="002852EF"/>
    <w:rsid w:val="002857ED"/>
    <w:rsid w:val="00285842"/>
    <w:rsid w:val="00285989"/>
    <w:rsid w:val="00285B27"/>
    <w:rsid w:val="00285E2D"/>
    <w:rsid w:val="0028677A"/>
    <w:rsid w:val="00286D11"/>
    <w:rsid w:val="00286D69"/>
    <w:rsid w:val="002874ED"/>
    <w:rsid w:val="00287682"/>
    <w:rsid w:val="00291F12"/>
    <w:rsid w:val="002929FC"/>
    <w:rsid w:val="00292B7D"/>
    <w:rsid w:val="00292DEE"/>
    <w:rsid w:val="00293DA7"/>
    <w:rsid w:val="002945F8"/>
    <w:rsid w:val="002953B1"/>
    <w:rsid w:val="00295779"/>
    <w:rsid w:val="002957DE"/>
    <w:rsid w:val="00295810"/>
    <w:rsid w:val="00295AA0"/>
    <w:rsid w:val="00296E9C"/>
    <w:rsid w:val="00296F0C"/>
    <w:rsid w:val="00296FF7"/>
    <w:rsid w:val="0029711A"/>
    <w:rsid w:val="00297AF7"/>
    <w:rsid w:val="002A060D"/>
    <w:rsid w:val="002A0761"/>
    <w:rsid w:val="002A07A4"/>
    <w:rsid w:val="002A137A"/>
    <w:rsid w:val="002A16A8"/>
    <w:rsid w:val="002A237A"/>
    <w:rsid w:val="002A2443"/>
    <w:rsid w:val="002A2941"/>
    <w:rsid w:val="002A34BC"/>
    <w:rsid w:val="002A3902"/>
    <w:rsid w:val="002A3D21"/>
    <w:rsid w:val="002A3F55"/>
    <w:rsid w:val="002A51DF"/>
    <w:rsid w:val="002A53E9"/>
    <w:rsid w:val="002A58F2"/>
    <w:rsid w:val="002A5988"/>
    <w:rsid w:val="002A623E"/>
    <w:rsid w:val="002A66A9"/>
    <w:rsid w:val="002A7383"/>
    <w:rsid w:val="002A7C65"/>
    <w:rsid w:val="002A7CBA"/>
    <w:rsid w:val="002B0243"/>
    <w:rsid w:val="002B08E6"/>
    <w:rsid w:val="002B127D"/>
    <w:rsid w:val="002B196F"/>
    <w:rsid w:val="002B19E9"/>
    <w:rsid w:val="002B37E7"/>
    <w:rsid w:val="002B3F8B"/>
    <w:rsid w:val="002B4D1B"/>
    <w:rsid w:val="002B56B6"/>
    <w:rsid w:val="002B5D89"/>
    <w:rsid w:val="002B605C"/>
    <w:rsid w:val="002B6C5E"/>
    <w:rsid w:val="002B6E92"/>
    <w:rsid w:val="002B707B"/>
    <w:rsid w:val="002B7ABE"/>
    <w:rsid w:val="002C0134"/>
    <w:rsid w:val="002C1564"/>
    <w:rsid w:val="002C16B4"/>
    <w:rsid w:val="002C175D"/>
    <w:rsid w:val="002C1F5B"/>
    <w:rsid w:val="002C24A8"/>
    <w:rsid w:val="002C2CAF"/>
    <w:rsid w:val="002C2E17"/>
    <w:rsid w:val="002C3497"/>
    <w:rsid w:val="002C36D1"/>
    <w:rsid w:val="002C3CDA"/>
    <w:rsid w:val="002C443F"/>
    <w:rsid w:val="002C4449"/>
    <w:rsid w:val="002C4897"/>
    <w:rsid w:val="002C4F4E"/>
    <w:rsid w:val="002C5695"/>
    <w:rsid w:val="002C67F5"/>
    <w:rsid w:val="002C6C65"/>
    <w:rsid w:val="002C74F2"/>
    <w:rsid w:val="002C7862"/>
    <w:rsid w:val="002D17EE"/>
    <w:rsid w:val="002D1989"/>
    <w:rsid w:val="002D269B"/>
    <w:rsid w:val="002D36B5"/>
    <w:rsid w:val="002D3F7E"/>
    <w:rsid w:val="002D4265"/>
    <w:rsid w:val="002D462E"/>
    <w:rsid w:val="002D4CE8"/>
    <w:rsid w:val="002D57F2"/>
    <w:rsid w:val="002D5ABE"/>
    <w:rsid w:val="002D619C"/>
    <w:rsid w:val="002D61EE"/>
    <w:rsid w:val="002D6516"/>
    <w:rsid w:val="002D6607"/>
    <w:rsid w:val="002D68E6"/>
    <w:rsid w:val="002D7D68"/>
    <w:rsid w:val="002E01C1"/>
    <w:rsid w:val="002E01F5"/>
    <w:rsid w:val="002E111A"/>
    <w:rsid w:val="002E14E6"/>
    <w:rsid w:val="002E17C8"/>
    <w:rsid w:val="002E1F6F"/>
    <w:rsid w:val="002E2250"/>
    <w:rsid w:val="002E2647"/>
    <w:rsid w:val="002E2712"/>
    <w:rsid w:val="002E2A36"/>
    <w:rsid w:val="002E2F48"/>
    <w:rsid w:val="002E364F"/>
    <w:rsid w:val="002E44B9"/>
    <w:rsid w:val="002E4DEA"/>
    <w:rsid w:val="002E5B85"/>
    <w:rsid w:val="002E5C25"/>
    <w:rsid w:val="002E5CE5"/>
    <w:rsid w:val="002E6413"/>
    <w:rsid w:val="002E69D7"/>
    <w:rsid w:val="002F0115"/>
    <w:rsid w:val="002F06E5"/>
    <w:rsid w:val="002F08A2"/>
    <w:rsid w:val="002F0994"/>
    <w:rsid w:val="002F0E7E"/>
    <w:rsid w:val="002F118F"/>
    <w:rsid w:val="002F11C8"/>
    <w:rsid w:val="002F15B0"/>
    <w:rsid w:val="002F2376"/>
    <w:rsid w:val="002F2D72"/>
    <w:rsid w:val="002F4434"/>
    <w:rsid w:val="002F69FC"/>
    <w:rsid w:val="002F6E31"/>
    <w:rsid w:val="002F6E72"/>
    <w:rsid w:val="002F6FE4"/>
    <w:rsid w:val="002F715A"/>
    <w:rsid w:val="002F7D7C"/>
    <w:rsid w:val="00300B5C"/>
    <w:rsid w:val="003011B1"/>
    <w:rsid w:val="00301B66"/>
    <w:rsid w:val="0030209F"/>
    <w:rsid w:val="00302185"/>
    <w:rsid w:val="00302603"/>
    <w:rsid w:val="00302F1B"/>
    <w:rsid w:val="0030306A"/>
    <w:rsid w:val="00303375"/>
    <w:rsid w:val="00303B15"/>
    <w:rsid w:val="00303CEC"/>
    <w:rsid w:val="00303EBE"/>
    <w:rsid w:val="00303F39"/>
    <w:rsid w:val="00303FCC"/>
    <w:rsid w:val="00304152"/>
    <w:rsid w:val="003059D4"/>
    <w:rsid w:val="0030614B"/>
    <w:rsid w:val="0030649E"/>
    <w:rsid w:val="003067C3"/>
    <w:rsid w:val="00306886"/>
    <w:rsid w:val="00306A21"/>
    <w:rsid w:val="00307523"/>
    <w:rsid w:val="00310157"/>
    <w:rsid w:val="003111D9"/>
    <w:rsid w:val="00311603"/>
    <w:rsid w:val="00311857"/>
    <w:rsid w:val="00311A5F"/>
    <w:rsid w:val="003123B1"/>
    <w:rsid w:val="003128DD"/>
    <w:rsid w:val="00313AD6"/>
    <w:rsid w:val="0031436C"/>
    <w:rsid w:val="00314849"/>
    <w:rsid w:val="003154EF"/>
    <w:rsid w:val="0031557C"/>
    <w:rsid w:val="00315653"/>
    <w:rsid w:val="00315BFC"/>
    <w:rsid w:val="00315BFD"/>
    <w:rsid w:val="003177FB"/>
    <w:rsid w:val="00317E87"/>
    <w:rsid w:val="00317E9B"/>
    <w:rsid w:val="00320115"/>
    <w:rsid w:val="003205B7"/>
    <w:rsid w:val="00320867"/>
    <w:rsid w:val="00320BCF"/>
    <w:rsid w:val="003216C7"/>
    <w:rsid w:val="003229F3"/>
    <w:rsid w:val="00322C7A"/>
    <w:rsid w:val="00322F48"/>
    <w:rsid w:val="003232D7"/>
    <w:rsid w:val="00323CF3"/>
    <w:rsid w:val="00324A53"/>
    <w:rsid w:val="00324F57"/>
    <w:rsid w:val="0032522D"/>
    <w:rsid w:val="00325624"/>
    <w:rsid w:val="00325EA3"/>
    <w:rsid w:val="0032624D"/>
    <w:rsid w:val="003263BA"/>
    <w:rsid w:val="00326EA0"/>
    <w:rsid w:val="00327B5A"/>
    <w:rsid w:val="00327CB1"/>
    <w:rsid w:val="003300CF"/>
    <w:rsid w:val="00330669"/>
    <w:rsid w:val="00330900"/>
    <w:rsid w:val="00330BB9"/>
    <w:rsid w:val="003320D7"/>
    <w:rsid w:val="003352DD"/>
    <w:rsid w:val="003359A5"/>
    <w:rsid w:val="00335D51"/>
    <w:rsid w:val="00336058"/>
    <w:rsid w:val="0033610F"/>
    <w:rsid w:val="0033633B"/>
    <w:rsid w:val="0034033E"/>
    <w:rsid w:val="003403AD"/>
    <w:rsid w:val="0034085A"/>
    <w:rsid w:val="00341062"/>
    <w:rsid w:val="00341693"/>
    <w:rsid w:val="00341846"/>
    <w:rsid w:val="00341ABA"/>
    <w:rsid w:val="003425FE"/>
    <w:rsid w:val="00342BD2"/>
    <w:rsid w:val="00343714"/>
    <w:rsid w:val="003439B9"/>
    <w:rsid w:val="00343A74"/>
    <w:rsid w:val="00344127"/>
    <w:rsid w:val="00344815"/>
    <w:rsid w:val="0034489B"/>
    <w:rsid w:val="00344C83"/>
    <w:rsid w:val="00344E0A"/>
    <w:rsid w:val="0034563C"/>
    <w:rsid w:val="00346170"/>
    <w:rsid w:val="00346423"/>
    <w:rsid w:val="00346484"/>
    <w:rsid w:val="00346F5E"/>
    <w:rsid w:val="003470E6"/>
    <w:rsid w:val="00347926"/>
    <w:rsid w:val="00347B26"/>
    <w:rsid w:val="00347B73"/>
    <w:rsid w:val="00350148"/>
    <w:rsid w:val="00350297"/>
    <w:rsid w:val="00350F50"/>
    <w:rsid w:val="00351221"/>
    <w:rsid w:val="003517F2"/>
    <w:rsid w:val="003518C2"/>
    <w:rsid w:val="00351F77"/>
    <w:rsid w:val="003521CA"/>
    <w:rsid w:val="00352DE4"/>
    <w:rsid w:val="003532FE"/>
    <w:rsid w:val="00353D5F"/>
    <w:rsid w:val="00353E78"/>
    <w:rsid w:val="003543F3"/>
    <w:rsid w:val="0035444A"/>
    <w:rsid w:val="00354B8D"/>
    <w:rsid w:val="00355032"/>
    <w:rsid w:val="00355D22"/>
    <w:rsid w:val="00355D97"/>
    <w:rsid w:val="0036006C"/>
    <w:rsid w:val="003607EA"/>
    <w:rsid w:val="00360E24"/>
    <w:rsid w:val="00360E72"/>
    <w:rsid w:val="00362455"/>
    <w:rsid w:val="00362482"/>
    <w:rsid w:val="00362943"/>
    <w:rsid w:val="00364713"/>
    <w:rsid w:val="00364B00"/>
    <w:rsid w:val="00365650"/>
    <w:rsid w:val="00365752"/>
    <w:rsid w:val="00366179"/>
    <w:rsid w:val="00366454"/>
    <w:rsid w:val="003667D2"/>
    <w:rsid w:val="00367E0F"/>
    <w:rsid w:val="00367E50"/>
    <w:rsid w:val="00370039"/>
    <w:rsid w:val="00370B29"/>
    <w:rsid w:val="00371041"/>
    <w:rsid w:val="0037193F"/>
    <w:rsid w:val="00372377"/>
    <w:rsid w:val="00372407"/>
    <w:rsid w:val="00372678"/>
    <w:rsid w:val="00372F91"/>
    <w:rsid w:val="003733EC"/>
    <w:rsid w:val="00373995"/>
    <w:rsid w:val="00373B1D"/>
    <w:rsid w:val="00373B99"/>
    <w:rsid w:val="00373D22"/>
    <w:rsid w:val="00373E10"/>
    <w:rsid w:val="00373F88"/>
    <w:rsid w:val="0037439B"/>
    <w:rsid w:val="00374B9A"/>
    <w:rsid w:val="0037524B"/>
    <w:rsid w:val="003752C8"/>
    <w:rsid w:val="00375BA8"/>
    <w:rsid w:val="0037608A"/>
    <w:rsid w:val="00376350"/>
    <w:rsid w:val="003768D8"/>
    <w:rsid w:val="003769FF"/>
    <w:rsid w:val="00376D0E"/>
    <w:rsid w:val="00376E83"/>
    <w:rsid w:val="00377ECC"/>
    <w:rsid w:val="00380A79"/>
    <w:rsid w:val="00380F4A"/>
    <w:rsid w:val="00381040"/>
    <w:rsid w:val="00382413"/>
    <w:rsid w:val="0038257F"/>
    <w:rsid w:val="0038294D"/>
    <w:rsid w:val="00382F11"/>
    <w:rsid w:val="00383BCB"/>
    <w:rsid w:val="003849A5"/>
    <w:rsid w:val="00384BCE"/>
    <w:rsid w:val="00384E1C"/>
    <w:rsid w:val="00385BA5"/>
    <w:rsid w:val="00385F38"/>
    <w:rsid w:val="003867BA"/>
    <w:rsid w:val="0038685A"/>
    <w:rsid w:val="00386B4F"/>
    <w:rsid w:val="00386CE0"/>
    <w:rsid w:val="0038762F"/>
    <w:rsid w:val="0039011D"/>
    <w:rsid w:val="0039053E"/>
    <w:rsid w:val="00391449"/>
    <w:rsid w:val="00391A77"/>
    <w:rsid w:val="003928D8"/>
    <w:rsid w:val="00392FF0"/>
    <w:rsid w:val="00393227"/>
    <w:rsid w:val="003937B9"/>
    <w:rsid w:val="003942A5"/>
    <w:rsid w:val="003945AB"/>
    <w:rsid w:val="00395303"/>
    <w:rsid w:val="003956A7"/>
    <w:rsid w:val="00395F0A"/>
    <w:rsid w:val="0039653E"/>
    <w:rsid w:val="00396878"/>
    <w:rsid w:val="0039729C"/>
    <w:rsid w:val="003A00AF"/>
    <w:rsid w:val="003A0328"/>
    <w:rsid w:val="003A0914"/>
    <w:rsid w:val="003A2B60"/>
    <w:rsid w:val="003A2D4A"/>
    <w:rsid w:val="003A2FD8"/>
    <w:rsid w:val="003A3243"/>
    <w:rsid w:val="003A3631"/>
    <w:rsid w:val="003A4A76"/>
    <w:rsid w:val="003A525C"/>
    <w:rsid w:val="003A55D0"/>
    <w:rsid w:val="003A5EBA"/>
    <w:rsid w:val="003A6B66"/>
    <w:rsid w:val="003B09C3"/>
    <w:rsid w:val="003B0E19"/>
    <w:rsid w:val="003B1163"/>
    <w:rsid w:val="003B24B5"/>
    <w:rsid w:val="003B2F97"/>
    <w:rsid w:val="003B3F40"/>
    <w:rsid w:val="003B4954"/>
    <w:rsid w:val="003B5697"/>
    <w:rsid w:val="003B5929"/>
    <w:rsid w:val="003B5D63"/>
    <w:rsid w:val="003B5FE3"/>
    <w:rsid w:val="003B65E4"/>
    <w:rsid w:val="003B68EC"/>
    <w:rsid w:val="003B6D8D"/>
    <w:rsid w:val="003B7146"/>
    <w:rsid w:val="003B7922"/>
    <w:rsid w:val="003C0124"/>
    <w:rsid w:val="003C03C9"/>
    <w:rsid w:val="003C04E8"/>
    <w:rsid w:val="003C234F"/>
    <w:rsid w:val="003C238F"/>
    <w:rsid w:val="003C2A8A"/>
    <w:rsid w:val="003C2C5D"/>
    <w:rsid w:val="003C2DD8"/>
    <w:rsid w:val="003C33B6"/>
    <w:rsid w:val="003C4375"/>
    <w:rsid w:val="003C468C"/>
    <w:rsid w:val="003C46ED"/>
    <w:rsid w:val="003C4D4F"/>
    <w:rsid w:val="003C5012"/>
    <w:rsid w:val="003C55D5"/>
    <w:rsid w:val="003C57BB"/>
    <w:rsid w:val="003C69E0"/>
    <w:rsid w:val="003C7486"/>
    <w:rsid w:val="003C75E8"/>
    <w:rsid w:val="003C79C2"/>
    <w:rsid w:val="003C7B00"/>
    <w:rsid w:val="003C7D1A"/>
    <w:rsid w:val="003D0404"/>
    <w:rsid w:val="003D0A49"/>
    <w:rsid w:val="003D1136"/>
    <w:rsid w:val="003D252F"/>
    <w:rsid w:val="003D25BC"/>
    <w:rsid w:val="003D270E"/>
    <w:rsid w:val="003D29FD"/>
    <w:rsid w:val="003D2BD0"/>
    <w:rsid w:val="003D2DDD"/>
    <w:rsid w:val="003D42F8"/>
    <w:rsid w:val="003D44EF"/>
    <w:rsid w:val="003D48FA"/>
    <w:rsid w:val="003D4ACA"/>
    <w:rsid w:val="003D4C06"/>
    <w:rsid w:val="003D7426"/>
    <w:rsid w:val="003D75A9"/>
    <w:rsid w:val="003D7EAE"/>
    <w:rsid w:val="003E0587"/>
    <w:rsid w:val="003E0A6A"/>
    <w:rsid w:val="003E1E14"/>
    <w:rsid w:val="003E203C"/>
    <w:rsid w:val="003E2081"/>
    <w:rsid w:val="003E2841"/>
    <w:rsid w:val="003E2E7D"/>
    <w:rsid w:val="003E354B"/>
    <w:rsid w:val="003E37A4"/>
    <w:rsid w:val="003E3F73"/>
    <w:rsid w:val="003E4777"/>
    <w:rsid w:val="003E4C20"/>
    <w:rsid w:val="003E4D61"/>
    <w:rsid w:val="003E56B3"/>
    <w:rsid w:val="003E5FE7"/>
    <w:rsid w:val="003E675F"/>
    <w:rsid w:val="003E6BF2"/>
    <w:rsid w:val="003E7555"/>
    <w:rsid w:val="003E792A"/>
    <w:rsid w:val="003F005F"/>
    <w:rsid w:val="003F06BB"/>
    <w:rsid w:val="003F22FC"/>
    <w:rsid w:val="003F23CE"/>
    <w:rsid w:val="003F2448"/>
    <w:rsid w:val="003F4B05"/>
    <w:rsid w:val="003F5652"/>
    <w:rsid w:val="003F5755"/>
    <w:rsid w:val="003F57FC"/>
    <w:rsid w:val="003F5982"/>
    <w:rsid w:val="003F59A7"/>
    <w:rsid w:val="003F6635"/>
    <w:rsid w:val="003F70A9"/>
    <w:rsid w:val="003F7E03"/>
    <w:rsid w:val="003F7EF1"/>
    <w:rsid w:val="003F7FC3"/>
    <w:rsid w:val="0040026D"/>
    <w:rsid w:val="004005AA"/>
    <w:rsid w:val="00400794"/>
    <w:rsid w:val="00400984"/>
    <w:rsid w:val="00400DCB"/>
    <w:rsid w:val="00401BCC"/>
    <w:rsid w:val="004021B3"/>
    <w:rsid w:val="0040241E"/>
    <w:rsid w:val="00402898"/>
    <w:rsid w:val="00402C8B"/>
    <w:rsid w:val="0040388E"/>
    <w:rsid w:val="00403B35"/>
    <w:rsid w:val="004043B7"/>
    <w:rsid w:val="00404797"/>
    <w:rsid w:val="00404897"/>
    <w:rsid w:val="00404DA5"/>
    <w:rsid w:val="004052F3"/>
    <w:rsid w:val="00405822"/>
    <w:rsid w:val="00405F5A"/>
    <w:rsid w:val="004069CF"/>
    <w:rsid w:val="00406BC7"/>
    <w:rsid w:val="00406E64"/>
    <w:rsid w:val="0040745D"/>
    <w:rsid w:val="00407522"/>
    <w:rsid w:val="0040755E"/>
    <w:rsid w:val="00407882"/>
    <w:rsid w:val="00407CC7"/>
    <w:rsid w:val="0041076F"/>
    <w:rsid w:val="0041083E"/>
    <w:rsid w:val="00410A9C"/>
    <w:rsid w:val="00410B36"/>
    <w:rsid w:val="00411CA3"/>
    <w:rsid w:val="00413F72"/>
    <w:rsid w:val="0041433C"/>
    <w:rsid w:val="00414B56"/>
    <w:rsid w:val="00414EC4"/>
    <w:rsid w:val="00415110"/>
    <w:rsid w:val="00415C1D"/>
    <w:rsid w:val="00415D2B"/>
    <w:rsid w:val="00416345"/>
    <w:rsid w:val="00416C14"/>
    <w:rsid w:val="00417213"/>
    <w:rsid w:val="004173CE"/>
    <w:rsid w:val="004177AB"/>
    <w:rsid w:val="004200A4"/>
    <w:rsid w:val="00421777"/>
    <w:rsid w:val="00421AE2"/>
    <w:rsid w:val="00421CBB"/>
    <w:rsid w:val="00423C6D"/>
    <w:rsid w:val="0042420A"/>
    <w:rsid w:val="00424568"/>
    <w:rsid w:val="00424B24"/>
    <w:rsid w:val="004256D9"/>
    <w:rsid w:val="004275D4"/>
    <w:rsid w:val="00427CE5"/>
    <w:rsid w:val="00430073"/>
    <w:rsid w:val="00431531"/>
    <w:rsid w:val="00431AB4"/>
    <w:rsid w:val="00431BE6"/>
    <w:rsid w:val="00431C79"/>
    <w:rsid w:val="00431F14"/>
    <w:rsid w:val="004325BB"/>
    <w:rsid w:val="00432BF9"/>
    <w:rsid w:val="00432C38"/>
    <w:rsid w:val="00432CB7"/>
    <w:rsid w:val="0043329D"/>
    <w:rsid w:val="00433366"/>
    <w:rsid w:val="00433FF3"/>
    <w:rsid w:val="00434A06"/>
    <w:rsid w:val="00434D88"/>
    <w:rsid w:val="00434F78"/>
    <w:rsid w:val="00436A52"/>
    <w:rsid w:val="00436ADA"/>
    <w:rsid w:val="00436B5F"/>
    <w:rsid w:val="00436FAA"/>
    <w:rsid w:val="004370BB"/>
    <w:rsid w:val="00437315"/>
    <w:rsid w:val="00437563"/>
    <w:rsid w:val="00437723"/>
    <w:rsid w:val="00437749"/>
    <w:rsid w:val="00437889"/>
    <w:rsid w:val="004401E2"/>
    <w:rsid w:val="00440497"/>
    <w:rsid w:val="0044052D"/>
    <w:rsid w:val="004406C6"/>
    <w:rsid w:val="00440E98"/>
    <w:rsid w:val="00441BE5"/>
    <w:rsid w:val="00441FDF"/>
    <w:rsid w:val="0044246A"/>
    <w:rsid w:val="00443541"/>
    <w:rsid w:val="00443A9C"/>
    <w:rsid w:val="00443F39"/>
    <w:rsid w:val="0044553F"/>
    <w:rsid w:val="004464DF"/>
    <w:rsid w:val="004467F2"/>
    <w:rsid w:val="0044680D"/>
    <w:rsid w:val="0044699D"/>
    <w:rsid w:val="00447778"/>
    <w:rsid w:val="004479E5"/>
    <w:rsid w:val="004501FC"/>
    <w:rsid w:val="0045078F"/>
    <w:rsid w:val="0045113F"/>
    <w:rsid w:val="00452167"/>
    <w:rsid w:val="00452502"/>
    <w:rsid w:val="004526C0"/>
    <w:rsid w:val="00452F54"/>
    <w:rsid w:val="00453761"/>
    <w:rsid w:val="00453A66"/>
    <w:rsid w:val="00453E2A"/>
    <w:rsid w:val="004541B6"/>
    <w:rsid w:val="00454950"/>
    <w:rsid w:val="00454F04"/>
    <w:rsid w:val="00455452"/>
    <w:rsid w:val="004554B0"/>
    <w:rsid w:val="00455B9C"/>
    <w:rsid w:val="004564E0"/>
    <w:rsid w:val="00456EE7"/>
    <w:rsid w:val="00457BE7"/>
    <w:rsid w:val="00457F59"/>
    <w:rsid w:val="00460575"/>
    <w:rsid w:val="0046180D"/>
    <w:rsid w:val="00461B52"/>
    <w:rsid w:val="0046287A"/>
    <w:rsid w:val="0046300F"/>
    <w:rsid w:val="0046375D"/>
    <w:rsid w:val="00463980"/>
    <w:rsid w:val="004648AD"/>
    <w:rsid w:val="004648FE"/>
    <w:rsid w:val="00465315"/>
    <w:rsid w:val="0046550B"/>
    <w:rsid w:val="00465557"/>
    <w:rsid w:val="00465870"/>
    <w:rsid w:val="00465AC8"/>
    <w:rsid w:val="00465D37"/>
    <w:rsid w:val="00466D6B"/>
    <w:rsid w:val="00466F1F"/>
    <w:rsid w:val="00466F62"/>
    <w:rsid w:val="00467051"/>
    <w:rsid w:val="00467675"/>
    <w:rsid w:val="00467807"/>
    <w:rsid w:val="0047026C"/>
    <w:rsid w:val="00470C5D"/>
    <w:rsid w:val="00470EB6"/>
    <w:rsid w:val="00471D5D"/>
    <w:rsid w:val="00471DA2"/>
    <w:rsid w:val="00472191"/>
    <w:rsid w:val="00472DD7"/>
    <w:rsid w:val="0047343F"/>
    <w:rsid w:val="004738DE"/>
    <w:rsid w:val="00473FD3"/>
    <w:rsid w:val="00474A0C"/>
    <w:rsid w:val="00474F68"/>
    <w:rsid w:val="0047518C"/>
    <w:rsid w:val="0047524F"/>
    <w:rsid w:val="00475CC4"/>
    <w:rsid w:val="00476563"/>
    <w:rsid w:val="00477AE6"/>
    <w:rsid w:val="004800F8"/>
    <w:rsid w:val="0048198E"/>
    <w:rsid w:val="00481EF4"/>
    <w:rsid w:val="00481F15"/>
    <w:rsid w:val="00482300"/>
    <w:rsid w:val="004823AE"/>
    <w:rsid w:val="00482A19"/>
    <w:rsid w:val="00482ED0"/>
    <w:rsid w:val="0048351A"/>
    <w:rsid w:val="00483B09"/>
    <w:rsid w:val="00483EBA"/>
    <w:rsid w:val="0048456A"/>
    <w:rsid w:val="004845A7"/>
    <w:rsid w:val="004850C1"/>
    <w:rsid w:val="00485227"/>
    <w:rsid w:val="004853B1"/>
    <w:rsid w:val="00485710"/>
    <w:rsid w:val="004858BC"/>
    <w:rsid w:val="004865EF"/>
    <w:rsid w:val="00486FB2"/>
    <w:rsid w:val="004902CE"/>
    <w:rsid w:val="004904E9"/>
    <w:rsid w:val="00490927"/>
    <w:rsid w:val="00491005"/>
    <w:rsid w:val="00491644"/>
    <w:rsid w:val="004919ED"/>
    <w:rsid w:val="00491CF8"/>
    <w:rsid w:val="00492005"/>
    <w:rsid w:val="0049203C"/>
    <w:rsid w:val="00492614"/>
    <w:rsid w:val="00492689"/>
    <w:rsid w:val="00492F57"/>
    <w:rsid w:val="00493B8B"/>
    <w:rsid w:val="00494634"/>
    <w:rsid w:val="00494FFB"/>
    <w:rsid w:val="004951D5"/>
    <w:rsid w:val="00495D75"/>
    <w:rsid w:val="00496DA9"/>
    <w:rsid w:val="0049778A"/>
    <w:rsid w:val="004977D7"/>
    <w:rsid w:val="004978E3"/>
    <w:rsid w:val="00497C4C"/>
    <w:rsid w:val="00497F81"/>
    <w:rsid w:val="004A017A"/>
    <w:rsid w:val="004A0DA2"/>
    <w:rsid w:val="004A1111"/>
    <w:rsid w:val="004A1659"/>
    <w:rsid w:val="004A1A3B"/>
    <w:rsid w:val="004A1C1C"/>
    <w:rsid w:val="004A2044"/>
    <w:rsid w:val="004A2074"/>
    <w:rsid w:val="004A2308"/>
    <w:rsid w:val="004A2317"/>
    <w:rsid w:val="004A2376"/>
    <w:rsid w:val="004A293D"/>
    <w:rsid w:val="004A2D63"/>
    <w:rsid w:val="004A3335"/>
    <w:rsid w:val="004A3962"/>
    <w:rsid w:val="004A46A1"/>
    <w:rsid w:val="004A48CC"/>
    <w:rsid w:val="004A49E2"/>
    <w:rsid w:val="004A52BF"/>
    <w:rsid w:val="004A591A"/>
    <w:rsid w:val="004A62F9"/>
    <w:rsid w:val="004A65B9"/>
    <w:rsid w:val="004A6DF6"/>
    <w:rsid w:val="004A70B6"/>
    <w:rsid w:val="004B093C"/>
    <w:rsid w:val="004B09F6"/>
    <w:rsid w:val="004B0AC8"/>
    <w:rsid w:val="004B0D73"/>
    <w:rsid w:val="004B127A"/>
    <w:rsid w:val="004B1550"/>
    <w:rsid w:val="004B1751"/>
    <w:rsid w:val="004B2707"/>
    <w:rsid w:val="004B27FB"/>
    <w:rsid w:val="004B35B0"/>
    <w:rsid w:val="004B455F"/>
    <w:rsid w:val="004B467B"/>
    <w:rsid w:val="004B48E1"/>
    <w:rsid w:val="004B4F0D"/>
    <w:rsid w:val="004B4F1E"/>
    <w:rsid w:val="004B5210"/>
    <w:rsid w:val="004B5535"/>
    <w:rsid w:val="004B6D32"/>
    <w:rsid w:val="004B7464"/>
    <w:rsid w:val="004B751F"/>
    <w:rsid w:val="004B75BE"/>
    <w:rsid w:val="004B77CB"/>
    <w:rsid w:val="004C004A"/>
    <w:rsid w:val="004C00ED"/>
    <w:rsid w:val="004C0F4B"/>
    <w:rsid w:val="004C103E"/>
    <w:rsid w:val="004C10FA"/>
    <w:rsid w:val="004C2951"/>
    <w:rsid w:val="004C3B86"/>
    <w:rsid w:val="004C3FE6"/>
    <w:rsid w:val="004C4EFD"/>
    <w:rsid w:val="004C5015"/>
    <w:rsid w:val="004C52E8"/>
    <w:rsid w:val="004C570C"/>
    <w:rsid w:val="004C5728"/>
    <w:rsid w:val="004C5D95"/>
    <w:rsid w:val="004C6662"/>
    <w:rsid w:val="004C6846"/>
    <w:rsid w:val="004C70DB"/>
    <w:rsid w:val="004C734F"/>
    <w:rsid w:val="004C769F"/>
    <w:rsid w:val="004D010B"/>
    <w:rsid w:val="004D056F"/>
    <w:rsid w:val="004D1073"/>
    <w:rsid w:val="004D1D98"/>
    <w:rsid w:val="004D2972"/>
    <w:rsid w:val="004D2D3B"/>
    <w:rsid w:val="004D347A"/>
    <w:rsid w:val="004D3AC5"/>
    <w:rsid w:val="004D4EE4"/>
    <w:rsid w:val="004D62D2"/>
    <w:rsid w:val="004D67A2"/>
    <w:rsid w:val="004D68F8"/>
    <w:rsid w:val="004D6D3A"/>
    <w:rsid w:val="004E0376"/>
    <w:rsid w:val="004E0863"/>
    <w:rsid w:val="004E0939"/>
    <w:rsid w:val="004E0C4B"/>
    <w:rsid w:val="004E0EE7"/>
    <w:rsid w:val="004E17FD"/>
    <w:rsid w:val="004E1AA6"/>
    <w:rsid w:val="004E1C0B"/>
    <w:rsid w:val="004E1F5B"/>
    <w:rsid w:val="004E2FE2"/>
    <w:rsid w:val="004E3120"/>
    <w:rsid w:val="004E3C55"/>
    <w:rsid w:val="004E3DAB"/>
    <w:rsid w:val="004E3E5A"/>
    <w:rsid w:val="004E4827"/>
    <w:rsid w:val="004E4AA9"/>
    <w:rsid w:val="004E4FCA"/>
    <w:rsid w:val="004E506D"/>
    <w:rsid w:val="004E6034"/>
    <w:rsid w:val="004E67D9"/>
    <w:rsid w:val="004E6ED0"/>
    <w:rsid w:val="004F0EC0"/>
    <w:rsid w:val="004F1018"/>
    <w:rsid w:val="004F1218"/>
    <w:rsid w:val="004F2195"/>
    <w:rsid w:val="004F2503"/>
    <w:rsid w:val="004F288F"/>
    <w:rsid w:val="004F3077"/>
    <w:rsid w:val="004F3DE9"/>
    <w:rsid w:val="004F3E35"/>
    <w:rsid w:val="004F3E74"/>
    <w:rsid w:val="004F4401"/>
    <w:rsid w:val="004F45B5"/>
    <w:rsid w:val="004F5222"/>
    <w:rsid w:val="004F601F"/>
    <w:rsid w:val="004F6525"/>
    <w:rsid w:val="004F6F66"/>
    <w:rsid w:val="004F7129"/>
    <w:rsid w:val="004F7470"/>
    <w:rsid w:val="004F7BB3"/>
    <w:rsid w:val="00500024"/>
    <w:rsid w:val="00500138"/>
    <w:rsid w:val="00500555"/>
    <w:rsid w:val="0050107F"/>
    <w:rsid w:val="00502014"/>
    <w:rsid w:val="005029D8"/>
    <w:rsid w:val="00502B3D"/>
    <w:rsid w:val="00502EA1"/>
    <w:rsid w:val="005039D5"/>
    <w:rsid w:val="00504648"/>
    <w:rsid w:val="005046B6"/>
    <w:rsid w:val="005052BB"/>
    <w:rsid w:val="00505858"/>
    <w:rsid w:val="0050592D"/>
    <w:rsid w:val="0050638A"/>
    <w:rsid w:val="0050652C"/>
    <w:rsid w:val="00506E7D"/>
    <w:rsid w:val="00506E9F"/>
    <w:rsid w:val="00507072"/>
    <w:rsid w:val="0050796A"/>
    <w:rsid w:val="00511228"/>
    <w:rsid w:val="00511244"/>
    <w:rsid w:val="0051180A"/>
    <w:rsid w:val="005125C3"/>
    <w:rsid w:val="0051271E"/>
    <w:rsid w:val="005133F8"/>
    <w:rsid w:val="00514692"/>
    <w:rsid w:val="00515663"/>
    <w:rsid w:val="00516357"/>
    <w:rsid w:val="00516B47"/>
    <w:rsid w:val="00517843"/>
    <w:rsid w:val="00517933"/>
    <w:rsid w:val="005201E8"/>
    <w:rsid w:val="0052036C"/>
    <w:rsid w:val="005205DA"/>
    <w:rsid w:val="005214BD"/>
    <w:rsid w:val="00521947"/>
    <w:rsid w:val="00521A04"/>
    <w:rsid w:val="00522102"/>
    <w:rsid w:val="00522D83"/>
    <w:rsid w:val="00522EEB"/>
    <w:rsid w:val="00523816"/>
    <w:rsid w:val="0052384B"/>
    <w:rsid w:val="0052391F"/>
    <w:rsid w:val="00523F50"/>
    <w:rsid w:val="00524E0B"/>
    <w:rsid w:val="00525DA2"/>
    <w:rsid w:val="0052651E"/>
    <w:rsid w:val="0052674B"/>
    <w:rsid w:val="00527D10"/>
    <w:rsid w:val="00527E98"/>
    <w:rsid w:val="00530642"/>
    <w:rsid w:val="00530CE5"/>
    <w:rsid w:val="00530FDA"/>
    <w:rsid w:val="00531485"/>
    <w:rsid w:val="0053159F"/>
    <w:rsid w:val="005319D6"/>
    <w:rsid w:val="00532219"/>
    <w:rsid w:val="00532751"/>
    <w:rsid w:val="0053276A"/>
    <w:rsid w:val="00532E3E"/>
    <w:rsid w:val="005339BD"/>
    <w:rsid w:val="005346CD"/>
    <w:rsid w:val="00534C16"/>
    <w:rsid w:val="00534E93"/>
    <w:rsid w:val="005351FA"/>
    <w:rsid w:val="00535BFE"/>
    <w:rsid w:val="00536952"/>
    <w:rsid w:val="00536C8A"/>
    <w:rsid w:val="00536F54"/>
    <w:rsid w:val="0053722A"/>
    <w:rsid w:val="005378FE"/>
    <w:rsid w:val="00537C28"/>
    <w:rsid w:val="005404F6"/>
    <w:rsid w:val="00541526"/>
    <w:rsid w:val="00541755"/>
    <w:rsid w:val="00541B1E"/>
    <w:rsid w:val="00541E97"/>
    <w:rsid w:val="00543770"/>
    <w:rsid w:val="00543EF5"/>
    <w:rsid w:val="00544155"/>
    <w:rsid w:val="0054603C"/>
    <w:rsid w:val="005469A3"/>
    <w:rsid w:val="005474ED"/>
    <w:rsid w:val="00547C58"/>
    <w:rsid w:val="00547D95"/>
    <w:rsid w:val="005501D5"/>
    <w:rsid w:val="0055107F"/>
    <w:rsid w:val="00551A07"/>
    <w:rsid w:val="00551EA7"/>
    <w:rsid w:val="00551EF3"/>
    <w:rsid w:val="00552BCF"/>
    <w:rsid w:val="00552C58"/>
    <w:rsid w:val="00552D07"/>
    <w:rsid w:val="00552E97"/>
    <w:rsid w:val="00553986"/>
    <w:rsid w:val="005539A0"/>
    <w:rsid w:val="00553ED7"/>
    <w:rsid w:val="005548FC"/>
    <w:rsid w:val="0055574E"/>
    <w:rsid w:val="00555D77"/>
    <w:rsid w:val="00555EF5"/>
    <w:rsid w:val="0055636F"/>
    <w:rsid w:val="0055651A"/>
    <w:rsid w:val="005566AC"/>
    <w:rsid w:val="0055740D"/>
    <w:rsid w:val="00557473"/>
    <w:rsid w:val="005574BC"/>
    <w:rsid w:val="0055758A"/>
    <w:rsid w:val="00557C17"/>
    <w:rsid w:val="00557DB4"/>
    <w:rsid w:val="00560132"/>
    <w:rsid w:val="005602EB"/>
    <w:rsid w:val="005612EB"/>
    <w:rsid w:val="0056130A"/>
    <w:rsid w:val="005617ED"/>
    <w:rsid w:val="00561EFE"/>
    <w:rsid w:val="00562F57"/>
    <w:rsid w:val="005638EF"/>
    <w:rsid w:val="0056404D"/>
    <w:rsid w:val="00564A3E"/>
    <w:rsid w:val="0056633B"/>
    <w:rsid w:val="00567645"/>
    <w:rsid w:val="00567753"/>
    <w:rsid w:val="00570294"/>
    <w:rsid w:val="005709AD"/>
    <w:rsid w:val="005710C0"/>
    <w:rsid w:val="005714C6"/>
    <w:rsid w:val="0057158F"/>
    <w:rsid w:val="00572986"/>
    <w:rsid w:val="005733EF"/>
    <w:rsid w:val="00573ECA"/>
    <w:rsid w:val="00574EEF"/>
    <w:rsid w:val="00575218"/>
    <w:rsid w:val="00575657"/>
    <w:rsid w:val="00576109"/>
    <w:rsid w:val="005761B8"/>
    <w:rsid w:val="00576CC3"/>
    <w:rsid w:val="00577302"/>
    <w:rsid w:val="005773C8"/>
    <w:rsid w:val="00577718"/>
    <w:rsid w:val="00577C05"/>
    <w:rsid w:val="005800CA"/>
    <w:rsid w:val="00580195"/>
    <w:rsid w:val="0058023E"/>
    <w:rsid w:val="00580293"/>
    <w:rsid w:val="00580895"/>
    <w:rsid w:val="00580F2C"/>
    <w:rsid w:val="00581F3E"/>
    <w:rsid w:val="00582D65"/>
    <w:rsid w:val="005830EE"/>
    <w:rsid w:val="00583768"/>
    <w:rsid w:val="00584099"/>
    <w:rsid w:val="005846B1"/>
    <w:rsid w:val="005851C3"/>
    <w:rsid w:val="00585479"/>
    <w:rsid w:val="0058599C"/>
    <w:rsid w:val="005867E7"/>
    <w:rsid w:val="00586FEC"/>
    <w:rsid w:val="005876C1"/>
    <w:rsid w:val="00590585"/>
    <w:rsid w:val="00591DFD"/>
    <w:rsid w:val="0059282A"/>
    <w:rsid w:val="00592BD0"/>
    <w:rsid w:val="0059409A"/>
    <w:rsid w:val="005942C3"/>
    <w:rsid w:val="005956F3"/>
    <w:rsid w:val="005957EF"/>
    <w:rsid w:val="0059622E"/>
    <w:rsid w:val="00596C92"/>
    <w:rsid w:val="00596CD8"/>
    <w:rsid w:val="0059710A"/>
    <w:rsid w:val="00597346"/>
    <w:rsid w:val="005973DC"/>
    <w:rsid w:val="00597707"/>
    <w:rsid w:val="005A10F1"/>
    <w:rsid w:val="005A13F6"/>
    <w:rsid w:val="005A1F23"/>
    <w:rsid w:val="005A22DB"/>
    <w:rsid w:val="005A2367"/>
    <w:rsid w:val="005A2F0B"/>
    <w:rsid w:val="005A387E"/>
    <w:rsid w:val="005A48E0"/>
    <w:rsid w:val="005A4B00"/>
    <w:rsid w:val="005A4FC4"/>
    <w:rsid w:val="005A6916"/>
    <w:rsid w:val="005A6E58"/>
    <w:rsid w:val="005A7208"/>
    <w:rsid w:val="005A7CCF"/>
    <w:rsid w:val="005B0AE0"/>
    <w:rsid w:val="005B0B8D"/>
    <w:rsid w:val="005B0CD2"/>
    <w:rsid w:val="005B1C91"/>
    <w:rsid w:val="005B1D83"/>
    <w:rsid w:val="005B1E6D"/>
    <w:rsid w:val="005B1E70"/>
    <w:rsid w:val="005B27C8"/>
    <w:rsid w:val="005B2D82"/>
    <w:rsid w:val="005B3529"/>
    <w:rsid w:val="005B373D"/>
    <w:rsid w:val="005B425E"/>
    <w:rsid w:val="005B4844"/>
    <w:rsid w:val="005B4CFE"/>
    <w:rsid w:val="005B4F70"/>
    <w:rsid w:val="005B57F2"/>
    <w:rsid w:val="005B5AF7"/>
    <w:rsid w:val="005B5ED1"/>
    <w:rsid w:val="005B6FA7"/>
    <w:rsid w:val="005B72FA"/>
    <w:rsid w:val="005B7CFE"/>
    <w:rsid w:val="005C1B62"/>
    <w:rsid w:val="005C1CB6"/>
    <w:rsid w:val="005C27FF"/>
    <w:rsid w:val="005C2E14"/>
    <w:rsid w:val="005C3084"/>
    <w:rsid w:val="005C4D2E"/>
    <w:rsid w:val="005C4F24"/>
    <w:rsid w:val="005C57D9"/>
    <w:rsid w:val="005C5CDA"/>
    <w:rsid w:val="005C5E8D"/>
    <w:rsid w:val="005C62A4"/>
    <w:rsid w:val="005C64EE"/>
    <w:rsid w:val="005C6526"/>
    <w:rsid w:val="005C6ECC"/>
    <w:rsid w:val="005C73D7"/>
    <w:rsid w:val="005C7BA4"/>
    <w:rsid w:val="005C7FEC"/>
    <w:rsid w:val="005D01D1"/>
    <w:rsid w:val="005D13F8"/>
    <w:rsid w:val="005D1625"/>
    <w:rsid w:val="005D19E4"/>
    <w:rsid w:val="005D25CD"/>
    <w:rsid w:val="005D31E1"/>
    <w:rsid w:val="005D40FB"/>
    <w:rsid w:val="005D585A"/>
    <w:rsid w:val="005D5C0A"/>
    <w:rsid w:val="005D5CDC"/>
    <w:rsid w:val="005D6306"/>
    <w:rsid w:val="005D6668"/>
    <w:rsid w:val="005D78F6"/>
    <w:rsid w:val="005D7ADD"/>
    <w:rsid w:val="005D7B80"/>
    <w:rsid w:val="005E0652"/>
    <w:rsid w:val="005E065F"/>
    <w:rsid w:val="005E0AA6"/>
    <w:rsid w:val="005E0DAA"/>
    <w:rsid w:val="005E12D8"/>
    <w:rsid w:val="005E2C32"/>
    <w:rsid w:val="005E3C70"/>
    <w:rsid w:val="005E59B2"/>
    <w:rsid w:val="005E623B"/>
    <w:rsid w:val="005E6737"/>
    <w:rsid w:val="005E68E0"/>
    <w:rsid w:val="005E7716"/>
    <w:rsid w:val="005E7781"/>
    <w:rsid w:val="005E793B"/>
    <w:rsid w:val="005F02D8"/>
    <w:rsid w:val="005F037B"/>
    <w:rsid w:val="005F04D6"/>
    <w:rsid w:val="005F0CAB"/>
    <w:rsid w:val="005F1B2E"/>
    <w:rsid w:val="005F1E06"/>
    <w:rsid w:val="005F2225"/>
    <w:rsid w:val="005F27F8"/>
    <w:rsid w:val="005F2AA4"/>
    <w:rsid w:val="005F2D11"/>
    <w:rsid w:val="005F2D6A"/>
    <w:rsid w:val="005F3085"/>
    <w:rsid w:val="005F3B5A"/>
    <w:rsid w:val="005F6974"/>
    <w:rsid w:val="006001E5"/>
    <w:rsid w:val="00600B12"/>
    <w:rsid w:val="006014F2"/>
    <w:rsid w:val="00601628"/>
    <w:rsid w:val="006022FD"/>
    <w:rsid w:val="0060239F"/>
    <w:rsid w:val="00602913"/>
    <w:rsid w:val="00603DC8"/>
    <w:rsid w:val="0060403E"/>
    <w:rsid w:val="0060413C"/>
    <w:rsid w:val="00606484"/>
    <w:rsid w:val="006065C5"/>
    <w:rsid w:val="00607254"/>
    <w:rsid w:val="006076DC"/>
    <w:rsid w:val="00607777"/>
    <w:rsid w:val="00607DFE"/>
    <w:rsid w:val="0061074A"/>
    <w:rsid w:val="00610B64"/>
    <w:rsid w:val="00610E9D"/>
    <w:rsid w:val="0061142E"/>
    <w:rsid w:val="00611582"/>
    <w:rsid w:val="0061158E"/>
    <w:rsid w:val="006115FB"/>
    <w:rsid w:val="00611A7F"/>
    <w:rsid w:val="00612D20"/>
    <w:rsid w:val="0061316A"/>
    <w:rsid w:val="00613D59"/>
    <w:rsid w:val="00614BCD"/>
    <w:rsid w:val="0061574C"/>
    <w:rsid w:val="00615E10"/>
    <w:rsid w:val="00615E68"/>
    <w:rsid w:val="00615EA1"/>
    <w:rsid w:val="006161FE"/>
    <w:rsid w:val="006165E3"/>
    <w:rsid w:val="00616674"/>
    <w:rsid w:val="00616AE9"/>
    <w:rsid w:val="00616B26"/>
    <w:rsid w:val="00616BDA"/>
    <w:rsid w:val="00616E66"/>
    <w:rsid w:val="00617EEA"/>
    <w:rsid w:val="006200D4"/>
    <w:rsid w:val="00621BFB"/>
    <w:rsid w:val="00621C19"/>
    <w:rsid w:val="00621C4E"/>
    <w:rsid w:val="0062201D"/>
    <w:rsid w:val="00622B62"/>
    <w:rsid w:val="0062323C"/>
    <w:rsid w:val="00623249"/>
    <w:rsid w:val="00623567"/>
    <w:rsid w:val="00623C4B"/>
    <w:rsid w:val="0062413E"/>
    <w:rsid w:val="006242B7"/>
    <w:rsid w:val="006243D4"/>
    <w:rsid w:val="00624F68"/>
    <w:rsid w:val="00625F2B"/>
    <w:rsid w:val="00626576"/>
    <w:rsid w:val="00626892"/>
    <w:rsid w:val="00626A1F"/>
    <w:rsid w:val="00626B8C"/>
    <w:rsid w:val="0062703F"/>
    <w:rsid w:val="00627470"/>
    <w:rsid w:val="0062768E"/>
    <w:rsid w:val="006278B7"/>
    <w:rsid w:val="00630559"/>
    <w:rsid w:val="00630F08"/>
    <w:rsid w:val="00631766"/>
    <w:rsid w:val="00631BB0"/>
    <w:rsid w:val="00631BC1"/>
    <w:rsid w:val="00632421"/>
    <w:rsid w:val="00632735"/>
    <w:rsid w:val="00633016"/>
    <w:rsid w:val="006345F1"/>
    <w:rsid w:val="00634BF4"/>
    <w:rsid w:val="0063557A"/>
    <w:rsid w:val="00635F84"/>
    <w:rsid w:val="00636A13"/>
    <w:rsid w:val="00637B55"/>
    <w:rsid w:val="00637D22"/>
    <w:rsid w:val="00640A5F"/>
    <w:rsid w:val="00641F2A"/>
    <w:rsid w:val="00641FAE"/>
    <w:rsid w:val="006423FA"/>
    <w:rsid w:val="00642966"/>
    <w:rsid w:val="00643054"/>
    <w:rsid w:val="0064340E"/>
    <w:rsid w:val="00643BD2"/>
    <w:rsid w:val="00643BE3"/>
    <w:rsid w:val="00643E74"/>
    <w:rsid w:val="00643EDC"/>
    <w:rsid w:val="00644506"/>
    <w:rsid w:val="00644B7F"/>
    <w:rsid w:val="00645991"/>
    <w:rsid w:val="00645C7F"/>
    <w:rsid w:val="00646641"/>
    <w:rsid w:val="006470FD"/>
    <w:rsid w:val="00647989"/>
    <w:rsid w:val="00650A32"/>
    <w:rsid w:val="00650F16"/>
    <w:rsid w:val="006510EA"/>
    <w:rsid w:val="00651414"/>
    <w:rsid w:val="00651D96"/>
    <w:rsid w:val="0065266D"/>
    <w:rsid w:val="00652B6E"/>
    <w:rsid w:val="00652BCE"/>
    <w:rsid w:val="00653E25"/>
    <w:rsid w:val="00653F60"/>
    <w:rsid w:val="0065423B"/>
    <w:rsid w:val="006543A8"/>
    <w:rsid w:val="006547B1"/>
    <w:rsid w:val="00655C07"/>
    <w:rsid w:val="0065641A"/>
    <w:rsid w:val="006565E0"/>
    <w:rsid w:val="006567E9"/>
    <w:rsid w:val="00656B0D"/>
    <w:rsid w:val="006610C8"/>
    <w:rsid w:val="006611B0"/>
    <w:rsid w:val="0066133E"/>
    <w:rsid w:val="0066148B"/>
    <w:rsid w:val="0066150C"/>
    <w:rsid w:val="00661CD9"/>
    <w:rsid w:val="0066223D"/>
    <w:rsid w:val="00662B57"/>
    <w:rsid w:val="00662F8C"/>
    <w:rsid w:val="00664A07"/>
    <w:rsid w:val="00665727"/>
    <w:rsid w:val="00666C30"/>
    <w:rsid w:val="006674F6"/>
    <w:rsid w:val="006674FC"/>
    <w:rsid w:val="006675D3"/>
    <w:rsid w:val="0066795B"/>
    <w:rsid w:val="00667A6D"/>
    <w:rsid w:val="00670056"/>
    <w:rsid w:val="0067092F"/>
    <w:rsid w:val="00670BC0"/>
    <w:rsid w:val="00670CC7"/>
    <w:rsid w:val="00670F29"/>
    <w:rsid w:val="006715CF"/>
    <w:rsid w:val="00671F63"/>
    <w:rsid w:val="00672078"/>
    <w:rsid w:val="00672375"/>
    <w:rsid w:val="00672E2C"/>
    <w:rsid w:val="006739FE"/>
    <w:rsid w:val="00674A49"/>
    <w:rsid w:val="00674B53"/>
    <w:rsid w:val="00674DB9"/>
    <w:rsid w:val="0067501C"/>
    <w:rsid w:val="00675481"/>
    <w:rsid w:val="00676368"/>
    <w:rsid w:val="00676420"/>
    <w:rsid w:val="00676A80"/>
    <w:rsid w:val="0067756C"/>
    <w:rsid w:val="00680311"/>
    <w:rsid w:val="006804C8"/>
    <w:rsid w:val="006805B8"/>
    <w:rsid w:val="00681C48"/>
    <w:rsid w:val="00682149"/>
    <w:rsid w:val="00682A7A"/>
    <w:rsid w:val="00682ECC"/>
    <w:rsid w:val="0068349C"/>
    <w:rsid w:val="0068359B"/>
    <w:rsid w:val="00684D40"/>
    <w:rsid w:val="006850C1"/>
    <w:rsid w:val="00685E67"/>
    <w:rsid w:val="00685FAE"/>
    <w:rsid w:val="0068630B"/>
    <w:rsid w:val="006876FE"/>
    <w:rsid w:val="00687BD6"/>
    <w:rsid w:val="0069129E"/>
    <w:rsid w:val="006927C1"/>
    <w:rsid w:val="0069342A"/>
    <w:rsid w:val="00693E3F"/>
    <w:rsid w:val="0069474B"/>
    <w:rsid w:val="00694B9A"/>
    <w:rsid w:val="00694E72"/>
    <w:rsid w:val="00695856"/>
    <w:rsid w:val="006964F9"/>
    <w:rsid w:val="00696DEB"/>
    <w:rsid w:val="006A09F9"/>
    <w:rsid w:val="006A2222"/>
    <w:rsid w:val="006A300B"/>
    <w:rsid w:val="006A3F28"/>
    <w:rsid w:val="006A458B"/>
    <w:rsid w:val="006A48F3"/>
    <w:rsid w:val="006A49BB"/>
    <w:rsid w:val="006A4DCD"/>
    <w:rsid w:val="006A4F55"/>
    <w:rsid w:val="006A5BB7"/>
    <w:rsid w:val="006A5C47"/>
    <w:rsid w:val="006A65A4"/>
    <w:rsid w:val="006A6630"/>
    <w:rsid w:val="006A699E"/>
    <w:rsid w:val="006A6B39"/>
    <w:rsid w:val="006A6BDB"/>
    <w:rsid w:val="006A6F3E"/>
    <w:rsid w:val="006A753F"/>
    <w:rsid w:val="006B0095"/>
    <w:rsid w:val="006B08C4"/>
    <w:rsid w:val="006B0BBA"/>
    <w:rsid w:val="006B1233"/>
    <w:rsid w:val="006B133E"/>
    <w:rsid w:val="006B1430"/>
    <w:rsid w:val="006B1F54"/>
    <w:rsid w:val="006B2A0C"/>
    <w:rsid w:val="006B36C5"/>
    <w:rsid w:val="006B3A86"/>
    <w:rsid w:val="006B3F57"/>
    <w:rsid w:val="006B4F71"/>
    <w:rsid w:val="006B5E95"/>
    <w:rsid w:val="006B6256"/>
    <w:rsid w:val="006B679B"/>
    <w:rsid w:val="006B67C5"/>
    <w:rsid w:val="006B6E18"/>
    <w:rsid w:val="006C04C4"/>
    <w:rsid w:val="006C0551"/>
    <w:rsid w:val="006C09FD"/>
    <w:rsid w:val="006C0D07"/>
    <w:rsid w:val="006C1248"/>
    <w:rsid w:val="006C152B"/>
    <w:rsid w:val="006C25C7"/>
    <w:rsid w:val="006C3026"/>
    <w:rsid w:val="006C3968"/>
    <w:rsid w:val="006C3981"/>
    <w:rsid w:val="006C43F9"/>
    <w:rsid w:val="006C4AEB"/>
    <w:rsid w:val="006C5789"/>
    <w:rsid w:val="006C59B1"/>
    <w:rsid w:val="006C5E1E"/>
    <w:rsid w:val="006C6E9C"/>
    <w:rsid w:val="006C70E8"/>
    <w:rsid w:val="006C7845"/>
    <w:rsid w:val="006D0847"/>
    <w:rsid w:val="006D0A2D"/>
    <w:rsid w:val="006D0B1F"/>
    <w:rsid w:val="006D0C68"/>
    <w:rsid w:val="006D0CE9"/>
    <w:rsid w:val="006D0D90"/>
    <w:rsid w:val="006D0FB7"/>
    <w:rsid w:val="006D2A98"/>
    <w:rsid w:val="006D31E7"/>
    <w:rsid w:val="006D36AB"/>
    <w:rsid w:val="006D4537"/>
    <w:rsid w:val="006D475C"/>
    <w:rsid w:val="006D530B"/>
    <w:rsid w:val="006D5EE2"/>
    <w:rsid w:val="006D6F3B"/>
    <w:rsid w:val="006D77CC"/>
    <w:rsid w:val="006D795E"/>
    <w:rsid w:val="006D7BA5"/>
    <w:rsid w:val="006E02F9"/>
    <w:rsid w:val="006E05BE"/>
    <w:rsid w:val="006E0682"/>
    <w:rsid w:val="006E10B8"/>
    <w:rsid w:val="006E1A78"/>
    <w:rsid w:val="006E230D"/>
    <w:rsid w:val="006E24A4"/>
    <w:rsid w:val="006E26D1"/>
    <w:rsid w:val="006E39A4"/>
    <w:rsid w:val="006E463C"/>
    <w:rsid w:val="006E5B12"/>
    <w:rsid w:val="006E6069"/>
    <w:rsid w:val="006E6D62"/>
    <w:rsid w:val="006E7372"/>
    <w:rsid w:val="006E74B9"/>
    <w:rsid w:val="006E7B54"/>
    <w:rsid w:val="006F11C9"/>
    <w:rsid w:val="006F1B0E"/>
    <w:rsid w:val="006F1BFB"/>
    <w:rsid w:val="006F1D97"/>
    <w:rsid w:val="006F213F"/>
    <w:rsid w:val="006F230C"/>
    <w:rsid w:val="006F27D9"/>
    <w:rsid w:val="006F3751"/>
    <w:rsid w:val="006F410C"/>
    <w:rsid w:val="006F4393"/>
    <w:rsid w:val="006F4883"/>
    <w:rsid w:val="006F4C29"/>
    <w:rsid w:val="006F54DC"/>
    <w:rsid w:val="006F5654"/>
    <w:rsid w:val="006F6307"/>
    <w:rsid w:val="006F79B7"/>
    <w:rsid w:val="006F7EE2"/>
    <w:rsid w:val="0070020A"/>
    <w:rsid w:val="007006B6"/>
    <w:rsid w:val="00700D2D"/>
    <w:rsid w:val="00702D77"/>
    <w:rsid w:val="00702F41"/>
    <w:rsid w:val="00703904"/>
    <w:rsid w:val="00704336"/>
    <w:rsid w:val="00704663"/>
    <w:rsid w:val="0070492B"/>
    <w:rsid w:val="00705F78"/>
    <w:rsid w:val="00706153"/>
    <w:rsid w:val="007061AD"/>
    <w:rsid w:val="007067FE"/>
    <w:rsid w:val="0070708A"/>
    <w:rsid w:val="0070729D"/>
    <w:rsid w:val="007075D8"/>
    <w:rsid w:val="00707E7A"/>
    <w:rsid w:val="00707F4D"/>
    <w:rsid w:val="00710004"/>
    <w:rsid w:val="007103E8"/>
    <w:rsid w:val="007108A8"/>
    <w:rsid w:val="007122C6"/>
    <w:rsid w:val="00712972"/>
    <w:rsid w:val="007129F3"/>
    <w:rsid w:val="00712FEA"/>
    <w:rsid w:val="0071300C"/>
    <w:rsid w:val="007138E1"/>
    <w:rsid w:val="007143CA"/>
    <w:rsid w:val="007145B2"/>
    <w:rsid w:val="00714B42"/>
    <w:rsid w:val="00714DD6"/>
    <w:rsid w:val="00715C55"/>
    <w:rsid w:val="007168A2"/>
    <w:rsid w:val="00716A93"/>
    <w:rsid w:val="00716E48"/>
    <w:rsid w:val="0071782F"/>
    <w:rsid w:val="00717F28"/>
    <w:rsid w:val="0072019B"/>
    <w:rsid w:val="007216A8"/>
    <w:rsid w:val="00721E6E"/>
    <w:rsid w:val="00721EAB"/>
    <w:rsid w:val="00722B92"/>
    <w:rsid w:val="0072341F"/>
    <w:rsid w:val="00723785"/>
    <w:rsid w:val="007239A3"/>
    <w:rsid w:val="00723AA4"/>
    <w:rsid w:val="00723ABD"/>
    <w:rsid w:val="00724F55"/>
    <w:rsid w:val="00725FA1"/>
    <w:rsid w:val="0072614F"/>
    <w:rsid w:val="00726539"/>
    <w:rsid w:val="007269CA"/>
    <w:rsid w:val="00726C9D"/>
    <w:rsid w:val="00727183"/>
    <w:rsid w:val="007300C3"/>
    <w:rsid w:val="007302DE"/>
    <w:rsid w:val="00730613"/>
    <w:rsid w:val="007308B9"/>
    <w:rsid w:val="00730A71"/>
    <w:rsid w:val="00731BAE"/>
    <w:rsid w:val="00731D5D"/>
    <w:rsid w:val="00731FF2"/>
    <w:rsid w:val="0073249C"/>
    <w:rsid w:val="00732C4B"/>
    <w:rsid w:val="00732C79"/>
    <w:rsid w:val="0073347E"/>
    <w:rsid w:val="00733E26"/>
    <w:rsid w:val="0073489B"/>
    <w:rsid w:val="00734CA4"/>
    <w:rsid w:val="00734D06"/>
    <w:rsid w:val="00734D9F"/>
    <w:rsid w:val="0073511B"/>
    <w:rsid w:val="00735F6B"/>
    <w:rsid w:val="007365C5"/>
    <w:rsid w:val="00737901"/>
    <w:rsid w:val="00737A12"/>
    <w:rsid w:val="00737AB7"/>
    <w:rsid w:val="007402CA"/>
    <w:rsid w:val="007402D4"/>
    <w:rsid w:val="00740884"/>
    <w:rsid w:val="00740C58"/>
    <w:rsid w:val="00740FAB"/>
    <w:rsid w:val="007410E5"/>
    <w:rsid w:val="00741238"/>
    <w:rsid w:val="00741414"/>
    <w:rsid w:val="00741C08"/>
    <w:rsid w:val="00742E0B"/>
    <w:rsid w:val="007430A3"/>
    <w:rsid w:val="007435DE"/>
    <w:rsid w:val="00743CC0"/>
    <w:rsid w:val="00743F07"/>
    <w:rsid w:val="007442D8"/>
    <w:rsid w:val="007449E7"/>
    <w:rsid w:val="00744A16"/>
    <w:rsid w:val="00744CC3"/>
    <w:rsid w:val="00745163"/>
    <w:rsid w:val="0074596E"/>
    <w:rsid w:val="00746A85"/>
    <w:rsid w:val="007476B1"/>
    <w:rsid w:val="007479C4"/>
    <w:rsid w:val="00747D09"/>
    <w:rsid w:val="0075017F"/>
    <w:rsid w:val="00750634"/>
    <w:rsid w:val="0075078A"/>
    <w:rsid w:val="00750959"/>
    <w:rsid w:val="00751C78"/>
    <w:rsid w:val="00751D63"/>
    <w:rsid w:val="00751EE4"/>
    <w:rsid w:val="00751F71"/>
    <w:rsid w:val="00755DF0"/>
    <w:rsid w:val="00756332"/>
    <w:rsid w:val="00756EE3"/>
    <w:rsid w:val="007575BC"/>
    <w:rsid w:val="00760419"/>
    <w:rsid w:val="007604F7"/>
    <w:rsid w:val="0076122F"/>
    <w:rsid w:val="00761BF3"/>
    <w:rsid w:val="00761F49"/>
    <w:rsid w:val="0076260F"/>
    <w:rsid w:val="00762E4D"/>
    <w:rsid w:val="00763821"/>
    <w:rsid w:val="00763AD6"/>
    <w:rsid w:val="00763CBA"/>
    <w:rsid w:val="00763FBB"/>
    <w:rsid w:val="00764F2F"/>
    <w:rsid w:val="00765BC6"/>
    <w:rsid w:val="00765D15"/>
    <w:rsid w:val="00766971"/>
    <w:rsid w:val="007670D6"/>
    <w:rsid w:val="007675FD"/>
    <w:rsid w:val="0077027F"/>
    <w:rsid w:val="00770335"/>
    <w:rsid w:val="00770485"/>
    <w:rsid w:val="00770AA6"/>
    <w:rsid w:val="00770C29"/>
    <w:rsid w:val="00770EA4"/>
    <w:rsid w:val="00771B68"/>
    <w:rsid w:val="00772757"/>
    <w:rsid w:val="00772C3F"/>
    <w:rsid w:val="00772CFC"/>
    <w:rsid w:val="0077323A"/>
    <w:rsid w:val="007736BA"/>
    <w:rsid w:val="00774109"/>
    <w:rsid w:val="0077418B"/>
    <w:rsid w:val="00774A56"/>
    <w:rsid w:val="007756C4"/>
    <w:rsid w:val="007765C6"/>
    <w:rsid w:val="00776D33"/>
    <w:rsid w:val="00776D44"/>
    <w:rsid w:val="007779C7"/>
    <w:rsid w:val="007808ED"/>
    <w:rsid w:val="00780AE9"/>
    <w:rsid w:val="00780BA1"/>
    <w:rsid w:val="00780CFE"/>
    <w:rsid w:val="00780EEE"/>
    <w:rsid w:val="0078143C"/>
    <w:rsid w:val="00781484"/>
    <w:rsid w:val="0078187C"/>
    <w:rsid w:val="00781912"/>
    <w:rsid w:val="00783666"/>
    <w:rsid w:val="007838FD"/>
    <w:rsid w:val="007851A0"/>
    <w:rsid w:val="007853B4"/>
    <w:rsid w:val="00785647"/>
    <w:rsid w:val="007869C5"/>
    <w:rsid w:val="007874F3"/>
    <w:rsid w:val="0078768E"/>
    <w:rsid w:val="0079008B"/>
    <w:rsid w:val="00791611"/>
    <w:rsid w:val="00791AC2"/>
    <w:rsid w:val="00791CA6"/>
    <w:rsid w:val="007922FB"/>
    <w:rsid w:val="0079325F"/>
    <w:rsid w:val="00793E86"/>
    <w:rsid w:val="0079409B"/>
    <w:rsid w:val="007942D3"/>
    <w:rsid w:val="00794485"/>
    <w:rsid w:val="007947A5"/>
    <w:rsid w:val="00794C49"/>
    <w:rsid w:val="00795AAD"/>
    <w:rsid w:val="00795DCE"/>
    <w:rsid w:val="007966B9"/>
    <w:rsid w:val="007972BE"/>
    <w:rsid w:val="007972E5"/>
    <w:rsid w:val="00797B70"/>
    <w:rsid w:val="007A0F32"/>
    <w:rsid w:val="007A13D3"/>
    <w:rsid w:val="007A1658"/>
    <w:rsid w:val="007A3406"/>
    <w:rsid w:val="007A37C6"/>
    <w:rsid w:val="007A3D35"/>
    <w:rsid w:val="007A4103"/>
    <w:rsid w:val="007A44E0"/>
    <w:rsid w:val="007A4FDE"/>
    <w:rsid w:val="007A54BD"/>
    <w:rsid w:val="007A5863"/>
    <w:rsid w:val="007A5A2A"/>
    <w:rsid w:val="007A65EB"/>
    <w:rsid w:val="007A668B"/>
    <w:rsid w:val="007A6CCE"/>
    <w:rsid w:val="007A6F63"/>
    <w:rsid w:val="007A7C28"/>
    <w:rsid w:val="007A7E43"/>
    <w:rsid w:val="007B06CF"/>
    <w:rsid w:val="007B0BE5"/>
    <w:rsid w:val="007B150E"/>
    <w:rsid w:val="007B1611"/>
    <w:rsid w:val="007B1976"/>
    <w:rsid w:val="007B1D46"/>
    <w:rsid w:val="007B2F0D"/>
    <w:rsid w:val="007B35E7"/>
    <w:rsid w:val="007B36CE"/>
    <w:rsid w:val="007B39B1"/>
    <w:rsid w:val="007B401A"/>
    <w:rsid w:val="007B4623"/>
    <w:rsid w:val="007B4D20"/>
    <w:rsid w:val="007B4DCD"/>
    <w:rsid w:val="007B5720"/>
    <w:rsid w:val="007B581C"/>
    <w:rsid w:val="007B5A31"/>
    <w:rsid w:val="007B6A87"/>
    <w:rsid w:val="007B70B1"/>
    <w:rsid w:val="007B7185"/>
    <w:rsid w:val="007B73CD"/>
    <w:rsid w:val="007B7C36"/>
    <w:rsid w:val="007C0F9D"/>
    <w:rsid w:val="007C136B"/>
    <w:rsid w:val="007C1600"/>
    <w:rsid w:val="007C1C11"/>
    <w:rsid w:val="007C1EB3"/>
    <w:rsid w:val="007C2EDE"/>
    <w:rsid w:val="007C3DF7"/>
    <w:rsid w:val="007C3EAD"/>
    <w:rsid w:val="007C43BF"/>
    <w:rsid w:val="007C464D"/>
    <w:rsid w:val="007C4A68"/>
    <w:rsid w:val="007C4EB0"/>
    <w:rsid w:val="007C587D"/>
    <w:rsid w:val="007C58D6"/>
    <w:rsid w:val="007C59CE"/>
    <w:rsid w:val="007C612F"/>
    <w:rsid w:val="007C6872"/>
    <w:rsid w:val="007C6B6F"/>
    <w:rsid w:val="007C6E53"/>
    <w:rsid w:val="007C717F"/>
    <w:rsid w:val="007C729D"/>
    <w:rsid w:val="007C7BA1"/>
    <w:rsid w:val="007D07AE"/>
    <w:rsid w:val="007D0D84"/>
    <w:rsid w:val="007D0EFC"/>
    <w:rsid w:val="007D0F1F"/>
    <w:rsid w:val="007D105D"/>
    <w:rsid w:val="007D30BA"/>
    <w:rsid w:val="007D3617"/>
    <w:rsid w:val="007D4413"/>
    <w:rsid w:val="007D4983"/>
    <w:rsid w:val="007D5024"/>
    <w:rsid w:val="007D6E06"/>
    <w:rsid w:val="007D72A6"/>
    <w:rsid w:val="007D784E"/>
    <w:rsid w:val="007D7C1F"/>
    <w:rsid w:val="007E0016"/>
    <w:rsid w:val="007E00DD"/>
    <w:rsid w:val="007E04A1"/>
    <w:rsid w:val="007E08FA"/>
    <w:rsid w:val="007E0A40"/>
    <w:rsid w:val="007E0CFB"/>
    <w:rsid w:val="007E1594"/>
    <w:rsid w:val="007E1761"/>
    <w:rsid w:val="007E242D"/>
    <w:rsid w:val="007E28D7"/>
    <w:rsid w:val="007E292F"/>
    <w:rsid w:val="007E2ED4"/>
    <w:rsid w:val="007E2EF7"/>
    <w:rsid w:val="007E3118"/>
    <w:rsid w:val="007E3356"/>
    <w:rsid w:val="007E3426"/>
    <w:rsid w:val="007E4116"/>
    <w:rsid w:val="007E4667"/>
    <w:rsid w:val="007E4705"/>
    <w:rsid w:val="007E4F8F"/>
    <w:rsid w:val="007E52BB"/>
    <w:rsid w:val="007E5535"/>
    <w:rsid w:val="007E5EA2"/>
    <w:rsid w:val="007E5F96"/>
    <w:rsid w:val="007E6332"/>
    <w:rsid w:val="007E6C83"/>
    <w:rsid w:val="007F0059"/>
    <w:rsid w:val="007F08A8"/>
    <w:rsid w:val="007F0A1D"/>
    <w:rsid w:val="007F0E7F"/>
    <w:rsid w:val="007F134A"/>
    <w:rsid w:val="007F150C"/>
    <w:rsid w:val="007F2471"/>
    <w:rsid w:val="007F26FB"/>
    <w:rsid w:val="007F2762"/>
    <w:rsid w:val="007F2E39"/>
    <w:rsid w:val="007F34D2"/>
    <w:rsid w:val="007F3F49"/>
    <w:rsid w:val="007F54D8"/>
    <w:rsid w:val="007F61EF"/>
    <w:rsid w:val="007F6945"/>
    <w:rsid w:val="007F6993"/>
    <w:rsid w:val="007F6C6F"/>
    <w:rsid w:val="007F6D56"/>
    <w:rsid w:val="007F71C7"/>
    <w:rsid w:val="007F756C"/>
    <w:rsid w:val="007F7877"/>
    <w:rsid w:val="007F7CCE"/>
    <w:rsid w:val="00800771"/>
    <w:rsid w:val="00800EA5"/>
    <w:rsid w:val="008011FB"/>
    <w:rsid w:val="00801920"/>
    <w:rsid w:val="00801A6C"/>
    <w:rsid w:val="00801B5F"/>
    <w:rsid w:val="00802547"/>
    <w:rsid w:val="00804904"/>
    <w:rsid w:val="00804EAD"/>
    <w:rsid w:val="0080533F"/>
    <w:rsid w:val="00805377"/>
    <w:rsid w:val="00805CE6"/>
    <w:rsid w:val="008060D9"/>
    <w:rsid w:val="0080657A"/>
    <w:rsid w:val="00806D99"/>
    <w:rsid w:val="00807264"/>
    <w:rsid w:val="0081008C"/>
    <w:rsid w:val="008102F1"/>
    <w:rsid w:val="00810C66"/>
    <w:rsid w:val="00810EAE"/>
    <w:rsid w:val="008112AE"/>
    <w:rsid w:val="00811469"/>
    <w:rsid w:val="00811D62"/>
    <w:rsid w:val="00812262"/>
    <w:rsid w:val="00812AE0"/>
    <w:rsid w:val="00812E6C"/>
    <w:rsid w:val="00813356"/>
    <w:rsid w:val="00813D81"/>
    <w:rsid w:val="0081407F"/>
    <w:rsid w:val="00814795"/>
    <w:rsid w:val="00814924"/>
    <w:rsid w:val="00814A47"/>
    <w:rsid w:val="00814C63"/>
    <w:rsid w:val="00814D81"/>
    <w:rsid w:val="00814FEA"/>
    <w:rsid w:val="00815A7C"/>
    <w:rsid w:val="00816984"/>
    <w:rsid w:val="00816B59"/>
    <w:rsid w:val="00817DFC"/>
    <w:rsid w:val="008206DD"/>
    <w:rsid w:val="00820DD6"/>
    <w:rsid w:val="00820E68"/>
    <w:rsid w:val="008221AD"/>
    <w:rsid w:val="00822A08"/>
    <w:rsid w:val="00822E48"/>
    <w:rsid w:val="00823D1B"/>
    <w:rsid w:val="00823E8A"/>
    <w:rsid w:val="008240B1"/>
    <w:rsid w:val="0082411F"/>
    <w:rsid w:val="00824428"/>
    <w:rsid w:val="00824F58"/>
    <w:rsid w:val="00825375"/>
    <w:rsid w:val="00825643"/>
    <w:rsid w:val="00826B8A"/>
    <w:rsid w:val="00826BCF"/>
    <w:rsid w:val="00826E64"/>
    <w:rsid w:val="00826FA5"/>
    <w:rsid w:val="008276CF"/>
    <w:rsid w:val="0083050D"/>
    <w:rsid w:val="00830AB8"/>
    <w:rsid w:val="008313B1"/>
    <w:rsid w:val="00831B44"/>
    <w:rsid w:val="008322BB"/>
    <w:rsid w:val="00833109"/>
    <w:rsid w:val="008331DF"/>
    <w:rsid w:val="0083431C"/>
    <w:rsid w:val="00835277"/>
    <w:rsid w:val="0083530E"/>
    <w:rsid w:val="008358D1"/>
    <w:rsid w:val="00835D8E"/>
    <w:rsid w:val="0083686B"/>
    <w:rsid w:val="008369C7"/>
    <w:rsid w:val="008378F0"/>
    <w:rsid w:val="00837926"/>
    <w:rsid w:val="00837E03"/>
    <w:rsid w:val="00837E2D"/>
    <w:rsid w:val="0084124A"/>
    <w:rsid w:val="008417BB"/>
    <w:rsid w:val="00841C6B"/>
    <w:rsid w:val="008423C2"/>
    <w:rsid w:val="00842879"/>
    <w:rsid w:val="0084324E"/>
    <w:rsid w:val="0084466B"/>
    <w:rsid w:val="008449BE"/>
    <w:rsid w:val="00844BD3"/>
    <w:rsid w:val="00845600"/>
    <w:rsid w:val="00846033"/>
    <w:rsid w:val="00846BAB"/>
    <w:rsid w:val="00847DE1"/>
    <w:rsid w:val="008506DE"/>
    <w:rsid w:val="0085140E"/>
    <w:rsid w:val="00851425"/>
    <w:rsid w:val="00851632"/>
    <w:rsid w:val="00851B67"/>
    <w:rsid w:val="0085203D"/>
    <w:rsid w:val="008520BD"/>
    <w:rsid w:val="00852747"/>
    <w:rsid w:val="00852A28"/>
    <w:rsid w:val="00852DE7"/>
    <w:rsid w:val="00853224"/>
    <w:rsid w:val="0085362D"/>
    <w:rsid w:val="00853700"/>
    <w:rsid w:val="0085381B"/>
    <w:rsid w:val="008541D0"/>
    <w:rsid w:val="00855185"/>
    <w:rsid w:val="00855997"/>
    <w:rsid w:val="00855AA7"/>
    <w:rsid w:val="00855EAC"/>
    <w:rsid w:val="00856A47"/>
    <w:rsid w:val="00856F85"/>
    <w:rsid w:val="00857C1B"/>
    <w:rsid w:val="00857DC1"/>
    <w:rsid w:val="00857F56"/>
    <w:rsid w:val="008601E0"/>
    <w:rsid w:val="00860255"/>
    <w:rsid w:val="008613E2"/>
    <w:rsid w:val="00861822"/>
    <w:rsid w:val="0086188E"/>
    <w:rsid w:val="008618E5"/>
    <w:rsid w:val="00861AF9"/>
    <w:rsid w:val="00861DAB"/>
    <w:rsid w:val="00862939"/>
    <w:rsid w:val="00862B7F"/>
    <w:rsid w:val="00862D57"/>
    <w:rsid w:val="00862DEC"/>
    <w:rsid w:val="00862E82"/>
    <w:rsid w:val="00863304"/>
    <w:rsid w:val="00863483"/>
    <w:rsid w:val="008637E6"/>
    <w:rsid w:val="00863DB7"/>
    <w:rsid w:val="00863F41"/>
    <w:rsid w:val="00864076"/>
    <w:rsid w:val="00864290"/>
    <w:rsid w:val="00865070"/>
    <w:rsid w:val="00865979"/>
    <w:rsid w:val="008659D7"/>
    <w:rsid w:val="00865D42"/>
    <w:rsid w:val="00865F93"/>
    <w:rsid w:val="00865FAD"/>
    <w:rsid w:val="00866424"/>
    <w:rsid w:val="008665C8"/>
    <w:rsid w:val="00867FFD"/>
    <w:rsid w:val="0087016C"/>
    <w:rsid w:val="0087017D"/>
    <w:rsid w:val="00870749"/>
    <w:rsid w:val="00870775"/>
    <w:rsid w:val="00870A52"/>
    <w:rsid w:val="00870F61"/>
    <w:rsid w:val="00870FE3"/>
    <w:rsid w:val="00872C39"/>
    <w:rsid w:val="00872E42"/>
    <w:rsid w:val="00873091"/>
    <w:rsid w:val="00873147"/>
    <w:rsid w:val="0087318D"/>
    <w:rsid w:val="0087394F"/>
    <w:rsid w:val="00874179"/>
    <w:rsid w:val="008742FB"/>
    <w:rsid w:val="00874DED"/>
    <w:rsid w:val="00875052"/>
    <w:rsid w:val="00875B9D"/>
    <w:rsid w:val="00875DFB"/>
    <w:rsid w:val="00875FCF"/>
    <w:rsid w:val="008763A0"/>
    <w:rsid w:val="008766BF"/>
    <w:rsid w:val="00876D6F"/>
    <w:rsid w:val="00876ECC"/>
    <w:rsid w:val="008778C0"/>
    <w:rsid w:val="00877C4A"/>
    <w:rsid w:val="00877EB7"/>
    <w:rsid w:val="00877EF3"/>
    <w:rsid w:val="00880482"/>
    <w:rsid w:val="0088070A"/>
    <w:rsid w:val="0088082D"/>
    <w:rsid w:val="00880F21"/>
    <w:rsid w:val="00881169"/>
    <w:rsid w:val="00881AAB"/>
    <w:rsid w:val="00882AEA"/>
    <w:rsid w:val="00882B6E"/>
    <w:rsid w:val="00882D1D"/>
    <w:rsid w:val="0088335E"/>
    <w:rsid w:val="00883EDE"/>
    <w:rsid w:val="00883EF2"/>
    <w:rsid w:val="00884119"/>
    <w:rsid w:val="0088429D"/>
    <w:rsid w:val="00884459"/>
    <w:rsid w:val="00884859"/>
    <w:rsid w:val="00884980"/>
    <w:rsid w:val="00885502"/>
    <w:rsid w:val="00885807"/>
    <w:rsid w:val="008859F5"/>
    <w:rsid w:val="0088676A"/>
    <w:rsid w:val="00891267"/>
    <w:rsid w:val="0089178A"/>
    <w:rsid w:val="0089189B"/>
    <w:rsid w:val="008918D0"/>
    <w:rsid w:val="00891CE4"/>
    <w:rsid w:val="00892101"/>
    <w:rsid w:val="00892839"/>
    <w:rsid w:val="008931B7"/>
    <w:rsid w:val="00893E87"/>
    <w:rsid w:val="008947BE"/>
    <w:rsid w:val="00895A51"/>
    <w:rsid w:val="008961DC"/>
    <w:rsid w:val="0089678A"/>
    <w:rsid w:val="00896E9B"/>
    <w:rsid w:val="00897DCC"/>
    <w:rsid w:val="008A193A"/>
    <w:rsid w:val="008A1F1F"/>
    <w:rsid w:val="008A22F8"/>
    <w:rsid w:val="008A3295"/>
    <w:rsid w:val="008A32E8"/>
    <w:rsid w:val="008A3620"/>
    <w:rsid w:val="008A3684"/>
    <w:rsid w:val="008A3AD3"/>
    <w:rsid w:val="008A3AE5"/>
    <w:rsid w:val="008A3BAD"/>
    <w:rsid w:val="008A3F30"/>
    <w:rsid w:val="008A41B3"/>
    <w:rsid w:val="008A470A"/>
    <w:rsid w:val="008A4CA0"/>
    <w:rsid w:val="008A5622"/>
    <w:rsid w:val="008A630C"/>
    <w:rsid w:val="008A72EF"/>
    <w:rsid w:val="008B105F"/>
    <w:rsid w:val="008B1390"/>
    <w:rsid w:val="008B146B"/>
    <w:rsid w:val="008B1B55"/>
    <w:rsid w:val="008B1E63"/>
    <w:rsid w:val="008B1FD5"/>
    <w:rsid w:val="008B21D4"/>
    <w:rsid w:val="008B2303"/>
    <w:rsid w:val="008B2B44"/>
    <w:rsid w:val="008B3721"/>
    <w:rsid w:val="008B3918"/>
    <w:rsid w:val="008B49BD"/>
    <w:rsid w:val="008B4B41"/>
    <w:rsid w:val="008B5614"/>
    <w:rsid w:val="008B5B66"/>
    <w:rsid w:val="008B5F3F"/>
    <w:rsid w:val="008B6265"/>
    <w:rsid w:val="008B6368"/>
    <w:rsid w:val="008B6882"/>
    <w:rsid w:val="008B71F1"/>
    <w:rsid w:val="008B74F8"/>
    <w:rsid w:val="008B765D"/>
    <w:rsid w:val="008C039C"/>
    <w:rsid w:val="008C060C"/>
    <w:rsid w:val="008C082D"/>
    <w:rsid w:val="008C0C22"/>
    <w:rsid w:val="008C1A49"/>
    <w:rsid w:val="008C2C06"/>
    <w:rsid w:val="008C2D0C"/>
    <w:rsid w:val="008C3203"/>
    <w:rsid w:val="008C3D54"/>
    <w:rsid w:val="008C3D85"/>
    <w:rsid w:val="008C60B6"/>
    <w:rsid w:val="008C6C96"/>
    <w:rsid w:val="008C6E66"/>
    <w:rsid w:val="008C7073"/>
    <w:rsid w:val="008C7089"/>
    <w:rsid w:val="008C7A2C"/>
    <w:rsid w:val="008D024D"/>
    <w:rsid w:val="008D0955"/>
    <w:rsid w:val="008D0AC7"/>
    <w:rsid w:val="008D0E4C"/>
    <w:rsid w:val="008D0EE1"/>
    <w:rsid w:val="008D1003"/>
    <w:rsid w:val="008D15D9"/>
    <w:rsid w:val="008D1BCB"/>
    <w:rsid w:val="008D205F"/>
    <w:rsid w:val="008D264A"/>
    <w:rsid w:val="008D272E"/>
    <w:rsid w:val="008D2FCB"/>
    <w:rsid w:val="008D30D5"/>
    <w:rsid w:val="008D313A"/>
    <w:rsid w:val="008D3199"/>
    <w:rsid w:val="008D3778"/>
    <w:rsid w:val="008D3F7F"/>
    <w:rsid w:val="008D40BD"/>
    <w:rsid w:val="008D4EE8"/>
    <w:rsid w:val="008D5C84"/>
    <w:rsid w:val="008D6038"/>
    <w:rsid w:val="008D6654"/>
    <w:rsid w:val="008D6899"/>
    <w:rsid w:val="008D79E3"/>
    <w:rsid w:val="008E0555"/>
    <w:rsid w:val="008E08C3"/>
    <w:rsid w:val="008E0C60"/>
    <w:rsid w:val="008E0D53"/>
    <w:rsid w:val="008E1187"/>
    <w:rsid w:val="008E12ED"/>
    <w:rsid w:val="008E2DE0"/>
    <w:rsid w:val="008E37CA"/>
    <w:rsid w:val="008E3864"/>
    <w:rsid w:val="008E3A90"/>
    <w:rsid w:val="008E3F92"/>
    <w:rsid w:val="008E439C"/>
    <w:rsid w:val="008E4710"/>
    <w:rsid w:val="008E48BB"/>
    <w:rsid w:val="008E4E6D"/>
    <w:rsid w:val="008E5107"/>
    <w:rsid w:val="008E521B"/>
    <w:rsid w:val="008E6099"/>
    <w:rsid w:val="008E6AD1"/>
    <w:rsid w:val="008E71B5"/>
    <w:rsid w:val="008E723B"/>
    <w:rsid w:val="008E7AD2"/>
    <w:rsid w:val="008F003A"/>
    <w:rsid w:val="008F02EC"/>
    <w:rsid w:val="008F0442"/>
    <w:rsid w:val="008F085E"/>
    <w:rsid w:val="008F08CC"/>
    <w:rsid w:val="008F13EB"/>
    <w:rsid w:val="008F20EB"/>
    <w:rsid w:val="008F2261"/>
    <w:rsid w:val="008F2559"/>
    <w:rsid w:val="008F32C4"/>
    <w:rsid w:val="008F359E"/>
    <w:rsid w:val="008F3FF7"/>
    <w:rsid w:val="008F49B7"/>
    <w:rsid w:val="008F5539"/>
    <w:rsid w:val="008F6EB2"/>
    <w:rsid w:val="0090007E"/>
    <w:rsid w:val="00900C0D"/>
    <w:rsid w:val="00901A45"/>
    <w:rsid w:val="00901D70"/>
    <w:rsid w:val="00901F64"/>
    <w:rsid w:val="0090242A"/>
    <w:rsid w:val="009029B2"/>
    <w:rsid w:val="009034E3"/>
    <w:rsid w:val="0090424A"/>
    <w:rsid w:val="00904D8D"/>
    <w:rsid w:val="00904F56"/>
    <w:rsid w:val="009054BE"/>
    <w:rsid w:val="00905594"/>
    <w:rsid w:val="009055CB"/>
    <w:rsid w:val="009057B7"/>
    <w:rsid w:val="0090580C"/>
    <w:rsid w:val="00906786"/>
    <w:rsid w:val="0090685F"/>
    <w:rsid w:val="00907506"/>
    <w:rsid w:val="009078F6"/>
    <w:rsid w:val="009104F4"/>
    <w:rsid w:val="00912AC2"/>
    <w:rsid w:val="00912E65"/>
    <w:rsid w:val="0091368C"/>
    <w:rsid w:val="00913C1D"/>
    <w:rsid w:val="00914B5F"/>
    <w:rsid w:val="00914D0C"/>
    <w:rsid w:val="00917424"/>
    <w:rsid w:val="00917EAE"/>
    <w:rsid w:val="00917F08"/>
    <w:rsid w:val="009202F7"/>
    <w:rsid w:val="009203C9"/>
    <w:rsid w:val="009209F6"/>
    <w:rsid w:val="009224FE"/>
    <w:rsid w:val="009226B2"/>
    <w:rsid w:val="009229EA"/>
    <w:rsid w:val="00922A9C"/>
    <w:rsid w:val="00922D77"/>
    <w:rsid w:val="009231AB"/>
    <w:rsid w:val="00923215"/>
    <w:rsid w:val="00923287"/>
    <w:rsid w:val="009239C7"/>
    <w:rsid w:val="00925087"/>
    <w:rsid w:val="009259BE"/>
    <w:rsid w:val="00925E45"/>
    <w:rsid w:val="009264A6"/>
    <w:rsid w:val="009264C5"/>
    <w:rsid w:val="009268DA"/>
    <w:rsid w:val="009269A2"/>
    <w:rsid w:val="009269DB"/>
    <w:rsid w:val="00927629"/>
    <w:rsid w:val="00927B70"/>
    <w:rsid w:val="00927C67"/>
    <w:rsid w:val="009306B6"/>
    <w:rsid w:val="00930DDD"/>
    <w:rsid w:val="00930FE0"/>
    <w:rsid w:val="00931064"/>
    <w:rsid w:val="00931664"/>
    <w:rsid w:val="009317B2"/>
    <w:rsid w:val="00931D7B"/>
    <w:rsid w:val="009333E9"/>
    <w:rsid w:val="00933709"/>
    <w:rsid w:val="00934AF4"/>
    <w:rsid w:val="00935467"/>
    <w:rsid w:val="009357F5"/>
    <w:rsid w:val="009368C8"/>
    <w:rsid w:val="0093765D"/>
    <w:rsid w:val="00937DF4"/>
    <w:rsid w:val="009405F9"/>
    <w:rsid w:val="0094065F"/>
    <w:rsid w:val="00940950"/>
    <w:rsid w:val="0094107F"/>
    <w:rsid w:val="0094108D"/>
    <w:rsid w:val="00941E46"/>
    <w:rsid w:val="009421F5"/>
    <w:rsid w:val="00943198"/>
    <w:rsid w:val="009431C1"/>
    <w:rsid w:val="009432A0"/>
    <w:rsid w:val="00943A61"/>
    <w:rsid w:val="00943B19"/>
    <w:rsid w:val="009441D6"/>
    <w:rsid w:val="009442DA"/>
    <w:rsid w:val="00944A94"/>
    <w:rsid w:val="009451C0"/>
    <w:rsid w:val="009458DF"/>
    <w:rsid w:val="00946013"/>
    <w:rsid w:val="00946509"/>
    <w:rsid w:val="0094671A"/>
    <w:rsid w:val="00946A3A"/>
    <w:rsid w:val="00946A74"/>
    <w:rsid w:val="00946F13"/>
    <w:rsid w:val="0094723F"/>
    <w:rsid w:val="00947C51"/>
    <w:rsid w:val="00947CC0"/>
    <w:rsid w:val="009509A1"/>
    <w:rsid w:val="00950C91"/>
    <w:rsid w:val="00950DC9"/>
    <w:rsid w:val="00951314"/>
    <w:rsid w:val="0095269A"/>
    <w:rsid w:val="00952956"/>
    <w:rsid w:val="00952CB4"/>
    <w:rsid w:val="00952D02"/>
    <w:rsid w:val="00953115"/>
    <w:rsid w:val="009534EE"/>
    <w:rsid w:val="00953CE9"/>
    <w:rsid w:val="00953D9C"/>
    <w:rsid w:val="00953ED4"/>
    <w:rsid w:val="00954F2C"/>
    <w:rsid w:val="00955D14"/>
    <w:rsid w:val="00955E3B"/>
    <w:rsid w:val="009560C4"/>
    <w:rsid w:val="009571D5"/>
    <w:rsid w:val="0096076A"/>
    <w:rsid w:val="00961089"/>
    <w:rsid w:val="00961768"/>
    <w:rsid w:val="00962008"/>
    <w:rsid w:val="009631D7"/>
    <w:rsid w:val="00963BE7"/>
    <w:rsid w:val="009641FE"/>
    <w:rsid w:val="009642CB"/>
    <w:rsid w:val="00964831"/>
    <w:rsid w:val="00964CFF"/>
    <w:rsid w:val="00964D02"/>
    <w:rsid w:val="009652B1"/>
    <w:rsid w:val="00965A0A"/>
    <w:rsid w:val="00965BBD"/>
    <w:rsid w:val="009664FB"/>
    <w:rsid w:val="0096688C"/>
    <w:rsid w:val="009670B5"/>
    <w:rsid w:val="00967454"/>
    <w:rsid w:val="0096796B"/>
    <w:rsid w:val="00967CEB"/>
    <w:rsid w:val="00967F71"/>
    <w:rsid w:val="009700FC"/>
    <w:rsid w:val="00970164"/>
    <w:rsid w:val="00970977"/>
    <w:rsid w:val="00970FEE"/>
    <w:rsid w:val="0097255D"/>
    <w:rsid w:val="00972B75"/>
    <w:rsid w:val="009735FC"/>
    <w:rsid w:val="00974152"/>
    <w:rsid w:val="00974B75"/>
    <w:rsid w:val="0097513C"/>
    <w:rsid w:val="00975314"/>
    <w:rsid w:val="00975BA5"/>
    <w:rsid w:val="00975C83"/>
    <w:rsid w:val="00975CFF"/>
    <w:rsid w:val="00975D66"/>
    <w:rsid w:val="00976DEF"/>
    <w:rsid w:val="009771B7"/>
    <w:rsid w:val="00977914"/>
    <w:rsid w:val="00977B14"/>
    <w:rsid w:val="00977CBA"/>
    <w:rsid w:val="00977F1E"/>
    <w:rsid w:val="009803A2"/>
    <w:rsid w:val="00981DD5"/>
    <w:rsid w:val="009825D6"/>
    <w:rsid w:val="00982F17"/>
    <w:rsid w:val="00983959"/>
    <w:rsid w:val="00983B17"/>
    <w:rsid w:val="0098425F"/>
    <w:rsid w:val="009846B2"/>
    <w:rsid w:val="0098476A"/>
    <w:rsid w:val="009849C9"/>
    <w:rsid w:val="00984B2C"/>
    <w:rsid w:val="009853F7"/>
    <w:rsid w:val="009856CA"/>
    <w:rsid w:val="0098578A"/>
    <w:rsid w:val="0098603A"/>
    <w:rsid w:val="00987E25"/>
    <w:rsid w:val="009906BA"/>
    <w:rsid w:val="0099095E"/>
    <w:rsid w:val="00990A85"/>
    <w:rsid w:val="00990BBF"/>
    <w:rsid w:val="00991240"/>
    <w:rsid w:val="00991C45"/>
    <w:rsid w:val="009921C7"/>
    <w:rsid w:val="0099232E"/>
    <w:rsid w:val="00993BE8"/>
    <w:rsid w:val="009940E3"/>
    <w:rsid w:val="009946FC"/>
    <w:rsid w:val="00997069"/>
    <w:rsid w:val="00997D30"/>
    <w:rsid w:val="00997EE3"/>
    <w:rsid w:val="009A09B6"/>
    <w:rsid w:val="009A0E79"/>
    <w:rsid w:val="009A171E"/>
    <w:rsid w:val="009A1743"/>
    <w:rsid w:val="009A1BD2"/>
    <w:rsid w:val="009A1F9A"/>
    <w:rsid w:val="009A233A"/>
    <w:rsid w:val="009A267A"/>
    <w:rsid w:val="009A368E"/>
    <w:rsid w:val="009A3752"/>
    <w:rsid w:val="009A3953"/>
    <w:rsid w:val="009A49DF"/>
    <w:rsid w:val="009A574D"/>
    <w:rsid w:val="009A59A0"/>
    <w:rsid w:val="009A59C5"/>
    <w:rsid w:val="009A638F"/>
    <w:rsid w:val="009A657A"/>
    <w:rsid w:val="009A6940"/>
    <w:rsid w:val="009A6A0A"/>
    <w:rsid w:val="009A6C7E"/>
    <w:rsid w:val="009A71D1"/>
    <w:rsid w:val="009A7557"/>
    <w:rsid w:val="009B0234"/>
    <w:rsid w:val="009B05B6"/>
    <w:rsid w:val="009B077A"/>
    <w:rsid w:val="009B198F"/>
    <w:rsid w:val="009B239B"/>
    <w:rsid w:val="009B2C56"/>
    <w:rsid w:val="009B2F20"/>
    <w:rsid w:val="009B3561"/>
    <w:rsid w:val="009B3610"/>
    <w:rsid w:val="009B37CA"/>
    <w:rsid w:val="009B3A2D"/>
    <w:rsid w:val="009B4645"/>
    <w:rsid w:val="009B48A9"/>
    <w:rsid w:val="009B4F48"/>
    <w:rsid w:val="009B5392"/>
    <w:rsid w:val="009B5D3F"/>
    <w:rsid w:val="009B6412"/>
    <w:rsid w:val="009B69A8"/>
    <w:rsid w:val="009B69D9"/>
    <w:rsid w:val="009B6CA5"/>
    <w:rsid w:val="009B6FB8"/>
    <w:rsid w:val="009B7385"/>
    <w:rsid w:val="009B791C"/>
    <w:rsid w:val="009C0DCC"/>
    <w:rsid w:val="009C1598"/>
    <w:rsid w:val="009C15B1"/>
    <w:rsid w:val="009C15E0"/>
    <w:rsid w:val="009C21A8"/>
    <w:rsid w:val="009C2552"/>
    <w:rsid w:val="009C2883"/>
    <w:rsid w:val="009C29E3"/>
    <w:rsid w:val="009C337D"/>
    <w:rsid w:val="009C3A22"/>
    <w:rsid w:val="009C512B"/>
    <w:rsid w:val="009C532F"/>
    <w:rsid w:val="009C59F3"/>
    <w:rsid w:val="009D0B32"/>
    <w:rsid w:val="009D0EA3"/>
    <w:rsid w:val="009D16C2"/>
    <w:rsid w:val="009D1824"/>
    <w:rsid w:val="009D1B0F"/>
    <w:rsid w:val="009D2140"/>
    <w:rsid w:val="009D23BB"/>
    <w:rsid w:val="009D2EFB"/>
    <w:rsid w:val="009D305B"/>
    <w:rsid w:val="009D5377"/>
    <w:rsid w:val="009D5C67"/>
    <w:rsid w:val="009D685C"/>
    <w:rsid w:val="009D6B7E"/>
    <w:rsid w:val="009D6E51"/>
    <w:rsid w:val="009D7543"/>
    <w:rsid w:val="009D7B83"/>
    <w:rsid w:val="009E0076"/>
    <w:rsid w:val="009E0DFD"/>
    <w:rsid w:val="009E12FD"/>
    <w:rsid w:val="009E181B"/>
    <w:rsid w:val="009E1A47"/>
    <w:rsid w:val="009E1EDD"/>
    <w:rsid w:val="009E228A"/>
    <w:rsid w:val="009E29E6"/>
    <w:rsid w:val="009E3388"/>
    <w:rsid w:val="009E384E"/>
    <w:rsid w:val="009E3899"/>
    <w:rsid w:val="009E4A84"/>
    <w:rsid w:val="009E4CFF"/>
    <w:rsid w:val="009E5347"/>
    <w:rsid w:val="009E6408"/>
    <w:rsid w:val="009E6581"/>
    <w:rsid w:val="009F02C4"/>
    <w:rsid w:val="009F1D72"/>
    <w:rsid w:val="009F1F8A"/>
    <w:rsid w:val="009F26B9"/>
    <w:rsid w:val="009F2E6D"/>
    <w:rsid w:val="009F2E81"/>
    <w:rsid w:val="009F3A0C"/>
    <w:rsid w:val="009F3C8C"/>
    <w:rsid w:val="009F3FF8"/>
    <w:rsid w:val="009F4186"/>
    <w:rsid w:val="009F49D1"/>
    <w:rsid w:val="009F4BC1"/>
    <w:rsid w:val="009F4C53"/>
    <w:rsid w:val="009F506A"/>
    <w:rsid w:val="009F5EAE"/>
    <w:rsid w:val="009F65F1"/>
    <w:rsid w:val="009F7358"/>
    <w:rsid w:val="009F7615"/>
    <w:rsid w:val="009F7711"/>
    <w:rsid w:val="009F774B"/>
    <w:rsid w:val="009F78EB"/>
    <w:rsid w:val="00A0030A"/>
    <w:rsid w:val="00A004C3"/>
    <w:rsid w:val="00A005D8"/>
    <w:rsid w:val="00A027E0"/>
    <w:rsid w:val="00A0285D"/>
    <w:rsid w:val="00A02C5D"/>
    <w:rsid w:val="00A02F90"/>
    <w:rsid w:val="00A03297"/>
    <w:rsid w:val="00A0441D"/>
    <w:rsid w:val="00A04ABF"/>
    <w:rsid w:val="00A04AE5"/>
    <w:rsid w:val="00A063A3"/>
    <w:rsid w:val="00A06EC6"/>
    <w:rsid w:val="00A0763A"/>
    <w:rsid w:val="00A07971"/>
    <w:rsid w:val="00A07AE3"/>
    <w:rsid w:val="00A07F56"/>
    <w:rsid w:val="00A1072E"/>
    <w:rsid w:val="00A10742"/>
    <w:rsid w:val="00A10D04"/>
    <w:rsid w:val="00A11185"/>
    <w:rsid w:val="00A11964"/>
    <w:rsid w:val="00A11DF9"/>
    <w:rsid w:val="00A11E73"/>
    <w:rsid w:val="00A122DF"/>
    <w:rsid w:val="00A13C4A"/>
    <w:rsid w:val="00A14C78"/>
    <w:rsid w:val="00A1563D"/>
    <w:rsid w:val="00A158A8"/>
    <w:rsid w:val="00A15E4F"/>
    <w:rsid w:val="00A15FD2"/>
    <w:rsid w:val="00A163DF"/>
    <w:rsid w:val="00A165AE"/>
    <w:rsid w:val="00A16841"/>
    <w:rsid w:val="00A16E9E"/>
    <w:rsid w:val="00A17666"/>
    <w:rsid w:val="00A17B64"/>
    <w:rsid w:val="00A2025B"/>
    <w:rsid w:val="00A202CB"/>
    <w:rsid w:val="00A202CC"/>
    <w:rsid w:val="00A207C3"/>
    <w:rsid w:val="00A207EC"/>
    <w:rsid w:val="00A20E93"/>
    <w:rsid w:val="00A2159E"/>
    <w:rsid w:val="00A21980"/>
    <w:rsid w:val="00A21B55"/>
    <w:rsid w:val="00A223E2"/>
    <w:rsid w:val="00A2296F"/>
    <w:rsid w:val="00A22995"/>
    <w:rsid w:val="00A22C3E"/>
    <w:rsid w:val="00A24590"/>
    <w:rsid w:val="00A24853"/>
    <w:rsid w:val="00A251CA"/>
    <w:rsid w:val="00A26132"/>
    <w:rsid w:val="00A262A9"/>
    <w:rsid w:val="00A26AE0"/>
    <w:rsid w:val="00A273C9"/>
    <w:rsid w:val="00A274F8"/>
    <w:rsid w:val="00A27728"/>
    <w:rsid w:val="00A27DE9"/>
    <w:rsid w:val="00A27E79"/>
    <w:rsid w:val="00A30ED6"/>
    <w:rsid w:val="00A30F81"/>
    <w:rsid w:val="00A3110E"/>
    <w:rsid w:val="00A311EA"/>
    <w:rsid w:val="00A31346"/>
    <w:rsid w:val="00A319CA"/>
    <w:rsid w:val="00A31B45"/>
    <w:rsid w:val="00A3214E"/>
    <w:rsid w:val="00A3295D"/>
    <w:rsid w:val="00A32BE2"/>
    <w:rsid w:val="00A3361B"/>
    <w:rsid w:val="00A348D4"/>
    <w:rsid w:val="00A356F3"/>
    <w:rsid w:val="00A357C5"/>
    <w:rsid w:val="00A3591E"/>
    <w:rsid w:val="00A35B92"/>
    <w:rsid w:val="00A35C3A"/>
    <w:rsid w:val="00A35D94"/>
    <w:rsid w:val="00A35EF0"/>
    <w:rsid w:val="00A35FB1"/>
    <w:rsid w:val="00A3625C"/>
    <w:rsid w:val="00A364B9"/>
    <w:rsid w:val="00A36502"/>
    <w:rsid w:val="00A365EA"/>
    <w:rsid w:val="00A37A51"/>
    <w:rsid w:val="00A40483"/>
    <w:rsid w:val="00A40C62"/>
    <w:rsid w:val="00A40E4D"/>
    <w:rsid w:val="00A40ED2"/>
    <w:rsid w:val="00A4114A"/>
    <w:rsid w:val="00A4128B"/>
    <w:rsid w:val="00A4151E"/>
    <w:rsid w:val="00A41EA7"/>
    <w:rsid w:val="00A4213F"/>
    <w:rsid w:val="00A42231"/>
    <w:rsid w:val="00A42586"/>
    <w:rsid w:val="00A42C03"/>
    <w:rsid w:val="00A43063"/>
    <w:rsid w:val="00A43683"/>
    <w:rsid w:val="00A43BCB"/>
    <w:rsid w:val="00A43DCE"/>
    <w:rsid w:val="00A44B98"/>
    <w:rsid w:val="00A44CAC"/>
    <w:rsid w:val="00A45333"/>
    <w:rsid w:val="00A4568B"/>
    <w:rsid w:val="00A45CE1"/>
    <w:rsid w:val="00A46A50"/>
    <w:rsid w:val="00A46E86"/>
    <w:rsid w:val="00A46F2B"/>
    <w:rsid w:val="00A508ED"/>
    <w:rsid w:val="00A50CC4"/>
    <w:rsid w:val="00A51601"/>
    <w:rsid w:val="00A51BD9"/>
    <w:rsid w:val="00A51DD8"/>
    <w:rsid w:val="00A52121"/>
    <w:rsid w:val="00A5292D"/>
    <w:rsid w:val="00A533FC"/>
    <w:rsid w:val="00A53F41"/>
    <w:rsid w:val="00A5432C"/>
    <w:rsid w:val="00A54533"/>
    <w:rsid w:val="00A5466B"/>
    <w:rsid w:val="00A570CD"/>
    <w:rsid w:val="00A5729D"/>
    <w:rsid w:val="00A6044D"/>
    <w:rsid w:val="00A605D3"/>
    <w:rsid w:val="00A607A2"/>
    <w:rsid w:val="00A60BC6"/>
    <w:rsid w:val="00A610EF"/>
    <w:rsid w:val="00A6113C"/>
    <w:rsid w:val="00A61835"/>
    <w:rsid w:val="00A61C36"/>
    <w:rsid w:val="00A61CCC"/>
    <w:rsid w:val="00A61DFF"/>
    <w:rsid w:val="00A625A8"/>
    <w:rsid w:val="00A62B63"/>
    <w:rsid w:val="00A63D4D"/>
    <w:rsid w:val="00A640C6"/>
    <w:rsid w:val="00A65055"/>
    <w:rsid w:val="00A66588"/>
    <w:rsid w:val="00A6691A"/>
    <w:rsid w:val="00A66E84"/>
    <w:rsid w:val="00A67345"/>
    <w:rsid w:val="00A67372"/>
    <w:rsid w:val="00A67CDC"/>
    <w:rsid w:val="00A67D58"/>
    <w:rsid w:val="00A7039E"/>
    <w:rsid w:val="00A70570"/>
    <w:rsid w:val="00A70E7C"/>
    <w:rsid w:val="00A7106B"/>
    <w:rsid w:val="00A71A34"/>
    <w:rsid w:val="00A71A73"/>
    <w:rsid w:val="00A72265"/>
    <w:rsid w:val="00A72784"/>
    <w:rsid w:val="00A72DA2"/>
    <w:rsid w:val="00A72DB1"/>
    <w:rsid w:val="00A73B53"/>
    <w:rsid w:val="00A73D79"/>
    <w:rsid w:val="00A73F9E"/>
    <w:rsid w:val="00A740C6"/>
    <w:rsid w:val="00A749E5"/>
    <w:rsid w:val="00A7585D"/>
    <w:rsid w:val="00A75E3B"/>
    <w:rsid w:val="00A76093"/>
    <w:rsid w:val="00A76696"/>
    <w:rsid w:val="00A76933"/>
    <w:rsid w:val="00A76E33"/>
    <w:rsid w:val="00A777EC"/>
    <w:rsid w:val="00A800BC"/>
    <w:rsid w:val="00A80145"/>
    <w:rsid w:val="00A80186"/>
    <w:rsid w:val="00A80F22"/>
    <w:rsid w:val="00A8104E"/>
    <w:rsid w:val="00A81259"/>
    <w:rsid w:val="00A81BFD"/>
    <w:rsid w:val="00A81D22"/>
    <w:rsid w:val="00A820E4"/>
    <w:rsid w:val="00A8223F"/>
    <w:rsid w:val="00A82BB3"/>
    <w:rsid w:val="00A82BC0"/>
    <w:rsid w:val="00A83073"/>
    <w:rsid w:val="00A83832"/>
    <w:rsid w:val="00A83A28"/>
    <w:rsid w:val="00A83AD0"/>
    <w:rsid w:val="00A83D3D"/>
    <w:rsid w:val="00A83FDE"/>
    <w:rsid w:val="00A84057"/>
    <w:rsid w:val="00A8496A"/>
    <w:rsid w:val="00A84FCE"/>
    <w:rsid w:val="00A85245"/>
    <w:rsid w:val="00A85E94"/>
    <w:rsid w:val="00A8638B"/>
    <w:rsid w:val="00A86FD4"/>
    <w:rsid w:val="00A8742C"/>
    <w:rsid w:val="00A90360"/>
    <w:rsid w:val="00A90A3C"/>
    <w:rsid w:val="00A913CD"/>
    <w:rsid w:val="00A914AD"/>
    <w:rsid w:val="00A9156B"/>
    <w:rsid w:val="00A91C6C"/>
    <w:rsid w:val="00A92C86"/>
    <w:rsid w:val="00A92D0A"/>
    <w:rsid w:val="00A92D9B"/>
    <w:rsid w:val="00A9303A"/>
    <w:rsid w:val="00A9336C"/>
    <w:rsid w:val="00A93FDC"/>
    <w:rsid w:val="00A94676"/>
    <w:rsid w:val="00A949E1"/>
    <w:rsid w:val="00A9500F"/>
    <w:rsid w:val="00A96565"/>
    <w:rsid w:val="00A96759"/>
    <w:rsid w:val="00A968BA"/>
    <w:rsid w:val="00A969F3"/>
    <w:rsid w:val="00A96AF0"/>
    <w:rsid w:val="00A96F08"/>
    <w:rsid w:val="00A96F39"/>
    <w:rsid w:val="00A97096"/>
    <w:rsid w:val="00A973E1"/>
    <w:rsid w:val="00A97728"/>
    <w:rsid w:val="00AA0612"/>
    <w:rsid w:val="00AA07B1"/>
    <w:rsid w:val="00AA0BC8"/>
    <w:rsid w:val="00AA0F59"/>
    <w:rsid w:val="00AA20EF"/>
    <w:rsid w:val="00AA2A79"/>
    <w:rsid w:val="00AA428B"/>
    <w:rsid w:val="00AA4AD1"/>
    <w:rsid w:val="00AA5262"/>
    <w:rsid w:val="00AA54A5"/>
    <w:rsid w:val="00AA5901"/>
    <w:rsid w:val="00AA5E84"/>
    <w:rsid w:val="00AA617E"/>
    <w:rsid w:val="00AA6B48"/>
    <w:rsid w:val="00AA6D3A"/>
    <w:rsid w:val="00AA6F52"/>
    <w:rsid w:val="00AA729E"/>
    <w:rsid w:val="00AA750F"/>
    <w:rsid w:val="00AA75A9"/>
    <w:rsid w:val="00AA7646"/>
    <w:rsid w:val="00AA77DA"/>
    <w:rsid w:val="00AB0253"/>
    <w:rsid w:val="00AB02C8"/>
    <w:rsid w:val="00AB0440"/>
    <w:rsid w:val="00AB098E"/>
    <w:rsid w:val="00AB0FA3"/>
    <w:rsid w:val="00AB11A4"/>
    <w:rsid w:val="00AB1812"/>
    <w:rsid w:val="00AB215C"/>
    <w:rsid w:val="00AB2770"/>
    <w:rsid w:val="00AB29BC"/>
    <w:rsid w:val="00AB2A24"/>
    <w:rsid w:val="00AB343F"/>
    <w:rsid w:val="00AB40AE"/>
    <w:rsid w:val="00AB4285"/>
    <w:rsid w:val="00AB4700"/>
    <w:rsid w:val="00AB60E1"/>
    <w:rsid w:val="00AB642A"/>
    <w:rsid w:val="00AB687D"/>
    <w:rsid w:val="00AB695C"/>
    <w:rsid w:val="00AB6E31"/>
    <w:rsid w:val="00AB7755"/>
    <w:rsid w:val="00AB777E"/>
    <w:rsid w:val="00AC0657"/>
    <w:rsid w:val="00AC1E30"/>
    <w:rsid w:val="00AC1F40"/>
    <w:rsid w:val="00AC2E50"/>
    <w:rsid w:val="00AC33FE"/>
    <w:rsid w:val="00AC3BA2"/>
    <w:rsid w:val="00AC4ECF"/>
    <w:rsid w:val="00AC4F53"/>
    <w:rsid w:val="00AC5AC4"/>
    <w:rsid w:val="00AC60F3"/>
    <w:rsid w:val="00AC75FB"/>
    <w:rsid w:val="00AC7A5F"/>
    <w:rsid w:val="00AD0115"/>
    <w:rsid w:val="00AD0498"/>
    <w:rsid w:val="00AD19DA"/>
    <w:rsid w:val="00AD237B"/>
    <w:rsid w:val="00AD271D"/>
    <w:rsid w:val="00AD319A"/>
    <w:rsid w:val="00AD338E"/>
    <w:rsid w:val="00AD3FD9"/>
    <w:rsid w:val="00AD4B2E"/>
    <w:rsid w:val="00AD51B4"/>
    <w:rsid w:val="00AD608B"/>
    <w:rsid w:val="00AD69E2"/>
    <w:rsid w:val="00AE039F"/>
    <w:rsid w:val="00AE0D9E"/>
    <w:rsid w:val="00AE192F"/>
    <w:rsid w:val="00AE1AD0"/>
    <w:rsid w:val="00AE1E05"/>
    <w:rsid w:val="00AE1E24"/>
    <w:rsid w:val="00AE2A45"/>
    <w:rsid w:val="00AE2F72"/>
    <w:rsid w:val="00AE30B0"/>
    <w:rsid w:val="00AE37AC"/>
    <w:rsid w:val="00AE3CBC"/>
    <w:rsid w:val="00AE3D32"/>
    <w:rsid w:val="00AE3E84"/>
    <w:rsid w:val="00AE451C"/>
    <w:rsid w:val="00AE4998"/>
    <w:rsid w:val="00AE4E5E"/>
    <w:rsid w:val="00AE5791"/>
    <w:rsid w:val="00AE5EA9"/>
    <w:rsid w:val="00AE6A02"/>
    <w:rsid w:val="00AE75B2"/>
    <w:rsid w:val="00AF05B4"/>
    <w:rsid w:val="00AF1302"/>
    <w:rsid w:val="00AF284F"/>
    <w:rsid w:val="00AF5BDF"/>
    <w:rsid w:val="00AF5DDF"/>
    <w:rsid w:val="00AF662D"/>
    <w:rsid w:val="00AF667A"/>
    <w:rsid w:val="00AF7A04"/>
    <w:rsid w:val="00AF7FCB"/>
    <w:rsid w:val="00B00056"/>
    <w:rsid w:val="00B00079"/>
    <w:rsid w:val="00B0094F"/>
    <w:rsid w:val="00B014C9"/>
    <w:rsid w:val="00B024B4"/>
    <w:rsid w:val="00B033C5"/>
    <w:rsid w:val="00B03630"/>
    <w:rsid w:val="00B0375C"/>
    <w:rsid w:val="00B03E82"/>
    <w:rsid w:val="00B04145"/>
    <w:rsid w:val="00B04453"/>
    <w:rsid w:val="00B04C58"/>
    <w:rsid w:val="00B04E72"/>
    <w:rsid w:val="00B0507A"/>
    <w:rsid w:val="00B05607"/>
    <w:rsid w:val="00B06315"/>
    <w:rsid w:val="00B06AD6"/>
    <w:rsid w:val="00B073FA"/>
    <w:rsid w:val="00B0751E"/>
    <w:rsid w:val="00B07A35"/>
    <w:rsid w:val="00B07C38"/>
    <w:rsid w:val="00B10163"/>
    <w:rsid w:val="00B106EC"/>
    <w:rsid w:val="00B107B9"/>
    <w:rsid w:val="00B109A6"/>
    <w:rsid w:val="00B115E1"/>
    <w:rsid w:val="00B11EC1"/>
    <w:rsid w:val="00B12012"/>
    <w:rsid w:val="00B12347"/>
    <w:rsid w:val="00B128F1"/>
    <w:rsid w:val="00B12D71"/>
    <w:rsid w:val="00B133E7"/>
    <w:rsid w:val="00B13C0C"/>
    <w:rsid w:val="00B13C36"/>
    <w:rsid w:val="00B14190"/>
    <w:rsid w:val="00B1428F"/>
    <w:rsid w:val="00B147E2"/>
    <w:rsid w:val="00B14B1B"/>
    <w:rsid w:val="00B14B30"/>
    <w:rsid w:val="00B14E2E"/>
    <w:rsid w:val="00B151B9"/>
    <w:rsid w:val="00B15E6C"/>
    <w:rsid w:val="00B162A9"/>
    <w:rsid w:val="00B16BF6"/>
    <w:rsid w:val="00B16C78"/>
    <w:rsid w:val="00B16F26"/>
    <w:rsid w:val="00B17DFA"/>
    <w:rsid w:val="00B2081D"/>
    <w:rsid w:val="00B21490"/>
    <w:rsid w:val="00B21C98"/>
    <w:rsid w:val="00B2228C"/>
    <w:rsid w:val="00B22427"/>
    <w:rsid w:val="00B22ED5"/>
    <w:rsid w:val="00B23927"/>
    <w:rsid w:val="00B24880"/>
    <w:rsid w:val="00B25AE2"/>
    <w:rsid w:val="00B305B8"/>
    <w:rsid w:val="00B307AB"/>
    <w:rsid w:val="00B30D30"/>
    <w:rsid w:val="00B31288"/>
    <w:rsid w:val="00B31DAD"/>
    <w:rsid w:val="00B32A5D"/>
    <w:rsid w:val="00B33B60"/>
    <w:rsid w:val="00B33C8C"/>
    <w:rsid w:val="00B3472D"/>
    <w:rsid w:val="00B3478E"/>
    <w:rsid w:val="00B34A24"/>
    <w:rsid w:val="00B353B9"/>
    <w:rsid w:val="00B35AA6"/>
    <w:rsid w:val="00B3647A"/>
    <w:rsid w:val="00B369FB"/>
    <w:rsid w:val="00B36DB0"/>
    <w:rsid w:val="00B3740A"/>
    <w:rsid w:val="00B40100"/>
    <w:rsid w:val="00B404A9"/>
    <w:rsid w:val="00B406C6"/>
    <w:rsid w:val="00B4158D"/>
    <w:rsid w:val="00B41B3E"/>
    <w:rsid w:val="00B42018"/>
    <w:rsid w:val="00B42579"/>
    <w:rsid w:val="00B42C38"/>
    <w:rsid w:val="00B434D1"/>
    <w:rsid w:val="00B43F6D"/>
    <w:rsid w:val="00B446A9"/>
    <w:rsid w:val="00B446B1"/>
    <w:rsid w:val="00B44BB7"/>
    <w:rsid w:val="00B4509E"/>
    <w:rsid w:val="00B45AB7"/>
    <w:rsid w:val="00B46EAB"/>
    <w:rsid w:val="00B46F36"/>
    <w:rsid w:val="00B470F9"/>
    <w:rsid w:val="00B47923"/>
    <w:rsid w:val="00B5028A"/>
    <w:rsid w:val="00B507F5"/>
    <w:rsid w:val="00B50A33"/>
    <w:rsid w:val="00B50A46"/>
    <w:rsid w:val="00B51258"/>
    <w:rsid w:val="00B512C3"/>
    <w:rsid w:val="00B5166C"/>
    <w:rsid w:val="00B51E5B"/>
    <w:rsid w:val="00B522FA"/>
    <w:rsid w:val="00B52D8C"/>
    <w:rsid w:val="00B52FEB"/>
    <w:rsid w:val="00B5379E"/>
    <w:rsid w:val="00B53DAB"/>
    <w:rsid w:val="00B54276"/>
    <w:rsid w:val="00B543B7"/>
    <w:rsid w:val="00B55576"/>
    <w:rsid w:val="00B573AA"/>
    <w:rsid w:val="00B57CDF"/>
    <w:rsid w:val="00B60BC6"/>
    <w:rsid w:val="00B60EC8"/>
    <w:rsid w:val="00B611EE"/>
    <w:rsid w:val="00B6176D"/>
    <w:rsid w:val="00B61BC4"/>
    <w:rsid w:val="00B6224D"/>
    <w:rsid w:val="00B62A10"/>
    <w:rsid w:val="00B633DF"/>
    <w:rsid w:val="00B63405"/>
    <w:rsid w:val="00B634F9"/>
    <w:rsid w:val="00B635CC"/>
    <w:rsid w:val="00B63F7E"/>
    <w:rsid w:val="00B64562"/>
    <w:rsid w:val="00B645D2"/>
    <w:rsid w:val="00B66791"/>
    <w:rsid w:val="00B66E3D"/>
    <w:rsid w:val="00B672BD"/>
    <w:rsid w:val="00B67A21"/>
    <w:rsid w:val="00B67AB3"/>
    <w:rsid w:val="00B70E40"/>
    <w:rsid w:val="00B70FF4"/>
    <w:rsid w:val="00B711F9"/>
    <w:rsid w:val="00B715A0"/>
    <w:rsid w:val="00B721F9"/>
    <w:rsid w:val="00B728C9"/>
    <w:rsid w:val="00B72BCB"/>
    <w:rsid w:val="00B73C8D"/>
    <w:rsid w:val="00B73F1F"/>
    <w:rsid w:val="00B74D79"/>
    <w:rsid w:val="00B7536A"/>
    <w:rsid w:val="00B75701"/>
    <w:rsid w:val="00B76764"/>
    <w:rsid w:val="00B76E2E"/>
    <w:rsid w:val="00B770E2"/>
    <w:rsid w:val="00B772C1"/>
    <w:rsid w:val="00B779CF"/>
    <w:rsid w:val="00B77FE3"/>
    <w:rsid w:val="00B8052A"/>
    <w:rsid w:val="00B8070B"/>
    <w:rsid w:val="00B80DC7"/>
    <w:rsid w:val="00B81609"/>
    <w:rsid w:val="00B8255E"/>
    <w:rsid w:val="00B82CFB"/>
    <w:rsid w:val="00B83BA9"/>
    <w:rsid w:val="00B83F98"/>
    <w:rsid w:val="00B84525"/>
    <w:rsid w:val="00B84835"/>
    <w:rsid w:val="00B84AB3"/>
    <w:rsid w:val="00B84DF4"/>
    <w:rsid w:val="00B85487"/>
    <w:rsid w:val="00B865FB"/>
    <w:rsid w:val="00B86933"/>
    <w:rsid w:val="00B86EF8"/>
    <w:rsid w:val="00B87360"/>
    <w:rsid w:val="00B877AA"/>
    <w:rsid w:val="00B87A8B"/>
    <w:rsid w:val="00B87D37"/>
    <w:rsid w:val="00B87E9B"/>
    <w:rsid w:val="00B90FC4"/>
    <w:rsid w:val="00B913ED"/>
    <w:rsid w:val="00B91519"/>
    <w:rsid w:val="00B91D79"/>
    <w:rsid w:val="00B91FAB"/>
    <w:rsid w:val="00B92E6A"/>
    <w:rsid w:val="00B930BC"/>
    <w:rsid w:val="00B934C2"/>
    <w:rsid w:val="00B9386F"/>
    <w:rsid w:val="00B93B4C"/>
    <w:rsid w:val="00B94769"/>
    <w:rsid w:val="00B9547C"/>
    <w:rsid w:val="00B95CDD"/>
    <w:rsid w:val="00B962A9"/>
    <w:rsid w:val="00B9741B"/>
    <w:rsid w:val="00BA0490"/>
    <w:rsid w:val="00BA0495"/>
    <w:rsid w:val="00BA06F0"/>
    <w:rsid w:val="00BA0ADE"/>
    <w:rsid w:val="00BA2B0E"/>
    <w:rsid w:val="00BA3B0B"/>
    <w:rsid w:val="00BA4117"/>
    <w:rsid w:val="00BA48A3"/>
    <w:rsid w:val="00BA4C85"/>
    <w:rsid w:val="00BA4CD5"/>
    <w:rsid w:val="00BA611B"/>
    <w:rsid w:val="00BA6939"/>
    <w:rsid w:val="00BA6A61"/>
    <w:rsid w:val="00BA7DB9"/>
    <w:rsid w:val="00BB0ADE"/>
    <w:rsid w:val="00BB0CEB"/>
    <w:rsid w:val="00BB14EC"/>
    <w:rsid w:val="00BB1EFA"/>
    <w:rsid w:val="00BB277A"/>
    <w:rsid w:val="00BB2907"/>
    <w:rsid w:val="00BB2E46"/>
    <w:rsid w:val="00BB2EE8"/>
    <w:rsid w:val="00BB2FF7"/>
    <w:rsid w:val="00BB3106"/>
    <w:rsid w:val="00BB5785"/>
    <w:rsid w:val="00BB6C1B"/>
    <w:rsid w:val="00BB6EBB"/>
    <w:rsid w:val="00BB7529"/>
    <w:rsid w:val="00BB785A"/>
    <w:rsid w:val="00BB7C40"/>
    <w:rsid w:val="00BC0096"/>
    <w:rsid w:val="00BC1398"/>
    <w:rsid w:val="00BC13DD"/>
    <w:rsid w:val="00BC166E"/>
    <w:rsid w:val="00BC2638"/>
    <w:rsid w:val="00BC3C0D"/>
    <w:rsid w:val="00BC4116"/>
    <w:rsid w:val="00BC4537"/>
    <w:rsid w:val="00BC46E1"/>
    <w:rsid w:val="00BC4E46"/>
    <w:rsid w:val="00BC624B"/>
    <w:rsid w:val="00BC636A"/>
    <w:rsid w:val="00BC650A"/>
    <w:rsid w:val="00BC6BAF"/>
    <w:rsid w:val="00BC6C7C"/>
    <w:rsid w:val="00BC7097"/>
    <w:rsid w:val="00BC7263"/>
    <w:rsid w:val="00BC7A90"/>
    <w:rsid w:val="00BD03A2"/>
    <w:rsid w:val="00BD082A"/>
    <w:rsid w:val="00BD0F2D"/>
    <w:rsid w:val="00BD12B3"/>
    <w:rsid w:val="00BD16A9"/>
    <w:rsid w:val="00BD1729"/>
    <w:rsid w:val="00BD1787"/>
    <w:rsid w:val="00BD19EB"/>
    <w:rsid w:val="00BD1FBB"/>
    <w:rsid w:val="00BD2382"/>
    <w:rsid w:val="00BD2943"/>
    <w:rsid w:val="00BD30CC"/>
    <w:rsid w:val="00BD3D0E"/>
    <w:rsid w:val="00BD42C0"/>
    <w:rsid w:val="00BD431E"/>
    <w:rsid w:val="00BD5287"/>
    <w:rsid w:val="00BD5FF1"/>
    <w:rsid w:val="00BD727F"/>
    <w:rsid w:val="00BD7A80"/>
    <w:rsid w:val="00BD7CD2"/>
    <w:rsid w:val="00BD7EE8"/>
    <w:rsid w:val="00BE09A5"/>
    <w:rsid w:val="00BE09AD"/>
    <w:rsid w:val="00BE117C"/>
    <w:rsid w:val="00BE130C"/>
    <w:rsid w:val="00BE132D"/>
    <w:rsid w:val="00BE171A"/>
    <w:rsid w:val="00BE265E"/>
    <w:rsid w:val="00BE28AE"/>
    <w:rsid w:val="00BE2BB9"/>
    <w:rsid w:val="00BE2D4F"/>
    <w:rsid w:val="00BE2DFB"/>
    <w:rsid w:val="00BE32F3"/>
    <w:rsid w:val="00BE3AB5"/>
    <w:rsid w:val="00BE3CFE"/>
    <w:rsid w:val="00BE4E8B"/>
    <w:rsid w:val="00BE577F"/>
    <w:rsid w:val="00BE5B4A"/>
    <w:rsid w:val="00BE65EC"/>
    <w:rsid w:val="00BE6F49"/>
    <w:rsid w:val="00BE73A6"/>
    <w:rsid w:val="00BE76E2"/>
    <w:rsid w:val="00BF09EA"/>
    <w:rsid w:val="00BF0A72"/>
    <w:rsid w:val="00BF0DF1"/>
    <w:rsid w:val="00BF0E19"/>
    <w:rsid w:val="00BF0E81"/>
    <w:rsid w:val="00BF0FCC"/>
    <w:rsid w:val="00BF17DA"/>
    <w:rsid w:val="00BF1D8C"/>
    <w:rsid w:val="00BF1D9B"/>
    <w:rsid w:val="00BF1DC6"/>
    <w:rsid w:val="00BF2CD3"/>
    <w:rsid w:val="00BF3F0E"/>
    <w:rsid w:val="00BF49F8"/>
    <w:rsid w:val="00BF5165"/>
    <w:rsid w:val="00BF52BD"/>
    <w:rsid w:val="00BF5562"/>
    <w:rsid w:val="00BF58C7"/>
    <w:rsid w:val="00BF5E6D"/>
    <w:rsid w:val="00BF75CB"/>
    <w:rsid w:val="00C003DA"/>
    <w:rsid w:val="00C008C5"/>
    <w:rsid w:val="00C00A5F"/>
    <w:rsid w:val="00C01109"/>
    <w:rsid w:val="00C019B1"/>
    <w:rsid w:val="00C01AD2"/>
    <w:rsid w:val="00C02165"/>
    <w:rsid w:val="00C024C2"/>
    <w:rsid w:val="00C032F5"/>
    <w:rsid w:val="00C033BC"/>
    <w:rsid w:val="00C034FA"/>
    <w:rsid w:val="00C037B9"/>
    <w:rsid w:val="00C0430D"/>
    <w:rsid w:val="00C048B0"/>
    <w:rsid w:val="00C04B1B"/>
    <w:rsid w:val="00C050D5"/>
    <w:rsid w:val="00C05489"/>
    <w:rsid w:val="00C0552E"/>
    <w:rsid w:val="00C05606"/>
    <w:rsid w:val="00C05904"/>
    <w:rsid w:val="00C05938"/>
    <w:rsid w:val="00C05BE5"/>
    <w:rsid w:val="00C05C3C"/>
    <w:rsid w:val="00C05F9B"/>
    <w:rsid w:val="00C0742C"/>
    <w:rsid w:val="00C07EF8"/>
    <w:rsid w:val="00C07F88"/>
    <w:rsid w:val="00C11035"/>
    <w:rsid w:val="00C112A9"/>
    <w:rsid w:val="00C112B4"/>
    <w:rsid w:val="00C1145D"/>
    <w:rsid w:val="00C114E3"/>
    <w:rsid w:val="00C11BB4"/>
    <w:rsid w:val="00C12893"/>
    <w:rsid w:val="00C12AF9"/>
    <w:rsid w:val="00C12DE3"/>
    <w:rsid w:val="00C14B91"/>
    <w:rsid w:val="00C14EDD"/>
    <w:rsid w:val="00C1575A"/>
    <w:rsid w:val="00C1578C"/>
    <w:rsid w:val="00C15EF7"/>
    <w:rsid w:val="00C165CD"/>
    <w:rsid w:val="00C16AC1"/>
    <w:rsid w:val="00C176E2"/>
    <w:rsid w:val="00C207CE"/>
    <w:rsid w:val="00C20A89"/>
    <w:rsid w:val="00C20EA0"/>
    <w:rsid w:val="00C21ABD"/>
    <w:rsid w:val="00C21C03"/>
    <w:rsid w:val="00C2255E"/>
    <w:rsid w:val="00C23A6D"/>
    <w:rsid w:val="00C24639"/>
    <w:rsid w:val="00C24853"/>
    <w:rsid w:val="00C2749F"/>
    <w:rsid w:val="00C27F96"/>
    <w:rsid w:val="00C305C1"/>
    <w:rsid w:val="00C3118C"/>
    <w:rsid w:val="00C31292"/>
    <w:rsid w:val="00C317AA"/>
    <w:rsid w:val="00C31A7A"/>
    <w:rsid w:val="00C324CC"/>
    <w:rsid w:val="00C32614"/>
    <w:rsid w:val="00C32F0C"/>
    <w:rsid w:val="00C33073"/>
    <w:rsid w:val="00C332D2"/>
    <w:rsid w:val="00C33DAB"/>
    <w:rsid w:val="00C34DAD"/>
    <w:rsid w:val="00C35265"/>
    <w:rsid w:val="00C35FC3"/>
    <w:rsid w:val="00C367F8"/>
    <w:rsid w:val="00C37688"/>
    <w:rsid w:val="00C4065C"/>
    <w:rsid w:val="00C407D1"/>
    <w:rsid w:val="00C40801"/>
    <w:rsid w:val="00C4087C"/>
    <w:rsid w:val="00C40E62"/>
    <w:rsid w:val="00C41897"/>
    <w:rsid w:val="00C41A09"/>
    <w:rsid w:val="00C42771"/>
    <w:rsid w:val="00C42827"/>
    <w:rsid w:val="00C42A7C"/>
    <w:rsid w:val="00C438CD"/>
    <w:rsid w:val="00C440A9"/>
    <w:rsid w:val="00C44753"/>
    <w:rsid w:val="00C44EF1"/>
    <w:rsid w:val="00C45AB8"/>
    <w:rsid w:val="00C45B6D"/>
    <w:rsid w:val="00C45FB9"/>
    <w:rsid w:val="00C4633E"/>
    <w:rsid w:val="00C46852"/>
    <w:rsid w:val="00C46D7B"/>
    <w:rsid w:val="00C473EF"/>
    <w:rsid w:val="00C47A04"/>
    <w:rsid w:val="00C47D41"/>
    <w:rsid w:val="00C47ED9"/>
    <w:rsid w:val="00C50751"/>
    <w:rsid w:val="00C50B26"/>
    <w:rsid w:val="00C51046"/>
    <w:rsid w:val="00C51122"/>
    <w:rsid w:val="00C51756"/>
    <w:rsid w:val="00C5195B"/>
    <w:rsid w:val="00C52788"/>
    <w:rsid w:val="00C528D4"/>
    <w:rsid w:val="00C52BC5"/>
    <w:rsid w:val="00C53EBA"/>
    <w:rsid w:val="00C549CF"/>
    <w:rsid w:val="00C5580F"/>
    <w:rsid w:val="00C55AA4"/>
    <w:rsid w:val="00C55C64"/>
    <w:rsid w:val="00C5712B"/>
    <w:rsid w:val="00C601A3"/>
    <w:rsid w:val="00C60A33"/>
    <w:rsid w:val="00C60FAF"/>
    <w:rsid w:val="00C610F6"/>
    <w:rsid w:val="00C61CA0"/>
    <w:rsid w:val="00C61D74"/>
    <w:rsid w:val="00C621A8"/>
    <w:rsid w:val="00C625D3"/>
    <w:rsid w:val="00C62A0B"/>
    <w:rsid w:val="00C62B72"/>
    <w:rsid w:val="00C62C3C"/>
    <w:rsid w:val="00C63439"/>
    <w:rsid w:val="00C6373B"/>
    <w:rsid w:val="00C639B6"/>
    <w:rsid w:val="00C639C8"/>
    <w:rsid w:val="00C63BDE"/>
    <w:rsid w:val="00C63EED"/>
    <w:rsid w:val="00C650CA"/>
    <w:rsid w:val="00C65479"/>
    <w:rsid w:val="00C654D0"/>
    <w:rsid w:val="00C6581F"/>
    <w:rsid w:val="00C65AB5"/>
    <w:rsid w:val="00C6662F"/>
    <w:rsid w:val="00C67074"/>
    <w:rsid w:val="00C6792C"/>
    <w:rsid w:val="00C71190"/>
    <w:rsid w:val="00C715E4"/>
    <w:rsid w:val="00C71838"/>
    <w:rsid w:val="00C71961"/>
    <w:rsid w:val="00C71DF4"/>
    <w:rsid w:val="00C71DF8"/>
    <w:rsid w:val="00C7276E"/>
    <w:rsid w:val="00C73713"/>
    <w:rsid w:val="00C7395F"/>
    <w:rsid w:val="00C73E54"/>
    <w:rsid w:val="00C74DA9"/>
    <w:rsid w:val="00C75018"/>
    <w:rsid w:val="00C7579F"/>
    <w:rsid w:val="00C7601F"/>
    <w:rsid w:val="00C76560"/>
    <w:rsid w:val="00C772C0"/>
    <w:rsid w:val="00C773CA"/>
    <w:rsid w:val="00C80C64"/>
    <w:rsid w:val="00C81454"/>
    <w:rsid w:val="00C81608"/>
    <w:rsid w:val="00C823C4"/>
    <w:rsid w:val="00C8253D"/>
    <w:rsid w:val="00C82729"/>
    <w:rsid w:val="00C82900"/>
    <w:rsid w:val="00C82A1F"/>
    <w:rsid w:val="00C8366A"/>
    <w:rsid w:val="00C83849"/>
    <w:rsid w:val="00C83CB5"/>
    <w:rsid w:val="00C84025"/>
    <w:rsid w:val="00C840A9"/>
    <w:rsid w:val="00C843B8"/>
    <w:rsid w:val="00C84C66"/>
    <w:rsid w:val="00C8534F"/>
    <w:rsid w:val="00C86045"/>
    <w:rsid w:val="00C8747C"/>
    <w:rsid w:val="00C903C7"/>
    <w:rsid w:val="00C90D55"/>
    <w:rsid w:val="00C91037"/>
    <w:rsid w:val="00C910ED"/>
    <w:rsid w:val="00C9167D"/>
    <w:rsid w:val="00C92084"/>
    <w:rsid w:val="00C923B6"/>
    <w:rsid w:val="00C92E14"/>
    <w:rsid w:val="00C92E15"/>
    <w:rsid w:val="00C92FCA"/>
    <w:rsid w:val="00C9358F"/>
    <w:rsid w:val="00C946AF"/>
    <w:rsid w:val="00C95548"/>
    <w:rsid w:val="00C95AA4"/>
    <w:rsid w:val="00C95AAB"/>
    <w:rsid w:val="00C95B39"/>
    <w:rsid w:val="00C9781C"/>
    <w:rsid w:val="00C97B0B"/>
    <w:rsid w:val="00C97E42"/>
    <w:rsid w:val="00CA1504"/>
    <w:rsid w:val="00CA16AF"/>
    <w:rsid w:val="00CA179F"/>
    <w:rsid w:val="00CA1DE1"/>
    <w:rsid w:val="00CA3134"/>
    <w:rsid w:val="00CA3205"/>
    <w:rsid w:val="00CA3432"/>
    <w:rsid w:val="00CA3642"/>
    <w:rsid w:val="00CA3862"/>
    <w:rsid w:val="00CA3BB7"/>
    <w:rsid w:val="00CA3F2F"/>
    <w:rsid w:val="00CA4C26"/>
    <w:rsid w:val="00CA4F96"/>
    <w:rsid w:val="00CA604D"/>
    <w:rsid w:val="00CA6100"/>
    <w:rsid w:val="00CA613C"/>
    <w:rsid w:val="00CA642C"/>
    <w:rsid w:val="00CA64AC"/>
    <w:rsid w:val="00CA710C"/>
    <w:rsid w:val="00CA738E"/>
    <w:rsid w:val="00CA740B"/>
    <w:rsid w:val="00CA78E0"/>
    <w:rsid w:val="00CA79F8"/>
    <w:rsid w:val="00CA7DBA"/>
    <w:rsid w:val="00CB03FC"/>
    <w:rsid w:val="00CB18AF"/>
    <w:rsid w:val="00CB1D7B"/>
    <w:rsid w:val="00CB1EB4"/>
    <w:rsid w:val="00CB23E1"/>
    <w:rsid w:val="00CB2491"/>
    <w:rsid w:val="00CB288D"/>
    <w:rsid w:val="00CB3FF0"/>
    <w:rsid w:val="00CB4CFC"/>
    <w:rsid w:val="00CB6CE3"/>
    <w:rsid w:val="00CB6F52"/>
    <w:rsid w:val="00CB7172"/>
    <w:rsid w:val="00CB7642"/>
    <w:rsid w:val="00CB77BE"/>
    <w:rsid w:val="00CC142F"/>
    <w:rsid w:val="00CC1CBE"/>
    <w:rsid w:val="00CC24FC"/>
    <w:rsid w:val="00CC2845"/>
    <w:rsid w:val="00CC3C44"/>
    <w:rsid w:val="00CC3EC7"/>
    <w:rsid w:val="00CC5478"/>
    <w:rsid w:val="00CC738C"/>
    <w:rsid w:val="00CC7912"/>
    <w:rsid w:val="00CC7FFE"/>
    <w:rsid w:val="00CD0C28"/>
    <w:rsid w:val="00CD12FE"/>
    <w:rsid w:val="00CD1A2A"/>
    <w:rsid w:val="00CD1C80"/>
    <w:rsid w:val="00CD264C"/>
    <w:rsid w:val="00CD27AB"/>
    <w:rsid w:val="00CD2CFA"/>
    <w:rsid w:val="00CD2D13"/>
    <w:rsid w:val="00CD2E99"/>
    <w:rsid w:val="00CD3049"/>
    <w:rsid w:val="00CD38B0"/>
    <w:rsid w:val="00CD3979"/>
    <w:rsid w:val="00CD428F"/>
    <w:rsid w:val="00CD4DA0"/>
    <w:rsid w:val="00CD4E63"/>
    <w:rsid w:val="00CD5D02"/>
    <w:rsid w:val="00CD6677"/>
    <w:rsid w:val="00CD6697"/>
    <w:rsid w:val="00CD699E"/>
    <w:rsid w:val="00CD757C"/>
    <w:rsid w:val="00CD79DA"/>
    <w:rsid w:val="00CE21FC"/>
    <w:rsid w:val="00CE24F0"/>
    <w:rsid w:val="00CE2CC0"/>
    <w:rsid w:val="00CE37F7"/>
    <w:rsid w:val="00CE3CD6"/>
    <w:rsid w:val="00CE4110"/>
    <w:rsid w:val="00CE4EFA"/>
    <w:rsid w:val="00CE6624"/>
    <w:rsid w:val="00CE68AE"/>
    <w:rsid w:val="00CE6DC4"/>
    <w:rsid w:val="00CF014F"/>
    <w:rsid w:val="00CF0AD7"/>
    <w:rsid w:val="00CF0E41"/>
    <w:rsid w:val="00CF1111"/>
    <w:rsid w:val="00CF30CD"/>
    <w:rsid w:val="00CF348B"/>
    <w:rsid w:val="00CF3752"/>
    <w:rsid w:val="00CF4F66"/>
    <w:rsid w:val="00CF5314"/>
    <w:rsid w:val="00CF5500"/>
    <w:rsid w:val="00CF59D2"/>
    <w:rsid w:val="00D00617"/>
    <w:rsid w:val="00D006A1"/>
    <w:rsid w:val="00D01278"/>
    <w:rsid w:val="00D01314"/>
    <w:rsid w:val="00D01544"/>
    <w:rsid w:val="00D01AE7"/>
    <w:rsid w:val="00D01B05"/>
    <w:rsid w:val="00D024CD"/>
    <w:rsid w:val="00D02529"/>
    <w:rsid w:val="00D02DC6"/>
    <w:rsid w:val="00D03126"/>
    <w:rsid w:val="00D042BE"/>
    <w:rsid w:val="00D044A9"/>
    <w:rsid w:val="00D04F81"/>
    <w:rsid w:val="00D05302"/>
    <w:rsid w:val="00D05516"/>
    <w:rsid w:val="00D0569C"/>
    <w:rsid w:val="00D056D5"/>
    <w:rsid w:val="00D06CF8"/>
    <w:rsid w:val="00D074CA"/>
    <w:rsid w:val="00D078C5"/>
    <w:rsid w:val="00D07917"/>
    <w:rsid w:val="00D07B9F"/>
    <w:rsid w:val="00D07D5E"/>
    <w:rsid w:val="00D10186"/>
    <w:rsid w:val="00D10C2D"/>
    <w:rsid w:val="00D11334"/>
    <w:rsid w:val="00D11602"/>
    <w:rsid w:val="00D1165C"/>
    <w:rsid w:val="00D12421"/>
    <w:rsid w:val="00D12C96"/>
    <w:rsid w:val="00D12C9B"/>
    <w:rsid w:val="00D12F5F"/>
    <w:rsid w:val="00D14301"/>
    <w:rsid w:val="00D1443F"/>
    <w:rsid w:val="00D15A38"/>
    <w:rsid w:val="00D16BED"/>
    <w:rsid w:val="00D17792"/>
    <w:rsid w:val="00D17B04"/>
    <w:rsid w:val="00D2087F"/>
    <w:rsid w:val="00D20C08"/>
    <w:rsid w:val="00D21C73"/>
    <w:rsid w:val="00D22499"/>
    <w:rsid w:val="00D225B0"/>
    <w:rsid w:val="00D23041"/>
    <w:rsid w:val="00D23EC3"/>
    <w:rsid w:val="00D24167"/>
    <w:rsid w:val="00D245C6"/>
    <w:rsid w:val="00D24F66"/>
    <w:rsid w:val="00D24F81"/>
    <w:rsid w:val="00D24FF0"/>
    <w:rsid w:val="00D256D9"/>
    <w:rsid w:val="00D25E28"/>
    <w:rsid w:val="00D267AD"/>
    <w:rsid w:val="00D30E94"/>
    <w:rsid w:val="00D3113B"/>
    <w:rsid w:val="00D3121C"/>
    <w:rsid w:val="00D31804"/>
    <w:rsid w:val="00D31AD8"/>
    <w:rsid w:val="00D31B30"/>
    <w:rsid w:val="00D33046"/>
    <w:rsid w:val="00D35090"/>
    <w:rsid w:val="00D36E96"/>
    <w:rsid w:val="00D374AC"/>
    <w:rsid w:val="00D37B70"/>
    <w:rsid w:val="00D37E05"/>
    <w:rsid w:val="00D40021"/>
    <w:rsid w:val="00D4017F"/>
    <w:rsid w:val="00D4101B"/>
    <w:rsid w:val="00D41A74"/>
    <w:rsid w:val="00D41C61"/>
    <w:rsid w:val="00D41CAD"/>
    <w:rsid w:val="00D42D8F"/>
    <w:rsid w:val="00D43495"/>
    <w:rsid w:val="00D4432F"/>
    <w:rsid w:val="00D4467D"/>
    <w:rsid w:val="00D44907"/>
    <w:rsid w:val="00D4518E"/>
    <w:rsid w:val="00D453F7"/>
    <w:rsid w:val="00D45440"/>
    <w:rsid w:val="00D4583B"/>
    <w:rsid w:val="00D45DAB"/>
    <w:rsid w:val="00D46B7D"/>
    <w:rsid w:val="00D46D05"/>
    <w:rsid w:val="00D4794A"/>
    <w:rsid w:val="00D5063D"/>
    <w:rsid w:val="00D507CE"/>
    <w:rsid w:val="00D5089F"/>
    <w:rsid w:val="00D50AA6"/>
    <w:rsid w:val="00D5237A"/>
    <w:rsid w:val="00D52BC1"/>
    <w:rsid w:val="00D52EC3"/>
    <w:rsid w:val="00D53069"/>
    <w:rsid w:val="00D53272"/>
    <w:rsid w:val="00D5359B"/>
    <w:rsid w:val="00D537F1"/>
    <w:rsid w:val="00D53E98"/>
    <w:rsid w:val="00D549A3"/>
    <w:rsid w:val="00D54F3B"/>
    <w:rsid w:val="00D552EF"/>
    <w:rsid w:val="00D55FF8"/>
    <w:rsid w:val="00D56320"/>
    <w:rsid w:val="00D56A14"/>
    <w:rsid w:val="00D56ABB"/>
    <w:rsid w:val="00D5751C"/>
    <w:rsid w:val="00D57D56"/>
    <w:rsid w:val="00D60B7B"/>
    <w:rsid w:val="00D60C19"/>
    <w:rsid w:val="00D60DA2"/>
    <w:rsid w:val="00D612C9"/>
    <w:rsid w:val="00D614E0"/>
    <w:rsid w:val="00D61AFB"/>
    <w:rsid w:val="00D61EAE"/>
    <w:rsid w:val="00D62172"/>
    <w:rsid w:val="00D6257B"/>
    <w:rsid w:val="00D631B2"/>
    <w:rsid w:val="00D63544"/>
    <w:rsid w:val="00D637C6"/>
    <w:rsid w:val="00D647F5"/>
    <w:rsid w:val="00D64AE1"/>
    <w:rsid w:val="00D655D3"/>
    <w:rsid w:val="00D65E1D"/>
    <w:rsid w:val="00D6658E"/>
    <w:rsid w:val="00D669B8"/>
    <w:rsid w:val="00D669F4"/>
    <w:rsid w:val="00D66D2C"/>
    <w:rsid w:val="00D675E9"/>
    <w:rsid w:val="00D67E1D"/>
    <w:rsid w:val="00D67ED1"/>
    <w:rsid w:val="00D67F58"/>
    <w:rsid w:val="00D707EC"/>
    <w:rsid w:val="00D70859"/>
    <w:rsid w:val="00D70BFC"/>
    <w:rsid w:val="00D70CF5"/>
    <w:rsid w:val="00D71E4A"/>
    <w:rsid w:val="00D722DC"/>
    <w:rsid w:val="00D72607"/>
    <w:rsid w:val="00D7361D"/>
    <w:rsid w:val="00D74101"/>
    <w:rsid w:val="00D74148"/>
    <w:rsid w:val="00D74188"/>
    <w:rsid w:val="00D74984"/>
    <w:rsid w:val="00D74AF1"/>
    <w:rsid w:val="00D74B86"/>
    <w:rsid w:val="00D7597C"/>
    <w:rsid w:val="00D75CA9"/>
    <w:rsid w:val="00D76688"/>
    <w:rsid w:val="00D77455"/>
    <w:rsid w:val="00D77A76"/>
    <w:rsid w:val="00D805E3"/>
    <w:rsid w:val="00D807B5"/>
    <w:rsid w:val="00D80972"/>
    <w:rsid w:val="00D8168D"/>
    <w:rsid w:val="00D81776"/>
    <w:rsid w:val="00D8280C"/>
    <w:rsid w:val="00D82AE1"/>
    <w:rsid w:val="00D83D05"/>
    <w:rsid w:val="00D84EF9"/>
    <w:rsid w:val="00D8547C"/>
    <w:rsid w:val="00D85550"/>
    <w:rsid w:val="00D8574B"/>
    <w:rsid w:val="00D858C0"/>
    <w:rsid w:val="00D85C77"/>
    <w:rsid w:val="00D85EFA"/>
    <w:rsid w:val="00D86331"/>
    <w:rsid w:val="00D87CF0"/>
    <w:rsid w:val="00D87DFC"/>
    <w:rsid w:val="00D90EFA"/>
    <w:rsid w:val="00D90F2D"/>
    <w:rsid w:val="00D912CA"/>
    <w:rsid w:val="00D91DC4"/>
    <w:rsid w:val="00D922B5"/>
    <w:rsid w:val="00D92392"/>
    <w:rsid w:val="00D92928"/>
    <w:rsid w:val="00D92BC6"/>
    <w:rsid w:val="00D9359B"/>
    <w:rsid w:val="00D93A32"/>
    <w:rsid w:val="00D93AA6"/>
    <w:rsid w:val="00D93E43"/>
    <w:rsid w:val="00D93E4D"/>
    <w:rsid w:val="00D942EE"/>
    <w:rsid w:val="00D94A41"/>
    <w:rsid w:val="00D95752"/>
    <w:rsid w:val="00D95782"/>
    <w:rsid w:val="00D95838"/>
    <w:rsid w:val="00D959ED"/>
    <w:rsid w:val="00D96187"/>
    <w:rsid w:val="00D963F1"/>
    <w:rsid w:val="00D96BE3"/>
    <w:rsid w:val="00D96D28"/>
    <w:rsid w:val="00D97653"/>
    <w:rsid w:val="00DA022F"/>
    <w:rsid w:val="00DA1245"/>
    <w:rsid w:val="00DA15D8"/>
    <w:rsid w:val="00DA1BBD"/>
    <w:rsid w:val="00DA1FA5"/>
    <w:rsid w:val="00DA3045"/>
    <w:rsid w:val="00DA3C8D"/>
    <w:rsid w:val="00DA3EA5"/>
    <w:rsid w:val="00DA4502"/>
    <w:rsid w:val="00DA4637"/>
    <w:rsid w:val="00DA4A5F"/>
    <w:rsid w:val="00DA4E43"/>
    <w:rsid w:val="00DA5969"/>
    <w:rsid w:val="00DA5C53"/>
    <w:rsid w:val="00DA6D4F"/>
    <w:rsid w:val="00DA750B"/>
    <w:rsid w:val="00DA77DD"/>
    <w:rsid w:val="00DB0487"/>
    <w:rsid w:val="00DB1998"/>
    <w:rsid w:val="00DB20B5"/>
    <w:rsid w:val="00DB2423"/>
    <w:rsid w:val="00DB29D9"/>
    <w:rsid w:val="00DB2EC6"/>
    <w:rsid w:val="00DB3A73"/>
    <w:rsid w:val="00DB4466"/>
    <w:rsid w:val="00DB48FF"/>
    <w:rsid w:val="00DB49F9"/>
    <w:rsid w:val="00DB6071"/>
    <w:rsid w:val="00DB60EB"/>
    <w:rsid w:val="00DB64EB"/>
    <w:rsid w:val="00DB666A"/>
    <w:rsid w:val="00DB749F"/>
    <w:rsid w:val="00DC0EB0"/>
    <w:rsid w:val="00DC14CD"/>
    <w:rsid w:val="00DC24C5"/>
    <w:rsid w:val="00DC28CC"/>
    <w:rsid w:val="00DC2F90"/>
    <w:rsid w:val="00DC2FAA"/>
    <w:rsid w:val="00DC31DC"/>
    <w:rsid w:val="00DC34DB"/>
    <w:rsid w:val="00DC4232"/>
    <w:rsid w:val="00DC4269"/>
    <w:rsid w:val="00DC4699"/>
    <w:rsid w:val="00DC6E93"/>
    <w:rsid w:val="00DC6EF8"/>
    <w:rsid w:val="00DC70EE"/>
    <w:rsid w:val="00DC78E7"/>
    <w:rsid w:val="00DD06DF"/>
    <w:rsid w:val="00DD0738"/>
    <w:rsid w:val="00DD1F45"/>
    <w:rsid w:val="00DD23CB"/>
    <w:rsid w:val="00DD2631"/>
    <w:rsid w:val="00DD277A"/>
    <w:rsid w:val="00DD30B4"/>
    <w:rsid w:val="00DD3C4A"/>
    <w:rsid w:val="00DD4574"/>
    <w:rsid w:val="00DD4621"/>
    <w:rsid w:val="00DD4645"/>
    <w:rsid w:val="00DD5299"/>
    <w:rsid w:val="00DD5592"/>
    <w:rsid w:val="00DD5AB3"/>
    <w:rsid w:val="00DD5EA7"/>
    <w:rsid w:val="00DD6AD6"/>
    <w:rsid w:val="00DE03FD"/>
    <w:rsid w:val="00DE0C71"/>
    <w:rsid w:val="00DE17E2"/>
    <w:rsid w:val="00DE1BE7"/>
    <w:rsid w:val="00DE30C1"/>
    <w:rsid w:val="00DE342C"/>
    <w:rsid w:val="00DE3F08"/>
    <w:rsid w:val="00DE3F94"/>
    <w:rsid w:val="00DE498F"/>
    <w:rsid w:val="00DE4EAA"/>
    <w:rsid w:val="00DE5006"/>
    <w:rsid w:val="00DE6275"/>
    <w:rsid w:val="00DE6A0F"/>
    <w:rsid w:val="00DE6F9A"/>
    <w:rsid w:val="00DE71FE"/>
    <w:rsid w:val="00DE73D9"/>
    <w:rsid w:val="00DE7955"/>
    <w:rsid w:val="00DE79F4"/>
    <w:rsid w:val="00DE7C80"/>
    <w:rsid w:val="00DE7DFC"/>
    <w:rsid w:val="00DF067D"/>
    <w:rsid w:val="00DF08DA"/>
    <w:rsid w:val="00DF1670"/>
    <w:rsid w:val="00DF2672"/>
    <w:rsid w:val="00DF2C02"/>
    <w:rsid w:val="00DF3269"/>
    <w:rsid w:val="00DF37E6"/>
    <w:rsid w:val="00DF4371"/>
    <w:rsid w:val="00DF50D8"/>
    <w:rsid w:val="00DF5935"/>
    <w:rsid w:val="00DF6661"/>
    <w:rsid w:val="00DF67BB"/>
    <w:rsid w:val="00DF6C08"/>
    <w:rsid w:val="00DF704D"/>
    <w:rsid w:val="00E00623"/>
    <w:rsid w:val="00E00BBD"/>
    <w:rsid w:val="00E00CED"/>
    <w:rsid w:val="00E00FB3"/>
    <w:rsid w:val="00E01064"/>
    <w:rsid w:val="00E013D0"/>
    <w:rsid w:val="00E01BA8"/>
    <w:rsid w:val="00E01CB1"/>
    <w:rsid w:val="00E0226C"/>
    <w:rsid w:val="00E02666"/>
    <w:rsid w:val="00E039F0"/>
    <w:rsid w:val="00E03B5A"/>
    <w:rsid w:val="00E03D8E"/>
    <w:rsid w:val="00E04197"/>
    <w:rsid w:val="00E05CEF"/>
    <w:rsid w:val="00E06533"/>
    <w:rsid w:val="00E06EF4"/>
    <w:rsid w:val="00E0780B"/>
    <w:rsid w:val="00E0792A"/>
    <w:rsid w:val="00E105DE"/>
    <w:rsid w:val="00E10845"/>
    <w:rsid w:val="00E11ADB"/>
    <w:rsid w:val="00E11CE1"/>
    <w:rsid w:val="00E11EBA"/>
    <w:rsid w:val="00E122AF"/>
    <w:rsid w:val="00E12589"/>
    <w:rsid w:val="00E12794"/>
    <w:rsid w:val="00E12D75"/>
    <w:rsid w:val="00E1344F"/>
    <w:rsid w:val="00E13486"/>
    <w:rsid w:val="00E13BEE"/>
    <w:rsid w:val="00E14B2F"/>
    <w:rsid w:val="00E14E29"/>
    <w:rsid w:val="00E15234"/>
    <w:rsid w:val="00E15BA2"/>
    <w:rsid w:val="00E15DB9"/>
    <w:rsid w:val="00E16A5B"/>
    <w:rsid w:val="00E16BFE"/>
    <w:rsid w:val="00E1730B"/>
    <w:rsid w:val="00E1798A"/>
    <w:rsid w:val="00E17E9D"/>
    <w:rsid w:val="00E2048E"/>
    <w:rsid w:val="00E21688"/>
    <w:rsid w:val="00E21A51"/>
    <w:rsid w:val="00E21FB4"/>
    <w:rsid w:val="00E21FB9"/>
    <w:rsid w:val="00E23034"/>
    <w:rsid w:val="00E2351B"/>
    <w:rsid w:val="00E23C11"/>
    <w:rsid w:val="00E23D34"/>
    <w:rsid w:val="00E249FD"/>
    <w:rsid w:val="00E252F3"/>
    <w:rsid w:val="00E25C75"/>
    <w:rsid w:val="00E25D52"/>
    <w:rsid w:val="00E2701C"/>
    <w:rsid w:val="00E27268"/>
    <w:rsid w:val="00E274A5"/>
    <w:rsid w:val="00E3038E"/>
    <w:rsid w:val="00E3067D"/>
    <w:rsid w:val="00E30FAC"/>
    <w:rsid w:val="00E3146C"/>
    <w:rsid w:val="00E326ED"/>
    <w:rsid w:val="00E32721"/>
    <w:rsid w:val="00E335AE"/>
    <w:rsid w:val="00E35AE5"/>
    <w:rsid w:val="00E35BDC"/>
    <w:rsid w:val="00E35FC9"/>
    <w:rsid w:val="00E36623"/>
    <w:rsid w:val="00E36AEE"/>
    <w:rsid w:val="00E371FE"/>
    <w:rsid w:val="00E37D58"/>
    <w:rsid w:val="00E37E29"/>
    <w:rsid w:val="00E400BC"/>
    <w:rsid w:val="00E40DA2"/>
    <w:rsid w:val="00E41EDC"/>
    <w:rsid w:val="00E422CD"/>
    <w:rsid w:val="00E423D6"/>
    <w:rsid w:val="00E42685"/>
    <w:rsid w:val="00E42AF2"/>
    <w:rsid w:val="00E42DFA"/>
    <w:rsid w:val="00E4319A"/>
    <w:rsid w:val="00E43936"/>
    <w:rsid w:val="00E43EF4"/>
    <w:rsid w:val="00E440B2"/>
    <w:rsid w:val="00E4464F"/>
    <w:rsid w:val="00E462AF"/>
    <w:rsid w:val="00E467F1"/>
    <w:rsid w:val="00E46A74"/>
    <w:rsid w:val="00E46AD2"/>
    <w:rsid w:val="00E46C60"/>
    <w:rsid w:val="00E46ED1"/>
    <w:rsid w:val="00E473C2"/>
    <w:rsid w:val="00E47A83"/>
    <w:rsid w:val="00E47CCB"/>
    <w:rsid w:val="00E507BA"/>
    <w:rsid w:val="00E511AB"/>
    <w:rsid w:val="00E51A9A"/>
    <w:rsid w:val="00E521C5"/>
    <w:rsid w:val="00E53664"/>
    <w:rsid w:val="00E536D9"/>
    <w:rsid w:val="00E53A35"/>
    <w:rsid w:val="00E53E7D"/>
    <w:rsid w:val="00E54B42"/>
    <w:rsid w:val="00E54D24"/>
    <w:rsid w:val="00E55499"/>
    <w:rsid w:val="00E556C8"/>
    <w:rsid w:val="00E5575B"/>
    <w:rsid w:val="00E55BA8"/>
    <w:rsid w:val="00E55E18"/>
    <w:rsid w:val="00E560DF"/>
    <w:rsid w:val="00E570DC"/>
    <w:rsid w:val="00E5720A"/>
    <w:rsid w:val="00E573E2"/>
    <w:rsid w:val="00E575A4"/>
    <w:rsid w:val="00E57785"/>
    <w:rsid w:val="00E57A39"/>
    <w:rsid w:val="00E57EDD"/>
    <w:rsid w:val="00E60AFE"/>
    <w:rsid w:val="00E60F61"/>
    <w:rsid w:val="00E61169"/>
    <w:rsid w:val="00E61582"/>
    <w:rsid w:val="00E619CD"/>
    <w:rsid w:val="00E61F36"/>
    <w:rsid w:val="00E62852"/>
    <w:rsid w:val="00E62EB7"/>
    <w:rsid w:val="00E6382E"/>
    <w:rsid w:val="00E6389F"/>
    <w:rsid w:val="00E645F8"/>
    <w:rsid w:val="00E64D91"/>
    <w:rsid w:val="00E651AD"/>
    <w:rsid w:val="00E652E2"/>
    <w:rsid w:val="00E65D22"/>
    <w:rsid w:val="00E66305"/>
    <w:rsid w:val="00E6640E"/>
    <w:rsid w:val="00E6685A"/>
    <w:rsid w:val="00E66F33"/>
    <w:rsid w:val="00E674C5"/>
    <w:rsid w:val="00E7059A"/>
    <w:rsid w:val="00E7079A"/>
    <w:rsid w:val="00E70883"/>
    <w:rsid w:val="00E70951"/>
    <w:rsid w:val="00E70EAC"/>
    <w:rsid w:val="00E719FE"/>
    <w:rsid w:val="00E71A51"/>
    <w:rsid w:val="00E7264B"/>
    <w:rsid w:val="00E72CEC"/>
    <w:rsid w:val="00E72E46"/>
    <w:rsid w:val="00E730DB"/>
    <w:rsid w:val="00E731B3"/>
    <w:rsid w:val="00E73212"/>
    <w:rsid w:val="00E73FD5"/>
    <w:rsid w:val="00E74FB3"/>
    <w:rsid w:val="00E75605"/>
    <w:rsid w:val="00E75A92"/>
    <w:rsid w:val="00E76356"/>
    <w:rsid w:val="00E76A77"/>
    <w:rsid w:val="00E76C50"/>
    <w:rsid w:val="00E7726D"/>
    <w:rsid w:val="00E7765E"/>
    <w:rsid w:val="00E77877"/>
    <w:rsid w:val="00E77E0D"/>
    <w:rsid w:val="00E80111"/>
    <w:rsid w:val="00E80D15"/>
    <w:rsid w:val="00E80F39"/>
    <w:rsid w:val="00E8157D"/>
    <w:rsid w:val="00E81583"/>
    <w:rsid w:val="00E82BF5"/>
    <w:rsid w:val="00E82DC2"/>
    <w:rsid w:val="00E8313A"/>
    <w:rsid w:val="00E8397E"/>
    <w:rsid w:val="00E83B4C"/>
    <w:rsid w:val="00E844E4"/>
    <w:rsid w:val="00E84814"/>
    <w:rsid w:val="00E84DD9"/>
    <w:rsid w:val="00E85723"/>
    <w:rsid w:val="00E85C04"/>
    <w:rsid w:val="00E865A8"/>
    <w:rsid w:val="00E865C2"/>
    <w:rsid w:val="00E8754B"/>
    <w:rsid w:val="00E87794"/>
    <w:rsid w:val="00E8793F"/>
    <w:rsid w:val="00E87F06"/>
    <w:rsid w:val="00E9080D"/>
    <w:rsid w:val="00E909D6"/>
    <w:rsid w:val="00E90B81"/>
    <w:rsid w:val="00E90B95"/>
    <w:rsid w:val="00E919C4"/>
    <w:rsid w:val="00E9271B"/>
    <w:rsid w:val="00E93959"/>
    <w:rsid w:val="00E93964"/>
    <w:rsid w:val="00E9456A"/>
    <w:rsid w:val="00E9459D"/>
    <w:rsid w:val="00E95458"/>
    <w:rsid w:val="00E9702E"/>
    <w:rsid w:val="00E97C82"/>
    <w:rsid w:val="00EA00D3"/>
    <w:rsid w:val="00EA0849"/>
    <w:rsid w:val="00EA0E31"/>
    <w:rsid w:val="00EA16B0"/>
    <w:rsid w:val="00EA255D"/>
    <w:rsid w:val="00EA291C"/>
    <w:rsid w:val="00EA3434"/>
    <w:rsid w:val="00EA35EE"/>
    <w:rsid w:val="00EA4043"/>
    <w:rsid w:val="00EA49F2"/>
    <w:rsid w:val="00EA54EE"/>
    <w:rsid w:val="00EA57CB"/>
    <w:rsid w:val="00EA582E"/>
    <w:rsid w:val="00EA5C6D"/>
    <w:rsid w:val="00EA62ED"/>
    <w:rsid w:val="00EA6ED0"/>
    <w:rsid w:val="00EA7A3E"/>
    <w:rsid w:val="00EA7A8D"/>
    <w:rsid w:val="00EB0CDC"/>
    <w:rsid w:val="00EB13EC"/>
    <w:rsid w:val="00EB14EF"/>
    <w:rsid w:val="00EB1821"/>
    <w:rsid w:val="00EB1A58"/>
    <w:rsid w:val="00EB1BD5"/>
    <w:rsid w:val="00EB1C0E"/>
    <w:rsid w:val="00EB3564"/>
    <w:rsid w:val="00EB3AC7"/>
    <w:rsid w:val="00EB4570"/>
    <w:rsid w:val="00EB5772"/>
    <w:rsid w:val="00EB5FAD"/>
    <w:rsid w:val="00EB6344"/>
    <w:rsid w:val="00EB68FB"/>
    <w:rsid w:val="00EB7418"/>
    <w:rsid w:val="00EB7A04"/>
    <w:rsid w:val="00EC038B"/>
    <w:rsid w:val="00EC0612"/>
    <w:rsid w:val="00EC0671"/>
    <w:rsid w:val="00EC117A"/>
    <w:rsid w:val="00EC15AE"/>
    <w:rsid w:val="00EC195E"/>
    <w:rsid w:val="00EC1FE5"/>
    <w:rsid w:val="00EC2552"/>
    <w:rsid w:val="00EC2637"/>
    <w:rsid w:val="00EC27BA"/>
    <w:rsid w:val="00EC2C1F"/>
    <w:rsid w:val="00EC2E3A"/>
    <w:rsid w:val="00EC371F"/>
    <w:rsid w:val="00EC4988"/>
    <w:rsid w:val="00EC4DCF"/>
    <w:rsid w:val="00EC4F50"/>
    <w:rsid w:val="00EC5608"/>
    <w:rsid w:val="00EC5670"/>
    <w:rsid w:val="00EC58F8"/>
    <w:rsid w:val="00EC63A2"/>
    <w:rsid w:val="00EC74DB"/>
    <w:rsid w:val="00EC779D"/>
    <w:rsid w:val="00EC7A04"/>
    <w:rsid w:val="00EC7F24"/>
    <w:rsid w:val="00ED0998"/>
    <w:rsid w:val="00ED13D7"/>
    <w:rsid w:val="00ED17DE"/>
    <w:rsid w:val="00ED1E2A"/>
    <w:rsid w:val="00ED2BBE"/>
    <w:rsid w:val="00ED30DF"/>
    <w:rsid w:val="00ED321A"/>
    <w:rsid w:val="00ED3518"/>
    <w:rsid w:val="00ED3684"/>
    <w:rsid w:val="00ED3C66"/>
    <w:rsid w:val="00ED3E21"/>
    <w:rsid w:val="00ED3F3C"/>
    <w:rsid w:val="00ED443E"/>
    <w:rsid w:val="00ED4515"/>
    <w:rsid w:val="00ED451C"/>
    <w:rsid w:val="00ED4E57"/>
    <w:rsid w:val="00ED550C"/>
    <w:rsid w:val="00ED57A4"/>
    <w:rsid w:val="00ED5986"/>
    <w:rsid w:val="00ED59E4"/>
    <w:rsid w:val="00ED5E58"/>
    <w:rsid w:val="00ED6788"/>
    <w:rsid w:val="00ED7500"/>
    <w:rsid w:val="00ED7A28"/>
    <w:rsid w:val="00ED7F96"/>
    <w:rsid w:val="00EE041E"/>
    <w:rsid w:val="00EE0A25"/>
    <w:rsid w:val="00EE0D8E"/>
    <w:rsid w:val="00EE1456"/>
    <w:rsid w:val="00EE15D0"/>
    <w:rsid w:val="00EE1E69"/>
    <w:rsid w:val="00EE21AA"/>
    <w:rsid w:val="00EE21E2"/>
    <w:rsid w:val="00EE2B2C"/>
    <w:rsid w:val="00EE2DA4"/>
    <w:rsid w:val="00EE2ED6"/>
    <w:rsid w:val="00EE335A"/>
    <w:rsid w:val="00EE3519"/>
    <w:rsid w:val="00EE3B07"/>
    <w:rsid w:val="00EE3D77"/>
    <w:rsid w:val="00EE43E0"/>
    <w:rsid w:val="00EE5464"/>
    <w:rsid w:val="00EE666E"/>
    <w:rsid w:val="00EE7224"/>
    <w:rsid w:val="00EE774F"/>
    <w:rsid w:val="00EE79CC"/>
    <w:rsid w:val="00EF046A"/>
    <w:rsid w:val="00EF1730"/>
    <w:rsid w:val="00EF19E6"/>
    <w:rsid w:val="00EF1B3D"/>
    <w:rsid w:val="00EF1C68"/>
    <w:rsid w:val="00EF1F0C"/>
    <w:rsid w:val="00EF3299"/>
    <w:rsid w:val="00EF3422"/>
    <w:rsid w:val="00EF353F"/>
    <w:rsid w:val="00EF3A6E"/>
    <w:rsid w:val="00EF3C36"/>
    <w:rsid w:val="00EF51E8"/>
    <w:rsid w:val="00EF5BA2"/>
    <w:rsid w:val="00EF5FC8"/>
    <w:rsid w:val="00EF7950"/>
    <w:rsid w:val="00F002B0"/>
    <w:rsid w:val="00F00B03"/>
    <w:rsid w:val="00F013D7"/>
    <w:rsid w:val="00F01CEF"/>
    <w:rsid w:val="00F027CE"/>
    <w:rsid w:val="00F02A73"/>
    <w:rsid w:val="00F02BA6"/>
    <w:rsid w:val="00F04063"/>
    <w:rsid w:val="00F0458E"/>
    <w:rsid w:val="00F045DC"/>
    <w:rsid w:val="00F04669"/>
    <w:rsid w:val="00F049BB"/>
    <w:rsid w:val="00F049CE"/>
    <w:rsid w:val="00F04A64"/>
    <w:rsid w:val="00F04D53"/>
    <w:rsid w:val="00F05477"/>
    <w:rsid w:val="00F05BAB"/>
    <w:rsid w:val="00F061EA"/>
    <w:rsid w:val="00F06267"/>
    <w:rsid w:val="00F062D0"/>
    <w:rsid w:val="00F06872"/>
    <w:rsid w:val="00F068D9"/>
    <w:rsid w:val="00F07CB6"/>
    <w:rsid w:val="00F07D47"/>
    <w:rsid w:val="00F1005D"/>
    <w:rsid w:val="00F1083C"/>
    <w:rsid w:val="00F11013"/>
    <w:rsid w:val="00F11454"/>
    <w:rsid w:val="00F1163B"/>
    <w:rsid w:val="00F1191B"/>
    <w:rsid w:val="00F11C5E"/>
    <w:rsid w:val="00F11DCB"/>
    <w:rsid w:val="00F123FF"/>
    <w:rsid w:val="00F12F27"/>
    <w:rsid w:val="00F131DC"/>
    <w:rsid w:val="00F13704"/>
    <w:rsid w:val="00F13EC3"/>
    <w:rsid w:val="00F14707"/>
    <w:rsid w:val="00F14B59"/>
    <w:rsid w:val="00F15324"/>
    <w:rsid w:val="00F16D76"/>
    <w:rsid w:val="00F170AD"/>
    <w:rsid w:val="00F17232"/>
    <w:rsid w:val="00F174BC"/>
    <w:rsid w:val="00F177DF"/>
    <w:rsid w:val="00F17DD7"/>
    <w:rsid w:val="00F17F8A"/>
    <w:rsid w:val="00F200C2"/>
    <w:rsid w:val="00F202DC"/>
    <w:rsid w:val="00F210F3"/>
    <w:rsid w:val="00F211EF"/>
    <w:rsid w:val="00F214D3"/>
    <w:rsid w:val="00F2290F"/>
    <w:rsid w:val="00F23E3C"/>
    <w:rsid w:val="00F243FF"/>
    <w:rsid w:val="00F2490F"/>
    <w:rsid w:val="00F24EAF"/>
    <w:rsid w:val="00F2503C"/>
    <w:rsid w:val="00F25661"/>
    <w:rsid w:val="00F2574D"/>
    <w:rsid w:val="00F25A4E"/>
    <w:rsid w:val="00F25FEA"/>
    <w:rsid w:val="00F2659F"/>
    <w:rsid w:val="00F26A94"/>
    <w:rsid w:val="00F26B75"/>
    <w:rsid w:val="00F26BFA"/>
    <w:rsid w:val="00F27CA9"/>
    <w:rsid w:val="00F30A61"/>
    <w:rsid w:val="00F310FA"/>
    <w:rsid w:val="00F3117C"/>
    <w:rsid w:val="00F319C2"/>
    <w:rsid w:val="00F3222B"/>
    <w:rsid w:val="00F322EE"/>
    <w:rsid w:val="00F32349"/>
    <w:rsid w:val="00F32375"/>
    <w:rsid w:val="00F329ED"/>
    <w:rsid w:val="00F32B90"/>
    <w:rsid w:val="00F32CE9"/>
    <w:rsid w:val="00F32DCA"/>
    <w:rsid w:val="00F33BF4"/>
    <w:rsid w:val="00F35531"/>
    <w:rsid w:val="00F35C9C"/>
    <w:rsid w:val="00F35E3E"/>
    <w:rsid w:val="00F35EBA"/>
    <w:rsid w:val="00F35FEF"/>
    <w:rsid w:val="00F36C32"/>
    <w:rsid w:val="00F37070"/>
    <w:rsid w:val="00F37425"/>
    <w:rsid w:val="00F3755D"/>
    <w:rsid w:val="00F377B3"/>
    <w:rsid w:val="00F40045"/>
    <w:rsid w:val="00F4072D"/>
    <w:rsid w:val="00F40AAB"/>
    <w:rsid w:val="00F40C5D"/>
    <w:rsid w:val="00F419E5"/>
    <w:rsid w:val="00F41C40"/>
    <w:rsid w:val="00F41FC1"/>
    <w:rsid w:val="00F423E2"/>
    <w:rsid w:val="00F42EA5"/>
    <w:rsid w:val="00F42F96"/>
    <w:rsid w:val="00F430BC"/>
    <w:rsid w:val="00F43189"/>
    <w:rsid w:val="00F431B9"/>
    <w:rsid w:val="00F4428E"/>
    <w:rsid w:val="00F44593"/>
    <w:rsid w:val="00F44754"/>
    <w:rsid w:val="00F4495D"/>
    <w:rsid w:val="00F44DE3"/>
    <w:rsid w:val="00F44F67"/>
    <w:rsid w:val="00F4513D"/>
    <w:rsid w:val="00F46788"/>
    <w:rsid w:val="00F4683C"/>
    <w:rsid w:val="00F46D15"/>
    <w:rsid w:val="00F47511"/>
    <w:rsid w:val="00F4778B"/>
    <w:rsid w:val="00F47A6E"/>
    <w:rsid w:val="00F50429"/>
    <w:rsid w:val="00F50D6F"/>
    <w:rsid w:val="00F52A8D"/>
    <w:rsid w:val="00F53198"/>
    <w:rsid w:val="00F53A33"/>
    <w:rsid w:val="00F54389"/>
    <w:rsid w:val="00F54824"/>
    <w:rsid w:val="00F54CC8"/>
    <w:rsid w:val="00F55028"/>
    <w:rsid w:val="00F551F7"/>
    <w:rsid w:val="00F5530E"/>
    <w:rsid w:val="00F556C5"/>
    <w:rsid w:val="00F561DB"/>
    <w:rsid w:val="00F56295"/>
    <w:rsid w:val="00F5651E"/>
    <w:rsid w:val="00F579B7"/>
    <w:rsid w:val="00F579F5"/>
    <w:rsid w:val="00F57C25"/>
    <w:rsid w:val="00F619B6"/>
    <w:rsid w:val="00F626F4"/>
    <w:rsid w:val="00F6355D"/>
    <w:rsid w:val="00F637B4"/>
    <w:rsid w:val="00F645FA"/>
    <w:rsid w:val="00F64968"/>
    <w:rsid w:val="00F6519F"/>
    <w:rsid w:val="00F65592"/>
    <w:rsid w:val="00F65BD6"/>
    <w:rsid w:val="00F66330"/>
    <w:rsid w:val="00F66D3A"/>
    <w:rsid w:val="00F675CE"/>
    <w:rsid w:val="00F6776C"/>
    <w:rsid w:val="00F6796A"/>
    <w:rsid w:val="00F67DB6"/>
    <w:rsid w:val="00F7001C"/>
    <w:rsid w:val="00F705B3"/>
    <w:rsid w:val="00F705E8"/>
    <w:rsid w:val="00F70C57"/>
    <w:rsid w:val="00F70CDF"/>
    <w:rsid w:val="00F70D69"/>
    <w:rsid w:val="00F71176"/>
    <w:rsid w:val="00F71FE8"/>
    <w:rsid w:val="00F72246"/>
    <w:rsid w:val="00F73091"/>
    <w:rsid w:val="00F733BC"/>
    <w:rsid w:val="00F7368D"/>
    <w:rsid w:val="00F73A72"/>
    <w:rsid w:val="00F73BDD"/>
    <w:rsid w:val="00F73F64"/>
    <w:rsid w:val="00F74349"/>
    <w:rsid w:val="00F74A57"/>
    <w:rsid w:val="00F74C91"/>
    <w:rsid w:val="00F75A96"/>
    <w:rsid w:val="00F7628A"/>
    <w:rsid w:val="00F76353"/>
    <w:rsid w:val="00F770C2"/>
    <w:rsid w:val="00F779E8"/>
    <w:rsid w:val="00F8045D"/>
    <w:rsid w:val="00F80592"/>
    <w:rsid w:val="00F81845"/>
    <w:rsid w:val="00F824CC"/>
    <w:rsid w:val="00F829F3"/>
    <w:rsid w:val="00F82BEB"/>
    <w:rsid w:val="00F82CC7"/>
    <w:rsid w:val="00F832B1"/>
    <w:rsid w:val="00F83AB0"/>
    <w:rsid w:val="00F84D4A"/>
    <w:rsid w:val="00F84EE9"/>
    <w:rsid w:val="00F850D3"/>
    <w:rsid w:val="00F855E0"/>
    <w:rsid w:val="00F90649"/>
    <w:rsid w:val="00F90C04"/>
    <w:rsid w:val="00F91A0C"/>
    <w:rsid w:val="00F91FE6"/>
    <w:rsid w:val="00F928BE"/>
    <w:rsid w:val="00F92E65"/>
    <w:rsid w:val="00F92F3A"/>
    <w:rsid w:val="00F930B8"/>
    <w:rsid w:val="00F93852"/>
    <w:rsid w:val="00F941EB"/>
    <w:rsid w:val="00F948C6"/>
    <w:rsid w:val="00F954C8"/>
    <w:rsid w:val="00F9561C"/>
    <w:rsid w:val="00F9594B"/>
    <w:rsid w:val="00F96001"/>
    <w:rsid w:val="00F9601F"/>
    <w:rsid w:val="00F965F3"/>
    <w:rsid w:val="00F9678D"/>
    <w:rsid w:val="00F96EAC"/>
    <w:rsid w:val="00F96F51"/>
    <w:rsid w:val="00F96FBA"/>
    <w:rsid w:val="00F97AAE"/>
    <w:rsid w:val="00F97BD2"/>
    <w:rsid w:val="00FA0A41"/>
    <w:rsid w:val="00FA0B08"/>
    <w:rsid w:val="00FA0E10"/>
    <w:rsid w:val="00FA17FC"/>
    <w:rsid w:val="00FA197B"/>
    <w:rsid w:val="00FA1CF5"/>
    <w:rsid w:val="00FA2034"/>
    <w:rsid w:val="00FA2960"/>
    <w:rsid w:val="00FA2DE4"/>
    <w:rsid w:val="00FA3842"/>
    <w:rsid w:val="00FA3CCE"/>
    <w:rsid w:val="00FA3F58"/>
    <w:rsid w:val="00FA458D"/>
    <w:rsid w:val="00FA4C9C"/>
    <w:rsid w:val="00FA5615"/>
    <w:rsid w:val="00FA5B07"/>
    <w:rsid w:val="00FA6795"/>
    <w:rsid w:val="00FA789B"/>
    <w:rsid w:val="00FA7A21"/>
    <w:rsid w:val="00FB0C5E"/>
    <w:rsid w:val="00FB179F"/>
    <w:rsid w:val="00FB2168"/>
    <w:rsid w:val="00FB2B6B"/>
    <w:rsid w:val="00FB318D"/>
    <w:rsid w:val="00FB32E2"/>
    <w:rsid w:val="00FB4547"/>
    <w:rsid w:val="00FB5135"/>
    <w:rsid w:val="00FB52A7"/>
    <w:rsid w:val="00FB57E3"/>
    <w:rsid w:val="00FB669E"/>
    <w:rsid w:val="00FB67D8"/>
    <w:rsid w:val="00FB70A6"/>
    <w:rsid w:val="00FB7D80"/>
    <w:rsid w:val="00FC00D6"/>
    <w:rsid w:val="00FC08C9"/>
    <w:rsid w:val="00FC09F3"/>
    <w:rsid w:val="00FC0A78"/>
    <w:rsid w:val="00FC0C0C"/>
    <w:rsid w:val="00FC122F"/>
    <w:rsid w:val="00FC12E8"/>
    <w:rsid w:val="00FC20F3"/>
    <w:rsid w:val="00FC22A7"/>
    <w:rsid w:val="00FC2422"/>
    <w:rsid w:val="00FC3347"/>
    <w:rsid w:val="00FC3939"/>
    <w:rsid w:val="00FC3B85"/>
    <w:rsid w:val="00FC4072"/>
    <w:rsid w:val="00FC44BE"/>
    <w:rsid w:val="00FC4F8F"/>
    <w:rsid w:val="00FC65C6"/>
    <w:rsid w:val="00FC6D4B"/>
    <w:rsid w:val="00FC77C4"/>
    <w:rsid w:val="00FC7F25"/>
    <w:rsid w:val="00FD0150"/>
    <w:rsid w:val="00FD0954"/>
    <w:rsid w:val="00FD1062"/>
    <w:rsid w:val="00FD13F4"/>
    <w:rsid w:val="00FD1835"/>
    <w:rsid w:val="00FD1FD9"/>
    <w:rsid w:val="00FD2915"/>
    <w:rsid w:val="00FD2A77"/>
    <w:rsid w:val="00FD2FAA"/>
    <w:rsid w:val="00FD3605"/>
    <w:rsid w:val="00FD382A"/>
    <w:rsid w:val="00FD3A75"/>
    <w:rsid w:val="00FD3C83"/>
    <w:rsid w:val="00FD43EA"/>
    <w:rsid w:val="00FD50E5"/>
    <w:rsid w:val="00FD52A3"/>
    <w:rsid w:val="00FD56D6"/>
    <w:rsid w:val="00FD580F"/>
    <w:rsid w:val="00FD5B6D"/>
    <w:rsid w:val="00FD5EE8"/>
    <w:rsid w:val="00FD716A"/>
    <w:rsid w:val="00FD731C"/>
    <w:rsid w:val="00FD774B"/>
    <w:rsid w:val="00FD77F5"/>
    <w:rsid w:val="00FD79DE"/>
    <w:rsid w:val="00FD7A3F"/>
    <w:rsid w:val="00FE004B"/>
    <w:rsid w:val="00FE0466"/>
    <w:rsid w:val="00FE05AC"/>
    <w:rsid w:val="00FE0ED1"/>
    <w:rsid w:val="00FE1700"/>
    <w:rsid w:val="00FE1806"/>
    <w:rsid w:val="00FE2F78"/>
    <w:rsid w:val="00FE33B0"/>
    <w:rsid w:val="00FE3ADF"/>
    <w:rsid w:val="00FE3EA6"/>
    <w:rsid w:val="00FE45DF"/>
    <w:rsid w:val="00FE4DE2"/>
    <w:rsid w:val="00FE4FA5"/>
    <w:rsid w:val="00FE51EB"/>
    <w:rsid w:val="00FE51EF"/>
    <w:rsid w:val="00FE5541"/>
    <w:rsid w:val="00FE5A48"/>
    <w:rsid w:val="00FE5B5E"/>
    <w:rsid w:val="00FE5DE6"/>
    <w:rsid w:val="00FE628C"/>
    <w:rsid w:val="00FE67B5"/>
    <w:rsid w:val="00FE6AB2"/>
    <w:rsid w:val="00FE6F9B"/>
    <w:rsid w:val="00FE73E9"/>
    <w:rsid w:val="00FE7643"/>
    <w:rsid w:val="00FF07AC"/>
    <w:rsid w:val="00FF0B60"/>
    <w:rsid w:val="00FF0B8C"/>
    <w:rsid w:val="00FF11A7"/>
    <w:rsid w:val="00FF1D60"/>
    <w:rsid w:val="00FF27E5"/>
    <w:rsid w:val="00FF285A"/>
    <w:rsid w:val="00FF33BD"/>
    <w:rsid w:val="00FF3899"/>
    <w:rsid w:val="00FF59DD"/>
    <w:rsid w:val="00FF5EB5"/>
    <w:rsid w:val="00FF6A3C"/>
    <w:rsid w:val="00FF6D9A"/>
    <w:rsid w:val="00FF7103"/>
    <w:rsid w:val="00FF7445"/>
    <w:rsid w:val="00FF7C57"/>
    <w:rsid w:val="01001B5E"/>
    <w:rsid w:val="0100390C"/>
    <w:rsid w:val="01011432"/>
    <w:rsid w:val="01011FFF"/>
    <w:rsid w:val="01017684"/>
    <w:rsid w:val="0103164E"/>
    <w:rsid w:val="010351AA"/>
    <w:rsid w:val="01050F22"/>
    <w:rsid w:val="01062EEC"/>
    <w:rsid w:val="01066A48"/>
    <w:rsid w:val="01080A12"/>
    <w:rsid w:val="010827C0"/>
    <w:rsid w:val="01084EDF"/>
    <w:rsid w:val="0109689F"/>
    <w:rsid w:val="01097CE8"/>
    <w:rsid w:val="01097D2F"/>
    <w:rsid w:val="010B22B0"/>
    <w:rsid w:val="010B405F"/>
    <w:rsid w:val="010C5220"/>
    <w:rsid w:val="010D7DD7"/>
    <w:rsid w:val="010F1DBD"/>
    <w:rsid w:val="01101675"/>
    <w:rsid w:val="01117330"/>
    <w:rsid w:val="01121891"/>
    <w:rsid w:val="011253ED"/>
    <w:rsid w:val="01160EA3"/>
    <w:rsid w:val="01161381"/>
    <w:rsid w:val="0116312F"/>
    <w:rsid w:val="01163F97"/>
    <w:rsid w:val="01176EA7"/>
    <w:rsid w:val="0117719B"/>
    <w:rsid w:val="011776BC"/>
    <w:rsid w:val="01192C1F"/>
    <w:rsid w:val="01194F6B"/>
    <w:rsid w:val="011A2252"/>
    <w:rsid w:val="011B2144"/>
    <w:rsid w:val="011B6997"/>
    <w:rsid w:val="011C626C"/>
    <w:rsid w:val="011E5EF4"/>
    <w:rsid w:val="0120447A"/>
    <w:rsid w:val="01207B0A"/>
    <w:rsid w:val="01214875"/>
    <w:rsid w:val="01227D26"/>
    <w:rsid w:val="012313A8"/>
    <w:rsid w:val="012375FA"/>
    <w:rsid w:val="01243974"/>
    <w:rsid w:val="01243C35"/>
    <w:rsid w:val="01260E98"/>
    <w:rsid w:val="01264686"/>
    <w:rsid w:val="012706AB"/>
    <w:rsid w:val="01272083"/>
    <w:rsid w:val="0127533C"/>
    <w:rsid w:val="012810B4"/>
    <w:rsid w:val="01281B77"/>
    <w:rsid w:val="012832B8"/>
    <w:rsid w:val="01284C10"/>
    <w:rsid w:val="012A6BDB"/>
    <w:rsid w:val="012B64AF"/>
    <w:rsid w:val="012C2953"/>
    <w:rsid w:val="012D66CB"/>
    <w:rsid w:val="012F2443"/>
    <w:rsid w:val="012F3C6C"/>
    <w:rsid w:val="012F41F1"/>
    <w:rsid w:val="012F7254"/>
    <w:rsid w:val="01300309"/>
    <w:rsid w:val="01303AC5"/>
    <w:rsid w:val="01312398"/>
    <w:rsid w:val="01317F69"/>
    <w:rsid w:val="01323CE1"/>
    <w:rsid w:val="01325A8F"/>
    <w:rsid w:val="0132783D"/>
    <w:rsid w:val="01341807"/>
    <w:rsid w:val="01343A7F"/>
    <w:rsid w:val="01361A05"/>
    <w:rsid w:val="0136557F"/>
    <w:rsid w:val="0136732D"/>
    <w:rsid w:val="013730A5"/>
    <w:rsid w:val="0137560B"/>
    <w:rsid w:val="01395070"/>
    <w:rsid w:val="01396E1E"/>
    <w:rsid w:val="013B0DE8"/>
    <w:rsid w:val="013B4944"/>
    <w:rsid w:val="013C2BBE"/>
    <w:rsid w:val="013E2686"/>
    <w:rsid w:val="013E4434"/>
    <w:rsid w:val="013E61E2"/>
    <w:rsid w:val="013F153F"/>
    <w:rsid w:val="01401F5A"/>
    <w:rsid w:val="014029CF"/>
    <w:rsid w:val="01407DFE"/>
    <w:rsid w:val="01415CD2"/>
    <w:rsid w:val="01422176"/>
    <w:rsid w:val="01431A4A"/>
    <w:rsid w:val="01453A14"/>
    <w:rsid w:val="01457570"/>
    <w:rsid w:val="014632E9"/>
    <w:rsid w:val="01483505"/>
    <w:rsid w:val="014852B3"/>
    <w:rsid w:val="01487061"/>
    <w:rsid w:val="014A4B87"/>
    <w:rsid w:val="014B6416"/>
    <w:rsid w:val="014C3BB8"/>
    <w:rsid w:val="014C4DA3"/>
    <w:rsid w:val="014C6B51"/>
    <w:rsid w:val="01505F15"/>
    <w:rsid w:val="01510884"/>
    <w:rsid w:val="01543C57"/>
    <w:rsid w:val="01545A05"/>
    <w:rsid w:val="01553765"/>
    <w:rsid w:val="01567C26"/>
    <w:rsid w:val="015956FE"/>
    <w:rsid w:val="015974C0"/>
    <w:rsid w:val="015B42E4"/>
    <w:rsid w:val="015B4A06"/>
    <w:rsid w:val="015C6E19"/>
    <w:rsid w:val="015E1A88"/>
    <w:rsid w:val="015E6884"/>
    <w:rsid w:val="01610878"/>
    <w:rsid w:val="01611D08"/>
    <w:rsid w:val="01623198"/>
    <w:rsid w:val="01627E0D"/>
    <w:rsid w:val="01633E9B"/>
    <w:rsid w:val="01635C49"/>
    <w:rsid w:val="016471F9"/>
    <w:rsid w:val="016519C1"/>
    <w:rsid w:val="01695955"/>
    <w:rsid w:val="016A6FD7"/>
    <w:rsid w:val="016B70CC"/>
    <w:rsid w:val="016C71F3"/>
    <w:rsid w:val="016D1583"/>
    <w:rsid w:val="016D6C2A"/>
    <w:rsid w:val="016F0A91"/>
    <w:rsid w:val="016F283F"/>
    <w:rsid w:val="016F4C47"/>
    <w:rsid w:val="016F5A4D"/>
    <w:rsid w:val="01704981"/>
    <w:rsid w:val="01710365"/>
    <w:rsid w:val="01722C8D"/>
    <w:rsid w:val="017240DE"/>
    <w:rsid w:val="017460A8"/>
    <w:rsid w:val="01746CEE"/>
    <w:rsid w:val="01747E56"/>
    <w:rsid w:val="01761E20"/>
    <w:rsid w:val="017641DF"/>
    <w:rsid w:val="017654F3"/>
    <w:rsid w:val="0176597C"/>
    <w:rsid w:val="017936BE"/>
    <w:rsid w:val="0179546C"/>
    <w:rsid w:val="017A141F"/>
    <w:rsid w:val="017B11E4"/>
    <w:rsid w:val="017B2F92"/>
    <w:rsid w:val="017B3B55"/>
    <w:rsid w:val="017B61EF"/>
    <w:rsid w:val="017C7125"/>
    <w:rsid w:val="017D31AE"/>
    <w:rsid w:val="017D7DA0"/>
    <w:rsid w:val="017E0CD4"/>
    <w:rsid w:val="01804A4C"/>
    <w:rsid w:val="01814321"/>
    <w:rsid w:val="01816721"/>
    <w:rsid w:val="018207C5"/>
    <w:rsid w:val="01826A17"/>
    <w:rsid w:val="018467E3"/>
    <w:rsid w:val="018502B5"/>
    <w:rsid w:val="01853E11"/>
    <w:rsid w:val="01857C73"/>
    <w:rsid w:val="01863CD4"/>
    <w:rsid w:val="0187023A"/>
    <w:rsid w:val="01875164"/>
    <w:rsid w:val="01875DDB"/>
    <w:rsid w:val="01881AB4"/>
    <w:rsid w:val="01895629"/>
    <w:rsid w:val="018A0F14"/>
    <w:rsid w:val="018A2655"/>
    <w:rsid w:val="018A58CB"/>
    <w:rsid w:val="018A7679"/>
    <w:rsid w:val="018B4F75"/>
    <w:rsid w:val="018C100A"/>
    <w:rsid w:val="018C33F1"/>
    <w:rsid w:val="018E7169"/>
    <w:rsid w:val="018F2EE2"/>
    <w:rsid w:val="018F4C90"/>
    <w:rsid w:val="018F6A3E"/>
    <w:rsid w:val="01907A1B"/>
    <w:rsid w:val="01910A08"/>
    <w:rsid w:val="01916C5A"/>
    <w:rsid w:val="01934780"/>
    <w:rsid w:val="019460D1"/>
    <w:rsid w:val="01960BF8"/>
    <w:rsid w:val="01973B44"/>
    <w:rsid w:val="0197595E"/>
    <w:rsid w:val="01987FE8"/>
    <w:rsid w:val="019B53E2"/>
    <w:rsid w:val="019E3125"/>
    <w:rsid w:val="019F1CAA"/>
    <w:rsid w:val="01A050EF"/>
    <w:rsid w:val="01A22C15"/>
    <w:rsid w:val="01A26771"/>
    <w:rsid w:val="01A3073B"/>
    <w:rsid w:val="01A324E9"/>
    <w:rsid w:val="01A4468C"/>
    <w:rsid w:val="01A52705"/>
    <w:rsid w:val="01A544B3"/>
    <w:rsid w:val="01A66FAC"/>
    <w:rsid w:val="01A87AFF"/>
    <w:rsid w:val="01A93FA3"/>
    <w:rsid w:val="01AA7D1B"/>
    <w:rsid w:val="01AC3A93"/>
    <w:rsid w:val="01AC3E36"/>
    <w:rsid w:val="01AC59EF"/>
    <w:rsid w:val="01AD5116"/>
    <w:rsid w:val="01AE3368"/>
    <w:rsid w:val="01AF5332"/>
    <w:rsid w:val="01B110AA"/>
    <w:rsid w:val="01B12E58"/>
    <w:rsid w:val="01B14C06"/>
    <w:rsid w:val="01B3097E"/>
    <w:rsid w:val="01B464A4"/>
    <w:rsid w:val="01B6046E"/>
    <w:rsid w:val="01B6221C"/>
    <w:rsid w:val="01B66AA1"/>
    <w:rsid w:val="01B841E6"/>
    <w:rsid w:val="01B91D0C"/>
    <w:rsid w:val="01B96C47"/>
    <w:rsid w:val="01B96FB2"/>
    <w:rsid w:val="01B97F5E"/>
    <w:rsid w:val="01BB7D42"/>
    <w:rsid w:val="01BD420B"/>
    <w:rsid w:val="01BD43CF"/>
    <w:rsid w:val="01BF5575"/>
    <w:rsid w:val="01C012ED"/>
    <w:rsid w:val="01C0753F"/>
    <w:rsid w:val="01C16785"/>
    <w:rsid w:val="01C2284A"/>
    <w:rsid w:val="01C25065"/>
    <w:rsid w:val="01C26E13"/>
    <w:rsid w:val="01C40DDD"/>
    <w:rsid w:val="01C53654"/>
    <w:rsid w:val="01C56903"/>
    <w:rsid w:val="01C62DC8"/>
    <w:rsid w:val="01C7267B"/>
    <w:rsid w:val="01C901A1"/>
    <w:rsid w:val="01C95207"/>
    <w:rsid w:val="01CA216C"/>
    <w:rsid w:val="01CA5CC8"/>
    <w:rsid w:val="01CB731F"/>
    <w:rsid w:val="01CB7837"/>
    <w:rsid w:val="01CC020B"/>
    <w:rsid w:val="01CC5EE4"/>
    <w:rsid w:val="01CC7C92"/>
    <w:rsid w:val="01CE3A0A"/>
    <w:rsid w:val="01CF0D89"/>
    <w:rsid w:val="01CF1530"/>
    <w:rsid w:val="01CF32DE"/>
    <w:rsid w:val="01CF7782"/>
    <w:rsid w:val="01D152A8"/>
    <w:rsid w:val="01D32DCE"/>
    <w:rsid w:val="01D408F4"/>
    <w:rsid w:val="01D45666"/>
    <w:rsid w:val="01D5448D"/>
    <w:rsid w:val="01D549AE"/>
    <w:rsid w:val="01D54BFB"/>
    <w:rsid w:val="01D611CC"/>
    <w:rsid w:val="01D6466C"/>
    <w:rsid w:val="01D67E2C"/>
    <w:rsid w:val="01D81E3B"/>
    <w:rsid w:val="01D90CF6"/>
    <w:rsid w:val="01DA59B3"/>
    <w:rsid w:val="01DB1C83"/>
    <w:rsid w:val="01DB732C"/>
    <w:rsid w:val="01DD1E9F"/>
    <w:rsid w:val="01DD2EF0"/>
    <w:rsid w:val="01DF5C17"/>
    <w:rsid w:val="01E005CD"/>
    <w:rsid w:val="01E054EB"/>
    <w:rsid w:val="01E07299"/>
    <w:rsid w:val="01E23011"/>
    <w:rsid w:val="01E37BCD"/>
    <w:rsid w:val="01E4116E"/>
    <w:rsid w:val="01E4322D"/>
    <w:rsid w:val="01E44FDB"/>
    <w:rsid w:val="01E46D89"/>
    <w:rsid w:val="01E66FA5"/>
    <w:rsid w:val="01E67010"/>
    <w:rsid w:val="01E7687A"/>
    <w:rsid w:val="01E90844"/>
    <w:rsid w:val="01EA0118"/>
    <w:rsid w:val="01EA5D5E"/>
    <w:rsid w:val="01EA636A"/>
    <w:rsid w:val="01EB6E21"/>
    <w:rsid w:val="01EE1865"/>
    <w:rsid w:val="01EE5E5A"/>
    <w:rsid w:val="01EF3980"/>
    <w:rsid w:val="01EF572E"/>
    <w:rsid w:val="01F114A6"/>
    <w:rsid w:val="01F11E89"/>
    <w:rsid w:val="01F20D71"/>
    <w:rsid w:val="01F62F61"/>
    <w:rsid w:val="01F826F6"/>
    <w:rsid w:val="01F82835"/>
    <w:rsid w:val="01FA47FF"/>
    <w:rsid w:val="01FB23CB"/>
    <w:rsid w:val="01FB5BDD"/>
    <w:rsid w:val="01FD25DC"/>
    <w:rsid w:val="01FD3E07"/>
    <w:rsid w:val="01FD42EF"/>
    <w:rsid w:val="01FD7E4B"/>
    <w:rsid w:val="01FE5971"/>
    <w:rsid w:val="01FF0067"/>
    <w:rsid w:val="01FF1E15"/>
    <w:rsid w:val="020042FB"/>
    <w:rsid w:val="02005B8D"/>
    <w:rsid w:val="02016291"/>
    <w:rsid w:val="02025461"/>
    <w:rsid w:val="02041109"/>
    <w:rsid w:val="0204567E"/>
    <w:rsid w:val="02054F52"/>
    <w:rsid w:val="02063A29"/>
    <w:rsid w:val="02070CCA"/>
    <w:rsid w:val="02076F1C"/>
    <w:rsid w:val="020829C5"/>
    <w:rsid w:val="02092C94"/>
    <w:rsid w:val="02094A42"/>
    <w:rsid w:val="020967F0"/>
    <w:rsid w:val="020A2568"/>
    <w:rsid w:val="020A5435"/>
    <w:rsid w:val="020B1CC1"/>
    <w:rsid w:val="020C4532"/>
    <w:rsid w:val="020F17ED"/>
    <w:rsid w:val="020F5EE1"/>
    <w:rsid w:val="0210117E"/>
    <w:rsid w:val="02107460"/>
    <w:rsid w:val="021138F7"/>
    <w:rsid w:val="021146F3"/>
    <w:rsid w:val="02117D9A"/>
    <w:rsid w:val="0213766F"/>
    <w:rsid w:val="02151639"/>
    <w:rsid w:val="021725BF"/>
    <w:rsid w:val="021749AE"/>
    <w:rsid w:val="02180A0F"/>
    <w:rsid w:val="02181129"/>
    <w:rsid w:val="021876EC"/>
    <w:rsid w:val="021A6C4F"/>
    <w:rsid w:val="021B47BF"/>
    <w:rsid w:val="021B6523"/>
    <w:rsid w:val="021C0820"/>
    <w:rsid w:val="021D1CB0"/>
    <w:rsid w:val="021D673F"/>
    <w:rsid w:val="021E0353"/>
    <w:rsid w:val="021E056F"/>
    <w:rsid w:val="021E7AC7"/>
    <w:rsid w:val="021E7C7C"/>
    <w:rsid w:val="021F6013"/>
    <w:rsid w:val="021F7DC1"/>
    <w:rsid w:val="022013A4"/>
    <w:rsid w:val="02201D8C"/>
    <w:rsid w:val="02205A60"/>
    <w:rsid w:val="02216EF0"/>
    <w:rsid w:val="022644A3"/>
    <w:rsid w:val="0227136C"/>
    <w:rsid w:val="0227311A"/>
    <w:rsid w:val="022772A2"/>
    <w:rsid w:val="02290253"/>
    <w:rsid w:val="02290C40"/>
    <w:rsid w:val="022B0E5C"/>
    <w:rsid w:val="022B2C0A"/>
    <w:rsid w:val="022B3571"/>
    <w:rsid w:val="022C0730"/>
    <w:rsid w:val="022C24DE"/>
    <w:rsid w:val="022C6982"/>
    <w:rsid w:val="022D1862"/>
    <w:rsid w:val="022E14F4"/>
    <w:rsid w:val="022E6257"/>
    <w:rsid w:val="02317AF5"/>
    <w:rsid w:val="023215B6"/>
    <w:rsid w:val="0232623A"/>
    <w:rsid w:val="02337D11"/>
    <w:rsid w:val="0234431B"/>
    <w:rsid w:val="02353087"/>
    <w:rsid w:val="023549ED"/>
    <w:rsid w:val="0236335D"/>
    <w:rsid w:val="02377801"/>
    <w:rsid w:val="02383FAF"/>
    <w:rsid w:val="02385327"/>
    <w:rsid w:val="023870D5"/>
    <w:rsid w:val="02390242"/>
    <w:rsid w:val="023B17BB"/>
    <w:rsid w:val="023B6BC5"/>
    <w:rsid w:val="023C0052"/>
    <w:rsid w:val="023C41F5"/>
    <w:rsid w:val="023C4E17"/>
    <w:rsid w:val="023D0B8F"/>
    <w:rsid w:val="023E6211"/>
    <w:rsid w:val="023F2212"/>
    <w:rsid w:val="024164DA"/>
    <w:rsid w:val="024261A6"/>
    <w:rsid w:val="02445A7A"/>
    <w:rsid w:val="02447348"/>
    <w:rsid w:val="02477318"/>
    <w:rsid w:val="02493090"/>
    <w:rsid w:val="02494C50"/>
    <w:rsid w:val="0249783D"/>
    <w:rsid w:val="024B505A"/>
    <w:rsid w:val="024C492F"/>
    <w:rsid w:val="024E4B4B"/>
    <w:rsid w:val="024E79CC"/>
    <w:rsid w:val="025008C3"/>
    <w:rsid w:val="02502671"/>
    <w:rsid w:val="02510197"/>
    <w:rsid w:val="02571C51"/>
    <w:rsid w:val="025739FF"/>
    <w:rsid w:val="025832D1"/>
    <w:rsid w:val="02586ABC"/>
    <w:rsid w:val="02595BF1"/>
    <w:rsid w:val="025A34EF"/>
    <w:rsid w:val="025A529E"/>
    <w:rsid w:val="025A704C"/>
    <w:rsid w:val="025A7081"/>
    <w:rsid w:val="025B2DC4"/>
    <w:rsid w:val="025C1016"/>
    <w:rsid w:val="025C3A92"/>
    <w:rsid w:val="025D4572"/>
    <w:rsid w:val="025D4D8E"/>
    <w:rsid w:val="025F0B06"/>
    <w:rsid w:val="026223A4"/>
    <w:rsid w:val="02624152"/>
    <w:rsid w:val="026305F6"/>
    <w:rsid w:val="0263731E"/>
    <w:rsid w:val="02641C78"/>
    <w:rsid w:val="02645EDF"/>
    <w:rsid w:val="02647ECA"/>
    <w:rsid w:val="02661E94"/>
    <w:rsid w:val="02666D64"/>
    <w:rsid w:val="026779BA"/>
    <w:rsid w:val="02693733"/>
    <w:rsid w:val="026954E1"/>
    <w:rsid w:val="026A02B6"/>
    <w:rsid w:val="026B1259"/>
    <w:rsid w:val="026B3007"/>
    <w:rsid w:val="026C349C"/>
    <w:rsid w:val="026D7A9F"/>
    <w:rsid w:val="026E54F6"/>
    <w:rsid w:val="02704AC1"/>
    <w:rsid w:val="0270686F"/>
    <w:rsid w:val="027125E7"/>
    <w:rsid w:val="02714395"/>
    <w:rsid w:val="02715190"/>
    <w:rsid w:val="027520D7"/>
    <w:rsid w:val="027619AC"/>
    <w:rsid w:val="02781BC8"/>
    <w:rsid w:val="02785724"/>
    <w:rsid w:val="027A149C"/>
    <w:rsid w:val="027A76EE"/>
    <w:rsid w:val="027A77D7"/>
    <w:rsid w:val="027C16B8"/>
    <w:rsid w:val="027C3466"/>
    <w:rsid w:val="027D0F8C"/>
    <w:rsid w:val="027D71DE"/>
    <w:rsid w:val="027E4FEB"/>
    <w:rsid w:val="027E647B"/>
    <w:rsid w:val="027F2F56"/>
    <w:rsid w:val="027F6AB2"/>
    <w:rsid w:val="02810A7C"/>
    <w:rsid w:val="0281665B"/>
    <w:rsid w:val="028265A2"/>
    <w:rsid w:val="02826B39"/>
    <w:rsid w:val="02832A46"/>
    <w:rsid w:val="0284056C"/>
    <w:rsid w:val="028440C8"/>
    <w:rsid w:val="02847B9A"/>
    <w:rsid w:val="02854EBE"/>
    <w:rsid w:val="028642E4"/>
    <w:rsid w:val="02866093"/>
    <w:rsid w:val="02881E0B"/>
    <w:rsid w:val="02883CAF"/>
    <w:rsid w:val="028920FE"/>
    <w:rsid w:val="0289374F"/>
    <w:rsid w:val="028B0E88"/>
    <w:rsid w:val="028B36A9"/>
    <w:rsid w:val="028B5457"/>
    <w:rsid w:val="028C11CF"/>
    <w:rsid w:val="028E13EB"/>
    <w:rsid w:val="028E4F47"/>
    <w:rsid w:val="028F0B41"/>
    <w:rsid w:val="02900CBF"/>
    <w:rsid w:val="02913461"/>
    <w:rsid w:val="02922898"/>
    <w:rsid w:val="02933519"/>
    <w:rsid w:val="02941414"/>
    <w:rsid w:val="029429C0"/>
    <w:rsid w:val="029562D6"/>
    <w:rsid w:val="029702A0"/>
    <w:rsid w:val="02985677"/>
    <w:rsid w:val="02987B74"/>
    <w:rsid w:val="02994018"/>
    <w:rsid w:val="029A1B3E"/>
    <w:rsid w:val="029C1412"/>
    <w:rsid w:val="029C3B08"/>
    <w:rsid w:val="029E2444"/>
    <w:rsid w:val="029F0F02"/>
    <w:rsid w:val="02A1070B"/>
    <w:rsid w:val="02A12ECC"/>
    <w:rsid w:val="02A227A1"/>
    <w:rsid w:val="02A30447"/>
    <w:rsid w:val="02A35AD5"/>
    <w:rsid w:val="02A604E3"/>
    <w:rsid w:val="02A62291"/>
    <w:rsid w:val="02A66735"/>
    <w:rsid w:val="02A76009"/>
    <w:rsid w:val="02A76DC8"/>
    <w:rsid w:val="02A824AD"/>
    <w:rsid w:val="02A97FD3"/>
    <w:rsid w:val="02AC35A7"/>
    <w:rsid w:val="02AD1871"/>
    <w:rsid w:val="02AD33AE"/>
    <w:rsid w:val="02AD6017"/>
    <w:rsid w:val="02AF69EA"/>
    <w:rsid w:val="02B1130A"/>
    <w:rsid w:val="02B250DA"/>
    <w:rsid w:val="02B32C00"/>
    <w:rsid w:val="02B458C1"/>
    <w:rsid w:val="02B50726"/>
    <w:rsid w:val="02B56978"/>
    <w:rsid w:val="02B726F0"/>
    <w:rsid w:val="02B7517C"/>
    <w:rsid w:val="02B81FC4"/>
    <w:rsid w:val="02B8660C"/>
    <w:rsid w:val="02BA21E0"/>
    <w:rsid w:val="02BB247D"/>
    <w:rsid w:val="02BC1AB4"/>
    <w:rsid w:val="02BC3862"/>
    <w:rsid w:val="02BC7B5E"/>
    <w:rsid w:val="02BD75DA"/>
    <w:rsid w:val="02BE1699"/>
    <w:rsid w:val="02BE3A7E"/>
    <w:rsid w:val="02BE582C"/>
    <w:rsid w:val="02BE680B"/>
    <w:rsid w:val="02BF09F6"/>
    <w:rsid w:val="02BF1E4F"/>
    <w:rsid w:val="02BF23FC"/>
    <w:rsid w:val="02BF3353"/>
    <w:rsid w:val="02BF390E"/>
    <w:rsid w:val="02C170CB"/>
    <w:rsid w:val="02C32E43"/>
    <w:rsid w:val="02C44E0D"/>
    <w:rsid w:val="02C646E1"/>
    <w:rsid w:val="02C72207"/>
    <w:rsid w:val="02C74C71"/>
    <w:rsid w:val="02C848FD"/>
    <w:rsid w:val="02C866AB"/>
    <w:rsid w:val="02C92423"/>
    <w:rsid w:val="02C941D1"/>
    <w:rsid w:val="02C95F7F"/>
    <w:rsid w:val="02C97CE1"/>
    <w:rsid w:val="02CA1EB1"/>
    <w:rsid w:val="02CB1CF7"/>
    <w:rsid w:val="02CB7F49"/>
    <w:rsid w:val="02CD1F13"/>
    <w:rsid w:val="02CD301E"/>
    <w:rsid w:val="02CD3CC1"/>
    <w:rsid w:val="02CD5A6F"/>
    <w:rsid w:val="02CD73A2"/>
    <w:rsid w:val="02D05560"/>
    <w:rsid w:val="02D17E3E"/>
    <w:rsid w:val="02D21D84"/>
    <w:rsid w:val="02D2752A"/>
    <w:rsid w:val="02D31BA0"/>
    <w:rsid w:val="02D432A2"/>
    <w:rsid w:val="02D45050"/>
    <w:rsid w:val="02D47275"/>
    <w:rsid w:val="02D768EE"/>
    <w:rsid w:val="02D844B5"/>
    <w:rsid w:val="02D84EFD"/>
    <w:rsid w:val="02D85BF6"/>
    <w:rsid w:val="02D92666"/>
    <w:rsid w:val="02DA018C"/>
    <w:rsid w:val="02DA1F3A"/>
    <w:rsid w:val="02DA4630"/>
    <w:rsid w:val="02DB2E36"/>
    <w:rsid w:val="02DB65A7"/>
    <w:rsid w:val="02DC3F04"/>
    <w:rsid w:val="02DC5A07"/>
    <w:rsid w:val="02DF39F5"/>
    <w:rsid w:val="02DF57A3"/>
    <w:rsid w:val="02E01C47"/>
    <w:rsid w:val="02E1151B"/>
    <w:rsid w:val="02E334E5"/>
    <w:rsid w:val="02E37041"/>
    <w:rsid w:val="02E37511"/>
    <w:rsid w:val="02E4100B"/>
    <w:rsid w:val="02E44199"/>
    <w:rsid w:val="02E6168A"/>
    <w:rsid w:val="02E64D83"/>
    <w:rsid w:val="02E66B31"/>
    <w:rsid w:val="02E72B1A"/>
    <w:rsid w:val="02E80535"/>
    <w:rsid w:val="02E828A9"/>
    <w:rsid w:val="02E903CF"/>
    <w:rsid w:val="02EB05EB"/>
    <w:rsid w:val="02ED1C6E"/>
    <w:rsid w:val="02ED4364"/>
    <w:rsid w:val="02ED7EC0"/>
    <w:rsid w:val="02EE59E6"/>
    <w:rsid w:val="02EF1E8A"/>
    <w:rsid w:val="02F0687C"/>
    <w:rsid w:val="02F079B0"/>
    <w:rsid w:val="02F2136E"/>
    <w:rsid w:val="02F216E6"/>
    <w:rsid w:val="02F2197A"/>
    <w:rsid w:val="02F23728"/>
    <w:rsid w:val="02F4511E"/>
    <w:rsid w:val="02F53218"/>
    <w:rsid w:val="02F56D74"/>
    <w:rsid w:val="02F67A3E"/>
    <w:rsid w:val="02F72AEC"/>
    <w:rsid w:val="02F744C4"/>
    <w:rsid w:val="02F76F90"/>
    <w:rsid w:val="02F83562"/>
    <w:rsid w:val="02F86670"/>
    <w:rsid w:val="02FA4A6D"/>
    <w:rsid w:val="02FA613C"/>
    <w:rsid w:val="02FC45A7"/>
    <w:rsid w:val="02FC6355"/>
    <w:rsid w:val="02FE031F"/>
    <w:rsid w:val="02FE20CD"/>
    <w:rsid w:val="02FE2741"/>
    <w:rsid w:val="02FE3E7B"/>
    <w:rsid w:val="02FE7911"/>
    <w:rsid w:val="02FF0DA1"/>
    <w:rsid w:val="02FF3972"/>
    <w:rsid w:val="02FF7BF3"/>
    <w:rsid w:val="03015719"/>
    <w:rsid w:val="03033783"/>
    <w:rsid w:val="03045209"/>
    <w:rsid w:val="03057A39"/>
    <w:rsid w:val="03062D2F"/>
    <w:rsid w:val="03065668"/>
    <w:rsid w:val="030671D3"/>
    <w:rsid w:val="03092820"/>
    <w:rsid w:val="030A0A85"/>
    <w:rsid w:val="030A6CC4"/>
    <w:rsid w:val="030B0B6F"/>
    <w:rsid w:val="030B2A3C"/>
    <w:rsid w:val="030B6598"/>
    <w:rsid w:val="030C1265"/>
    <w:rsid w:val="030D40BE"/>
    <w:rsid w:val="03100052"/>
    <w:rsid w:val="03123DCA"/>
    <w:rsid w:val="03134FA3"/>
    <w:rsid w:val="0313544C"/>
    <w:rsid w:val="03151325"/>
    <w:rsid w:val="03157E45"/>
    <w:rsid w:val="031655AA"/>
    <w:rsid w:val="03171BF9"/>
    <w:rsid w:val="03190CB5"/>
    <w:rsid w:val="031A4A2D"/>
    <w:rsid w:val="031A67DB"/>
    <w:rsid w:val="031C07A5"/>
    <w:rsid w:val="031C2553"/>
    <w:rsid w:val="031E276F"/>
    <w:rsid w:val="031E33B2"/>
    <w:rsid w:val="031F2043"/>
    <w:rsid w:val="03201948"/>
    <w:rsid w:val="032064E7"/>
    <w:rsid w:val="0321400D"/>
    <w:rsid w:val="032246E2"/>
    <w:rsid w:val="032264FD"/>
    <w:rsid w:val="03231B33"/>
    <w:rsid w:val="032338E1"/>
    <w:rsid w:val="03237D85"/>
    <w:rsid w:val="0324297D"/>
    <w:rsid w:val="03244E14"/>
    <w:rsid w:val="03247659"/>
    <w:rsid w:val="03252ABC"/>
    <w:rsid w:val="03265180"/>
    <w:rsid w:val="03282B7E"/>
    <w:rsid w:val="032A1114"/>
    <w:rsid w:val="032A2EC2"/>
    <w:rsid w:val="032A408A"/>
    <w:rsid w:val="032B14FF"/>
    <w:rsid w:val="032B7DBE"/>
    <w:rsid w:val="032C4E8C"/>
    <w:rsid w:val="032D4760"/>
    <w:rsid w:val="032D650E"/>
    <w:rsid w:val="03304250"/>
    <w:rsid w:val="03305272"/>
    <w:rsid w:val="03321D76"/>
    <w:rsid w:val="03323A48"/>
    <w:rsid w:val="03323B24"/>
    <w:rsid w:val="03342D85"/>
    <w:rsid w:val="03353615"/>
    <w:rsid w:val="03355182"/>
    <w:rsid w:val="033661CA"/>
    <w:rsid w:val="03366612"/>
    <w:rsid w:val="03367AB9"/>
    <w:rsid w:val="03377B2F"/>
    <w:rsid w:val="03391357"/>
    <w:rsid w:val="033923C2"/>
    <w:rsid w:val="033C2484"/>
    <w:rsid w:val="033E071B"/>
    <w:rsid w:val="033E4BBF"/>
    <w:rsid w:val="033E696D"/>
    <w:rsid w:val="034026E5"/>
    <w:rsid w:val="03411FB9"/>
    <w:rsid w:val="034321D6"/>
    <w:rsid w:val="03435D32"/>
    <w:rsid w:val="034445B5"/>
    <w:rsid w:val="03451AAA"/>
    <w:rsid w:val="03457CFC"/>
    <w:rsid w:val="03465822"/>
    <w:rsid w:val="034804A0"/>
    <w:rsid w:val="03483348"/>
    <w:rsid w:val="034877EC"/>
    <w:rsid w:val="034A3564"/>
    <w:rsid w:val="034A5F18"/>
    <w:rsid w:val="034B2723"/>
    <w:rsid w:val="034B2E38"/>
    <w:rsid w:val="034C108A"/>
    <w:rsid w:val="034C13BC"/>
    <w:rsid w:val="034C1D5D"/>
    <w:rsid w:val="034D095E"/>
    <w:rsid w:val="034D4E02"/>
    <w:rsid w:val="034D6BB0"/>
    <w:rsid w:val="034F2928"/>
    <w:rsid w:val="034F45E8"/>
    <w:rsid w:val="034F46D6"/>
    <w:rsid w:val="0350044F"/>
    <w:rsid w:val="0351321A"/>
    <w:rsid w:val="03522419"/>
    <w:rsid w:val="03546191"/>
    <w:rsid w:val="03547F3F"/>
    <w:rsid w:val="03554F92"/>
    <w:rsid w:val="035618EA"/>
    <w:rsid w:val="03561F09"/>
    <w:rsid w:val="035709A2"/>
    <w:rsid w:val="035717DD"/>
    <w:rsid w:val="03577A2F"/>
    <w:rsid w:val="03586671"/>
    <w:rsid w:val="035937A7"/>
    <w:rsid w:val="03597303"/>
    <w:rsid w:val="035A42CC"/>
    <w:rsid w:val="035C032D"/>
    <w:rsid w:val="035C46E7"/>
    <w:rsid w:val="035C5045"/>
    <w:rsid w:val="035C6DF3"/>
    <w:rsid w:val="035D0CB2"/>
    <w:rsid w:val="035D3297"/>
    <w:rsid w:val="035E700F"/>
    <w:rsid w:val="03600692"/>
    <w:rsid w:val="036065E5"/>
    <w:rsid w:val="0361440A"/>
    <w:rsid w:val="036208AE"/>
    <w:rsid w:val="03634626"/>
    <w:rsid w:val="03655CA8"/>
    <w:rsid w:val="03657F4F"/>
    <w:rsid w:val="03661A20"/>
    <w:rsid w:val="03674F52"/>
    <w:rsid w:val="03675EC4"/>
    <w:rsid w:val="036839EA"/>
    <w:rsid w:val="03685798"/>
    <w:rsid w:val="036C1712"/>
    <w:rsid w:val="036D2DAF"/>
    <w:rsid w:val="036F19D5"/>
    <w:rsid w:val="0371289F"/>
    <w:rsid w:val="03726617"/>
    <w:rsid w:val="037339E3"/>
    <w:rsid w:val="03762364"/>
    <w:rsid w:val="03767EB5"/>
    <w:rsid w:val="037800D1"/>
    <w:rsid w:val="03792426"/>
    <w:rsid w:val="037979A5"/>
    <w:rsid w:val="037B54CB"/>
    <w:rsid w:val="037C1244"/>
    <w:rsid w:val="037C7496"/>
    <w:rsid w:val="03804B57"/>
    <w:rsid w:val="03806F86"/>
    <w:rsid w:val="03836A76"/>
    <w:rsid w:val="038500F8"/>
    <w:rsid w:val="03851B72"/>
    <w:rsid w:val="0385634A"/>
    <w:rsid w:val="0388408C"/>
    <w:rsid w:val="03884779"/>
    <w:rsid w:val="03892540"/>
    <w:rsid w:val="038A1BB2"/>
    <w:rsid w:val="038A3960"/>
    <w:rsid w:val="038B4870"/>
    <w:rsid w:val="038C12F2"/>
    <w:rsid w:val="038C592B"/>
    <w:rsid w:val="038D51FF"/>
    <w:rsid w:val="038E6361"/>
    <w:rsid w:val="038F1A7B"/>
    <w:rsid w:val="038F2C54"/>
    <w:rsid w:val="03907546"/>
    <w:rsid w:val="03912F41"/>
    <w:rsid w:val="03914E25"/>
    <w:rsid w:val="03922815"/>
    <w:rsid w:val="03927BAD"/>
    <w:rsid w:val="03936CB9"/>
    <w:rsid w:val="03942A31"/>
    <w:rsid w:val="03960557"/>
    <w:rsid w:val="03976FFF"/>
    <w:rsid w:val="03977E2B"/>
    <w:rsid w:val="039842CF"/>
    <w:rsid w:val="03990047"/>
    <w:rsid w:val="03991DF6"/>
    <w:rsid w:val="03993BA4"/>
    <w:rsid w:val="039B4242"/>
    <w:rsid w:val="039C4493"/>
    <w:rsid w:val="039C5442"/>
    <w:rsid w:val="039E11BA"/>
    <w:rsid w:val="03A013D6"/>
    <w:rsid w:val="03A03184"/>
    <w:rsid w:val="03A055D1"/>
    <w:rsid w:val="03A10CAA"/>
    <w:rsid w:val="03A26EFC"/>
    <w:rsid w:val="03A40DA7"/>
    <w:rsid w:val="03A42D9E"/>
    <w:rsid w:val="03A441AF"/>
    <w:rsid w:val="03A52548"/>
    <w:rsid w:val="03A569EC"/>
    <w:rsid w:val="03A64FB4"/>
    <w:rsid w:val="03A66872"/>
    <w:rsid w:val="03A762C0"/>
    <w:rsid w:val="03A85738"/>
    <w:rsid w:val="03AA4003"/>
    <w:rsid w:val="03AA5DB1"/>
    <w:rsid w:val="03AB7B6C"/>
    <w:rsid w:val="03AC2D37"/>
    <w:rsid w:val="03AC7D7B"/>
    <w:rsid w:val="03AD5004"/>
    <w:rsid w:val="03AD764F"/>
    <w:rsid w:val="03AE3AF3"/>
    <w:rsid w:val="03AF1619"/>
    <w:rsid w:val="03AF2D01"/>
    <w:rsid w:val="03B10EED"/>
    <w:rsid w:val="03B15391"/>
    <w:rsid w:val="03B22EB7"/>
    <w:rsid w:val="03B409DD"/>
    <w:rsid w:val="03B6017D"/>
    <w:rsid w:val="03B64756"/>
    <w:rsid w:val="03B66504"/>
    <w:rsid w:val="03B80955"/>
    <w:rsid w:val="03B83858"/>
    <w:rsid w:val="03B86720"/>
    <w:rsid w:val="03B92498"/>
    <w:rsid w:val="03BA780D"/>
    <w:rsid w:val="03BD1A8B"/>
    <w:rsid w:val="03BE360A"/>
    <w:rsid w:val="03BE7AAE"/>
    <w:rsid w:val="03BF6E60"/>
    <w:rsid w:val="03C03826"/>
    <w:rsid w:val="03C04BBB"/>
    <w:rsid w:val="03C230FA"/>
    <w:rsid w:val="03C350C4"/>
    <w:rsid w:val="03C36E72"/>
    <w:rsid w:val="03C4339C"/>
    <w:rsid w:val="03C52BEB"/>
    <w:rsid w:val="03C54999"/>
    <w:rsid w:val="03C74658"/>
    <w:rsid w:val="03C81C0C"/>
    <w:rsid w:val="03C84489"/>
    <w:rsid w:val="03CB1CCE"/>
    <w:rsid w:val="03CC06C2"/>
    <w:rsid w:val="03CC1A1D"/>
    <w:rsid w:val="03CC5D27"/>
    <w:rsid w:val="03CD1A9F"/>
    <w:rsid w:val="03CE1E00"/>
    <w:rsid w:val="03CF064F"/>
    <w:rsid w:val="03CF75C5"/>
    <w:rsid w:val="03D177E1"/>
    <w:rsid w:val="03D3346E"/>
    <w:rsid w:val="03D33559"/>
    <w:rsid w:val="03D418F0"/>
    <w:rsid w:val="03D51580"/>
    <w:rsid w:val="03D746CC"/>
    <w:rsid w:val="03D80B70"/>
    <w:rsid w:val="03DB41BC"/>
    <w:rsid w:val="03DD1CE2"/>
    <w:rsid w:val="03DD40E2"/>
    <w:rsid w:val="03DD7F34"/>
    <w:rsid w:val="03DE72F4"/>
    <w:rsid w:val="03DE78EB"/>
    <w:rsid w:val="03DF15D3"/>
    <w:rsid w:val="03DF17D9"/>
    <w:rsid w:val="03DF1EFE"/>
    <w:rsid w:val="03E017D2"/>
    <w:rsid w:val="03E01CC9"/>
    <w:rsid w:val="03E07E92"/>
    <w:rsid w:val="03E219EE"/>
    <w:rsid w:val="03E2554B"/>
    <w:rsid w:val="03E312C3"/>
    <w:rsid w:val="03E36813"/>
    <w:rsid w:val="03E5201D"/>
    <w:rsid w:val="03E5328D"/>
    <w:rsid w:val="03E5503B"/>
    <w:rsid w:val="03E72B61"/>
    <w:rsid w:val="03E7460F"/>
    <w:rsid w:val="03E74CFA"/>
    <w:rsid w:val="03E764F8"/>
    <w:rsid w:val="03E80687"/>
    <w:rsid w:val="03E83BA8"/>
    <w:rsid w:val="03E868D9"/>
    <w:rsid w:val="03EA3B15"/>
    <w:rsid w:val="03EA43FF"/>
    <w:rsid w:val="03EA5256"/>
    <w:rsid w:val="03EA5BDB"/>
    <w:rsid w:val="03EC0177"/>
    <w:rsid w:val="03EC63C9"/>
    <w:rsid w:val="03EF297E"/>
    <w:rsid w:val="03EF5EB9"/>
    <w:rsid w:val="03F11C32"/>
    <w:rsid w:val="03F31506"/>
    <w:rsid w:val="03F359AA"/>
    <w:rsid w:val="03F36308"/>
    <w:rsid w:val="03F37758"/>
    <w:rsid w:val="03F40ED9"/>
    <w:rsid w:val="03F434D0"/>
    <w:rsid w:val="03F50AE3"/>
    <w:rsid w:val="03F51722"/>
    <w:rsid w:val="03F60FF6"/>
    <w:rsid w:val="03F67248"/>
    <w:rsid w:val="03F74790"/>
    <w:rsid w:val="03F90AE6"/>
    <w:rsid w:val="03FA6D38"/>
    <w:rsid w:val="03FB28C2"/>
    <w:rsid w:val="03FC0A42"/>
    <w:rsid w:val="03FE341B"/>
    <w:rsid w:val="03FE7EAB"/>
    <w:rsid w:val="03FF48AB"/>
    <w:rsid w:val="03FF60FC"/>
    <w:rsid w:val="04003C23"/>
    <w:rsid w:val="04024FE5"/>
    <w:rsid w:val="04030F36"/>
    <w:rsid w:val="0403730C"/>
    <w:rsid w:val="04041965"/>
    <w:rsid w:val="04051E5E"/>
    <w:rsid w:val="040556DD"/>
    <w:rsid w:val="04073203"/>
    <w:rsid w:val="040807DF"/>
    <w:rsid w:val="0408709E"/>
    <w:rsid w:val="040A684F"/>
    <w:rsid w:val="040B458F"/>
    <w:rsid w:val="040C05A4"/>
    <w:rsid w:val="040C0819"/>
    <w:rsid w:val="040C7261"/>
    <w:rsid w:val="040D00EE"/>
    <w:rsid w:val="040D1A80"/>
    <w:rsid w:val="040E11D0"/>
    <w:rsid w:val="040E27E3"/>
    <w:rsid w:val="040E6340"/>
    <w:rsid w:val="040F607C"/>
    <w:rsid w:val="0410030A"/>
    <w:rsid w:val="041033BC"/>
    <w:rsid w:val="04111891"/>
    <w:rsid w:val="04115E30"/>
    <w:rsid w:val="04117BDE"/>
    <w:rsid w:val="04131BA8"/>
    <w:rsid w:val="04137DFA"/>
    <w:rsid w:val="041476CE"/>
    <w:rsid w:val="04155DD9"/>
    <w:rsid w:val="04167D9F"/>
    <w:rsid w:val="04191764"/>
    <w:rsid w:val="04194CE4"/>
    <w:rsid w:val="041B0A5C"/>
    <w:rsid w:val="041B280B"/>
    <w:rsid w:val="041B6CAE"/>
    <w:rsid w:val="041D47D5"/>
    <w:rsid w:val="041F000F"/>
    <w:rsid w:val="041F679F"/>
    <w:rsid w:val="041F6A66"/>
    <w:rsid w:val="04206073"/>
    <w:rsid w:val="04212517"/>
    <w:rsid w:val="0422003D"/>
    <w:rsid w:val="04222816"/>
    <w:rsid w:val="04224116"/>
    <w:rsid w:val="04245B63"/>
    <w:rsid w:val="04253689"/>
    <w:rsid w:val="042658DF"/>
    <w:rsid w:val="04267B2D"/>
    <w:rsid w:val="04277401"/>
    <w:rsid w:val="04283AB7"/>
    <w:rsid w:val="04297B18"/>
    <w:rsid w:val="042C0EBC"/>
    <w:rsid w:val="042D106A"/>
    <w:rsid w:val="042E632F"/>
    <w:rsid w:val="042E69E2"/>
    <w:rsid w:val="04325AC8"/>
    <w:rsid w:val="04333FF8"/>
    <w:rsid w:val="043345BD"/>
    <w:rsid w:val="04335DA6"/>
    <w:rsid w:val="043438CC"/>
    <w:rsid w:val="04344818"/>
    <w:rsid w:val="04344C2B"/>
    <w:rsid w:val="04367644"/>
    <w:rsid w:val="0438160E"/>
    <w:rsid w:val="043867EE"/>
    <w:rsid w:val="043A5387"/>
    <w:rsid w:val="043B4C5B"/>
    <w:rsid w:val="043D4EB3"/>
    <w:rsid w:val="043D6C25"/>
    <w:rsid w:val="043E1D9D"/>
    <w:rsid w:val="043E429C"/>
    <w:rsid w:val="043F1D3E"/>
    <w:rsid w:val="043F474B"/>
    <w:rsid w:val="043F50A3"/>
    <w:rsid w:val="04402271"/>
    <w:rsid w:val="0440480D"/>
    <w:rsid w:val="04406715"/>
    <w:rsid w:val="04410970"/>
    <w:rsid w:val="04413002"/>
    <w:rsid w:val="0442248D"/>
    <w:rsid w:val="04425FE9"/>
    <w:rsid w:val="04431B4F"/>
    <w:rsid w:val="04441D61"/>
    <w:rsid w:val="04446205"/>
    <w:rsid w:val="04450781"/>
    <w:rsid w:val="04461F7D"/>
    <w:rsid w:val="044720D7"/>
    <w:rsid w:val="04473600"/>
    <w:rsid w:val="04477850"/>
    <w:rsid w:val="04477AA3"/>
    <w:rsid w:val="04497102"/>
    <w:rsid w:val="04497378"/>
    <w:rsid w:val="044C0C16"/>
    <w:rsid w:val="044C50BA"/>
    <w:rsid w:val="044E498E"/>
    <w:rsid w:val="044F01F5"/>
    <w:rsid w:val="044F0706"/>
    <w:rsid w:val="04504BAA"/>
    <w:rsid w:val="04510922"/>
    <w:rsid w:val="045126D0"/>
    <w:rsid w:val="04527568"/>
    <w:rsid w:val="045301F6"/>
    <w:rsid w:val="045521C0"/>
    <w:rsid w:val="04567CE7"/>
    <w:rsid w:val="04571418"/>
    <w:rsid w:val="04577FC5"/>
    <w:rsid w:val="04581CB1"/>
    <w:rsid w:val="04583A5F"/>
    <w:rsid w:val="0458580D"/>
    <w:rsid w:val="045879E0"/>
    <w:rsid w:val="045A0BC3"/>
    <w:rsid w:val="045A1585"/>
    <w:rsid w:val="045A3333"/>
    <w:rsid w:val="045B52FD"/>
    <w:rsid w:val="045B70AB"/>
    <w:rsid w:val="045D3E37"/>
    <w:rsid w:val="045F303F"/>
    <w:rsid w:val="04603F5C"/>
    <w:rsid w:val="04620439"/>
    <w:rsid w:val="046248DD"/>
    <w:rsid w:val="0462668B"/>
    <w:rsid w:val="0463522E"/>
    <w:rsid w:val="04635ABA"/>
    <w:rsid w:val="04642403"/>
    <w:rsid w:val="046425BE"/>
    <w:rsid w:val="046441B2"/>
    <w:rsid w:val="046568B9"/>
    <w:rsid w:val="04671EF4"/>
    <w:rsid w:val="04673CA2"/>
    <w:rsid w:val="046917C8"/>
    <w:rsid w:val="04694FAB"/>
    <w:rsid w:val="04697A1A"/>
    <w:rsid w:val="046A79F1"/>
    <w:rsid w:val="046B100C"/>
    <w:rsid w:val="046C3066"/>
    <w:rsid w:val="046C6D52"/>
    <w:rsid w:val="046E6DDE"/>
    <w:rsid w:val="04700DA8"/>
    <w:rsid w:val="0471373D"/>
    <w:rsid w:val="04714B20"/>
    <w:rsid w:val="047563BF"/>
    <w:rsid w:val="04763EE5"/>
    <w:rsid w:val="04781A0B"/>
    <w:rsid w:val="04787C5D"/>
    <w:rsid w:val="047A5783"/>
    <w:rsid w:val="047C0850"/>
    <w:rsid w:val="047C774D"/>
    <w:rsid w:val="047D1717"/>
    <w:rsid w:val="047D5273"/>
    <w:rsid w:val="04806B11"/>
    <w:rsid w:val="0482288A"/>
    <w:rsid w:val="04826D2E"/>
    <w:rsid w:val="04875963"/>
    <w:rsid w:val="04877EA0"/>
    <w:rsid w:val="04891E6A"/>
    <w:rsid w:val="048A01A6"/>
    <w:rsid w:val="048B3E34"/>
    <w:rsid w:val="048B5BE2"/>
    <w:rsid w:val="048B6871"/>
    <w:rsid w:val="048D195A"/>
    <w:rsid w:val="048D45BB"/>
    <w:rsid w:val="048E56D2"/>
    <w:rsid w:val="048E715A"/>
    <w:rsid w:val="048E7480"/>
    <w:rsid w:val="048F6CC6"/>
    <w:rsid w:val="0490638E"/>
    <w:rsid w:val="049251C3"/>
    <w:rsid w:val="04934A97"/>
    <w:rsid w:val="04937B6A"/>
    <w:rsid w:val="04952B38"/>
    <w:rsid w:val="04954A53"/>
    <w:rsid w:val="0495504A"/>
    <w:rsid w:val="04966335"/>
    <w:rsid w:val="049802FF"/>
    <w:rsid w:val="049A26BF"/>
    <w:rsid w:val="049A289F"/>
    <w:rsid w:val="049A3DD9"/>
    <w:rsid w:val="049A551A"/>
    <w:rsid w:val="049C7E3A"/>
    <w:rsid w:val="049D275A"/>
    <w:rsid w:val="049D3B67"/>
    <w:rsid w:val="049D5915"/>
    <w:rsid w:val="049E3BEA"/>
    <w:rsid w:val="049F168E"/>
    <w:rsid w:val="04A10F62"/>
    <w:rsid w:val="04A13CAC"/>
    <w:rsid w:val="04A15406"/>
    <w:rsid w:val="04A22F2C"/>
    <w:rsid w:val="04A24CDA"/>
    <w:rsid w:val="04A2513C"/>
    <w:rsid w:val="04A66578"/>
    <w:rsid w:val="04A86794"/>
    <w:rsid w:val="04A9250C"/>
    <w:rsid w:val="04A942BA"/>
    <w:rsid w:val="04A9786D"/>
    <w:rsid w:val="04AA1196"/>
    <w:rsid w:val="04AA562D"/>
    <w:rsid w:val="04AB0E36"/>
    <w:rsid w:val="04AB1DE0"/>
    <w:rsid w:val="04AB4D5E"/>
    <w:rsid w:val="04AD3DAA"/>
    <w:rsid w:val="04AE367F"/>
    <w:rsid w:val="04B0389B"/>
    <w:rsid w:val="04B05649"/>
    <w:rsid w:val="04B2316F"/>
    <w:rsid w:val="04B30C95"/>
    <w:rsid w:val="04B35139"/>
    <w:rsid w:val="04B36EE7"/>
    <w:rsid w:val="04B478EB"/>
    <w:rsid w:val="04B52122"/>
    <w:rsid w:val="04B635B2"/>
    <w:rsid w:val="04B646F9"/>
    <w:rsid w:val="04BA0275"/>
    <w:rsid w:val="04BA627D"/>
    <w:rsid w:val="04BB1570"/>
    <w:rsid w:val="04BB27B8"/>
    <w:rsid w:val="04BC0AE9"/>
    <w:rsid w:val="04BC1856"/>
    <w:rsid w:val="04BC5D9C"/>
    <w:rsid w:val="04BD1B14"/>
    <w:rsid w:val="04BE5FB8"/>
    <w:rsid w:val="04BF588C"/>
    <w:rsid w:val="04BF763A"/>
    <w:rsid w:val="04BF7C35"/>
    <w:rsid w:val="04C37B86"/>
    <w:rsid w:val="04C42EA2"/>
    <w:rsid w:val="04C609C8"/>
    <w:rsid w:val="04C66C1A"/>
    <w:rsid w:val="04C904B8"/>
    <w:rsid w:val="04C9495C"/>
    <w:rsid w:val="04C95300"/>
    <w:rsid w:val="04C9670A"/>
    <w:rsid w:val="04CB2483"/>
    <w:rsid w:val="04CD4AB8"/>
    <w:rsid w:val="04CD7FA9"/>
    <w:rsid w:val="04CE1F73"/>
    <w:rsid w:val="04CE5ACF"/>
    <w:rsid w:val="04CE6327"/>
    <w:rsid w:val="04CF728E"/>
    <w:rsid w:val="04D00047"/>
    <w:rsid w:val="04D01847"/>
    <w:rsid w:val="04D035F5"/>
    <w:rsid w:val="04D05CEB"/>
    <w:rsid w:val="04D06D2A"/>
    <w:rsid w:val="04D213A5"/>
    <w:rsid w:val="04D2164A"/>
    <w:rsid w:val="04D23811"/>
    <w:rsid w:val="04D255BF"/>
    <w:rsid w:val="04D46B3B"/>
    <w:rsid w:val="04D701B4"/>
    <w:rsid w:val="04D74983"/>
    <w:rsid w:val="04D94B9F"/>
    <w:rsid w:val="04DA26C6"/>
    <w:rsid w:val="04DA4474"/>
    <w:rsid w:val="04DC01EC"/>
    <w:rsid w:val="04DC3B8C"/>
    <w:rsid w:val="04DC4690"/>
    <w:rsid w:val="04DD5D12"/>
    <w:rsid w:val="04DF0A3B"/>
    <w:rsid w:val="04DF1A8A"/>
    <w:rsid w:val="04E11CA6"/>
    <w:rsid w:val="04E13A54"/>
    <w:rsid w:val="04E30E8E"/>
    <w:rsid w:val="04E377CC"/>
    <w:rsid w:val="04E452F2"/>
    <w:rsid w:val="04E5415B"/>
    <w:rsid w:val="04E6106A"/>
    <w:rsid w:val="04E83035"/>
    <w:rsid w:val="04E83870"/>
    <w:rsid w:val="04E903A7"/>
    <w:rsid w:val="04E90B5B"/>
    <w:rsid w:val="04E92909"/>
    <w:rsid w:val="04EA6DAD"/>
    <w:rsid w:val="04EB1B83"/>
    <w:rsid w:val="04EB48D3"/>
    <w:rsid w:val="04EB6681"/>
    <w:rsid w:val="04EC3AE2"/>
    <w:rsid w:val="04ED064B"/>
    <w:rsid w:val="04ED23F9"/>
    <w:rsid w:val="04EE6171"/>
    <w:rsid w:val="04F05A45"/>
    <w:rsid w:val="04F217BD"/>
    <w:rsid w:val="04F33787"/>
    <w:rsid w:val="04F419D9"/>
    <w:rsid w:val="04F570F2"/>
    <w:rsid w:val="04F63615"/>
    <w:rsid w:val="04F82B4C"/>
    <w:rsid w:val="04FA68C4"/>
    <w:rsid w:val="04FC263C"/>
    <w:rsid w:val="04FC43EA"/>
    <w:rsid w:val="04FD0162"/>
    <w:rsid w:val="04FF212C"/>
    <w:rsid w:val="05015EA4"/>
    <w:rsid w:val="05030478"/>
    <w:rsid w:val="050414F1"/>
    <w:rsid w:val="05065269"/>
    <w:rsid w:val="05087233"/>
    <w:rsid w:val="05092FAB"/>
    <w:rsid w:val="050938AE"/>
    <w:rsid w:val="05094D59"/>
    <w:rsid w:val="050A0DD5"/>
    <w:rsid w:val="050A2EF5"/>
    <w:rsid w:val="050C726C"/>
    <w:rsid w:val="050D65F7"/>
    <w:rsid w:val="050D6CCC"/>
    <w:rsid w:val="050E015C"/>
    <w:rsid w:val="050E236F"/>
    <w:rsid w:val="050E411D"/>
    <w:rsid w:val="050F74B6"/>
    <w:rsid w:val="0510665E"/>
    <w:rsid w:val="051200B1"/>
    <w:rsid w:val="0512137B"/>
    <w:rsid w:val="05121531"/>
    <w:rsid w:val="0512299B"/>
    <w:rsid w:val="05130419"/>
    <w:rsid w:val="05137986"/>
    <w:rsid w:val="0514288D"/>
    <w:rsid w:val="05145BD8"/>
    <w:rsid w:val="051536FE"/>
    <w:rsid w:val="051554AC"/>
    <w:rsid w:val="05157BA2"/>
    <w:rsid w:val="05177D7E"/>
    <w:rsid w:val="05184F9C"/>
    <w:rsid w:val="05185F4A"/>
    <w:rsid w:val="05191440"/>
    <w:rsid w:val="051931EE"/>
    <w:rsid w:val="051A0D14"/>
    <w:rsid w:val="051A51B8"/>
    <w:rsid w:val="051D3BF0"/>
    <w:rsid w:val="051E25B2"/>
    <w:rsid w:val="051F15AE"/>
    <w:rsid w:val="051F1772"/>
    <w:rsid w:val="051F632A"/>
    <w:rsid w:val="052102F4"/>
    <w:rsid w:val="052120A3"/>
    <w:rsid w:val="05212BF6"/>
    <w:rsid w:val="05213A01"/>
    <w:rsid w:val="05221E49"/>
    <w:rsid w:val="05237BC9"/>
    <w:rsid w:val="05241B93"/>
    <w:rsid w:val="05281683"/>
    <w:rsid w:val="052878D5"/>
    <w:rsid w:val="05292193"/>
    <w:rsid w:val="052B4CCF"/>
    <w:rsid w:val="052D36E5"/>
    <w:rsid w:val="052E6A0C"/>
    <w:rsid w:val="052F2A11"/>
    <w:rsid w:val="05304471"/>
    <w:rsid w:val="05322502"/>
    <w:rsid w:val="0532605E"/>
    <w:rsid w:val="053339A3"/>
    <w:rsid w:val="05340028"/>
    <w:rsid w:val="0534627A"/>
    <w:rsid w:val="05352DAD"/>
    <w:rsid w:val="053578FC"/>
    <w:rsid w:val="05377B18"/>
    <w:rsid w:val="05393890"/>
    <w:rsid w:val="0539563E"/>
    <w:rsid w:val="053973EC"/>
    <w:rsid w:val="053A3164"/>
    <w:rsid w:val="053C1033"/>
    <w:rsid w:val="053C6A73"/>
    <w:rsid w:val="053D095D"/>
    <w:rsid w:val="053D1E78"/>
    <w:rsid w:val="053E0EA6"/>
    <w:rsid w:val="053E4A03"/>
    <w:rsid w:val="053F077B"/>
    <w:rsid w:val="053F172A"/>
    <w:rsid w:val="053F69CD"/>
    <w:rsid w:val="053F6F8A"/>
    <w:rsid w:val="054162A1"/>
    <w:rsid w:val="054304DC"/>
    <w:rsid w:val="05445D91"/>
    <w:rsid w:val="054516BB"/>
    <w:rsid w:val="054528FE"/>
    <w:rsid w:val="05453FE3"/>
    <w:rsid w:val="05461B09"/>
    <w:rsid w:val="05467D5B"/>
    <w:rsid w:val="0548762F"/>
    <w:rsid w:val="0549292B"/>
    <w:rsid w:val="054933A7"/>
    <w:rsid w:val="054A784B"/>
    <w:rsid w:val="054B711F"/>
    <w:rsid w:val="054D2E98"/>
    <w:rsid w:val="054D3529"/>
    <w:rsid w:val="054E2A1E"/>
    <w:rsid w:val="054F4E62"/>
    <w:rsid w:val="05515F7A"/>
    <w:rsid w:val="055204AE"/>
    <w:rsid w:val="05520FAB"/>
    <w:rsid w:val="0552412D"/>
    <w:rsid w:val="05527054"/>
    <w:rsid w:val="055406CA"/>
    <w:rsid w:val="05541460"/>
    <w:rsid w:val="05542478"/>
    <w:rsid w:val="05545FD4"/>
    <w:rsid w:val="05547D1F"/>
    <w:rsid w:val="05557F9E"/>
    <w:rsid w:val="0557355F"/>
    <w:rsid w:val="05597A8E"/>
    <w:rsid w:val="055A1BF6"/>
    <w:rsid w:val="055A37CE"/>
    <w:rsid w:val="055A55B4"/>
    <w:rsid w:val="055B3806"/>
    <w:rsid w:val="055C30DB"/>
    <w:rsid w:val="055E6E53"/>
    <w:rsid w:val="055F0D07"/>
    <w:rsid w:val="055F2BCB"/>
    <w:rsid w:val="055F4BD0"/>
    <w:rsid w:val="0560706F"/>
    <w:rsid w:val="05616943"/>
    <w:rsid w:val="05624EF4"/>
    <w:rsid w:val="0563090D"/>
    <w:rsid w:val="05634469"/>
    <w:rsid w:val="05656433"/>
    <w:rsid w:val="05662134"/>
    <w:rsid w:val="056621AB"/>
    <w:rsid w:val="056703FD"/>
    <w:rsid w:val="05685F23"/>
    <w:rsid w:val="05687CD1"/>
    <w:rsid w:val="05692F8B"/>
    <w:rsid w:val="056A3686"/>
    <w:rsid w:val="056A659B"/>
    <w:rsid w:val="056B1570"/>
    <w:rsid w:val="056B4B16"/>
    <w:rsid w:val="056B77C2"/>
    <w:rsid w:val="056D0012"/>
    <w:rsid w:val="056D178C"/>
    <w:rsid w:val="056D7096"/>
    <w:rsid w:val="056F1060"/>
    <w:rsid w:val="056F2E0E"/>
    <w:rsid w:val="056F72B2"/>
    <w:rsid w:val="05704DD8"/>
    <w:rsid w:val="05706B86"/>
    <w:rsid w:val="05726CCF"/>
    <w:rsid w:val="05740424"/>
    <w:rsid w:val="057448C8"/>
    <w:rsid w:val="05746676"/>
    <w:rsid w:val="057523EE"/>
    <w:rsid w:val="0575419C"/>
    <w:rsid w:val="057743B8"/>
    <w:rsid w:val="05777F14"/>
    <w:rsid w:val="05785C8A"/>
    <w:rsid w:val="057A17B3"/>
    <w:rsid w:val="057B5C57"/>
    <w:rsid w:val="057B7A05"/>
    <w:rsid w:val="057C19CF"/>
    <w:rsid w:val="057C377D"/>
    <w:rsid w:val="057C5A9B"/>
    <w:rsid w:val="057E03BB"/>
    <w:rsid w:val="0580501B"/>
    <w:rsid w:val="05810D93"/>
    <w:rsid w:val="05822C11"/>
    <w:rsid w:val="05832D5D"/>
    <w:rsid w:val="05832D9D"/>
    <w:rsid w:val="05834B0B"/>
    <w:rsid w:val="05856AD5"/>
    <w:rsid w:val="058663AA"/>
    <w:rsid w:val="05883ED0"/>
    <w:rsid w:val="0588403E"/>
    <w:rsid w:val="0589579B"/>
    <w:rsid w:val="058A152F"/>
    <w:rsid w:val="058C1C12"/>
    <w:rsid w:val="058C7E64"/>
    <w:rsid w:val="058D14E6"/>
    <w:rsid w:val="058D598A"/>
    <w:rsid w:val="058D7738"/>
    <w:rsid w:val="058E41C1"/>
    <w:rsid w:val="058F18EC"/>
    <w:rsid w:val="058F46AB"/>
    <w:rsid w:val="05900FD6"/>
    <w:rsid w:val="05922FA0"/>
    <w:rsid w:val="05926AFC"/>
    <w:rsid w:val="05927CC1"/>
    <w:rsid w:val="05942874"/>
    <w:rsid w:val="05943D22"/>
    <w:rsid w:val="059559C7"/>
    <w:rsid w:val="059565ED"/>
    <w:rsid w:val="05962A91"/>
    <w:rsid w:val="05971A98"/>
    <w:rsid w:val="05976809"/>
    <w:rsid w:val="0599432F"/>
    <w:rsid w:val="059A76E4"/>
    <w:rsid w:val="059B1E55"/>
    <w:rsid w:val="059C5085"/>
    <w:rsid w:val="059C5BCD"/>
    <w:rsid w:val="059C7506"/>
    <w:rsid w:val="059D3E1F"/>
    <w:rsid w:val="059E36F3"/>
    <w:rsid w:val="059E7B97"/>
    <w:rsid w:val="05A01219"/>
    <w:rsid w:val="05A04E96"/>
    <w:rsid w:val="05A0746B"/>
    <w:rsid w:val="05A11814"/>
    <w:rsid w:val="05A14F91"/>
    <w:rsid w:val="05A16326"/>
    <w:rsid w:val="05A351AD"/>
    <w:rsid w:val="05A36F5B"/>
    <w:rsid w:val="05A50F26"/>
    <w:rsid w:val="05A52CD4"/>
    <w:rsid w:val="05A54A82"/>
    <w:rsid w:val="05A56B6B"/>
    <w:rsid w:val="05A625A8"/>
    <w:rsid w:val="05A76A4C"/>
    <w:rsid w:val="05A86320"/>
    <w:rsid w:val="05AB1FA9"/>
    <w:rsid w:val="05AB33B3"/>
    <w:rsid w:val="05AB7BBE"/>
    <w:rsid w:val="05AC22B4"/>
    <w:rsid w:val="05AC4062"/>
    <w:rsid w:val="05AD1B88"/>
    <w:rsid w:val="05AE092A"/>
    <w:rsid w:val="05AF3B52"/>
    <w:rsid w:val="05AF76AE"/>
    <w:rsid w:val="05B0324A"/>
    <w:rsid w:val="05B11678"/>
    <w:rsid w:val="05B13426"/>
    <w:rsid w:val="05B138E3"/>
    <w:rsid w:val="05B41BCB"/>
    <w:rsid w:val="05B44CC5"/>
    <w:rsid w:val="05B60A3D"/>
    <w:rsid w:val="05B747B5"/>
    <w:rsid w:val="05B80C59"/>
    <w:rsid w:val="05B8311D"/>
    <w:rsid w:val="05B922DB"/>
    <w:rsid w:val="05B9677F"/>
    <w:rsid w:val="05BB6053"/>
    <w:rsid w:val="05BC14E0"/>
    <w:rsid w:val="05BC16F2"/>
    <w:rsid w:val="05BD626F"/>
    <w:rsid w:val="05BE1FE7"/>
    <w:rsid w:val="05BE2B4E"/>
    <w:rsid w:val="05BE584E"/>
    <w:rsid w:val="05C07B0D"/>
    <w:rsid w:val="05C11AE4"/>
    <w:rsid w:val="05C21607"/>
    <w:rsid w:val="05C2565F"/>
    <w:rsid w:val="05C313AC"/>
    <w:rsid w:val="05C432C0"/>
    <w:rsid w:val="05C52B50"/>
    <w:rsid w:val="05C55F72"/>
    <w:rsid w:val="05C649F8"/>
    <w:rsid w:val="05C66BB1"/>
    <w:rsid w:val="05C76F15"/>
    <w:rsid w:val="05CB1593"/>
    <w:rsid w:val="05CB200E"/>
    <w:rsid w:val="05CC64B2"/>
    <w:rsid w:val="05CD5D86"/>
    <w:rsid w:val="05CF13A4"/>
    <w:rsid w:val="05CF1AFF"/>
    <w:rsid w:val="05D021B1"/>
    <w:rsid w:val="05D064B8"/>
    <w:rsid w:val="05D0666E"/>
    <w:rsid w:val="05D11D1B"/>
    <w:rsid w:val="05D13AC9"/>
    <w:rsid w:val="05D15877"/>
    <w:rsid w:val="05D215EF"/>
    <w:rsid w:val="05D2339D"/>
    <w:rsid w:val="05D3012A"/>
    <w:rsid w:val="05D37841"/>
    <w:rsid w:val="05D37D25"/>
    <w:rsid w:val="05D435B9"/>
    <w:rsid w:val="05D610DF"/>
    <w:rsid w:val="05D62E8D"/>
    <w:rsid w:val="05D709B3"/>
    <w:rsid w:val="05D76C05"/>
    <w:rsid w:val="05D80FC6"/>
    <w:rsid w:val="05D85AD2"/>
    <w:rsid w:val="05D92456"/>
    <w:rsid w:val="05D9472B"/>
    <w:rsid w:val="05DB04A3"/>
    <w:rsid w:val="05DB4947"/>
    <w:rsid w:val="05DD06BF"/>
    <w:rsid w:val="05DD246D"/>
    <w:rsid w:val="05DE1D42"/>
    <w:rsid w:val="05DE36F7"/>
    <w:rsid w:val="05E25CD6"/>
    <w:rsid w:val="05E42CFC"/>
    <w:rsid w:val="05E51322"/>
    <w:rsid w:val="05E80E12"/>
    <w:rsid w:val="05E9638D"/>
    <w:rsid w:val="05E97064"/>
    <w:rsid w:val="05EA06E6"/>
    <w:rsid w:val="05EA5F5A"/>
    <w:rsid w:val="05EA6938"/>
    <w:rsid w:val="05EC0902"/>
    <w:rsid w:val="05ED7D1E"/>
    <w:rsid w:val="05EF03F3"/>
    <w:rsid w:val="05F11A75"/>
    <w:rsid w:val="05F15F19"/>
    <w:rsid w:val="05F31C91"/>
    <w:rsid w:val="05F530BF"/>
    <w:rsid w:val="05F652DD"/>
    <w:rsid w:val="05F902FF"/>
    <w:rsid w:val="05F94DCD"/>
    <w:rsid w:val="05FB0B46"/>
    <w:rsid w:val="05FB28F4"/>
    <w:rsid w:val="05FB4360"/>
    <w:rsid w:val="05FB57F0"/>
    <w:rsid w:val="05FB615F"/>
    <w:rsid w:val="05FB6F31"/>
    <w:rsid w:val="05FC4B37"/>
    <w:rsid w:val="05FE23E4"/>
    <w:rsid w:val="05FE4192"/>
    <w:rsid w:val="060043AE"/>
    <w:rsid w:val="06033F82"/>
    <w:rsid w:val="060356C3"/>
    <w:rsid w:val="06043E9E"/>
    <w:rsid w:val="06046B53"/>
    <w:rsid w:val="060519C4"/>
    <w:rsid w:val="06055740"/>
    <w:rsid w:val="0609094D"/>
    <w:rsid w:val="060A6FDB"/>
    <w:rsid w:val="060A79EB"/>
    <w:rsid w:val="060D2627"/>
    <w:rsid w:val="060D7C05"/>
    <w:rsid w:val="060E0879"/>
    <w:rsid w:val="06127C3D"/>
    <w:rsid w:val="06136EEF"/>
    <w:rsid w:val="06146648"/>
    <w:rsid w:val="06163BAC"/>
    <w:rsid w:val="06163BD1"/>
    <w:rsid w:val="0616597F"/>
    <w:rsid w:val="0616772D"/>
    <w:rsid w:val="061826E9"/>
    <w:rsid w:val="061834A6"/>
    <w:rsid w:val="0618720B"/>
    <w:rsid w:val="06191E5D"/>
    <w:rsid w:val="061A5470"/>
    <w:rsid w:val="061B2F96"/>
    <w:rsid w:val="061D0ABC"/>
    <w:rsid w:val="061D14A8"/>
    <w:rsid w:val="061E0340"/>
    <w:rsid w:val="061E5687"/>
    <w:rsid w:val="061F2A86"/>
    <w:rsid w:val="0620235A"/>
    <w:rsid w:val="062067FE"/>
    <w:rsid w:val="06210291"/>
    <w:rsid w:val="06216BFA"/>
    <w:rsid w:val="06221EC3"/>
    <w:rsid w:val="062260D2"/>
    <w:rsid w:val="06231E4A"/>
    <w:rsid w:val="06233BF8"/>
    <w:rsid w:val="06253E14"/>
    <w:rsid w:val="06255BC2"/>
    <w:rsid w:val="06255FDE"/>
    <w:rsid w:val="062639CE"/>
    <w:rsid w:val="06265C73"/>
    <w:rsid w:val="0627193B"/>
    <w:rsid w:val="062736E9"/>
    <w:rsid w:val="06274ABE"/>
    <w:rsid w:val="06277B8D"/>
    <w:rsid w:val="06287461"/>
    <w:rsid w:val="062A086E"/>
    <w:rsid w:val="062A11E4"/>
    <w:rsid w:val="062A31D9"/>
    <w:rsid w:val="062A4F87"/>
    <w:rsid w:val="062C0CFF"/>
    <w:rsid w:val="062C51A3"/>
    <w:rsid w:val="062E0F1B"/>
    <w:rsid w:val="062E2CC9"/>
    <w:rsid w:val="062E4A77"/>
    <w:rsid w:val="062F1B0F"/>
    <w:rsid w:val="062F259D"/>
    <w:rsid w:val="062F6A41"/>
    <w:rsid w:val="06300F60"/>
    <w:rsid w:val="06305B70"/>
    <w:rsid w:val="06316315"/>
    <w:rsid w:val="06317000"/>
    <w:rsid w:val="06321E19"/>
    <w:rsid w:val="06324807"/>
    <w:rsid w:val="0633208D"/>
    <w:rsid w:val="06344057"/>
    <w:rsid w:val="06345E06"/>
    <w:rsid w:val="063522A9"/>
    <w:rsid w:val="06354A73"/>
    <w:rsid w:val="06355981"/>
    <w:rsid w:val="06364FE0"/>
    <w:rsid w:val="06366AAC"/>
    <w:rsid w:val="06384302"/>
    <w:rsid w:val="06385A43"/>
    <w:rsid w:val="063876A4"/>
    <w:rsid w:val="0639341C"/>
    <w:rsid w:val="063A0363"/>
    <w:rsid w:val="063B7194"/>
    <w:rsid w:val="063D2F0C"/>
    <w:rsid w:val="063D4CBA"/>
    <w:rsid w:val="063E0A32"/>
    <w:rsid w:val="063E4C65"/>
    <w:rsid w:val="063F4513"/>
    <w:rsid w:val="063F6C84"/>
    <w:rsid w:val="06405665"/>
    <w:rsid w:val="06406019"/>
    <w:rsid w:val="064249C6"/>
    <w:rsid w:val="06426774"/>
    <w:rsid w:val="064323A1"/>
    <w:rsid w:val="064415F4"/>
    <w:rsid w:val="064424ED"/>
    <w:rsid w:val="0644429B"/>
    <w:rsid w:val="06444E5D"/>
    <w:rsid w:val="064614D7"/>
    <w:rsid w:val="06466906"/>
    <w:rsid w:val="06473D8B"/>
    <w:rsid w:val="06497B03"/>
    <w:rsid w:val="064A5F93"/>
    <w:rsid w:val="064A7E58"/>
    <w:rsid w:val="064E5119"/>
    <w:rsid w:val="064F10F9"/>
    <w:rsid w:val="064F3CCA"/>
    <w:rsid w:val="0650515A"/>
    <w:rsid w:val="06510766"/>
    <w:rsid w:val="065242F2"/>
    <w:rsid w:val="06527D89"/>
    <w:rsid w:val="06540256"/>
    <w:rsid w:val="06567765"/>
    <w:rsid w:val="06585F98"/>
    <w:rsid w:val="06590BF0"/>
    <w:rsid w:val="0659586C"/>
    <w:rsid w:val="065A0DDD"/>
    <w:rsid w:val="065A2626"/>
    <w:rsid w:val="065A3ABE"/>
    <w:rsid w:val="065B3392"/>
    <w:rsid w:val="065B5A88"/>
    <w:rsid w:val="065B769C"/>
    <w:rsid w:val="065D35AE"/>
    <w:rsid w:val="065D62CE"/>
    <w:rsid w:val="065D710A"/>
    <w:rsid w:val="065E2E82"/>
    <w:rsid w:val="0661309E"/>
    <w:rsid w:val="0661350E"/>
    <w:rsid w:val="06622973"/>
    <w:rsid w:val="066309FF"/>
    <w:rsid w:val="066435D0"/>
    <w:rsid w:val="06652463"/>
    <w:rsid w:val="06653691"/>
    <w:rsid w:val="06654211"/>
    <w:rsid w:val="06657E23"/>
    <w:rsid w:val="0667442D"/>
    <w:rsid w:val="06677F89"/>
    <w:rsid w:val="06684230"/>
    <w:rsid w:val="06691F53"/>
    <w:rsid w:val="06694871"/>
    <w:rsid w:val="066A7A79"/>
    <w:rsid w:val="066B65F3"/>
    <w:rsid w:val="066C1A43"/>
    <w:rsid w:val="066C3CF1"/>
    <w:rsid w:val="066C559F"/>
    <w:rsid w:val="066F351A"/>
    <w:rsid w:val="066F6E3E"/>
    <w:rsid w:val="06712BB6"/>
    <w:rsid w:val="067130A6"/>
    <w:rsid w:val="06720347"/>
    <w:rsid w:val="06732DD2"/>
    <w:rsid w:val="06734B80"/>
    <w:rsid w:val="06741984"/>
    <w:rsid w:val="06744454"/>
    <w:rsid w:val="0676641E"/>
    <w:rsid w:val="06782196"/>
    <w:rsid w:val="06783F44"/>
    <w:rsid w:val="067A40B5"/>
    <w:rsid w:val="067A4160"/>
    <w:rsid w:val="067B3A34"/>
    <w:rsid w:val="067C2ABC"/>
    <w:rsid w:val="067D59FE"/>
    <w:rsid w:val="067E54EB"/>
    <w:rsid w:val="067F3525"/>
    <w:rsid w:val="068154EF"/>
    <w:rsid w:val="06816B55"/>
    <w:rsid w:val="068177F6"/>
    <w:rsid w:val="06824DC3"/>
    <w:rsid w:val="06826B71"/>
    <w:rsid w:val="06837704"/>
    <w:rsid w:val="068428E9"/>
    <w:rsid w:val="06846D8D"/>
    <w:rsid w:val="06847D38"/>
    <w:rsid w:val="06856661"/>
    <w:rsid w:val="06862B05"/>
    <w:rsid w:val="06863D99"/>
    <w:rsid w:val="068723D9"/>
    <w:rsid w:val="0687687D"/>
    <w:rsid w:val="068B1E7D"/>
    <w:rsid w:val="068B677B"/>
    <w:rsid w:val="068B7C0B"/>
    <w:rsid w:val="068C109B"/>
    <w:rsid w:val="068C3E93"/>
    <w:rsid w:val="068C79F0"/>
    <w:rsid w:val="068E05BA"/>
    <w:rsid w:val="068E19BA"/>
    <w:rsid w:val="068E5516"/>
    <w:rsid w:val="06905732"/>
    <w:rsid w:val="069074E0"/>
    <w:rsid w:val="06913258"/>
    <w:rsid w:val="06930D7E"/>
    <w:rsid w:val="06935222"/>
    <w:rsid w:val="069468A4"/>
    <w:rsid w:val="06952D48"/>
    <w:rsid w:val="06954AF6"/>
    <w:rsid w:val="0696086E"/>
    <w:rsid w:val="0696261C"/>
    <w:rsid w:val="06976AC0"/>
    <w:rsid w:val="06982838"/>
    <w:rsid w:val="06986394"/>
    <w:rsid w:val="0698763E"/>
    <w:rsid w:val="069A035E"/>
    <w:rsid w:val="069A210C"/>
    <w:rsid w:val="069A65B0"/>
    <w:rsid w:val="069B5E85"/>
    <w:rsid w:val="069B7AE1"/>
    <w:rsid w:val="069B7C33"/>
    <w:rsid w:val="069C40D7"/>
    <w:rsid w:val="069E34B0"/>
    <w:rsid w:val="069E4BF1"/>
    <w:rsid w:val="06A168EC"/>
    <w:rsid w:val="06A20FC1"/>
    <w:rsid w:val="06A35E92"/>
    <w:rsid w:val="06A72A7B"/>
    <w:rsid w:val="06A74829"/>
    <w:rsid w:val="06A905A2"/>
    <w:rsid w:val="06A92350"/>
    <w:rsid w:val="06A967F3"/>
    <w:rsid w:val="06AA5076"/>
    <w:rsid w:val="06AB256C"/>
    <w:rsid w:val="06AE3E0A"/>
    <w:rsid w:val="06B036DE"/>
    <w:rsid w:val="06B16B87"/>
    <w:rsid w:val="06B238FA"/>
    <w:rsid w:val="06B34F7C"/>
    <w:rsid w:val="06B37672"/>
    <w:rsid w:val="06B52E78"/>
    <w:rsid w:val="06B56F46"/>
    <w:rsid w:val="06B64A6C"/>
    <w:rsid w:val="06B807E5"/>
    <w:rsid w:val="06B84C89"/>
    <w:rsid w:val="06B86A37"/>
    <w:rsid w:val="06BB4119"/>
    <w:rsid w:val="06BC55A9"/>
    <w:rsid w:val="06BF7DC5"/>
    <w:rsid w:val="06C07699"/>
    <w:rsid w:val="06C4362D"/>
    <w:rsid w:val="06C44870"/>
    <w:rsid w:val="06C451CB"/>
    <w:rsid w:val="06C53EA6"/>
    <w:rsid w:val="06C57D9C"/>
    <w:rsid w:val="06C76C7A"/>
    <w:rsid w:val="06C83C71"/>
    <w:rsid w:val="06C90C44"/>
    <w:rsid w:val="06C947A0"/>
    <w:rsid w:val="06CB0518"/>
    <w:rsid w:val="06CD5AAF"/>
    <w:rsid w:val="06CE6C4D"/>
    <w:rsid w:val="06CF7C57"/>
    <w:rsid w:val="06D01FD2"/>
    <w:rsid w:val="06D02C85"/>
    <w:rsid w:val="06D11853"/>
    <w:rsid w:val="06D118A6"/>
    <w:rsid w:val="06D1633E"/>
    <w:rsid w:val="06D27AF8"/>
    <w:rsid w:val="06D3561E"/>
    <w:rsid w:val="06D41534"/>
    <w:rsid w:val="06D44CBF"/>
    <w:rsid w:val="06D511C9"/>
    <w:rsid w:val="06D575E9"/>
    <w:rsid w:val="06D6469C"/>
    <w:rsid w:val="06D66EBD"/>
    <w:rsid w:val="06D721B0"/>
    <w:rsid w:val="06D73361"/>
    <w:rsid w:val="06D7510F"/>
    <w:rsid w:val="06D80E87"/>
    <w:rsid w:val="06D8440E"/>
    <w:rsid w:val="06D849E3"/>
    <w:rsid w:val="06DA075B"/>
    <w:rsid w:val="06DA4BFF"/>
    <w:rsid w:val="06DB08CB"/>
    <w:rsid w:val="06DB1023"/>
    <w:rsid w:val="06DB5BE0"/>
    <w:rsid w:val="06DC0977"/>
    <w:rsid w:val="06DC3451"/>
    <w:rsid w:val="06DE46EF"/>
    <w:rsid w:val="06DF3FC3"/>
    <w:rsid w:val="06DF5D71"/>
    <w:rsid w:val="06E10A04"/>
    <w:rsid w:val="06E11AE9"/>
    <w:rsid w:val="06E15F8D"/>
    <w:rsid w:val="06E30DF4"/>
    <w:rsid w:val="06E31BE3"/>
    <w:rsid w:val="06E40A91"/>
    <w:rsid w:val="06E42A44"/>
    <w:rsid w:val="06E45A7E"/>
    <w:rsid w:val="06E6343D"/>
    <w:rsid w:val="06E635A4"/>
    <w:rsid w:val="06E67100"/>
    <w:rsid w:val="06E710CA"/>
    <w:rsid w:val="06E72E78"/>
    <w:rsid w:val="06E73135"/>
    <w:rsid w:val="06E96BF0"/>
    <w:rsid w:val="06EA4363"/>
    <w:rsid w:val="06EB2968"/>
    <w:rsid w:val="06EC048E"/>
    <w:rsid w:val="06EC5B17"/>
    <w:rsid w:val="06EC66E0"/>
    <w:rsid w:val="06ED6FA7"/>
    <w:rsid w:val="06EE06AA"/>
    <w:rsid w:val="06EE2458"/>
    <w:rsid w:val="06F07F7E"/>
    <w:rsid w:val="06F15AA5"/>
    <w:rsid w:val="06F16DB8"/>
    <w:rsid w:val="06F2019A"/>
    <w:rsid w:val="06F85085"/>
    <w:rsid w:val="06FA011B"/>
    <w:rsid w:val="06FA229F"/>
    <w:rsid w:val="06FC4B75"/>
    <w:rsid w:val="06FC6923"/>
    <w:rsid w:val="06FD08ED"/>
    <w:rsid w:val="06FD269B"/>
    <w:rsid w:val="06FF6413"/>
    <w:rsid w:val="06FF6739"/>
    <w:rsid w:val="070036FD"/>
    <w:rsid w:val="070140D7"/>
    <w:rsid w:val="07017D69"/>
    <w:rsid w:val="070321A1"/>
    <w:rsid w:val="07035F04"/>
    <w:rsid w:val="07041C7C"/>
    <w:rsid w:val="07043A2A"/>
    <w:rsid w:val="0705782B"/>
    <w:rsid w:val="07060306"/>
    <w:rsid w:val="070677A2"/>
    <w:rsid w:val="07080FDE"/>
    <w:rsid w:val="0708351A"/>
    <w:rsid w:val="07091040"/>
    <w:rsid w:val="0709503F"/>
    <w:rsid w:val="070B300A"/>
    <w:rsid w:val="070B6B66"/>
    <w:rsid w:val="070D0B30"/>
    <w:rsid w:val="070E2AFA"/>
    <w:rsid w:val="070E62E0"/>
    <w:rsid w:val="070F2C1D"/>
    <w:rsid w:val="07106873"/>
    <w:rsid w:val="071163A2"/>
    <w:rsid w:val="07117EF5"/>
    <w:rsid w:val="07124C61"/>
    <w:rsid w:val="07126147"/>
    <w:rsid w:val="071360F1"/>
    <w:rsid w:val="07140111"/>
    <w:rsid w:val="07153256"/>
    <w:rsid w:val="07153E89"/>
    <w:rsid w:val="07181283"/>
    <w:rsid w:val="071874D5"/>
    <w:rsid w:val="07195727"/>
    <w:rsid w:val="071A149F"/>
    <w:rsid w:val="071A4FFB"/>
    <w:rsid w:val="071C6FC5"/>
    <w:rsid w:val="071D1D74"/>
    <w:rsid w:val="071D689A"/>
    <w:rsid w:val="071E0F8F"/>
    <w:rsid w:val="071E3483"/>
    <w:rsid w:val="071E4D0F"/>
    <w:rsid w:val="071F2612"/>
    <w:rsid w:val="071F6AB6"/>
    <w:rsid w:val="072145DC"/>
    <w:rsid w:val="072440CC"/>
    <w:rsid w:val="07261BF2"/>
    <w:rsid w:val="07267138"/>
    <w:rsid w:val="07272090"/>
    <w:rsid w:val="072759F7"/>
    <w:rsid w:val="07283BBC"/>
    <w:rsid w:val="072916E2"/>
    <w:rsid w:val="07293490"/>
    <w:rsid w:val="07294629"/>
    <w:rsid w:val="072B545A"/>
    <w:rsid w:val="072C4328"/>
    <w:rsid w:val="072D11D3"/>
    <w:rsid w:val="072D443A"/>
    <w:rsid w:val="072F4F4B"/>
    <w:rsid w:val="07300CC3"/>
    <w:rsid w:val="07320597"/>
    <w:rsid w:val="07322345"/>
    <w:rsid w:val="0732537B"/>
    <w:rsid w:val="073310F6"/>
    <w:rsid w:val="0733430F"/>
    <w:rsid w:val="07351E35"/>
    <w:rsid w:val="0736405C"/>
    <w:rsid w:val="073700BD"/>
    <w:rsid w:val="07372051"/>
    <w:rsid w:val="07373DFF"/>
    <w:rsid w:val="07375670"/>
    <w:rsid w:val="07375BAD"/>
    <w:rsid w:val="07393FF6"/>
    <w:rsid w:val="07395CFF"/>
    <w:rsid w:val="07397B77"/>
    <w:rsid w:val="073A569E"/>
    <w:rsid w:val="073A744C"/>
    <w:rsid w:val="073B52FD"/>
    <w:rsid w:val="073B6A3E"/>
    <w:rsid w:val="073D0CEA"/>
    <w:rsid w:val="073F4A62"/>
    <w:rsid w:val="07407CDF"/>
    <w:rsid w:val="074107DA"/>
    <w:rsid w:val="07437D66"/>
    <w:rsid w:val="07441231"/>
    <w:rsid w:val="0744651C"/>
    <w:rsid w:val="074526C1"/>
    <w:rsid w:val="07456322"/>
    <w:rsid w:val="07464042"/>
    <w:rsid w:val="07481B68"/>
    <w:rsid w:val="07487DBA"/>
    <w:rsid w:val="074958E1"/>
    <w:rsid w:val="0749768F"/>
    <w:rsid w:val="07497901"/>
    <w:rsid w:val="074A1D85"/>
    <w:rsid w:val="074A33A3"/>
    <w:rsid w:val="074A3962"/>
    <w:rsid w:val="074B1659"/>
    <w:rsid w:val="074B78AB"/>
    <w:rsid w:val="074C413D"/>
    <w:rsid w:val="074C5FBF"/>
    <w:rsid w:val="074D3623"/>
    <w:rsid w:val="074D550D"/>
    <w:rsid w:val="07504EC1"/>
    <w:rsid w:val="07506C6F"/>
    <w:rsid w:val="07521B65"/>
    <w:rsid w:val="07536155"/>
    <w:rsid w:val="07541298"/>
    <w:rsid w:val="07550729"/>
    <w:rsid w:val="075524D7"/>
    <w:rsid w:val="07557695"/>
    <w:rsid w:val="07563646"/>
    <w:rsid w:val="07591FC8"/>
    <w:rsid w:val="075B0D93"/>
    <w:rsid w:val="075B5D40"/>
    <w:rsid w:val="075E138C"/>
    <w:rsid w:val="075E7AC0"/>
    <w:rsid w:val="075F03DB"/>
    <w:rsid w:val="075F5104"/>
    <w:rsid w:val="075F6EB2"/>
    <w:rsid w:val="07634B9C"/>
    <w:rsid w:val="07634BF4"/>
    <w:rsid w:val="076444C8"/>
    <w:rsid w:val="076512BF"/>
    <w:rsid w:val="07660BE9"/>
    <w:rsid w:val="076631B2"/>
    <w:rsid w:val="076646E5"/>
    <w:rsid w:val="07666493"/>
    <w:rsid w:val="07675A5B"/>
    <w:rsid w:val="0768220B"/>
    <w:rsid w:val="07686B6F"/>
    <w:rsid w:val="07690811"/>
    <w:rsid w:val="076A2F4C"/>
    <w:rsid w:val="076A5F83"/>
    <w:rsid w:val="076D15CF"/>
    <w:rsid w:val="076D5A73"/>
    <w:rsid w:val="07702E6D"/>
    <w:rsid w:val="07707311"/>
    <w:rsid w:val="07724E37"/>
    <w:rsid w:val="0773068B"/>
    <w:rsid w:val="0773573F"/>
    <w:rsid w:val="07740BAF"/>
    <w:rsid w:val="077433C6"/>
    <w:rsid w:val="07746E01"/>
    <w:rsid w:val="0775005F"/>
    <w:rsid w:val="07750484"/>
    <w:rsid w:val="07754928"/>
    <w:rsid w:val="077566D6"/>
    <w:rsid w:val="0776186C"/>
    <w:rsid w:val="07762B7A"/>
    <w:rsid w:val="077640C0"/>
    <w:rsid w:val="0777297F"/>
    <w:rsid w:val="07783EDF"/>
    <w:rsid w:val="077869E0"/>
    <w:rsid w:val="0779015C"/>
    <w:rsid w:val="077961C6"/>
    <w:rsid w:val="07797F74"/>
    <w:rsid w:val="077A1F3E"/>
    <w:rsid w:val="077A3CEC"/>
    <w:rsid w:val="077C5CB6"/>
    <w:rsid w:val="077C7A64"/>
    <w:rsid w:val="0781151E"/>
    <w:rsid w:val="078132CC"/>
    <w:rsid w:val="0781507A"/>
    <w:rsid w:val="07832BA1"/>
    <w:rsid w:val="078556F2"/>
    <w:rsid w:val="0786239F"/>
    <w:rsid w:val="0786391D"/>
    <w:rsid w:val="078801B7"/>
    <w:rsid w:val="07886409"/>
    <w:rsid w:val="07893F2F"/>
    <w:rsid w:val="07894D94"/>
    <w:rsid w:val="078A03D3"/>
    <w:rsid w:val="078A2181"/>
    <w:rsid w:val="078B414B"/>
    <w:rsid w:val="078D1C71"/>
    <w:rsid w:val="078D3A1F"/>
    <w:rsid w:val="078E1545"/>
    <w:rsid w:val="078F7797"/>
    <w:rsid w:val="0790350F"/>
    <w:rsid w:val="07911761"/>
    <w:rsid w:val="079160F7"/>
    <w:rsid w:val="079170D6"/>
    <w:rsid w:val="07921036"/>
    <w:rsid w:val="079254DA"/>
    <w:rsid w:val="07941252"/>
    <w:rsid w:val="07944DAE"/>
    <w:rsid w:val="07950B26"/>
    <w:rsid w:val="07972AF0"/>
    <w:rsid w:val="0797489E"/>
    <w:rsid w:val="07995D19"/>
    <w:rsid w:val="079A613C"/>
    <w:rsid w:val="079B1D7A"/>
    <w:rsid w:val="079B438E"/>
    <w:rsid w:val="079C0106"/>
    <w:rsid w:val="079D7363"/>
    <w:rsid w:val="079E1FAD"/>
    <w:rsid w:val="079E79DA"/>
    <w:rsid w:val="07A019A5"/>
    <w:rsid w:val="07A07BF6"/>
    <w:rsid w:val="07A11279"/>
    <w:rsid w:val="07A1571D"/>
    <w:rsid w:val="07A174CB"/>
    <w:rsid w:val="07A20257"/>
    <w:rsid w:val="07A33243"/>
    <w:rsid w:val="07A34FF1"/>
    <w:rsid w:val="07A46E5E"/>
    <w:rsid w:val="07A5520D"/>
    <w:rsid w:val="07A75E4F"/>
    <w:rsid w:val="07A86AAB"/>
    <w:rsid w:val="07AB012E"/>
    <w:rsid w:val="07AB0349"/>
    <w:rsid w:val="07AD2313"/>
    <w:rsid w:val="07AE01F0"/>
    <w:rsid w:val="07AE5765"/>
    <w:rsid w:val="07AF1BE8"/>
    <w:rsid w:val="07AF3996"/>
    <w:rsid w:val="07B0572A"/>
    <w:rsid w:val="07B05960"/>
    <w:rsid w:val="07B05BDB"/>
    <w:rsid w:val="07B156E1"/>
    <w:rsid w:val="07B25430"/>
    <w:rsid w:val="07B2792A"/>
    <w:rsid w:val="07B33862"/>
    <w:rsid w:val="07B436A2"/>
    <w:rsid w:val="07B76CEE"/>
    <w:rsid w:val="07B81DD2"/>
    <w:rsid w:val="07B90CB8"/>
    <w:rsid w:val="07BA4828"/>
    <w:rsid w:val="07BB058C"/>
    <w:rsid w:val="07BC2556"/>
    <w:rsid w:val="07BC27F4"/>
    <w:rsid w:val="07BD13EE"/>
    <w:rsid w:val="07BE007D"/>
    <w:rsid w:val="07BE1E2B"/>
    <w:rsid w:val="07BE62CF"/>
    <w:rsid w:val="07BE7A5A"/>
    <w:rsid w:val="07C136C9"/>
    <w:rsid w:val="07C338E5"/>
    <w:rsid w:val="07C37441"/>
    <w:rsid w:val="07C5140B"/>
    <w:rsid w:val="07C54FE7"/>
    <w:rsid w:val="07C5765D"/>
    <w:rsid w:val="07C64D36"/>
    <w:rsid w:val="07C75183"/>
    <w:rsid w:val="07C84A57"/>
    <w:rsid w:val="07CA0317"/>
    <w:rsid w:val="07CA07CF"/>
    <w:rsid w:val="07CA4C73"/>
    <w:rsid w:val="07CB4548"/>
    <w:rsid w:val="07CC09EB"/>
    <w:rsid w:val="07CD02C0"/>
    <w:rsid w:val="07CD206E"/>
    <w:rsid w:val="07CE4C09"/>
    <w:rsid w:val="07CF4038"/>
    <w:rsid w:val="07CF5DE6"/>
    <w:rsid w:val="07D01B5E"/>
    <w:rsid w:val="07D16002"/>
    <w:rsid w:val="07D21D7A"/>
    <w:rsid w:val="07D35EAA"/>
    <w:rsid w:val="07D4164E"/>
    <w:rsid w:val="07D63618"/>
    <w:rsid w:val="07D653C6"/>
    <w:rsid w:val="07D72EEC"/>
    <w:rsid w:val="07DB0C2F"/>
    <w:rsid w:val="07DB21CB"/>
    <w:rsid w:val="07DC1E60"/>
    <w:rsid w:val="07DC5543"/>
    <w:rsid w:val="07DE24CD"/>
    <w:rsid w:val="07DE427B"/>
    <w:rsid w:val="07DF6724"/>
    <w:rsid w:val="07DF7230"/>
    <w:rsid w:val="07E06245"/>
    <w:rsid w:val="07E07FF3"/>
    <w:rsid w:val="07E15B19"/>
    <w:rsid w:val="07E30570"/>
    <w:rsid w:val="07E6312F"/>
    <w:rsid w:val="07E708C1"/>
    <w:rsid w:val="07E76ED9"/>
    <w:rsid w:val="07E775D3"/>
    <w:rsid w:val="07E8334B"/>
    <w:rsid w:val="07E86EA8"/>
    <w:rsid w:val="07E92E05"/>
    <w:rsid w:val="07EA47F3"/>
    <w:rsid w:val="07EB55C1"/>
    <w:rsid w:val="07EC2E3C"/>
    <w:rsid w:val="07EC4BEA"/>
    <w:rsid w:val="07ED0962"/>
    <w:rsid w:val="07EF0236"/>
    <w:rsid w:val="07EF6488"/>
    <w:rsid w:val="07F00C8F"/>
    <w:rsid w:val="07F10452"/>
    <w:rsid w:val="07F228C3"/>
    <w:rsid w:val="07F25F78"/>
    <w:rsid w:val="07F41CF0"/>
    <w:rsid w:val="07F4584C"/>
    <w:rsid w:val="07F615C4"/>
    <w:rsid w:val="07F653C0"/>
    <w:rsid w:val="07F65A68"/>
    <w:rsid w:val="07F7358F"/>
    <w:rsid w:val="07F817E1"/>
    <w:rsid w:val="07F910B5"/>
    <w:rsid w:val="07F92E63"/>
    <w:rsid w:val="07F95559"/>
    <w:rsid w:val="07F97307"/>
    <w:rsid w:val="07FA1055"/>
    <w:rsid w:val="07FB4E2D"/>
    <w:rsid w:val="07FB67F7"/>
    <w:rsid w:val="07FD6DF7"/>
    <w:rsid w:val="07FF6608"/>
    <w:rsid w:val="0802440D"/>
    <w:rsid w:val="080261BB"/>
    <w:rsid w:val="08033CE1"/>
    <w:rsid w:val="0803549C"/>
    <w:rsid w:val="08044CD8"/>
    <w:rsid w:val="08053EFD"/>
    <w:rsid w:val="08055CAB"/>
    <w:rsid w:val="080621EE"/>
    <w:rsid w:val="08071A24"/>
    <w:rsid w:val="080737D2"/>
    <w:rsid w:val="080812F8"/>
    <w:rsid w:val="0808579C"/>
    <w:rsid w:val="080A0B4A"/>
    <w:rsid w:val="080A32C2"/>
    <w:rsid w:val="080A371B"/>
    <w:rsid w:val="080B2B96"/>
    <w:rsid w:val="080C0DE8"/>
    <w:rsid w:val="080C703A"/>
    <w:rsid w:val="080D2DB2"/>
    <w:rsid w:val="080E4506"/>
    <w:rsid w:val="080F08D8"/>
    <w:rsid w:val="08105E4C"/>
    <w:rsid w:val="081128A2"/>
    <w:rsid w:val="081163FE"/>
    <w:rsid w:val="08136791"/>
    <w:rsid w:val="08144141"/>
    <w:rsid w:val="08145EEF"/>
    <w:rsid w:val="08147C9D"/>
    <w:rsid w:val="081542F5"/>
    <w:rsid w:val="08163A15"/>
    <w:rsid w:val="0817314E"/>
    <w:rsid w:val="0817488F"/>
    <w:rsid w:val="0817778D"/>
    <w:rsid w:val="08183C31"/>
    <w:rsid w:val="081859DF"/>
    <w:rsid w:val="08191757"/>
    <w:rsid w:val="081A339A"/>
    <w:rsid w:val="081B102B"/>
    <w:rsid w:val="081B727D"/>
    <w:rsid w:val="081E3C15"/>
    <w:rsid w:val="08207259"/>
    <w:rsid w:val="0822060B"/>
    <w:rsid w:val="0822685D"/>
    <w:rsid w:val="08236132"/>
    <w:rsid w:val="082366AC"/>
    <w:rsid w:val="082425D6"/>
    <w:rsid w:val="08252E8C"/>
    <w:rsid w:val="08254F79"/>
    <w:rsid w:val="082740A4"/>
    <w:rsid w:val="08274BDD"/>
    <w:rsid w:val="082779D0"/>
    <w:rsid w:val="08297BEC"/>
    <w:rsid w:val="082A2CAB"/>
    <w:rsid w:val="082C148A"/>
    <w:rsid w:val="082E5202"/>
    <w:rsid w:val="082F4DFB"/>
    <w:rsid w:val="082F74EE"/>
    <w:rsid w:val="0831084F"/>
    <w:rsid w:val="083112AF"/>
    <w:rsid w:val="083245C7"/>
    <w:rsid w:val="08332819"/>
    <w:rsid w:val="083420ED"/>
    <w:rsid w:val="08346591"/>
    <w:rsid w:val="083612A8"/>
    <w:rsid w:val="08372738"/>
    <w:rsid w:val="08381BDD"/>
    <w:rsid w:val="08386081"/>
    <w:rsid w:val="08387E2F"/>
    <w:rsid w:val="08395058"/>
    <w:rsid w:val="08397703"/>
    <w:rsid w:val="083B347B"/>
    <w:rsid w:val="083B791F"/>
    <w:rsid w:val="083C53D8"/>
    <w:rsid w:val="083D3697"/>
    <w:rsid w:val="083D5445"/>
    <w:rsid w:val="083D71F3"/>
    <w:rsid w:val="083F0ECA"/>
    <w:rsid w:val="083F3580"/>
    <w:rsid w:val="08400A92"/>
    <w:rsid w:val="08403C42"/>
    <w:rsid w:val="084120E9"/>
    <w:rsid w:val="084163BB"/>
    <w:rsid w:val="08420CAE"/>
    <w:rsid w:val="084367D4"/>
    <w:rsid w:val="0844216B"/>
    <w:rsid w:val="08444A26"/>
    <w:rsid w:val="08456B4B"/>
    <w:rsid w:val="08460D9C"/>
    <w:rsid w:val="08471787"/>
    <w:rsid w:val="084A5DB4"/>
    <w:rsid w:val="084C5688"/>
    <w:rsid w:val="084C7436"/>
    <w:rsid w:val="084F33CB"/>
    <w:rsid w:val="08512C9F"/>
    <w:rsid w:val="08514A4D"/>
    <w:rsid w:val="085207C5"/>
    <w:rsid w:val="0852733F"/>
    <w:rsid w:val="08536A17"/>
    <w:rsid w:val="0854278F"/>
    <w:rsid w:val="0854453D"/>
    <w:rsid w:val="085530EF"/>
    <w:rsid w:val="085602B5"/>
    <w:rsid w:val="08564759"/>
    <w:rsid w:val="08591B53"/>
    <w:rsid w:val="08594552"/>
    <w:rsid w:val="085B1D6F"/>
    <w:rsid w:val="085B2A3F"/>
    <w:rsid w:val="085D1644"/>
    <w:rsid w:val="085D4452"/>
    <w:rsid w:val="08607386"/>
    <w:rsid w:val="08613983"/>
    <w:rsid w:val="08624EAC"/>
    <w:rsid w:val="086256F3"/>
    <w:rsid w:val="08626C5A"/>
    <w:rsid w:val="086329D2"/>
    <w:rsid w:val="08646E76"/>
    <w:rsid w:val="08652A86"/>
    <w:rsid w:val="08652BE4"/>
    <w:rsid w:val="0865499C"/>
    <w:rsid w:val="086700D5"/>
    <w:rsid w:val="08674270"/>
    <w:rsid w:val="08682CA6"/>
    <w:rsid w:val="0869448C"/>
    <w:rsid w:val="086A1FB2"/>
    <w:rsid w:val="086C119E"/>
    <w:rsid w:val="086C294F"/>
    <w:rsid w:val="086C51B4"/>
    <w:rsid w:val="086D11A9"/>
    <w:rsid w:val="086E3851"/>
    <w:rsid w:val="086E55FF"/>
    <w:rsid w:val="08707CF7"/>
    <w:rsid w:val="08713341"/>
    <w:rsid w:val="087150EF"/>
    <w:rsid w:val="08730E67"/>
    <w:rsid w:val="08736678"/>
    <w:rsid w:val="08741249"/>
    <w:rsid w:val="0874513E"/>
    <w:rsid w:val="0874698D"/>
    <w:rsid w:val="08753B69"/>
    <w:rsid w:val="08762705"/>
    <w:rsid w:val="08766BA9"/>
    <w:rsid w:val="087723D8"/>
    <w:rsid w:val="087921F6"/>
    <w:rsid w:val="0879222D"/>
    <w:rsid w:val="08793FA4"/>
    <w:rsid w:val="087A4733"/>
    <w:rsid w:val="087A54E0"/>
    <w:rsid w:val="087B0530"/>
    <w:rsid w:val="087B79DB"/>
    <w:rsid w:val="087C25AC"/>
    <w:rsid w:val="087D1CE6"/>
    <w:rsid w:val="087D3A94"/>
    <w:rsid w:val="087D5842"/>
    <w:rsid w:val="087D7F38"/>
    <w:rsid w:val="087E15BA"/>
    <w:rsid w:val="088017D6"/>
    <w:rsid w:val="08803584"/>
    <w:rsid w:val="08815F38"/>
    <w:rsid w:val="08844E22"/>
    <w:rsid w:val="08847734"/>
    <w:rsid w:val="08862D93"/>
    <w:rsid w:val="08864AEE"/>
    <w:rsid w:val="0889068B"/>
    <w:rsid w:val="088A61B1"/>
    <w:rsid w:val="088A7F5F"/>
    <w:rsid w:val="088B74D0"/>
    <w:rsid w:val="088C3CD7"/>
    <w:rsid w:val="088C6F74"/>
    <w:rsid w:val="088D1DF0"/>
    <w:rsid w:val="088E49C1"/>
    <w:rsid w:val="088E7A4F"/>
    <w:rsid w:val="088F0EC7"/>
    <w:rsid w:val="088F37C7"/>
    <w:rsid w:val="08901A19"/>
    <w:rsid w:val="089112ED"/>
    <w:rsid w:val="08915791"/>
    <w:rsid w:val="08931509"/>
    <w:rsid w:val="08955281"/>
    <w:rsid w:val="089808CE"/>
    <w:rsid w:val="08990786"/>
    <w:rsid w:val="089963F4"/>
    <w:rsid w:val="089A4646"/>
    <w:rsid w:val="089B03BE"/>
    <w:rsid w:val="089B6610"/>
    <w:rsid w:val="089D18E5"/>
    <w:rsid w:val="089D7C92"/>
    <w:rsid w:val="089F1C5C"/>
    <w:rsid w:val="089F4205"/>
    <w:rsid w:val="089F7EAE"/>
    <w:rsid w:val="08A05F2E"/>
    <w:rsid w:val="08A13C26"/>
    <w:rsid w:val="08A545A1"/>
    <w:rsid w:val="08A6123D"/>
    <w:rsid w:val="08A62997"/>
    <w:rsid w:val="08A6311E"/>
    <w:rsid w:val="08A6363E"/>
    <w:rsid w:val="08A63D15"/>
    <w:rsid w:val="08A70B11"/>
    <w:rsid w:val="08A75568"/>
    <w:rsid w:val="08A76D63"/>
    <w:rsid w:val="08A84EEE"/>
    <w:rsid w:val="08A96637"/>
    <w:rsid w:val="08AA0601"/>
    <w:rsid w:val="08AA1318"/>
    <w:rsid w:val="08AA23AF"/>
    <w:rsid w:val="08AC25CB"/>
    <w:rsid w:val="08AD3BAB"/>
    <w:rsid w:val="08AD7C99"/>
    <w:rsid w:val="08AE00F1"/>
    <w:rsid w:val="08AE1E9F"/>
    <w:rsid w:val="08AF5C17"/>
    <w:rsid w:val="08AF79C5"/>
    <w:rsid w:val="08B03E69"/>
    <w:rsid w:val="08B1373D"/>
    <w:rsid w:val="08B17BE1"/>
    <w:rsid w:val="08B51480"/>
    <w:rsid w:val="08B5322E"/>
    <w:rsid w:val="08B55272"/>
    <w:rsid w:val="08B576D2"/>
    <w:rsid w:val="08B57B6C"/>
    <w:rsid w:val="08B60D54"/>
    <w:rsid w:val="08B651F8"/>
    <w:rsid w:val="08B82D1E"/>
    <w:rsid w:val="08B925DE"/>
    <w:rsid w:val="08BA0844"/>
    <w:rsid w:val="08BA4CE8"/>
    <w:rsid w:val="08BB280E"/>
    <w:rsid w:val="08BC3BAE"/>
    <w:rsid w:val="08BC62FE"/>
    <w:rsid w:val="08BE0C1E"/>
    <w:rsid w:val="08BF22FE"/>
    <w:rsid w:val="08BF37EF"/>
    <w:rsid w:val="08C07E24"/>
    <w:rsid w:val="08C276F9"/>
    <w:rsid w:val="08C305F9"/>
    <w:rsid w:val="08C416C3"/>
    <w:rsid w:val="08C47915"/>
    <w:rsid w:val="08C6543B"/>
    <w:rsid w:val="08C711B3"/>
    <w:rsid w:val="08C90A87"/>
    <w:rsid w:val="08C950B6"/>
    <w:rsid w:val="08CA6B81"/>
    <w:rsid w:val="08CC04B1"/>
    <w:rsid w:val="08CD2910"/>
    <w:rsid w:val="08CD3B04"/>
    <w:rsid w:val="08CE0B51"/>
    <w:rsid w:val="08CE2541"/>
    <w:rsid w:val="08D00067"/>
    <w:rsid w:val="08D12F8B"/>
    <w:rsid w:val="08D306C7"/>
    <w:rsid w:val="08D31906"/>
    <w:rsid w:val="08D34CF3"/>
    <w:rsid w:val="08D43138"/>
    <w:rsid w:val="08D4742C"/>
    <w:rsid w:val="08D51B22"/>
    <w:rsid w:val="08D538D0"/>
    <w:rsid w:val="08D60021"/>
    <w:rsid w:val="08D613F6"/>
    <w:rsid w:val="08D61A76"/>
    <w:rsid w:val="08D6431D"/>
    <w:rsid w:val="08D73E8D"/>
    <w:rsid w:val="08D86F1C"/>
    <w:rsid w:val="08D96F67"/>
    <w:rsid w:val="08DB2D17"/>
    <w:rsid w:val="08DB6A0C"/>
    <w:rsid w:val="08DC4C5E"/>
    <w:rsid w:val="08DD09D6"/>
    <w:rsid w:val="08DD2784"/>
    <w:rsid w:val="08DD4532"/>
    <w:rsid w:val="08DF474E"/>
    <w:rsid w:val="08E02B28"/>
    <w:rsid w:val="08E104C7"/>
    <w:rsid w:val="08E12275"/>
    <w:rsid w:val="08E2175A"/>
    <w:rsid w:val="08E27D9B"/>
    <w:rsid w:val="08E458C1"/>
    <w:rsid w:val="08E753B1"/>
    <w:rsid w:val="08E77E2A"/>
    <w:rsid w:val="08E81855"/>
    <w:rsid w:val="08E9737B"/>
    <w:rsid w:val="08EB30F3"/>
    <w:rsid w:val="08EB6C4F"/>
    <w:rsid w:val="08EE04EE"/>
    <w:rsid w:val="08F0070A"/>
    <w:rsid w:val="08F04266"/>
    <w:rsid w:val="08F16230"/>
    <w:rsid w:val="08F31FA8"/>
    <w:rsid w:val="08F330C9"/>
    <w:rsid w:val="08F33D56"/>
    <w:rsid w:val="08F55D20"/>
    <w:rsid w:val="08F63846"/>
    <w:rsid w:val="08F71A98"/>
    <w:rsid w:val="08F8136C"/>
    <w:rsid w:val="08F8530C"/>
    <w:rsid w:val="08FA0E71"/>
    <w:rsid w:val="08FA1588"/>
    <w:rsid w:val="08FA3336"/>
    <w:rsid w:val="08FA50E4"/>
    <w:rsid w:val="08FB2301"/>
    <w:rsid w:val="08FC314C"/>
    <w:rsid w:val="08FD32B2"/>
    <w:rsid w:val="08FD75AE"/>
    <w:rsid w:val="08FE4686"/>
    <w:rsid w:val="08FF019C"/>
    <w:rsid w:val="09002255"/>
    <w:rsid w:val="0905435C"/>
    <w:rsid w:val="09055F84"/>
    <w:rsid w:val="09064339"/>
    <w:rsid w:val="090715AF"/>
    <w:rsid w:val="090917CB"/>
    <w:rsid w:val="090931C4"/>
    <w:rsid w:val="09093579"/>
    <w:rsid w:val="090A0966"/>
    <w:rsid w:val="090A5D95"/>
    <w:rsid w:val="090B10A0"/>
    <w:rsid w:val="090B4829"/>
    <w:rsid w:val="090D12BC"/>
    <w:rsid w:val="090D62B3"/>
    <w:rsid w:val="091066B6"/>
    <w:rsid w:val="09111538"/>
    <w:rsid w:val="091268D2"/>
    <w:rsid w:val="0913264A"/>
    <w:rsid w:val="091343F8"/>
    <w:rsid w:val="09150170"/>
    <w:rsid w:val="09151F1E"/>
    <w:rsid w:val="09153CCC"/>
    <w:rsid w:val="09164338"/>
    <w:rsid w:val="09181A0E"/>
    <w:rsid w:val="091837BC"/>
    <w:rsid w:val="091A7535"/>
    <w:rsid w:val="091B505B"/>
    <w:rsid w:val="091D00FE"/>
    <w:rsid w:val="091D0DD3"/>
    <w:rsid w:val="0922463B"/>
    <w:rsid w:val="092263E9"/>
    <w:rsid w:val="09242161"/>
    <w:rsid w:val="09246605"/>
    <w:rsid w:val="09273A00"/>
    <w:rsid w:val="09287EA3"/>
    <w:rsid w:val="09293C1C"/>
    <w:rsid w:val="092B34F0"/>
    <w:rsid w:val="092C1016"/>
    <w:rsid w:val="092C112F"/>
    <w:rsid w:val="092D6FD3"/>
    <w:rsid w:val="092F0C08"/>
    <w:rsid w:val="09320D22"/>
    <w:rsid w:val="093223D0"/>
    <w:rsid w:val="09322AD0"/>
    <w:rsid w:val="093305F6"/>
    <w:rsid w:val="0935436E"/>
    <w:rsid w:val="09363922"/>
    <w:rsid w:val="09383E5F"/>
    <w:rsid w:val="09385B2A"/>
    <w:rsid w:val="09385C0D"/>
    <w:rsid w:val="093A3733"/>
    <w:rsid w:val="093A7BD7"/>
    <w:rsid w:val="093D3223"/>
    <w:rsid w:val="093D58DE"/>
    <w:rsid w:val="093E76C7"/>
    <w:rsid w:val="093F0D49"/>
    <w:rsid w:val="093F6F9B"/>
    <w:rsid w:val="09401B64"/>
    <w:rsid w:val="09420839"/>
    <w:rsid w:val="09423355"/>
    <w:rsid w:val="09424A96"/>
    <w:rsid w:val="09437A0B"/>
    <w:rsid w:val="09442803"/>
    <w:rsid w:val="09497E1A"/>
    <w:rsid w:val="094B5940"/>
    <w:rsid w:val="094D16B8"/>
    <w:rsid w:val="094E3682"/>
    <w:rsid w:val="094E71DE"/>
    <w:rsid w:val="09502F56"/>
    <w:rsid w:val="09506276"/>
    <w:rsid w:val="0950709A"/>
    <w:rsid w:val="0951052A"/>
    <w:rsid w:val="09522F9C"/>
    <w:rsid w:val="09524F20"/>
    <w:rsid w:val="095347F5"/>
    <w:rsid w:val="0955056D"/>
    <w:rsid w:val="09554A11"/>
    <w:rsid w:val="095567BF"/>
    <w:rsid w:val="09575B5D"/>
    <w:rsid w:val="0958005D"/>
    <w:rsid w:val="09591064"/>
    <w:rsid w:val="09593312"/>
    <w:rsid w:val="0959426D"/>
    <w:rsid w:val="09594501"/>
    <w:rsid w:val="095962AF"/>
    <w:rsid w:val="095A15DC"/>
    <w:rsid w:val="095A2027"/>
    <w:rsid w:val="095A5B83"/>
    <w:rsid w:val="095C020E"/>
    <w:rsid w:val="095C18FB"/>
    <w:rsid w:val="095C7B4D"/>
    <w:rsid w:val="095E1B17"/>
    <w:rsid w:val="095F13EB"/>
    <w:rsid w:val="095F3199"/>
    <w:rsid w:val="095F6949"/>
    <w:rsid w:val="09606B8F"/>
    <w:rsid w:val="096128B0"/>
    <w:rsid w:val="09615163"/>
    <w:rsid w:val="09622C8A"/>
    <w:rsid w:val="0964525F"/>
    <w:rsid w:val="09646A02"/>
    <w:rsid w:val="096609CC"/>
    <w:rsid w:val="0966277A"/>
    <w:rsid w:val="09684744"/>
    <w:rsid w:val="0969226A"/>
    <w:rsid w:val="096D58B6"/>
    <w:rsid w:val="0970184A"/>
    <w:rsid w:val="097035F9"/>
    <w:rsid w:val="09727371"/>
    <w:rsid w:val="09727863"/>
    <w:rsid w:val="09732F58"/>
    <w:rsid w:val="09734192"/>
    <w:rsid w:val="09734E97"/>
    <w:rsid w:val="09736C45"/>
    <w:rsid w:val="09744D54"/>
    <w:rsid w:val="097529BD"/>
    <w:rsid w:val="09756E61"/>
    <w:rsid w:val="09774987"/>
    <w:rsid w:val="09776735"/>
    <w:rsid w:val="09784B65"/>
    <w:rsid w:val="097862A6"/>
    <w:rsid w:val="097A3797"/>
    <w:rsid w:val="097A4477"/>
    <w:rsid w:val="097B2056"/>
    <w:rsid w:val="097B6591"/>
    <w:rsid w:val="097C3D4B"/>
    <w:rsid w:val="097E5D15"/>
    <w:rsid w:val="097E7AC3"/>
    <w:rsid w:val="097F1E67"/>
    <w:rsid w:val="097F55EA"/>
    <w:rsid w:val="09806698"/>
    <w:rsid w:val="09810A99"/>
    <w:rsid w:val="09811362"/>
    <w:rsid w:val="09814DA0"/>
    <w:rsid w:val="09815806"/>
    <w:rsid w:val="098175B4"/>
    <w:rsid w:val="09821F29"/>
    <w:rsid w:val="09827358"/>
    <w:rsid w:val="0983157E"/>
    <w:rsid w:val="0983332C"/>
    <w:rsid w:val="0983678C"/>
    <w:rsid w:val="0984439E"/>
    <w:rsid w:val="098470A4"/>
    <w:rsid w:val="098552F6"/>
    <w:rsid w:val="098608AA"/>
    <w:rsid w:val="09862E1C"/>
    <w:rsid w:val="09864BCA"/>
    <w:rsid w:val="09866978"/>
    <w:rsid w:val="098826F0"/>
    <w:rsid w:val="0988465A"/>
    <w:rsid w:val="09895AEA"/>
    <w:rsid w:val="098A06BB"/>
    <w:rsid w:val="098A290C"/>
    <w:rsid w:val="098B0432"/>
    <w:rsid w:val="098B471C"/>
    <w:rsid w:val="098C2FDB"/>
    <w:rsid w:val="098D31A4"/>
    <w:rsid w:val="098D5F59"/>
    <w:rsid w:val="098D7D07"/>
    <w:rsid w:val="098F7F23"/>
    <w:rsid w:val="09902DEC"/>
    <w:rsid w:val="099038F8"/>
    <w:rsid w:val="099217C1"/>
    <w:rsid w:val="0992356F"/>
    <w:rsid w:val="09926E4D"/>
    <w:rsid w:val="09945539"/>
    <w:rsid w:val="099472E7"/>
    <w:rsid w:val="099512B1"/>
    <w:rsid w:val="09970B85"/>
    <w:rsid w:val="0998469B"/>
    <w:rsid w:val="099866AB"/>
    <w:rsid w:val="099948FD"/>
    <w:rsid w:val="099955DF"/>
    <w:rsid w:val="099A01B0"/>
    <w:rsid w:val="099A0675"/>
    <w:rsid w:val="099A1BFC"/>
    <w:rsid w:val="099C0DC2"/>
    <w:rsid w:val="099C263F"/>
    <w:rsid w:val="099C2AD0"/>
    <w:rsid w:val="099D32E7"/>
    <w:rsid w:val="09A11A04"/>
    <w:rsid w:val="09A137B2"/>
    <w:rsid w:val="09A339CE"/>
    <w:rsid w:val="09A432A2"/>
    <w:rsid w:val="09A552C3"/>
    <w:rsid w:val="09A80FE4"/>
    <w:rsid w:val="09A84B40"/>
    <w:rsid w:val="09AA6B0A"/>
    <w:rsid w:val="09AB2883"/>
    <w:rsid w:val="09AB5C79"/>
    <w:rsid w:val="09AB619A"/>
    <w:rsid w:val="09AB63DF"/>
    <w:rsid w:val="09AC2863"/>
    <w:rsid w:val="09AD2157"/>
    <w:rsid w:val="09AD65FB"/>
    <w:rsid w:val="09AF2148"/>
    <w:rsid w:val="09AF2373"/>
    <w:rsid w:val="09B023D6"/>
    <w:rsid w:val="09B039F5"/>
    <w:rsid w:val="09B10484"/>
    <w:rsid w:val="09B16437"/>
    <w:rsid w:val="09B22E27"/>
    <w:rsid w:val="09B23C11"/>
    <w:rsid w:val="09B259BF"/>
    <w:rsid w:val="09B41737"/>
    <w:rsid w:val="09B51B61"/>
    <w:rsid w:val="09B54DB8"/>
    <w:rsid w:val="09B554AF"/>
    <w:rsid w:val="09B64B07"/>
    <w:rsid w:val="09B71227"/>
    <w:rsid w:val="09B72FD5"/>
    <w:rsid w:val="09B74D83"/>
    <w:rsid w:val="09B81054"/>
    <w:rsid w:val="09B83739"/>
    <w:rsid w:val="09B90AFC"/>
    <w:rsid w:val="09B94653"/>
    <w:rsid w:val="09B94F9F"/>
    <w:rsid w:val="09BA2AC6"/>
    <w:rsid w:val="09BA4874"/>
    <w:rsid w:val="09BB563C"/>
    <w:rsid w:val="09BB74E9"/>
    <w:rsid w:val="09BC4A90"/>
    <w:rsid w:val="09BC683E"/>
    <w:rsid w:val="09BF1E8A"/>
    <w:rsid w:val="09C120A6"/>
    <w:rsid w:val="09C15C02"/>
    <w:rsid w:val="09C213EC"/>
    <w:rsid w:val="09C273BB"/>
    <w:rsid w:val="09C35E1E"/>
    <w:rsid w:val="09C52784"/>
    <w:rsid w:val="09C5316B"/>
    <w:rsid w:val="09C53944"/>
    <w:rsid w:val="09C63218"/>
    <w:rsid w:val="09C63C16"/>
    <w:rsid w:val="09C676BC"/>
    <w:rsid w:val="09C71415"/>
    <w:rsid w:val="09C75A8B"/>
    <w:rsid w:val="09C851E3"/>
    <w:rsid w:val="09C94AB7"/>
    <w:rsid w:val="09CB032D"/>
    <w:rsid w:val="09CB082F"/>
    <w:rsid w:val="09CB4CD3"/>
    <w:rsid w:val="09CD44CE"/>
    <w:rsid w:val="09D05AAE"/>
    <w:rsid w:val="09D36BFF"/>
    <w:rsid w:val="09D4008F"/>
    <w:rsid w:val="09D43B87"/>
    <w:rsid w:val="09D45935"/>
    <w:rsid w:val="09D65411"/>
    <w:rsid w:val="09D73678"/>
    <w:rsid w:val="09D73F11"/>
    <w:rsid w:val="09D75426"/>
    <w:rsid w:val="09D9119E"/>
    <w:rsid w:val="09D92F4C"/>
    <w:rsid w:val="09DA6CC4"/>
    <w:rsid w:val="09DC6722"/>
    <w:rsid w:val="09DE4A06"/>
    <w:rsid w:val="09E0077E"/>
    <w:rsid w:val="09E0295F"/>
    <w:rsid w:val="09E07D73"/>
    <w:rsid w:val="09E10052"/>
    <w:rsid w:val="09E11203"/>
    <w:rsid w:val="09E162A4"/>
    <w:rsid w:val="09E244F6"/>
    <w:rsid w:val="09E518F1"/>
    <w:rsid w:val="09E638BB"/>
    <w:rsid w:val="09E65669"/>
    <w:rsid w:val="09E6676A"/>
    <w:rsid w:val="09E77C46"/>
    <w:rsid w:val="09E86505"/>
    <w:rsid w:val="09E8771F"/>
    <w:rsid w:val="09EB1672"/>
    <w:rsid w:val="09EB4E86"/>
    <w:rsid w:val="09EB65C7"/>
    <w:rsid w:val="09ED2E9B"/>
    <w:rsid w:val="09ED4C49"/>
    <w:rsid w:val="09EF09C1"/>
    <w:rsid w:val="09EF451D"/>
    <w:rsid w:val="09EF6C13"/>
    <w:rsid w:val="09F158A1"/>
    <w:rsid w:val="09F204B1"/>
    <w:rsid w:val="09F4422A"/>
    <w:rsid w:val="09F45FD8"/>
    <w:rsid w:val="09F47D86"/>
    <w:rsid w:val="09F77E32"/>
    <w:rsid w:val="09F83049"/>
    <w:rsid w:val="09F9091A"/>
    <w:rsid w:val="09FB1114"/>
    <w:rsid w:val="09FB55B8"/>
    <w:rsid w:val="09FC30DE"/>
    <w:rsid w:val="09FC4E8C"/>
    <w:rsid w:val="09FC6C3A"/>
    <w:rsid w:val="09FE29B2"/>
    <w:rsid w:val="09FE6E56"/>
    <w:rsid w:val="0A0053E4"/>
    <w:rsid w:val="0A00672A"/>
    <w:rsid w:val="0A0106F5"/>
    <w:rsid w:val="0A0124A3"/>
    <w:rsid w:val="0A026946"/>
    <w:rsid w:val="0A03356F"/>
    <w:rsid w:val="0A033827"/>
    <w:rsid w:val="0A04260D"/>
    <w:rsid w:val="0A0501E5"/>
    <w:rsid w:val="0A053D41"/>
    <w:rsid w:val="0A073F5D"/>
    <w:rsid w:val="0A07465F"/>
    <w:rsid w:val="0A081A83"/>
    <w:rsid w:val="0A082BB8"/>
    <w:rsid w:val="0A09040F"/>
    <w:rsid w:val="0A0A1357"/>
    <w:rsid w:val="0A0B6176"/>
    <w:rsid w:val="0A0C3321"/>
    <w:rsid w:val="0A0D0E47"/>
    <w:rsid w:val="0A0F2E11"/>
    <w:rsid w:val="0A0F696E"/>
    <w:rsid w:val="0A1102E2"/>
    <w:rsid w:val="0A115D4C"/>
    <w:rsid w:val="0A120031"/>
    <w:rsid w:val="0A122902"/>
    <w:rsid w:val="0A12645E"/>
    <w:rsid w:val="0A1265BB"/>
    <w:rsid w:val="0A1341F3"/>
    <w:rsid w:val="0A1348C9"/>
    <w:rsid w:val="0A14667A"/>
    <w:rsid w:val="0A154F7C"/>
    <w:rsid w:val="0A157CFC"/>
    <w:rsid w:val="0A171CC6"/>
    <w:rsid w:val="0A172A13"/>
    <w:rsid w:val="0A173A74"/>
    <w:rsid w:val="0A187F18"/>
    <w:rsid w:val="0A195A3E"/>
    <w:rsid w:val="0A1B3564"/>
    <w:rsid w:val="0A1C34D3"/>
    <w:rsid w:val="0A1D0054"/>
    <w:rsid w:val="0A1D552E"/>
    <w:rsid w:val="0A1E3055"/>
    <w:rsid w:val="0A1F3D76"/>
    <w:rsid w:val="0A206DCD"/>
    <w:rsid w:val="0A207E53"/>
    <w:rsid w:val="0A2148F3"/>
    <w:rsid w:val="0A222B45"/>
    <w:rsid w:val="0A230FB6"/>
    <w:rsid w:val="0A2368BD"/>
    <w:rsid w:val="0A245017"/>
    <w:rsid w:val="0A252635"/>
    <w:rsid w:val="0A253B8D"/>
    <w:rsid w:val="0A2543E3"/>
    <w:rsid w:val="0A261F09"/>
    <w:rsid w:val="0A27015B"/>
    <w:rsid w:val="0A272508"/>
    <w:rsid w:val="0A2763AD"/>
    <w:rsid w:val="0A285C81"/>
    <w:rsid w:val="0A287A2F"/>
    <w:rsid w:val="0A297439"/>
    <w:rsid w:val="0A2A19F9"/>
    <w:rsid w:val="0A2A62B8"/>
    <w:rsid w:val="0A2D14EA"/>
    <w:rsid w:val="0A2D5046"/>
    <w:rsid w:val="0A2D637A"/>
    <w:rsid w:val="0A2D780A"/>
    <w:rsid w:val="0A2E38E9"/>
    <w:rsid w:val="0A2F7010"/>
    <w:rsid w:val="0A31618B"/>
    <w:rsid w:val="0A323BA8"/>
    <w:rsid w:val="0A3259D4"/>
    <w:rsid w:val="0A32761B"/>
    <w:rsid w:val="0A330AAB"/>
    <w:rsid w:val="0A334D52"/>
    <w:rsid w:val="0A340135"/>
    <w:rsid w:val="0A355F9C"/>
    <w:rsid w:val="0A36214C"/>
    <w:rsid w:val="0A374116"/>
    <w:rsid w:val="0A382B83"/>
    <w:rsid w:val="0A3960E0"/>
    <w:rsid w:val="0A397E8E"/>
    <w:rsid w:val="0A3A309D"/>
    <w:rsid w:val="0A3B3C06"/>
    <w:rsid w:val="0A3B3CDB"/>
    <w:rsid w:val="0A3B7763"/>
    <w:rsid w:val="0A3D5E32"/>
    <w:rsid w:val="0A3E7253"/>
    <w:rsid w:val="0A3F3469"/>
    <w:rsid w:val="0A410AF1"/>
    <w:rsid w:val="0A424F95"/>
    <w:rsid w:val="0A42612D"/>
    <w:rsid w:val="0A430D0D"/>
    <w:rsid w:val="0A434869"/>
    <w:rsid w:val="0A456833"/>
    <w:rsid w:val="0A466107"/>
    <w:rsid w:val="0A4725AB"/>
    <w:rsid w:val="0A4800D1"/>
    <w:rsid w:val="0A4A7809"/>
    <w:rsid w:val="0A4B7CC0"/>
    <w:rsid w:val="0A4C631C"/>
    <w:rsid w:val="0A4C7BC2"/>
    <w:rsid w:val="0A4D7496"/>
    <w:rsid w:val="0A4F320E"/>
    <w:rsid w:val="0A4F76B2"/>
    <w:rsid w:val="0A51342A"/>
    <w:rsid w:val="0A515775"/>
    <w:rsid w:val="0A530F50"/>
    <w:rsid w:val="0A5429B5"/>
    <w:rsid w:val="0A544CC8"/>
    <w:rsid w:val="0A546A76"/>
    <w:rsid w:val="0A560135"/>
    <w:rsid w:val="0A5627EE"/>
    <w:rsid w:val="0A570314"/>
    <w:rsid w:val="0A577EA6"/>
    <w:rsid w:val="0A5847B8"/>
    <w:rsid w:val="0A590531"/>
    <w:rsid w:val="0A5922DF"/>
    <w:rsid w:val="0A596820"/>
    <w:rsid w:val="0A5A5C6C"/>
    <w:rsid w:val="0A5B6057"/>
    <w:rsid w:val="0A5C76C2"/>
    <w:rsid w:val="0A5D1DCF"/>
    <w:rsid w:val="0A5D3B7D"/>
    <w:rsid w:val="0A5E78F5"/>
    <w:rsid w:val="0A600201"/>
    <w:rsid w:val="0A60366D"/>
    <w:rsid w:val="0A605D88"/>
    <w:rsid w:val="0A6071C9"/>
    <w:rsid w:val="0A622F41"/>
    <w:rsid w:val="0A624FB9"/>
    <w:rsid w:val="0A6266FA"/>
    <w:rsid w:val="0A6401C1"/>
    <w:rsid w:val="0A650C83"/>
    <w:rsid w:val="0A674CCF"/>
    <w:rsid w:val="0A682522"/>
    <w:rsid w:val="0A6845A4"/>
    <w:rsid w:val="0A690774"/>
    <w:rsid w:val="0A694E8C"/>
    <w:rsid w:val="0A6A0048"/>
    <w:rsid w:val="0A6A629A"/>
    <w:rsid w:val="0A6C0264"/>
    <w:rsid w:val="0A6C3DC0"/>
    <w:rsid w:val="0A6D20CC"/>
    <w:rsid w:val="0A71587A"/>
    <w:rsid w:val="0A717628"/>
    <w:rsid w:val="0A724AAE"/>
    <w:rsid w:val="0A7315F2"/>
    <w:rsid w:val="0A73514E"/>
    <w:rsid w:val="0A740EC6"/>
    <w:rsid w:val="0A742C74"/>
    <w:rsid w:val="0A762E91"/>
    <w:rsid w:val="0A764C3F"/>
    <w:rsid w:val="0A777490"/>
    <w:rsid w:val="0A7809B7"/>
    <w:rsid w:val="0A782765"/>
    <w:rsid w:val="0A791B72"/>
    <w:rsid w:val="0A7B04A7"/>
    <w:rsid w:val="0A7D1BC1"/>
    <w:rsid w:val="0A7D4828"/>
    <w:rsid w:val="0A7D5FCD"/>
    <w:rsid w:val="0A7D7D7B"/>
    <w:rsid w:val="0A7E1D45"/>
    <w:rsid w:val="0A7E3AF3"/>
    <w:rsid w:val="0A7F7F97"/>
    <w:rsid w:val="0A801619"/>
    <w:rsid w:val="0A805ABD"/>
    <w:rsid w:val="0A817EB9"/>
    <w:rsid w:val="0A8245A3"/>
    <w:rsid w:val="0A854E82"/>
    <w:rsid w:val="0A8729A8"/>
    <w:rsid w:val="0A894972"/>
    <w:rsid w:val="0A8A06EA"/>
    <w:rsid w:val="0A8A2D6E"/>
    <w:rsid w:val="0A8B585C"/>
    <w:rsid w:val="0A8C4462"/>
    <w:rsid w:val="0A8C7778"/>
    <w:rsid w:val="0A8E5558"/>
    <w:rsid w:val="0A905466"/>
    <w:rsid w:val="0A911A78"/>
    <w:rsid w:val="0A91287C"/>
    <w:rsid w:val="0A913826"/>
    <w:rsid w:val="0A917CCA"/>
    <w:rsid w:val="0A941589"/>
    <w:rsid w:val="0A9432FA"/>
    <w:rsid w:val="0A943317"/>
    <w:rsid w:val="0A9450C5"/>
    <w:rsid w:val="0A951569"/>
    <w:rsid w:val="0A951B0C"/>
    <w:rsid w:val="0A952A19"/>
    <w:rsid w:val="0A963EA9"/>
    <w:rsid w:val="0A9652E1"/>
    <w:rsid w:val="0A981059"/>
    <w:rsid w:val="0A98139A"/>
    <w:rsid w:val="0A984BB5"/>
    <w:rsid w:val="0A9926DB"/>
    <w:rsid w:val="0A997548"/>
    <w:rsid w:val="0A9B28F7"/>
    <w:rsid w:val="0A9D041D"/>
    <w:rsid w:val="0A9E5F43"/>
    <w:rsid w:val="0A9E7CF1"/>
    <w:rsid w:val="0A9F3D8B"/>
    <w:rsid w:val="0AA03A6A"/>
    <w:rsid w:val="0AA07F0D"/>
    <w:rsid w:val="0AA23C86"/>
    <w:rsid w:val="0AA255B6"/>
    <w:rsid w:val="0AA25A34"/>
    <w:rsid w:val="0AA277E2"/>
    <w:rsid w:val="0AA417AC"/>
    <w:rsid w:val="0AA55524"/>
    <w:rsid w:val="0AA7304A"/>
    <w:rsid w:val="0AA74DF8"/>
    <w:rsid w:val="0AA95014"/>
    <w:rsid w:val="0AAB206E"/>
    <w:rsid w:val="0AAB6B91"/>
    <w:rsid w:val="0AAC0660"/>
    <w:rsid w:val="0AAE09EF"/>
    <w:rsid w:val="0AAE2130"/>
    <w:rsid w:val="0AAE262A"/>
    <w:rsid w:val="0AB063A2"/>
    <w:rsid w:val="0AB13658"/>
    <w:rsid w:val="0AB17A25"/>
    <w:rsid w:val="0AB27352"/>
    <w:rsid w:val="0AB319EF"/>
    <w:rsid w:val="0AB3379D"/>
    <w:rsid w:val="0AB539B9"/>
    <w:rsid w:val="0AB55CF1"/>
    <w:rsid w:val="0AB665C5"/>
    <w:rsid w:val="0AB76022"/>
    <w:rsid w:val="0AB77B8E"/>
    <w:rsid w:val="0AB80568"/>
    <w:rsid w:val="0ABA32A4"/>
    <w:rsid w:val="0ABB08A3"/>
    <w:rsid w:val="0ABB33FF"/>
    <w:rsid w:val="0ABB4734"/>
    <w:rsid w:val="0ABD286D"/>
    <w:rsid w:val="0AC0410C"/>
    <w:rsid w:val="0AC37758"/>
    <w:rsid w:val="0AC41E4E"/>
    <w:rsid w:val="0AC459AA"/>
    <w:rsid w:val="0AC57974"/>
    <w:rsid w:val="0AC67388"/>
    <w:rsid w:val="0AC736EC"/>
    <w:rsid w:val="0AC91212"/>
    <w:rsid w:val="0AC92FC0"/>
    <w:rsid w:val="0AC97FC1"/>
    <w:rsid w:val="0ACA0AE6"/>
    <w:rsid w:val="0ACA6D38"/>
    <w:rsid w:val="0ACC2AB1"/>
    <w:rsid w:val="0ACE4A7B"/>
    <w:rsid w:val="0ACE6829"/>
    <w:rsid w:val="0ACF1336"/>
    <w:rsid w:val="0ACF303E"/>
    <w:rsid w:val="0AD02E89"/>
    <w:rsid w:val="0AD11E75"/>
    <w:rsid w:val="0AD27DEA"/>
    <w:rsid w:val="0AD32091"/>
    <w:rsid w:val="0AD35BED"/>
    <w:rsid w:val="0AD41965"/>
    <w:rsid w:val="0AD43E4B"/>
    <w:rsid w:val="0AD61B81"/>
    <w:rsid w:val="0AD83203"/>
    <w:rsid w:val="0AD950EC"/>
    <w:rsid w:val="0AD96F7B"/>
    <w:rsid w:val="0ADD339A"/>
    <w:rsid w:val="0ADD4CBE"/>
    <w:rsid w:val="0ADD6AE9"/>
    <w:rsid w:val="0ADF0A36"/>
    <w:rsid w:val="0ADF4592"/>
    <w:rsid w:val="0ADF52ED"/>
    <w:rsid w:val="0AE0030A"/>
    <w:rsid w:val="0AE353FC"/>
    <w:rsid w:val="0AE41BA8"/>
    <w:rsid w:val="0AE60E31"/>
    <w:rsid w:val="0AE722C1"/>
    <w:rsid w:val="0AE749F5"/>
    <w:rsid w:val="0AE918B4"/>
    <w:rsid w:val="0AEA2F37"/>
    <w:rsid w:val="0AEB73DB"/>
    <w:rsid w:val="0AEC0364"/>
    <w:rsid w:val="0AEC0519"/>
    <w:rsid w:val="0AEC6CAF"/>
    <w:rsid w:val="0AEE0C79"/>
    <w:rsid w:val="0AEE6ECB"/>
    <w:rsid w:val="0AEF5CC1"/>
    <w:rsid w:val="0AF02C43"/>
    <w:rsid w:val="0AF142C5"/>
    <w:rsid w:val="0AF5789D"/>
    <w:rsid w:val="0AF65D7F"/>
    <w:rsid w:val="0AF67B2D"/>
    <w:rsid w:val="0AF85654"/>
    <w:rsid w:val="0AFB5144"/>
    <w:rsid w:val="0AFD2C6A"/>
    <w:rsid w:val="0AFE0548"/>
    <w:rsid w:val="0AFF187A"/>
    <w:rsid w:val="0AFF19D8"/>
    <w:rsid w:val="0AFF5E4E"/>
    <w:rsid w:val="0B0009AC"/>
    <w:rsid w:val="0B0142F8"/>
    <w:rsid w:val="0B022976"/>
    <w:rsid w:val="0B02541A"/>
    <w:rsid w:val="0B025788"/>
    <w:rsid w:val="0B026EC9"/>
    <w:rsid w:val="0B0417E9"/>
    <w:rsid w:val="0B043FF8"/>
    <w:rsid w:val="0B064214"/>
    <w:rsid w:val="0B065FC2"/>
    <w:rsid w:val="0B077F8D"/>
    <w:rsid w:val="0B095AB3"/>
    <w:rsid w:val="0B097861"/>
    <w:rsid w:val="0B0B16BC"/>
    <w:rsid w:val="0B0C2B4C"/>
    <w:rsid w:val="0B0C62A2"/>
    <w:rsid w:val="0B0D0BA2"/>
    <w:rsid w:val="0B0E131B"/>
    <w:rsid w:val="0B0E30C9"/>
    <w:rsid w:val="0B0E48D7"/>
    <w:rsid w:val="0B0E4E77"/>
    <w:rsid w:val="0B0F14CD"/>
    <w:rsid w:val="0B10258E"/>
    <w:rsid w:val="0B11052F"/>
    <w:rsid w:val="0B112BB9"/>
    <w:rsid w:val="0B13248D"/>
    <w:rsid w:val="0B136931"/>
    <w:rsid w:val="0B137E4E"/>
    <w:rsid w:val="0B152DD9"/>
    <w:rsid w:val="0B156206"/>
    <w:rsid w:val="0B163D2C"/>
    <w:rsid w:val="0B183CC0"/>
    <w:rsid w:val="0B187AA4"/>
    <w:rsid w:val="0B196157"/>
    <w:rsid w:val="0B1A1A6E"/>
    <w:rsid w:val="0B1C2333"/>
    <w:rsid w:val="0B1C3A38"/>
    <w:rsid w:val="0B1C57E6"/>
    <w:rsid w:val="0B1D155E"/>
    <w:rsid w:val="0B1E58B2"/>
    <w:rsid w:val="0B1E6DA1"/>
    <w:rsid w:val="0B204BAA"/>
    <w:rsid w:val="0B21104E"/>
    <w:rsid w:val="0B213B2F"/>
    <w:rsid w:val="0B2226D0"/>
    <w:rsid w:val="0B226B74"/>
    <w:rsid w:val="0B236202"/>
    <w:rsid w:val="0B2428ED"/>
    <w:rsid w:val="0B246449"/>
    <w:rsid w:val="0B260413"/>
    <w:rsid w:val="0B2662C4"/>
    <w:rsid w:val="0B270C9F"/>
    <w:rsid w:val="0B2823DD"/>
    <w:rsid w:val="0B293A5F"/>
    <w:rsid w:val="0B2A3504"/>
    <w:rsid w:val="0B2B77D7"/>
    <w:rsid w:val="0B2C354F"/>
    <w:rsid w:val="0B2C5E24"/>
    <w:rsid w:val="0B2C766D"/>
    <w:rsid w:val="0B2D3FD4"/>
    <w:rsid w:val="0B2E376B"/>
    <w:rsid w:val="0B2E5519"/>
    <w:rsid w:val="0B2E72C7"/>
    <w:rsid w:val="0B304DED"/>
    <w:rsid w:val="0B310B66"/>
    <w:rsid w:val="0B316DB7"/>
    <w:rsid w:val="0B3222C4"/>
    <w:rsid w:val="0B325009"/>
    <w:rsid w:val="0B330D82"/>
    <w:rsid w:val="0B3348DE"/>
    <w:rsid w:val="0B350656"/>
    <w:rsid w:val="0B3568A8"/>
    <w:rsid w:val="0B381EF4"/>
    <w:rsid w:val="0B3A6827"/>
    <w:rsid w:val="0B3D7B45"/>
    <w:rsid w:val="0B3E2E09"/>
    <w:rsid w:val="0B3F3282"/>
    <w:rsid w:val="0B3F6E6A"/>
    <w:rsid w:val="0B3F70B9"/>
    <w:rsid w:val="0B3F7726"/>
    <w:rsid w:val="0B416FFB"/>
    <w:rsid w:val="0B417DAD"/>
    <w:rsid w:val="0B420FC5"/>
    <w:rsid w:val="0B4357EB"/>
    <w:rsid w:val="0B444D3D"/>
    <w:rsid w:val="0B446AEB"/>
    <w:rsid w:val="0B45010B"/>
    <w:rsid w:val="0B460AB5"/>
    <w:rsid w:val="0B462863"/>
    <w:rsid w:val="0B494101"/>
    <w:rsid w:val="0B495EAF"/>
    <w:rsid w:val="0B497F1C"/>
    <w:rsid w:val="0B4B60CB"/>
    <w:rsid w:val="0B4B7E79"/>
    <w:rsid w:val="0B4E1717"/>
    <w:rsid w:val="0B5036E2"/>
    <w:rsid w:val="0B505490"/>
    <w:rsid w:val="0B511399"/>
    <w:rsid w:val="0B512FB6"/>
    <w:rsid w:val="0B536D2E"/>
    <w:rsid w:val="0B541A35"/>
    <w:rsid w:val="0B554854"/>
    <w:rsid w:val="0B5605CC"/>
    <w:rsid w:val="0B562520"/>
    <w:rsid w:val="0B564393"/>
    <w:rsid w:val="0B57681E"/>
    <w:rsid w:val="0B5807E8"/>
    <w:rsid w:val="0B582596"/>
    <w:rsid w:val="0B585C35"/>
    <w:rsid w:val="0B5A3A72"/>
    <w:rsid w:val="0B5A630E"/>
    <w:rsid w:val="0B5C3E34"/>
    <w:rsid w:val="0B5D195B"/>
    <w:rsid w:val="0B5D7BAD"/>
    <w:rsid w:val="0B5F1B77"/>
    <w:rsid w:val="0B5F3925"/>
    <w:rsid w:val="0B607048"/>
    <w:rsid w:val="0B61144B"/>
    <w:rsid w:val="0B6131F9"/>
    <w:rsid w:val="0B6158EF"/>
    <w:rsid w:val="0B61769D"/>
    <w:rsid w:val="0B621425"/>
    <w:rsid w:val="0B622204"/>
    <w:rsid w:val="0B626F71"/>
    <w:rsid w:val="0B640F3B"/>
    <w:rsid w:val="0B664CB3"/>
    <w:rsid w:val="0B6727D9"/>
    <w:rsid w:val="0B6947A3"/>
    <w:rsid w:val="0B694E67"/>
    <w:rsid w:val="0B695C55"/>
    <w:rsid w:val="0B6C7DF0"/>
    <w:rsid w:val="0B6D4294"/>
    <w:rsid w:val="0B6D6042"/>
    <w:rsid w:val="0B6E5916"/>
    <w:rsid w:val="0B70168E"/>
    <w:rsid w:val="0B703C02"/>
    <w:rsid w:val="0B7078E0"/>
    <w:rsid w:val="0B7218AA"/>
    <w:rsid w:val="0B723658"/>
    <w:rsid w:val="0B725406"/>
    <w:rsid w:val="0B745622"/>
    <w:rsid w:val="0B7471EA"/>
    <w:rsid w:val="0B756CA4"/>
    <w:rsid w:val="0B772B03"/>
    <w:rsid w:val="0B776EC0"/>
    <w:rsid w:val="0B796FFB"/>
    <w:rsid w:val="0B7A075E"/>
    <w:rsid w:val="0B7C0033"/>
    <w:rsid w:val="0B7C6285"/>
    <w:rsid w:val="0B7E024F"/>
    <w:rsid w:val="0B7F5D75"/>
    <w:rsid w:val="0B812BD3"/>
    <w:rsid w:val="0B81389B"/>
    <w:rsid w:val="0B8213C1"/>
    <w:rsid w:val="0B832C7E"/>
    <w:rsid w:val="0B8361AA"/>
    <w:rsid w:val="0B8415DD"/>
    <w:rsid w:val="0B860EB1"/>
    <w:rsid w:val="0B867103"/>
    <w:rsid w:val="0B8769D7"/>
    <w:rsid w:val="0B882E7B"/>
    <w:rsid w:val="0B883F1F"/>
    <w:rsid w:val="0B88487B"/>
    <w:rsid w:val="0B892750"/>
    <w:rsid w:val="0B8B471A"/>
    <w:rsid w:val="0B8B64C8"/>
    <w:rsid w:val="0B8D0492"/>
    <w:rsid w:val="0B8D2240"/>
    <w:rsid w:val="0B8D66E4"/>
    <w:rsid w:val="0B8E420A"/>
    <w:rsid w:val="0B8E5FB8"/>
    <w:rsid w:val="0B8F1221"/>
    <w:rsid w:val="0B903ADE"/>
    <w:rsid w:val="0B9077BD"/>
    <w:rsid w:val="0B925AA8"/>
    <w:rsid w:val="0B927856"/>
    <w:rsid w:val="0B93537C"/>
    <w:rsid w:val="0B941820"/>
    <w:rsid w:val="0B945133"/>
    <w:rsid w:val="0B9730BE"/>
    <w:rsid w:val="0B974E6D"/>
    <w:rsid w:val="0B980BE5"/>
    <w:rsid w:val="0B996E37"/>
    <w:rsid w:val="0B9A533F"/>
    <w:rsid w:val="0B9A6334"/>
    <w:rsid w:val="0B9A670B"/>
    <w:rsid w:val="0B9A7A75"/>
    <w:rsid w:val="0B9D21C0"/>
    <w:rsid w:val="0B9E269F"/>
    <w:rsid w:val="0B9E444D"/>
    <w:rsid w:val="0BA16207"/>
    <w:rsid w:val="0BA2699D"/>
    <w:rsid w:val="0BA30B27"/>
    <w:rsid w:val="0BA457DB"/>
    <w:rsid w:val="0BA53A2D"/>
    <w:rsid w:val="0BA63302"/>
    <w:rsid w:val="0BA650B0"/>
    <w:rsid w:val="0BA80E28"/>
    <w:rsid w:val="0BA8707A"/>
    <w:rsid w:val="0BAB4DBC"/>
    <w:rsid w:val="0BAC7D3F"/>
    <w:rsid w:val="0BAD4690"/>
    <w:rsid w:val="0BAE21B6"/>
    <w:rsid w:val="0BAF080B"/>
    <w:rsid w:val="0BB023D2"/>
    <w:rsid w:val="0BB17D37"/>
    <w:rsid w:val="0BB25A4B"/>
    <w:rsid w:val="0BB2718C"/>
    <w:rsid w:val="0BB27EF8"/>
    <w:rsid w:val="0BB377CC"/>
    <w:rsid w:val="0BB51797"/>
    <w:rsid w:val="0BB53545"/>
    <w:rsid w:val="0BB62F04"/>
    <w:rsid w:val="0BB717D7"/>
    <w:rsid w:val="0BB772BD"/>
    <w:rsid w:val="0BB8019E"/>
    <w:rsid w:val="0BB84DE3"/>
    <w:rsid w:val="0BB91287"/>
    <w:rsid w:val="0BB92D4D"/>
    <w:rsid w:val="0BB93035"/>
    <w:rsid w:val="0BB934DB"/>
    <w:rsid w:val="0BBA0B5B"/>
    <w:rsid w:val="0BBA4FFF"/>
    <w:rsid w:val="0BBA6DAD"/>
    <w:rsid w:val="0BBC2B25"/>
    <w:rsid w:val="0BBC48D3"/>
    <w:rsid w:val="0BBE4AEF"/>
    <w:rsid w:val="0BBF1C25"/>
    <w:rsid w:val="0BBF1CAC"/>
    <w:rsid w:val="0BBF5056"/>
    <w:rsid w:val="0BBF7AED"/>
    <w:rsid w:val="0BC1013B"/>
    <w:rsid w:val="0BC11EE9"/>
    <w:rsid w:val="0BC33EB3"/>
    <w:rsid w:val="0BC35C62"/>
    <w:rsid w:val="0BC47C2C"/>
    <w:rsid w:val="0BC813B2"/>
    <w:rsid w:val="0BC814CA"/>
    <w:rsid w:val="0BC81C4A"/>
    <w:rsid w:val="0BCB0FBA"/>
    <w:rsid w:val="0BCB3F9D"/>
    <w:rsid w:val="0BCC35FC"/>
    <w:rsid w:val="0BCD4D32"/>
    <w:rsid w:val="0BCE4606"/>
    <w:rsid w:val="0BD0037E"/>
    <w:rsid w:val="0BD04822"/>
    <w:rsid w:val="0BD065D0"/>
    <w:rsid w:val="0BD16C8D"/>
    <w:rsid w:val="0BD22349"/>
    <w:rsid w:val="0BD31C1D"/>
    <w:rsid w:val="0BD460C1"/>
    <w:rsid w:val="0BD51E39"/>
    <w:rsid w:val="0BD53BE7"/>
    <w:rsid w:val="0BD63E8B"/>
    <w:rsid w:val="0BD64040"/>
    <w:rsid w:val="0BD77A17"/>
    <w:rsid w:val="0BD87233"/>
    <w:rsid w:val="0BD95198"/>
    <w:rsid w:val="0BDA5358"/>
    <w:rsid w:val="0BDC31C7"/>
    <w:rsid w:val="0BDE0CED"/>
    <w:rsid w:val="0BDF05C2"/>
    <w:rsid w:val="0BE300B2"/>
    <w:rsid w:val="0BE303E7"/>
    <w:rsid w:val="0BE61950"/>
    <w:rsid w:val="0BE61D6A"/>
    <w:rsid w:val="0BE65DF4"/>
    <w:rsid w:val="0BE67BA2"/>
    <w:rsid w:val="0BE8725B"/>
    <w:rsid w:val="0BEA2263"/>
    <w:rsid w:val="0BEA7692"/>
    <w:rsid w:val="0BEB51B8"/>
    <w:rsid w:val="0BED0F30"/>
    <w:rsid w:val="0BEF4CA9"/>
    <w:rsid w:val="0BF04195"/>
    <w:rsid w:val="0BF24799"/>
    <w:rsid w:val="0BF26090"/>
    <w:rsid w:val="0BF52573"/>
    <w:rsid w:val="0BF56037"/>
    <w:rsid w:val="0BF71DAF"/>
    <w:rsid w:val="0BF72CEF"/>
    <w:rsid w:val="0BF73B5D"/>
    <w:rsid w:val="0BF91683"/>
    <w:rsid w:val="0BFB189F"/>
    <w:rsid w:val="0BFC73C5"/>
    <w:rsid w:val="0BFD702B"/>
    <w:rsid w:val="0BFE313E"/>
    <w:rsid w:val="0BFE4EEC"/>
    <w:rsid w:val="0BFF2A12"/>
    <w:rsid w:val="0BFF5852"/>
    <w:rsid w:val="0C017795"/>
    <w:rsid w:val="0C032502"/>
    <w:rsid w:val="0C033E63"/>
    <w:rsid w:val="0C060244"/>
    <w:rsid w:val="0C083FBC"/>
    <w:rsid w:val="0C085D6A"/>
    <w:rsid w:val="0C0A1AE2"/>
    <w:rsid w:val="0C0A49C4"/>
    <w:rsid w:val="0C0A7D34"/>
    <w:rsid w:val="0C0C2D55"/>
    <w:rsid w:val="0C0F0EA7"/>
    <w:rsid w:val="0C0F668B"/>
    <w:rsid w:val="0C0F70F9"/>
    <w:rsid w:val="0C102B19"/>
    <w:rsid w:val="0C104C1F"/>
    <w:rsid w:val="0C1110C3"/>
    <w:rsid w:val="0C112E71"/>
    <w:rsid w:val="0C116467"/>
    <w:rsid w:val="0C123C69"/>
    <w:rsid w:val="0C126BE9"/>
    <w:rsid w:val="0C142961"/>
    <w:rsid w:val="0C1464BD"/>
    <w:rsid w:val="0C175FAD"/>
    <w:rsid w:val="0C177D5B"/>
    <w:rsid w:val="0C1856E4"/>
    <w:rsid w:val="0C197F77"/>
    <w:rsid w:val="0C1B0C94"/>
    <w:rsid w:val="0C1B3CF0"/>
    <w:rsid w:val="0C1B4CBB"/>
    <w:rsid w:val="0C1B5CA5"/>
    <w:rsid w:val="0C1C357A"/>
    <w:rsid w:val="0C1D70CF"/>
    <w:rsid w:val="0C1E558E"/>
    <w:rsid w:val="0C1F456F"/>
    <w:rsid w:val="0C1F767A"/>
    <w:rsid w:val="0C201306"/>
    <w:rsid w:val="0C2030B4"/>
    <w:rsid w:val="0C2076B9"/>
    <w:rsid w:val="0C216E2C"/>
    <w:rsid w:val="0C221FBD"/>
    <w:rsid w:val="0C232BA4"/>
    <w:rsid w:val="0C234952"/>
    <w:rsid w:val="0C236700"/>
    <w:rsid w:val="0C2448DD"/>
    <w:rsid w:val="0C2506CA"/>
    <w:rsid w:val="0C252478"/>
    <w:rsid w:val="0C272694"/>
    <w:rsid w:val="0C28640C"/>
    <w:rsid w:val="0C295B7E"/>
    <w:rsid w:val="0C2A7A8F"/>
    <w:rsid w:val="0C2B3807"/>
    <w:rsid w:val="0C2B47B0"/>
    <w:rsid w:val="0C2D3459"/>
    <w:rsid w:val="0C2D3A23"/>
    <w:rsid w:val="0C2E3EA2"/>
    <w:rsid w:val="0C2F1549"/>
    <w:rsid w:val="0C2F6EBE"/>
    <w:rsid w:val="0C2F779B"/>
    <w:rsid w:val="0C300E1D"/>
    <w:rsid w:val="0C303BD3"/>
    <w:rsid w:val="0C3152C1"/>
    <w:rsid w:val="0C321AB2"/>
    <w:rsid w:val="0C346B5F"/>
    <w:rsid w:val="0C3721AC"/>
    <w:rsid w:val="0C372408"/>
    <w:rsid w:val="0C3B7EEE"/>
    <w:rsid w:val="0C3C00DF"/>
    <w:rsid w:val="0C3F61AD"/>
    <w:rsid w:val="0C403756"/>
    <w:rsid w:val="0C4072B2"/>
    <w:rsid w:val="0C427A23"/>
    <w:rsid w:val="0C430B50"/>
    <w:rsid w:val="0C432866"/>
    <w:rsid w:val="0C43652E"/>
    <w:rsid w:val="0C442786"/>
    <w:rsid w:val="0C476893"/>
    <w:rsid w:val="0C4843B9"/>
    <w:rsid w:val="0C4A0012"/>
    <w:rsid w:val="0C4A65F8"/>
    <w:rsid w:val="0C4B11C9"/>
    <w:rsid w:val="0C4D5E73"/>
    <w:rsid w:val="0C4F43A9"/>
    <w:rsid w:val="0C4F74F5"/>
    <w:rsid w:val="0C4F7899"/>
    <w:rsid w:val="0C517711"/>
    <w:rsid w:val="0C524D8A"/>
    <w:rsid w:val="0C526FE5"/>
    <w:rsid w:val="0C547201"/>
    <w:rsid w:val="0C564D28"/>
    <w:rsid w:val="0C57284E"/>
    <w:rsid w:val="0C5745FC"/>
    <w:rsid w:val="0C5837CD"/>
    <w:rsid w:val="0C5B40EC"/>
    <w:rsid w:val="0C5C1C12"/>
    <w:rsid w:val="0C5C7E64"/>
    <w:rsid w:val="0C5D60B6"/>
    <w:rsid w:val="0C5E3BDC"/>
    <w:rsid w:val="0C5E598A"/>
    <w:rsid w:val="0C5F738E"/>
    <w:rsid w:val="0C60081E"/>
    <w:rsid w:val="0C62191E"/>
    <w:rsid w:val="0C6236CC"/>
    <w:rsid w:val="0C62581F"/>
    <w:rsid w:val="0C632FA1"/>
    <w:rsid w:val="0C637294"/>
    <w:rsid w:val="0C637445"/>
    <w:rsid w:val="0C654F6B"/>
    <w:rsid w:val="0C676F35"/>
    <w:rsid w:val="0C684A5B"/>
    <w:rsid w:val="0C692CAD"/>
    <w:rsid w:val="0C694AE1"/>
    <w:rsid w:val="0C6A07D3"/>
    <w:rsid w:val="0C6A5BE2"/>
    <w:rsid w:val="0C6B1986"/>
    <w:rsid w:val="0C6C00A7"/>
    <w:rsid w:val="0C71390F"/>
    <w:rsid w:val="0C721436"/>
    <w:rsid w:val="0C7358DA"/>
    <w:rsid w:val="0C736C94"/>
    <w:rsid w:val="0C7430A7"/>
    <w:rsid w:val="0C765D1C"/>
    <w:rsid w:val="0C782EF0"/>
    <w:rsid w:val="0C790A16"/>
    <w:rsid w:val="0C7B0B37"/>
    <w:rsid w:val="0C7B29E0"/>
    <w:rsid w:val="0C7C4062"/>
    <w:rsid w:val="0C7C4B55"/>
    <w:rsid w:val="0C7C7FF7"/>
    <w:rsid w:val="0C7D0506"/>
    <w:rsid w:val="0C7D5BCC"/>
    <w:rsid w:val="0C7E2917"/>
    <w:rsid w:val="0C7E602C"/>
    <w:rsid w:val="0C7E7DDA"/>
    <w:rsid w:val="0C803B53"/>
    <w:rsid w:val="0C811679"/>
    <w:rsid w:val="0C813E69"/>
    <w:rsid w:val="0C8220ED"/>
    <w:rsid w:val="0C8278CB"/>
    <w:rsid w:val="0C831E9D"/>
    <w:rsid w:val="0C863C7A"/>
    <w:rsid w:val="0C871385"/>
    <w:rsid w:val="0C873133"/>
    <w:rsid w:val="0C880C59"/>
    <w:rsid w:val="0C88116B"/>
    <w:rsid w:val="0C8A03E8"/>
    <w:rsid w:val="0C8A3AF3"/>
    <w:rsid w:val="0C8A677F"/>
    <w:rsid w:val="0C8C24F7"/>
    <w:rsid w:val="0C8D0F7C"/>
    <w:rsid w:val="0C8D240C"/>
    <w:rsid w:val="0C8E44C1"/>
    <w:rsid w:val="0C8F023A"/>
    <w:rsid w:val="0C915D60"/>
    <w:rsid w:val="0C937D2A"/>
    <w:rsid w:val="0C943AA2"/>
    <w:rsid w:val="0C9615C8"/>
    <w:rsid w:val="0C974603"/>
    <w:rsid w:val="0C977DC3"/>
    <w:rsid w:val="0C980C60"/>
    <w:rsid w:val="0C985340"/>
    <w:rsid w:val="0C9909AF"/>
    <w:rsid w:val="0C9910B8"/>
    <w:rsid w:val="0C994C14"/>
    <w:rsid w:val="0C9A3580"/>
    <w:rsid w:val="0C9B273A"/>
    <w:rsid w:val="0C9B6BDE"/>
    <w:rsid w:val="0C9D7330"/>
    <w:rsid w:val="0C9E222B"/>
    <w:rsid w:val="0C9F66CF"/>
    <w:rsid w:val="0CA021C7"/>
    <w:rsid w:val="0CA02447"/>
    <w:rsid w:val="0CA05CB1"/>
    <w:rsid w:val="0CA27F6D"/>
    <w:rsid w:val="0CA535B9"/>
    <w:rsid w:val="0CA57A5D"/>
    <w:rsid w:val="0CA710DF"/>
    <w:rsid w:val="0CA748A4"/>
    <w:rsid w:val="0CAA0BCF"/>
    <w:rsid w:val="0CAA3075"/>
    <w:rsid w:val="0CAA6E21"/>
    <w:rsid w:val="0CAB2DC4"/>
    <w:rsid w:val="0CAC2B9A"/>
    <w:rsid w:val="0CAC4948"/>
    <w:rsid w:val="0CAD06C0"/>
    <w:rsid w:val="0CAD0C97"/>
    <w:rsid w:val="0CAD730C"/>
    <w:rsid w:val="0CB06EE4"/>
    <w:rsid w:val="0CB06EE6"/>
    <w:rsid w:val="0CB075BA"/>
    <w:rsid w:val="0CB16402"/>
    <w:rsid w:val="0CB37AC1"/>
    <w:rsid w:val="0CB47CA0"/>
    <w:rsid w:val="0CB61617"/>
    <w:rsid w:val="0CB770A3"/>
    <w:rsid w:val="0CB87790"/>
    <w:rsid w:val="0CB952B6"/>
    <w:rsid w:val="0CB9620A"/>
    <w:rsid w:val="0CBB4B8B"/>
    <w:rsid w:val="0CBC4307"/>
    <w:rsid w:val="0CBD0903"/>
    <w:rsid w:val="0CBD27D9"/>
    <w:rsid w:val="0CBD3586"/>
    <w:rsid w:val="0CBD4DA7"/>
    <w:rsid w:val="0CBD6919"/>
    <w:rsid w:val="0CBE28CD"/>
    <w:rsid w:val="0CBE297A"/>
    <w:rsid w:val="0CBE467B"/>
    <w:rsid w:val="0CBF3E0A"/>
    <w:rsid w:val="0CBF6EA5"/>
    <w:rsid w:val="0CC021A1"/>
    <w:rsid w:val="0CC0529A"/>
    <w:rsid w:val="0CC17C52"/>
    <w:rsid w:val="0CC223BD"/>
    <w:rsid w:val="0CC25F19"/>
    <w:rsid w:val="0CC65773"/>
    <w:rsid w:val="0CC72065"/>
    <w:rsid w:val="0CC779D3"/>
    <w:rsid w:val="0CC865FD"/>
    <w:rsid w:val="0CC872A8"/>
    <w:rsid w:val="0CC9374C"/>
    <w:rsid w:val="0CC954FA"/>
    <w:rsid w:val="0CC955BE"/>
    <w:rsid w:val="0CC96DEB"/>
    <w:rsid w:val="0CCA5CBA"/>
    <w:rsid w:val="0CCC76D6"/>
    <w:rsid w:val="0CCE1629"/>
    <w:rsid w:val="0CCF4ADA"/>
    <w:rsid w:val="0CD12600"/>
    <w:rsid w:val="0CD143AE"/>
    <w:rsid w:val="0CD1621F"/>
    <w:rsid w:val="0CD43E9E"/>
    <w:rsid w:val="0CD45C4C"/>
    <w:rsid w:val="0CD65E68"/>
    <w:rsid w:val="0CD66DD1"/>
    <w:rsid w:val="0CD81BE1"/>
    <w:rsid w:val="0CD914B5"/>
    <w:rsid w:val="0CD93263"/>
    <w:rsid w:val="0CDB347F"/>
    <w:rsid w:val="0CDB3559"/>
    <w:rsid w:val="0CDB6FDB"/>
    <w:rsid w:val="0CDF2F6F"/>
    <w:rsid w:val="0CE02843"/>
    <w:rsid w:val="0CE045F1"/>
    <w:rsid w:val="0CE06855"/>
    <w:rsid w:val="0CE11EDD"/>
    <w:rsid w:val="0CE40585"/>
    <w:rsid w:val="0CE51C08"/>
    <w:rsid w:val="0CE57E5A"/>
    <w:rsid w:val="0CE71E24"/>
    <w:rsid w:val="0CE7345E"/>
    <w:rsid w:val="0CE904BC"/>
    <w:rsid w:val="0CE911C3"/>
    <w:rsid w:val="0CE916F8"/>
    <w:rsid w:val="0CE949D7"/>
    <w:rsid w:val="0CE95B9C"/>
    <w:rsid w:val="0CE962B2"/>
    <w:rsid w:val="0CEA5470"/>
    <w:rsid w:val="0CEB1914"/>
    <w:rsid w:val="0CEC2F96"/>
    <w:rsid w:val="0CED693F"/>
    <w:rsid w:val="0CED6E88"/>
    <w:rsid w:val="0CEE31B2"/>
    <w:rsid w:val="0CEE6D0E"/>
    <w:rsid w:val="0CEF0CD8"/>
    <w:rsid w:val="0CEF17A8"/>
    <w:rsid w:val="0CF167FE"/>
    <w:rsid w:val="0CF307C8"/>
    <w:rsid w:val="0CF32576"/>
    <w:rsid w:val="0CF34297"/>
    <w:rsid w:val="0CF4009D"/>
    <w:rsid w:val="0CF462EF"/>
    <w:rsid w:val="0CF50B67"/>
    <w:rsid w:val="0CF53ED9"/>
    <w:rsid w:val="0CF56412"/>
    <w:rsid w:val="0CF602B9"/>
    <w:rsid w:val="0CF62067"/>
    <w:rsid w:val="0CF63E15"/>
    <w:rsid w:val="0CF837EB"/>
    <w:rsid w:val="0CF84031"/>
    <w:rsid w:val="0CF85DDF"/>
    <w:rsid w:val="0CFF0F1B"/>
    <w:rsid w:val="0D006D19"/>
    <w:rsid w:val="0D020A0B"/>
    <w:rsid w:val="0D0227BA"/>
    <w:rsid w:val="0D0271E7"/>
    <w:rsid w:val="0D044784"/>
    <w:rsid w:val="0D0539CE"/>
    <w:rsid w:val="0D061C5D"/>
    <w:rsid w:val="0D074274"/>
    <w:rsid w:val="0D076022"/>
    <w:rsid w:val="0D077DD0"/>
    <w:rsid w:val="0D092F8E"/>
    <w:rsid w:val="0D0A78C0"/>
    <w:rsid w:val="0D0B5B12"/>
    <w:rsid w:val="0D0C188A"/>
    <w:rsid w:val="0D0C3638"/>
    <w:rsid w:val="0D0C44A6"/>
    <w:rsid w:val="0D0C53E6"/>
    <w:rsid w:val="0D0E115E"/>
    <w:rsid w:val="0D0E4D31"/>
    <w:rsid w:val="0D0E5602"/>
    <w:rsid w:val="0D0E73B0"/>
    <w:rsid w:val="0D0F4ED6"/>
    <w:rsid w:val="0D110C4F"/>
    <w:rsid w:val="0D1129FD"/>
    <w:rsid w:val="0D116342"/>
    <w:rsid w:val="0D132C19"/>
    <w:rsid w:val="0D1349C7"/>
    <w:rsid w:val="0D135FD2"/>
    <w:rsid w:val="0D14139C"/>
    <w:rsid w:val="0D1424ED"/>
    <w:rsid w:val="0D15073F"/>
    <w:rsid w:val="0D156991"/>
    <w:rsid w:val="0D166265"/>
    <w:rsid w:val="0D175DE3"/>
    <w:rsid w:val="0D18022F"/>
    <w:rsid w:val="0D181FDD"/>
    <w:rsid w:val="0D196656"/>
    <w:rsid w:val="0D1A3FA7"/>
    <w:rsid w:val="0D1A5D55"/>
    <w:rsid w:val="0D1B16BD"/>
    <w:rsid w:val="0D1B1ACD"/>
    <w:rsid w:val="0D1B387B"/>
    <w:rsid w:val="0D1B53C2"/>
    <w:rsid w:val="0D1D3A97"/>
    <w:rsid w:val="0D1D6B9E"/>
    <w:rsid w:val="0D200E92"/>
    <w:rsid w:val="0D212044"/>
    <w:rsid w:val="0D215336"/>
    <w:rsid w:val="0D222E5C"/>
    <w:rsid w:val="0D224C0A"/>
    <w:rsid w:val="0D235AC7"/>
    <w:rsid w:val="0D240982"/>
    <w:rsid w:val="0D2421D5"/>
    <w:rsid w:val="0D246BD4"/>
    <w:rsid w:val="0D2546FA"/>
    <w:rsid w:val="0D2564A8"/>
    <w:rsid w:val="0D272220"/>
    <w:rsid w:val="0D2766C4"/>
    <w:rsid w:val="0D2804A9"/>
    <w:rsid w:val="0D29243C"/>
    <w:rsid w:val="0D2A1D10"/>
    <w:rsid w:val="0D2B56E9"/>
    <w:rsid w:val="0D2C3CDA"/>
    <w:rsid w:val="0D2C7836"/>
    <w:rsid w:val="0D2D3085"/>
    <w:rsid w:val="0D2F6C3B"/>
    <w:rsid w:val="0D305579"/>
    <w:rsid w:val="0D307327"/>
    <w:rsid w:val="0D315E7D"/>
    <w:rsid w:val="0D315FEB"/>
    <w:rsid w:val="0D324D1E"/>
    <w:rsid w:val="0D330BC5"/>
    <w:rsid w:val="0D335069"/>
    <w:rsid w:val="0D3606B5"/>
    <w:rsid w:val="0D363F3D"/>
    <w:rsid w:val="0D366907"/>
    <w:rsid w:val="0D38442D"/>
    <w:rsid w:val="0D3861DB"/>
    <w:rsid w:val="0D3A63F7"/>
    <w:rsid w:val="0D3B51DE"/>
    <w:rsid w:val="0D3D5EE8"/>
    <w:rsid w:val="0D3D7C96"/>
    <w:rsid w:val="0D3F3A0E"/>
    <w:rsid w:val="0D3F756A"/>
    <w:rsid w:val="0D4002A7"/>
    <w:rsid w:val="0D4076B0"/>
    <w:rsid w:val="0D413D61"/>
    <w:rsid w:val="0D4234FE"/>
    <w:rsid w:val="0D42705A"/>
    <w:rsid w:val="0D447276"/>
    <w:rsid w:val="0D4508F8"/>
    <w:rsid w:val="0D464D9C"/>
    <w:rsid w:val="0D466B4A"/>
    <w:rsid w:val="0D470B14"/>
    <w:rsid w:val="0D474670"/>
    <w:rsid w:val="0D49663A"/>
    <w:rsid w:val="0D4A5F0F"/>
    <w:rsid w:val="0D4C612B"/>
    <w:rsid w:val="0D4E3C51"/>
    <w:rsid w:val="0D5076B5"/>
    <w:rsid w:val="0D510B45"/>
    <w:rsid w:val="0D521FD5"/>
    <w:rsid w:val="0D523741"/>
    <w:rsid w:val="0D5374B9"/>
    <w:rsid w:val="0D553231"/>
    <w:rsid w:val="0D554FDF"/>
    <w:rsid w:val="0D556D8D"/>
    <w:rsid w:val="0D562B05"/>
    <w:rsid w:val="0D5648B3"/>
    <w:rsid w:val="0D584ACF"/>
    <w:rsid w:val="0D58687D"/>
    <w:rsid w:val="0D5A0848"/>
    <w:rsid w:val="0D5A43A4"/>
    <w:rsid w:val="0D5B3087"/>
    <w:rsid w:val="0D5C1B29"/>
    <w:rsid w:val="0D5D20E6"/>
    <w:rsid w:val="0D5E3149"/>
    <w:rsid w:val="0D5F19BA"/>
    <w:rsid w:val="0D5F5E5E"/>
    <w:rsid w:val="0D605732"/>
    <w:rsid w:val="0D611BD6"/>
    <w:rsid w:val="0D621ACA"/>
    <w:rsid w:val="0D63594E"/>
    <w:rsid w:val="0D645222"/>
    <w:rsid w:val="0D6569BB"/>
    <w:rsid w:val="0D660F9A"/>
    <w:rsid w:val="0D682F64"/>
    <w:rsid w:val="0D6945E7"/>
    <w:rsid w:val="0D696CDD"/>
    <w:rsid w:val="0D6B4803"/>
    <w:rsid w:val="0D6C2329"/>
    <w:rsid w:val="0D6C65BC"/>
    <w:rsid w:val="0D6E0AE7"/>
    <w:rsid w:val="0D6E25A1"/>
    <w:rsid w:val="0D6F756B"/>
    <w:rsid w:val="0D7116ED"/>
    <w:rsid w:val="0D746C21"/>
    <w:rsid w:val="0D7548BC"/>
    <w:rsid w:val="0D764ED8"/>
    <w:rsid w:val="0D767C8F"/>
    <w:rsid w:val="0D780CCE"/>
    <w:rsid w:val="0D782A7C"/>
    <w:rsid w:val="0D7A0BE3"/>
    <w:rsid w:val="0D7A6610"/>
    <w:rsid w:val="0D7A67F4"/>
    <w:rsid w:val="0D7C256C"/>
    <w:rsid w:val="0D7C6A10"/>
    <w:rsid w:val="0D7D0092"/>
    <w:rsid w:val="0D7D4536"/>
    <w:rsid w:val="0D7F3E0A"/>
    <w:rsid w:val="0D814026"/>
    <w:rsid w:val="0D8145D3"/>
    <w:rsid w:val="0D815DD4"/>
    <w:rsid w:val="0D821B4C"/>
    <w:rsid w:val="0D8238FA"/>
    <w:rsid w:val="0D830E03"/>
    <w:rsid w:val="0D837D9E"/>
    <w:rsid w:val="0D8458C4"/>
    <w:rsid w:val="0D86163D"/>
    <w:rsid w:val="0D865199"/>
    <w:rsid w:val="0D870F11"/>
    <w:rsid w:val="0D8853B5"/>
    <w:rsid w:val="0D892EDB"/>
    <w:rsid w:val="0D8B0A01"/>
    <w:rsid w:val="0D8B7595"/>
    <w:rsid w:val="0D8D4779"/>
    <w:rsid w:val="0D904269"/>
    <w:rsid w:val="0D907DC5"/>
    <w:rsid w:val="0D913B3D"/>
    <w:rsid w:val="0D932A32"/>
    <w:rsid w:val="0D9334C9"/>
    <w:rsid w:val="0D935B07"/>
    <w:rsid w:val="0D9378B6"/>
    <w:rsid w:val="0D9403D7"/>
    <w:rsid w:val="0D9553DC"/>
    <w:rsid w:val="0D955DE9"/>
    <w:rsid w:val="0D957AD2"/>
    <w:rsid w:val="0D961154"/>
    <w:rsid w:val="0D966794"/>
    <w:rsid w:val="0D984ECC"/>
    <w:rsid w:val="0D991370"/>
    <w:rsid w:val="0D9A0EA8"/>
    <w:rsid w:val="0D9A6E96"/>
    <w:rsid w:val="0D9C2C0E"/>
    <w:rsid w:val="0D9D0734"/>
    <w:rsid w:val="0D9D24E2"/>
    <w:rsid w:val="0DA10224"/>
    <w:rsid w:val="0DA12EF0"/>
    <w:rsid w:val="0DA27AF9"/>
    <w:rsid w:val="0DA41AC3"/>
    <w:rsid w:val="0DA43871"/>
    <w:rsid w:val="0DA4444E"/>
    <w:rsid w:val="0DA52143"/>
    <w:rsid w:val="0DA6419D"/>
    <w:rsid w:val="0DA66D6E"/>
    <w:rsid w:val="0DA675E9"/>
    <w:rsid w:val="0DA67939"/>
    <w:rsid w:val="0DA74C8B"/>
    <w:rsid w:val="0DA76B8C"/>
    <w:rsid w:val="0DA815B3"/>
    <w:rsid w:val="0DA87805"/>
    <w:rsid w:val="0DA90E87"/>
    <w:rsid w:val="0DAB0F49"/>
    <w:rsid w:val="0DAC49E8"/>
    <w:rsid w:val="0DAD0977"/>
    <w:rsid w:val="0DAD4E1B"/>
    <w:rsid w:val="0DAE2941"/>
    <w:rsid w:val="0DAE46EF"/>
    <w:rsid w:val="0DB00467"/>
    <w:rsid w:val="0DB02216"/>
    <w:rsid w:val="0DB066B9"/>
    <w:rsid w:val="0DB07E20"/>
    <w:rsid w:val="0DB13E81"/>
    <w:rsid w:val="0DB25F8E"/>
    <w:rsid w:val="0DB31D06"/>
    <w:rsid w:val="0DB37F58"/>
    <w:rsid w:val="0DB53CD0"/>
    <w:rsid w:val="0DB55A7E"/>
    <w:rsid w:val="0DB56B26"/>
    <w:rsid w:val="0DB5782C"/>
    <w:rsid w:val="0DB66863"/>
    <w:rsid w:val="0DB742A8"/>
    <w:rsid w:val="0DB77CF3"/>
    <w:rsid w:val="0DBA12E6"/>
    <w:rsid w:val="0DBA7538"/>
    <w:rsid w:val="0DBC505E"/>
    <w:rsid w:val="0DBD2424"/>
    <w:rsid w:val="0DBD3B65"/>
    <w:rsid w:val="0DBE2B84"/>
    <w:rsid w:val="0DBF68FD"/>
    <w:rsid w:val="0DC024E6"/>
    <w:rsid w:val="0DC026DC"/>
    <w:rsid w:val="0DC13FD0"/>
    <w:rsid w:val="0DC161D1"/>
    <w:rsid w:val="0DC24706"/>
    <w:rsid w:val="0DC3019B"/>
    <w:rsid w:val="0DC352A5"/>
    <w:rsid w:val="0DC363ED"/>
    <w:rsid w:val="0DC42165"/>
    <w:rsid w:val="0DC57CC8"/>
    <w:rsid w:val="0DC6643D"/>
    <w:rsid w:val="0DC932D7"/>
    <w:rsid w:val="0DC93F14"/>
    <w:rsid w:val="0DCB3277"/>
    <w:rsid w:val="0DCB704F"/>
    <w:rsid w:val="0DCD1019"/>
    <w:rsid w:val="0DCD726B"/>
    <w:rsid w:val="0DCF4839"/>
    <w:rsid w:val="0DCF4D92"/>
    <w:rsid w:val="0DD028B8"/>
    <w:rsid w:val="0DD100E5"/>
    <w:rsid w:val="0DD2240D"/>
    <w:rsid w:val="0DD2668E"/>
    <w:rsid w:val="0DD423A8"/>
    <w:rsid w:val="0DD6470C"/>
    <w:rsid w:val="0DD71E98"/>
    <w:rsid w:val="0DD759F4"/>
    <w:rsid w:val="0DD75B9C"/>
    <w:rsid w:val="0DD75CB2"/>
    <w:rsid w:val="0DDE4FD5"/>
    <w:rsid w:val="0DDF2AFB"/>
    <w:rsid w:val="0DDF6F9F"/>
    <w:rsid w:val="0DE0138C"/>
    <w:rsid w:val="0DE01A63"/>
    <w:rsid w:val="0DE10621"/>
    <w:rsid w:val="0DE3083D"/>
    <w:rsid w:val="0DE325EB"/>
    <w:rsid w:val="0DE33D74"/>
    <w:rsid w:val="0DE40111"/>
    <w:rsid w:val="0DE46363"/>
    <w:rsid w:val="0DE545B5"/>
    <w:rsid w:val="0DE63CD0"/>
    <w:rsid w:val="0DE63E89"/>
    <w:rsid w:val="0DE80AB1"/>
    <w:rsid w:val="0DE83D12"/>
    <w:rsid w:val="0DEA1BCB"/>
    <w:rsid w:val="0DEB5944"/>
    <w:rsid w:val="0DED346A"/>
    <w:rsid w:val="0DEE2D3E"/>
    <w:rsid w:val="0DEF71E2"/>
    <w:rsid w:val="0DF02F5A"/>
    <w:rsid w:val="0DF04D08"/>
    <w:rsid w:val="0DF26CD2"/>
    <w:rsid w:val="0DF30354"/>
    <w:rsid w:val="0DF742E8"/>
    <w:rsid w:val="0DF74A48"/>
    <w:rsid w:val="0DF904F6"/>
    <w:rsid w:val="0DF94527"/>
    <w:rsid w:val="0DFA4B1E"/>
    <w:rsid w:val="0DFA5B87"/>
    <w:rsid w:val="0DFA7935"/>
    <w:rsid w:val="0DFB0B3A"/>
    <w:rsid w:val="0DFC1FFF"/>
    <w:rsid w:val="0DFE11D3"/>
    <w:rsid w:val="0DFE49A3"/>
    <w:rsid w:val="0DFE7425"/>
    <w:rsid w:val="0DFF319D"/>
    <w:rsid w:val="0DFF42CC"/>
    <w:rsid w:val="0DFF4637"/>
    <w:rsid w:val="0DFF47ED"/>
    <w:rsid w:val="0E0367E9"/>
    <w:rsid w:val="0E042561"/>
    <w:rsid w:val="0E050C1A"/>
    <w:rsid w:val="0E060087"/>
    <w:rsid w:val="0E074C7B"/>
    <w:rsid w:val="0E090A68"/>
    <w:rsid w:val="0E097B78"/>
    <w:rsid w:val="0E0B0EED"/>
    <w:rsid w:val="0E0B1EBB"/>
    <w:rsid w:val="0E0B4A8C"/>
    <w:rsid w:val="0E0B7D94"/>
    <w:rsid w:val="0E0C0298"/>
    <w:rsid w:val="0E0D1416"/>
    <w:rsid w:val="0E0D7668"/>
    <w:rsid w:val="0E100F06"/>
    <w:rsid w:val="0E1053AA"/>
    <w:rsid w:val="0E115D2D"/>
    <w:rsid w:val="0E121122"/>
    <w:rsid w:val="0E122ED0"/>
    <w:rsid w:val="0E1464B8"/>
    <w:rsid w:val="0E1529C0"/>
    <w:rsid w:val="0E15651D"/>
    <w:rsid w:val="0E1615E1"/>
    <w:rsid w:val="0E171AA0"/>
    <w:rsid w:val="0E172295"/>
    <w:rsid w:val="0E1A1D85"/>
    <w:rsid w:val="0E1A590B"/>
    <w:rsid w:val="0E1A5AD0"/>
    <w:rsid w:val="0E1A674D"/>
    <w:rsid w:val="0E1B21E9"/>
    <w:rsid w:val="0E1B7FD7"/>
    <w:rsid w:val="0E1C42D0"/>
    <w:rsid w:val="0E1C78AB"/>
    <w:rsid w:val="0E1D6EA1"/>
    <w:rsid w:val="0E1E7AC7"/>
    <w:rsid w:val="0E1F739B"/>
    <w:rsid w:val="0E211365"/>
    <w:rsid w:val="0E230C39"/>
    <w:rsid w:val="0E236E8B"/>
    <w:rsid w:val="0E250E55"/>
    <w:rsid w:val="0E2624D8"/>
    <w:rsid w:val="0E266744"/>
    <w:rsid w:val="0E266AC3"/>
    <w:rsid w:val="0E277F52"/>
    <w:rsid w:val="0E2826F4"/>
    <w:rsid w:val="0E286250"/>
    <w:rsid w:val="0E2A021A"/>
    <w:rsid w:val="0E2A338D"/>
    <w:rsid w:val="0E2B3F92"/>
    <w:rsid w:val="0E2C21E4"/>
    <w:rsid w:val="0E2C5505"/>
    <w:rsid w:val="0E323572"/>
    <w:rsid w:val="0E323F63"/>
    <w:rsid w:val="0E35096D"/>
    <w:rsid w:val="0E364E11"/>
    <w:rsid w:val="0E372937"/>
    <w:rsid w:val="0E39005F"/>
    <w:rsid w:val="0E39220B"/>
    <w:rsid w:val="0E395ED5"/>
    <w:rsid w:val="0E3966AF"/>
    <w:rsid w:val="0E3B2429"/>
    <w:rsid w:val="0E3B31DF"/>
    <w:rsid w:val="0E3B7858"/>
    <w:rsid w:val="0E3C1CFB"/>
    <w:rsid w:val="0E3C7F4D"/>
    <w:rsid w:val="0E3E1F17"/>
    <w:rsid w:val="0E3E3CC5"/>
    <w:rsid w:val="0E3E79DA"/>
    <w:rsid w:val="0E3F3599"/>
    <w:rsid w:val="0E4018D9"/>
    <w:rsid w:val="0E440BB0"/>
    <w:rsid w:val="0E4534DB"/>
    <w:rsid w:val="0E455054"/>
    <w:rsid w:val="0E470192"/>
    <w:rsid w:val="0E4709CC"/>
    <w:rsid w:val="0E4742D5"/>
    <w:rsid w:val="0E481449"/>
    <w:rsid w:val="0E482A4A"/>
    <w:rsid w:val="0E4852B1"/>
    <w:rsid w:val="0E4868F2"/>
    <w:rsid w:val="0E492FE8"/>
    <w:rsid w:val="0E4A0A8E"/>
    <w:rsid w:val="0E4B0190"/>
    <w:rsid w:val="0E4B1F3E"/>
    <w:rsid w:val="0E4B63E2"/>
    <w:rsid w:val="0E4C33AE"/>
    <w:rsid w:val="0E4D4F80"/>
    <w:rsid w:val="0E4E4176"/>
    <w:rsid w:val="0E4E5CCE"/>
    <w:rsid w:val="0E4F5ED2"/>
    <w:rsid w:val="0E5057A7"/>
    <w:rsid w:val="0E506AD6"/>
    <w:rsid w:val="0E52151F"/>
    <w:rsid w:val="0E5232CD"/>
    <w:rsid w:val="0E527771"/>
    <w:rsid w:val="0E533746"/>
    <w:rsid w:val="0E541B40"/>
    <w:rsid w:val="0E543FA7"/>
    <w:rsid w:val="0E545297"/>
    <w:rsid w:val="0E547045"/>
    <w:rsid w:val="0E570458"/>
    <w:rsid w:val="0E572FD9"/>
    <w:rsid w:val="0E582F4D"/>
    <w:rsid w:val="0E585C6F"/>
    <w:rsid w:val="0E5928AD"/>
    <w:rsid w:val="0E59465B"/>
    <w:rsid w:val="0E5A03D3"/>
    <w:rsid w:val="0E5B5064"/>
    <w:rsid w:val="0E5C05EF"/>
    <w:rsid w:val="0E5C414B"/>
    <w:rsid w:val="0E5E7EC3"/>
    <w:rsid w:val="0E601E8E"/>
    <w:rsid w:val="0E602CB4"/>
    <w:rsid w:val="0E6059EA"/>
    <w:rsid w:val="0E625C06"/>
    <w:rsid w:val="0E6354DA"/>
    <w:rsid w:val="0E6361CE"/>
    <w:rsid w:val="0E641635"/>
    <w:rsid w:val="0E645301"/>
    <w:rsid w:val="0E653000"/>
    <w:rsid w:val="0E65470A"/>
    <w:rsid w:val="0E666D78"/>
    <w:rsid w:val="0E680D42"/>
    <w:rsid w:val="0E682AF0"/>
    <w:rsid w:val="0E686F94"/>
    <w:rsid w:val="0E6A4ABA"/>
    <w:rsid w:val="0E6A6868"/>
    <w:rsid w:val="0E6B25E0"/>
    <w:rsid w:val="0E6D3E28"/>
    <w:rsid w:val="0E6D45AA"/>
    <w:rsid w:val="0E6F3E7F"/>
    <w:rsid w:val="0E6F41E3"/>
    <w:rsid w:val="0E71409B"/>
    <w:rsid w:val="0E715E49"/>
    <w:rsid w:val="0E745939"/>
    <w:rsid w:val="0E750E79"/>
    <w:rsid w:val="0E7616B1"/>
    <w:rsid w:val="0E761E78"/>
    <w:rsid w:val="0E76345F"/>
    <w:rsid w:val="0E76520D"/>
    <w:rsid w:val="0E772D33"/>
    <w:rsid w:val="0E7771D7"/>
    <w:rsid w:val="0E780BE4"/>
    <w:rsid w:val="0E792F4F"/>
    <w:rsid w:val="0E7B2823"/>
    <w:rsid w:val="0E7B6CC7"/>
    <w:rsid w:val="0E7C5BBA"/>
    <w:rsid w:val="0E7D21DC"/>
    <w:rsid w:val="0E7E048E"/>
    <w:rsid w:val="0E7E0566"/>
    <w:rsid w:val="0E7E40C2"/>
    <w:rsid w:val="0E7E6F6F"/>
    <w:rsid w:val="0E7F4D81"/>
    <w:rsid w:val="0E802CFD"/>
    <w:rsid w:val="0E8042DE"/>
    <w:rsid w:val="0E807E3A"/>
    <w:rsid w:val="0E8116C4"/>
    <w:rsid w:val="0E813BB2"/>
    <w:rsid w:val="0E833DCE"/>
    <w:rsid w:val="0E835B7C"/>
    <w:rsid w:val="0E8611C8"/>
    <w:rsid w:val="0E884F40"/>
    <w:rsid w:val="0E8A515C"/>
    <w:rsid w:val="0E8C2C83"/>
    <w:rsid w:val="0E8C4A31"/>
    <w:rsid w:val="0E8D2557"/>
    <w:rsid w:val="0E8E2E4B"/>
    <w:rsid w:val="0E8F2773"/>
    <w:rsid w:val="0E8F4521"/>
    <w:rsid w:val="0E9408AC"/>
    <w:rsid w:val="0E9618F3"/>
    <w:rsid w:val="0E963B01"/>
    <w:rsid w:val="0E9658AF"/>
    <w:rsid w:val="0E96765D"/>
    <w:rsid w:val="0E9731FF"/>
    <w:rsid w:val="0E9733D5"/>
    <w:rsid w:val="0E975183"/>
    <w:rsid w:val="0E981627"/>
    <w:rsid w:val="0E990EFC"/>
    <w:rsid w:val="0E9953A0"/>
    <w:rsid w:val="0E99714E"/>
    <w:rsid w:val="0E9B1118"/>
    <w:rsid w:val="0E9B2EC6"/>
    <w:rsid w:val="0E9B42D5"/>
    <w:rsid w:val="0E9B4C74"/>
    <w:rsid w:val="0E9C09EC"/>
    <w:rsid w:val="0E9D6BF5"/>
    <w:rsid w:val="0E9D742B"/>
    <w:rsid w:val="0E9E4764"/>
    <w:rsid w:val="0E9E64C9"/>
    <w:rsid w:val="0E9F40E6"/>
    <w:rsid w:val="0E9F4C22"/>
    <w:rsid w:val="0EA004DC"/>
    <w:rsid w:val="0EA025EA"/>
    <w:rsid w:val="0EA12418"/>
    <w:rsid w:val="0EA131D8"/>
    <w:rsid w:val="0EA21BDD"/>
    <w:rsid w:val="0EA24254"/>
    <w:rsid w:val="0EA31D7A"/>
    <w:rsid w:val="0EA33B28"/>
    <w:rsid w:val="0EA455DC"/>
    <w:rsid w:val="0EA46054"/>
    <w:rsid w:val="0EA55AF2"/>
    <w:rsid w:val="0EA578A0"/>
    <w:rsid w:val="0EA76787"/>
    <w:rsid w:val="0EA87391"/>
    <w:rsid w:val="0EA93835"/>
    <w:rsid w:val="0EAB2689"/>
    <w:rsid w:val="0EAB6CCE"/>
    <w:rsid w:val="0EAD0AF0"/>
    <w:rsid w:val="0EAF071F"/>
    <w:rsid w:val="0EB14497"/>
    <w:rsid w:val="0EB2020F"/>
    <w:rsid w:val="0EB40507"/>
    <w:rsid w:val="0EB67D00"/>
    <w:rsid w:val="0EB70D5C"/>
    <w:rsid w:val="0EB75826"/>
    <w:rsid w:val="0EB94F1F"/>
    <w:rsid w:val="0EBA6707"/>
    <w:rsid w:val="0EBB3568"/>
    <w:rsid w:val="0EBE2240"/>
    <w:rsid w:val="0EBE4E06"/>
    <w:rsid w:val="0EBE6916"/>
    <w:rsid w:val="0EBE6BB4"/>
    <w:rsid w:val="0EC22051"/>
    <w:rsid w:val="0EC2590D"/>
    <w:rsid w:val="0EC3241C"/>
    <w:rsid w:val="0EC35F79"/>
    <w:rsid w:val="0EC56195"/>
    <w:rsid w:val="0EC71F0D"/>
    <w:rsid w:val="0EC87A33"/>
    <w:rsid w:val="0ECA37AB"/>
    <w:rsid w:val="0ECA5559"/>
    <w:rsid w:val="0ECA7307"/>
    <w:rsid w:val="0ECE329B"/>
    <w:rsid w:val="0ECF0DC1"/>
    <w:rsid w:val="0ECF2B6F"/>
    <w:rsid w:val="0ED10695"/>
    <w:rsid w:val="0ED168E7"/>
    <w:rsid w:val="0ED21B46"/>
    <w:rsid w:val="0ED2440E"/>
    <w:rsid w:val="0ED26F75"/>
    <w:rsid w:val="0ED31895"/>
    <w:rsid w:val="0ED40186"/>
    <w:rsid w:val="0ED412C2"/>
    <w:rsid w:val="0ED463D8"/>
    <w:rsid w:val="0ED555BE"/>
    <w:rsid w:val="0ED61957"/>
    <w:rsid w:val="0ED818B2"/>
    <w:rsid w:val="0ED85EC8"/>
    <w:rsid w:val="0ED91C40"/>
    <w:rsid w:val="0ED939EE"/>
    <w:rsid w:val="0EDB32C2"/>
    <w:rsid w:val="0EDC43A3"/>
    <w:rsid w:val="0EDC5972"/>
    <w:rsid w:val="0EDC703A"/>
    <w:rsid w:val="0EDD34DE"/>
    <w:rsid w:val="0EDD528C"/>
    <w:rsid w:val="0EDE1004"/>
    <w:rsid w:val="0EDE2DB2"/>
    <w:rsid w:val="0EDF1579"/>
    <w:rsid w:val="0EE06B2A"/>
    <w:rsid w:val="0EE13E99"/>
    <w:rsid w:val="0EE20AF5"/>
    <w:rsid w:val="0EE24651"/>
    <w:rsid w:val="0EE26D46"/>
    <w:rsid w:val="0EE505E5"/>
    <w:rsid w:val="0EE53CAA"/>
    <w:rsid w:val="0EE72023"/>
    <w:rsid w:val="0EE859DF"/>
    <w:rsid w:val="0EEA1757"/>
    <w:rsid w:val="0EEA5386"/>
    <w:rsid w:val="0EEA72F4"/>
    <w:rsid w:val="0EEB0274"/>
    <w:rsid w:val="0EEB125D"/>
    <w:rsid w:val="0EEB72F3"/>
    <w:rsid w:val="0EEC54CF"/>
    <w:rsid w:val="0EED1247"/>
    <w:rsid w:val="0EEE56EB"/>
    <w:rsid w:val="0EEF106E"/>
    <w:rsid w:val="0EEF3211"/>
    <w:rsid w:val="0EEF4FBF"/>
    <w:rsid w:val="0EEF6C0F"/>
    <w:rsid w:val="0EF138A2"/>
    <w:rsid w:val="0EF1398E"/>
    <w:rsid w:val="0EF3315E"/>
    <w:rsid w:val="0EF4230F"/>
    <w:rsid w:val="0EF425D6"/>
    <w:rsid w:val="0EF44384"/>
    <w:rsid w:val="0EF54ED7"/>
    <w:rsid w:val="0EF645A0"/>
    <w:rsid w:val="0EF6634E"/>
    <w:rsid w:val="0EF80318"/>
    <w:rsid w:val="0EF820C6"/>
    <w:rsid w:val="0EF82781"/>
    <w:rsid w:val="0EFA4090"/>
    <w:rsid w:val="0EFB3964"/>
    <w:rsid w:val="0EFC644A"/>
    <w:rsid w:val="0EFD592E"/>
    <w:rsid w:val="0EFD6A26"/>
    <w:rsid w:val="0EFE5203"/>
    <w:rsid w:val="0EFF0B63"/>
    <w:rsid w:val="0EFF16A6"/>
    <w:rsid w:val="0F0008B2"/>
    <w:rsid w:val="0F002C19"/>
    <w:rsid w:val="0F0071CD"/>
    <w:rsid w:val="0F032819"/>
    <w:rsid w:val="0F035DA3"/>
    <w:rsid w:val="0F052A35"/>
    <w:rsid w:val="0F0547E3"/>
    <w:rsid w:val="0F0740B7"/>
    <w:rsid w:val="0F0767AD"/>
    <w:rsid w:val="0F087E2F"/>
    <w:rsid w:val="0F096081"/>
    <w:rsid w:val="0F0A004B"/>
    <w:rsid w:val="0F0A3BA7"/>
    <w:rsid w:val="0F0C3DC3"/>
    <w:rsid w:val="0F0C5B71"/>
    <w:rsid w:val="0F0D0AD5"/>
    <w:rsid w:val="0F0D5446"/>
    <w:rsid w:val="0F0E3D72"/>
    <w:rsid w:val="0F0E7B3C"/>
    <w:rsid w:val="0F0F4528"/>
    <w:rsid w:val="0F0F7410"/>
    <w:rsid w:val="0F11369E"/>
    <w:rsid w:val="0F130D79"/>
    <w:rsid w:val="0F135152"/>
    <w:rsid w:val="0F1467D4"/>
    <w:rsid w:val="0F16254C"/>
    <w:rsid w:val="0F163068"/>
    <w:rsid w:val="0F166D2F"/>
    <w:rsid w:val="0F171180"/>
    <w:rsid w:val="0F1862C4"/>
    <w:rsid w:val="0F1A64E0"/>
    <w:rsid w:val="0F1B4006"/>
    <w:rsid w:val="0F1D38DB"/>
    <w:rsid w:val="0F1E7653"/>
    <w:rsid w:val="0F1F50AF"/>
    <w:rsid w:val="0F1F58A5"/>
    <w:rsid w:val="0F2033CB"/>
    <w:rsid w:val="0F205179"/>
    <w:rsid w:val="0F20786F"/>
    <w:rsid w:val="0F220EF1"/>
    <w:rsid w:val="0F225395"/>
    <w:rsid w:val="0F227B67"/>
    <w:rsid w:val="0F231C5E"/>
    <w:rsid w:val="0F24110D"/>
    <w:rsid w:val="0F241FD0"/>
    <w:rsid w:val="0F25284C"/>
    <w:rsid w:val="0F252E43"/>
    <w:rsid w:val="0F264E85"/>
    <w:rsid w:val="0F274759"/>
    <w:rsid w:val="0F27519E"/>
    <w:rsid w:val="0F296723"/>
    <w:rsid w:val="0F2A424A"/>
    <w:rsid w:val="0F2A5FF8"/>
    <w:rsid w:val="0F2C1D70"/>
    <w:rsid w:val="0F2C6214"/>
    <w:rsid w:val="0F2D777A"/>
    <w:rsid w:val="0F2E3D3A"/>
    <w:rsid w:val="0F2E5AE8"/>
    <w:rsid w:val="0F2E7896"/>
    <w:rsid w:val="0F3052F1"/>
    <w:rsid w:val="0F307AB2"/>
    <w:rsid w:val="0F31382A"/>
    <w:rsid w:val="0F317386"/>
    <w:rsid w:val="0F32179A"/>
    <w:rsid w:val="0F3330FE"/>
    <w:rsid w:val="0F3550C8"/>
    <w:rsid w:val="0F360E40"/>
    <w:rsid w:val="0F366148"/>
    <w:rsid w:val="0F380715"/>
    <w:rsid w:val="0F392184"/>
    <w:rsid w:val="0F3A0931"/>
    <w:rsid w:val="0F3A26DF"/>
    <w:rsid w:val="0F3A448D"/>
    <w:rsid w:val="0F3B0205"/>
    <w:rsid w:val="0F3B6457"/>
    <w:rsid w:val="0F3D5D2B"/>
    <w:rsid w:val="0F3D73C4"/>
    <w:rsid w:val="0F403A6D"/>
    <w:rsid w:val="0F415C41"/>
    <w:rsid w:val="0F423341"/>
    <w:rsid w:val="0F4277E5"/>
    <w:rsid w:val="0F451083"/>
    <w:rsid w:val="0F4536E3"/>
    <w:rsid w:val="0F474DFC"/>
    <w:rsid w:val="0F492922"/>
    <w:rsid w:val="0F4B3FBB"/>
    <w:rsid w:val="0F4B48EC"/>
    <w:rsid w:val="0F4C41C0"/>
    <w:rsid w:val="0F4E1CE6"/>
    <w:rsid w:val="0F4E618A"/>
    <w:rsid w:val="0F501F02"/>
    <w:rsid w:val="0F5117D6"/>
    <w:rsid w:val="0F5337A0"/>
    <w:rsid w:val="0F5372FC"/>
    <w:rsid w:val="0F543075"/>
    <w:rsid w:val="0F54564B"/>
    <w:rsid w:val="0F54656D"/>
    <w:rsid w:val="0F560208"/>
    <w:rsid w:val="0F56503F"/>
    <w:rsid w:val="0F5A68DD"/>
    <w:rsid w:val="0F5B2655"/>
    <w:rsid w:val="0F5B294D"/>
    <w:rsid w:val="0F5B4403"/>
    <w:rsid w:val="0F5C08A7"/>
    <w:rsid w:val="0F5C551E"/>
    <w:rsid w:val="0F5D2ECD"/>
    <w:rsid w:val="0F5D461F"/>
    <w:rsid w:val="0F5D63CD"/>
    <w:rsid w:val="0F5E7E3E"/>
    <w:rsid w:val="0F5F3EF3"/>
    <w:rsid w:val="0F615EBD"/>
    <w:rsid w:val="0F6167BF"/>
    <w:rsid w:val="0F62260B"/>
    <w:rsid w:val="0F6273CA"/>
    <w:rsid w:val="0F6459AD"/>
    <w:rsid w:val="0F646881"/>
    <w:rsid w:val="0F655282"/>
    <w:rsid w:val="0F657030"/>
    <w:rsid w:val="0F661726"/>
    <w:rsid w:val="0F661DB2"/>
    <w:rsid w:val="0F67278C"/>
    <w:rsid w:val="0F672951"/>
    <w:rsid w:val="0F672DA8"/>
    <w:rsid w:val="0F67724C"/>
    <w:rsid w:val="0F692475"/>
    <w:rsid w:val="0F692FC4"/>
    <w:rsid w:val="0F694D72"/>
    <w:rsid w:val="0F6962EB"/>
    <w:rsid w:val="0F697B22"/>
    <w:rsid w:val="0F6A2898"/>
    <w:rsid w:val="0F6B6D3C"/>
    <w:rsid w:val="0F6C38D2"/>
    <w:rsid w:val="0F704352"/>
    <w:rsid w:val="0F711E78"/>
    <w:rsid w:val="0F713C26"/>
    <w:rsid w:val="0F722819"/>
    <w:rsid w:val="0F722A26"/>
    <w:rsid w:val="0F726AA8"/>
    <w:rsid w:val="0F73174D"/>
    <w:rsid w:val="0F737C4A"/>
    <w:rsid w:val="0F747CE8"/>
    <w:rsid w:val="0F751969"/>
    <w:rsid w:val="0F7523BF"/>
    <w:rsid w:val="0F754B3D"/>
    <w:rsid w:val="0F76748F"/>
    <w:rsid w:val="0F781459"/>
    <w:rsid w:val="0F783207"/>
    <w:rsid w:val="0F786D63"/>
    <w:rsid w:val="0F794A46"/>
    <w:rsid w:val="0F7977F4"/>
    <w:rsid w:val="0F7A2ADB"/>
    <w:rsid w:val="0F7B17FE"/>
    <w:rsid w:val="0F7B1F37"/>
    <w:rsid w:val="0F7B4AA5"/>
    <w:rsid w:val="0F7D081D"/>
    <w:rsid w:val="0F7D22E5"/>
    <w:rsid w:val="0F7D6A6F"/>
    <w:rsid w:val="0F7E5CE7"/>
    <w:rsid w:val="0F7F4595"/>
    <w:rsid w:val="0F7F6343"/>
    <w:rsid w:val="0F8038A3"/>
    <w:rsid w:val="0F812934"/>
    <w:rsid w:val="0F814668"/>
    <w:rsid w:val="0F816C2F"/>
    <w:rsid w:val="0F8170C3"/>
    <w:rsid w:val="0F824086"/>
    <w:rsid w:val="0F841BAC"/>
    <w:rsid w:val="0F84395A"/>
    <w:rsid w:val="0F8461F3"/>
    <w:rsid w:val="0F8704DA"/>
    <w:rsid w:val="0F87169C"/>
    <w:rsid w:val="0F8A059C"/>
    <w:rsid w:val="0F8A6A96"/>
    <w:rsid w:val="0F8A6E5B"/>
    <w:rsid w:val="0F8B118C"/>
    <w:rsid w:val="0F8C280E"/>
    <w:rsid w:val="0F8C6CB2"/>
    <w:rsid w:val="0F8D434C"/>
    <w:rsid w:val="0F8F21CF"/>
    <w:rsid w:val="0F8F6C6C"/>
    <w:rsid w:val="0F9067A2"/>
    <w:rsid w:val="0F906C7C"/>
    <w:rsid w:val="0F91415D"/>
    <w:rsid w:val="0F916077"/>
    <w:rsid w:val="0F9242C9"/>
    <w:rsid w:val="0F930041"/>
    <w:rsid w:val="0F930853"/>
    <w:rsid w:val="0F932BA2"/>
    <w:rsid w:val="0F953DB9"/>
    <w:rsid w:val="0F9811B3"/>
    <w:rsid w:val="0F985657"/>
    <w:rsid w:val="0F987405"/>
    <w:rsid w:val="0F9928EF"/>
    <w:rsid w:val="0F9A13CF"/>
    <w:rsid w:val="0F9B7DE0"/>
    <w:rsid w:val="0F9C5147"/>
    <w:rsid w:val="0F9F0794"/>
    <w:rsid w:val="0F9F69E6"/>
    <w:rsid w:val="0FA062BA"/>
    <w:rsid w:val="0FA1275E"/>
    <w:rsid w:val="0FA1450C"/>
    <w:rsid w:val="0FA20284"/>
    <w:rsid w:val="0FA2213C"/>
    <w:rsid w:val="0FA364D6"/>
    <w:rsid w:val="0FA47B58"/>
    <w:rsid w:val="0FA571A5"/>
    <w:rsid w:val="0FA66633"/>
    <w:rsid w:val="0FA67D74"/>
    <w:rsid w:val="0FA77648"/>
    <w:rsid w:val="0FA83AEC"/>
    <w:rsid w:val="0FA91612"/>
    <w:rsid w:val="0FA933C0"/>
    <w:rsid w:val="0FA97864"/>
    <w:rsid w:val="0FAA73A1"/>
    <w:rsid w:val="0FAB66F6"/>
    <w:rsid w:val="0FAC4C5F"/>
    <w:rsid w:val="0FAD2DC5"/>
    <w:rsid w:val="0FAE4E7B"/>
    <w:rsid w:val="0FAE79FE"/>
    <w:rsid w:val="0FB00B75"/>
    <w:rsid w:val="0FB022B6"/>
    <w:rsid w:val="0FB0474F"/>
    <w:rsid w:val="0FB12275"/>
    <w:rsid w:val="0FB13746"/>
    <w:rsid w:val="0FB13B6D"/>
    <w:rsid w:val="0FB24BD6"/>
    <w:rsid w:val="0FB32D1E"/>
    <w:rsid w:val="0FB3423F"/>
    <w:rsid w:val="0FB51D65"/>
    <w:rsid w:val="0FB56209"/>
    <w:rsid w:val="0FB6788B"/>
    <w:rsid w:val="0FB73D2F"/>
    <w:rsid w:val="0FB87AA7"/>
    <w:rsid w:val="0FBA1C6F"/>
    <w:rsid w:val="0FBA381F"/>
    <w:rsid w:val="0FBA5F39"/>
    <w:rsid w:val="0FBB0301"/>
    <w:rsid w:val="0FBB3FE4"/>
    <w:rsid w:val="0FBE5D4A"/>
    <w:rsid w:val="0FBF05FB"/>
    <w:rsid w:val="0FBF2BE4"/>
    <w:rsid w:val="0FBF4992"/>
    <w:rsid w:val="0FC1323B"/>
    <w:rsid w:val="0FC1695C"/>
    <w:rsid w:val="0FC24482"/>
    <w:rsid w:val="0FC30926"/>
    <w:rsid w:val="0FC4644C"/>
    <w:rsid w:val="0FC5047B"/>
    <w:rsid w:val="0FC621C4"/>
    <w:rsid w:val="0FC71A98"/>
    <w:rsid w:val="0FC84010"/>
    <w:rsid w:val="0FC85F3C"/>
    <w:rsid w:val="0FC87CEA"/>
    <w:rsid w:val="0FC93A62"/>
    <w:rsid w:val="0FCA42ED"/>
    <w:rsid w:val="0FCB3337"/>
    <w:rsid w:val="0FCB77DB"/>
    <w:rsid w:val="0FCC70AF"/>
    <w:rsid w:val="0FCD5301"/>
    <w:rsid w:val="0FCE01DD"/>
    <w:rsid w:val="0FCE1079"/>
    <w:rsid w:val="0FCE72CB"/>
    <w:rsid w:val="0FD0094D"/>
    <w:rsid w:val="0FD03043"/>
    <w:rsid w:val="0FD115EF"/>
    <w:rsid w:val="0FD33817"/>
    <w:rsid w:val="0FD348E1"/>
    <w:rsid w:val="0FD52407"/>
    <w:rsid w:val="0FD73768"/>
    <w:rsid w:val="0FD85A54"/>
    <w:rsid w:val="0FD92952"/>
    <w:rsid w:val="0FDA4F44"/>
    <w:rsid w:val="0FDA597D"/>
    <w:rsid w:val="0FDA7A1E"/>
    <w:rsid w:val="0FDB78DE"/>
    <w:rsid w:val="0FDC19E8"/>
    <w:rsid w:val="0FDC3796"/>
    <w:rsid w:val="0FDC489E"/>
    <w:rsid w:val="0FDD21EC"/>
    <w:rsid w:val="0FDF3286"/>
    <w:rsid w:val="0FDF5034"/>
    <w:rsid w:val="0FDF67C4"/>
    <w:rsid w:val="0FDF6DE2"/>
    <w:rsid w:val="0FE10DAC"/>
    <w:rsid w:val="0FE110E4"/>
    <w:rsid w:val="0FE16FFE"/>
    <w:rsid w:val="0FE34B24"/>
    <w:rsid w:val="0FE443F8"/>
    <w:rsid w:val="0FE64614"/>
    <w:rsid w:val="0FE663C2"/>
    <w:rsid w:val="0FE91A0F"/>
    <w:rsid w:val="0FE97C61"/>
    <w:rsid w:val="0FED59A3"/>
    <w:rsid w:val="0FF00FEF"/>
    <w:rsid w:val="0FF077E3"/>
    <w:rsid w:val="0FF22FB9"/>
    <w:rsid w:val="0FF24D67"/>
    <w:rsid w:val="0FF26B15"/>
    <w:rsid w:val="0FF56606"/>
    <w:rsid w:val="0FF7237E"/>
    <w:rsid w:val="0FF7330A"/>
    <w:rsid w:val="0FF860F6"/>
    <w:rsid w:val="0FF90109"/>
    <w:rsid w:val="0FF94348"/>
    <w:rsid w:val="0FFA33CC"/>
    <w:rsid w:val="0FFA3C1C"/>
    <w:rsid w:val="0FFB485C"/>
    <w:rsid w:val="0FFC1742"/>
    <w:rsid w:val="0FFC32CC"/>
    <w:rsid w:val="0FFC5802"/>
    <w:rsid w:val="0FFC5D23"/>
    <w:rsid w:val="0FFD54BA"/>
    <w:rsid w:val="0FFD717C"/>
    <w:rsid w:val="0FFE060C"/>
    <w:rsid w:val="0FFE195E"/>
    <w:rsid w:val="0FFF1232"/>
    <w:rsid w:val="0FFF1411"/>
    <w:rsid w:val="0FFF56D6"/>
    <w:rsid w:val="100131FC"/>
    <w:rsid w:val="10014FAA"/>
    <w:rsid w:val="10016F8D"/>
    <w:rsid w:val="10017B00"/>
    <w:rsid w:val="10022AD1"/>
    <w:rsid w:val="1002694A"/>
    <w:rsid w:val="10030D22"/>
    <w:rsid w:val="100356B6"/>
    <w:rsid w:val="10036F74"/>
    <w:rsid w:val="10042CED"/>
    <w:rsid w:val="10043E2B"/>
    <w:rsid w:val="10044A9B"/>
    <w:rsid w:val="100625C1"/>
    <w:rsid w:val="10081B39"/>
    <w:rsid w:val="1008428F"/>
    <w:rsid w:val="10086339"/>
    <w:rsid w:val="10090303"/>
    <w:rsid w:val="10090F42"/>
    <w:rsid w:val="100920B1"/>
    <w:rsid w:val="10093E5F"/>
    <w:rsid w:val="10096E60"/>
    <w:rsid w:val="100B407B"/>
    <w:rsid w:val="100B4351"/>
    <w:rsid w:val="100B5E29"/>
    <w:rsid w:val="100C3E6B"/>
    <w:rsid w:val="100D394F"/>
    <w:rsid w:val="100D7DF3"/>
    <w:rsid w:val="100E1475"/>
    <w:rsid w:val="100F3B6B"/>
    <w:rsid w:val="100F5919"/>
    <w:rsid w:val="100F603B"/>
    <w:rsid w:val="10125409"/>
    <w:rsid w:val="101271B8"/>
    <w:rsid w:val="10141182"/>
    <w:rsid w:val="10142F30"/>
    <w:rsid w:val="10156CA8"/>
    <w:rsid w:val="10161464"/>
    <w:rsid w:val="101728F4"/>
    <w:rsid w:val="101741BD"/>
    <w:rsid w:val="101747CE"/>
    <w:rsid w:val="10185BF4"/>
    <w:rsid w:val="10190546"/>
    <w:rsid w:val="10192451"/>
    <w:rsid w:val="1019297F"/>
    <w:rsid w:val="10195214"/>
    <w:rsid w:val="101A1275"/>
    <w:rsid w:val="101A42BE"/>
    <w:rsid w:val="101A606C"/>
    <w:rsid w:val="101C1DE4"/>
    <w:rsid w:val="101E2EE6"/>
    <w:rsid w:val="101E6C3D"/>
    <w:rsid w:val="101F517E"/>
    <w:rsid w:val="102139A6"/>
    <w:rsid w:val="1021564D"/>
    <w:rsid w:val="10217049"/>
    <w:rsid w:val="102173FB"/>
    <w:rsid w:val="102344D8"/>
    <w:rsid w:val="10234F21"/>
    <w:rsid w:val="10240C99"/>
    <w:rsid w:val="10242327"/>
    <w:rsid w:val="10243A68"/>
    <w:rsid w:val="10245B94"/>
    <w:rsid w:val="10262C63"/>
    <w:rsid w:val="10263DDF"/>
    <w:rsid w:val="10264A11"/>
    <w:rsid w:val="10274CFF"/>
    <w:rsid w:val="10282537"/>
    <w:rsid w:val="10284C2D"/>
    <w:rsid w:val="102858E0"/>
    <w:rsid w:val="10294501"/>
    <w:rsid w:val="102B0279"/>
    <w:rsid w:val="102B279D"/>
    <w:rsid w:val="102B6318"/>
    <w:rsid w:val="102B64CB"/>
    <w:rsid w:val="102F7D69"/>
    <w:rsid w:val="10303AE2"/>
    <w:rsid w:val="10305890"/>
    <w:rsid w:val="103107E9"/>
    <w:rsid w:val="10321608"/>
    <w:rsid w:val="103233B6"/>
    <w:rsid w:val="10345380"/>
    <w:rsid w:val="10354C54"/>
    <w:rsid w:val="10366B7F"/>
    <w:rsid w:val="103709CC"/>
    <w:rsid w:val="10374E70"/>
    <w:rsid w:val="10380578"/>
    <w:rsid w:val="103C5FE2"/>
    <w:rsid w:val="103D0568"/>
    <w:rsid w:val="103E1D5B"/>
    <w:rsid w:val="103E7FAD"/>
    <w:rsid w:val="1041305A"/>
    <w:rsid w:val="10414420"/>
    <w:rsid w:val="10414F02"/>
    <w:rsid w:val="104258B0"/>
    <w:rsid w:val="10426FF1"/>
    <w:rsid w:val="1043306C"/>
    <w:rsid w:val="10433815"/>
    <w:rsid w:val="10435DE7"/>
    <w:rsid w:val="1045133B"/>
    <w:rsid w:val="1045758D"/>
    <w:rsid w:val="104650B3"/>
    <w:rsid w:val="10470292"/>
    <w:rsid w:val="10481722"/>
    <w:rsid w:val="10482BD9"/>
    <w:rsid w:val="10484987"/>
    <w:rsid w:val="104906FF"/>
    <w:rsid w:val="104942F3"/>
    <w:rsid w:val="104A6951"/>
    <w:rsid w:val="104B091B"/>
    <w:rsid w:val="104B58B5"/>
    <w:rsid w:val="104D4694"/>
    <w:rsid w:val="104D6442"/>
    <w:rsid w:val="104E60CE"/>
    <w:rsid w:val="104F15F5"/>
    <w:rsid w:val="10501A8E"/>
    <w:rsid w:val="10502A85"/>
    <w:rsid w:val="10505F32"/>
    <w:rsid w:val="10513CF1"/>
    <w:rsid w:val="10525806"/>
    <w:rsid w:val="105552F6"/>
    <w:rsid w:val="1056229E"/>
    <w:rsid w:val="105651B6"/>
    <w:rsid w:val="10572E1C"/>
    <w:rsid w:val="10593038"/>
    <w:rsid w:val="1059412C"/>
    <w:rsid w:val="10594DE6"/>
    <w:rsid w:val="10596B94"/>
    <w:rsid w:val="10597115"/>
    <w:rsid w:val="105A290D"/>
    <w:rsid w:val="105A46BB"/>
    <w:rsid w:val="105B33D4"/>
    <w:rsid w:val="105C48D7"/>
    <w:rsid w:val="105E064F"/>
    <w:rsid w:val="105F0191"/>
    <w:rsid w:val="105F0547"/>
    <w:rsid w:val="105F579E"/>
    <w:rsid w:val="1060742F"/>
    <w:rsid w:val="106075E4"/>
    <w:rsid w:val="10615A49"/>
    <w:rsid w:val="10622AE6"/>
    <w:rsid w:val="1063632A"/>
    <w:rsid w:val="10637A13"/>
    <w:rsid w:val="106519DD"/>
    <w:rsid w:val="1065238B"/>
    <w:rsid w:val="10667503"/>
    <w:rsid w:val="10675755"/>
    <w:rsid w:val="1068327B"/>
    <w:rsid w:val="10685029"/>
    <w:rsid w:val="10694D6D"/>
    <w:rsid w:val="106A194C"/>
    <w:rsid w:val="106A6FF4"/>
    <w:rsid w:val="106B68C8"/>
    <w:rsid w:val="106C5F4C"/>
    <w:rsid w:val="106D0892"/>
    <w:rsid w:val="106E264D"/>
    <w:rsid w:val="106E343D"/>
    <w:rsid w:val="106E6CFA"/>
    <w:rsid w:val="106F0E5F"/>
    <w:rsid w:val="106F460A"/>
    <w:rsid w:val="106F48CD"/>
    <w:rsid w:val="10710382"/>
    <w:rsid w:val="10741E80"/>
    <w:rsid w:val="107514F4"/>
    <w:rsid w:val="10757746"/>
    <w:rsid w:val="10765998"/>
    <w:rsid w:val="10795489"/>
    <w:rsid w:val="107C0AD5"/>
    <w:rsid w:val="107C4ABF"/>
    <w:rsid w:val="107C6D27"/>
    <w:rsid w:val="107E484D"/>
    <w:rsid w:val="107F213A"/>
    <w:rsid w:val="108160EB"/>
    <w:rsid w:val="108300B5"/>
    <w:rsid w:val="10831E63"/>
    <w:rsid w:val="10833C11"/>
    <w:rsid w:val="108522BA"/>
    <w:rsid w:val="10853E2D"/>
    <w:rsid w:val="10855BDB"/>
    <w:rsid w:val="10857989"/>
    <w:rsid w:val="10863702"/>
    <w:rsid w:val="108654B0"/>
    <w:rsid w:val="10866BAD"/>
    <w:rsid w:val="1088747A"/>
    <w:rsid w:val="10890045"/>
    <w:rsid w:val="108A31F2"/>
    <w:rsid w:val="108D4A90"/>
    <w:rsid w:val="108F0808"/>
    <w:rsid w:val="108F25B6"/>
    <w:rsid w:val="1090632E"/>
    <w:rsid w:val="10914580"/>
    <w:rsid w:val="109202F8"/>
    <w:rsid w:val="109220A6"/>
    <w:rsid w:val="10923E54"/>
    <w:rsid w:val="10945E1E"/>
    <w:rsid w:val="10947BCD"/>
    <w:rsid w:val="10961B97"/>
    <w:rsid w:val="10967DE9"/>
    <w:rsid w:val="10973B61"/>
    <w:rsid w:val="1097521A"/>
    <w:rsid w:val="109776BD"/>
    <w:rsid w:val="10991687"/>
    <w:rsid w:val="109951E3"/>
    <w:rsid w:val="109A0F5B"/>
    <w:rsid w:val="109C2F25"/>
    <w:rsid w:val="109E4EEF"/>
    <w:rsid w:val="10A02A15"/>
    <w:rsid w:val="10A06571"/>
    <w:rsid w:val="10A1053B"/>
    <w:rsid w:val="10A11BCB"/>
    <w:rsid w:val="10A122E9"/>
    <w:rsid w:val="10A2678D"/>
    <w:rsid w:val="10A342B4"/>
    <w:rsid w:val="10A36062"/>
    <w:rsid w:val="10A5002C"/>
    <w:rsid w:val="10A50CAE"/>
    <w:rsid w:val="10A5781E"/>
    <w:rsid w:val="10A61F2D"/>
    <w:rsid w:val="10A67900"/>
    <w:rsid w:val="10A83678"/>
    <w:rsid w:val="10AA08EC"/>
    <w:rsid w:val="10AA73F0"/>
    <w:rsid w:val="10AB4F16"/>
    <w:rsid w:val="10AC13BA"/>
    <w:rsid w:val="10AD3289"/>
    <w:rsid w:val="10AE08D0"/>
    <w:rsid w:val="10AE2701"/>
    <w:rsid w:val="10AF09F3"/>
    <w:rsid w:val="10B4026F"/>
    <w:rsid w:val="10B44742"/>
    <w:rsid w:val="10B464C1"/>
    <w:rsid w:val="10B50454"/>
    <w:rsid w:val="10B507A3"/>
    <w:rsid w:val="10B62239"/>
    <w:rsid w:val="10B65D95"/>
    <w:rsid w:val="10B71B0D"/>
    <w:rsid w:val="10B85FB1"/>
    <w:rsid w:val="10B95885"/>
    <w:rsid w:val="10B97633"/>
    <w:rsid w:val="10BB33AB"/>
    <w:rsid w:val="10BB784F"/>
    <w:rsid w:val="10BC7123"/>
    <w:rsid w:val="10BD12C2"/>
    <w:rsid w:val="10BE733F"/>
    <w:rsid w:val="10C009C2"/>
    <w:rsid w:val="10C10F68"/>
    <w:rsid w:val="10C304B2"/>
    <w:rsid w:val="10C34956"/>
    <w:rsid w:val="10C5247C"/>
    <w:rsid w:val="10C5422A"/>
    <w:rsid w:val="10C55FD8"/>
    <w:rsid w:val="10C61728"/>
    <w:rsid w:val="10C7504F"/>
    <w:rsid w:val="10C76AC0"/>
    <w:rsid w:val="10C85AC8"/>
    <w:rsid w:val="10CA7A92"/>
    <w:rsid w:val="10CB1539"/>
    <w:rsid w:val="10CF134A"/>
    <w:rsid w:val="10D0497D"/>
    <w:rsid w:val="10D10E21"/>
    <w:rsid w:val="10D12BCF"/>
    <w:rsid w:val="10D426BF"/>
    <w:rsid w:val="10D42720"/>
    <w:rsid w:val="10D4446D"/>
    <w:rsid w:val="10D51B29"/>
    <w:rsid w:val="10D64689"/>
    <w:rsid w:val="10D821AF"/>
    <w:rsid w:val="10D95F27"/>
    <w:rsid w:val="10DA102E"/>
    <w:rsid w:val="10DA1F09"/>
    <w:rsid w:val="10DB3A4D"/>
    <w:rsid w:val="10DB57FB"/>
    <w:rsid w:val="10DB78ED"/>
    <w:rsid w:val="10DC1574"/>
    <w:rsid w:val="10DD5B5F"/>
    <w:rsid w:val="10DD77C5"/>
    <w:rsid w:val="10DE187D"/>
    <w:rsid w:val="10DE52EC"/>
    <w:rsid w:val="10DE709A"/>
    <w:rsid w:val="10E072B6"/>
    <w:rsid w:val="10E105C1"/>
    <w:rsid w:val="10E21B3A"/>
    <w:rsid w:val="10E25268"/>
    <w:rsid w:val="10E32902"/>
    <w:rsid w:val="10E36DA6"/>
    <w:rsid w:val="10E70644"/>
    <w:rsid w:val="10E741A0"/>
    <w:rsid w:val="10E943BC"/>
    <w:rsid w:val="10EA0134"/>
    <w:rsid w:val="10EA1EE2"/>
    <w:rsid w:val="10EA3C90"/>
    <w:rsid w:val="10EB73E2"/>
    <w:rsid w:val="10EC17B7"/>
    <w:rsid w:val="10ED3781"/>
    <w:rsid w:val="10EE74A4"/>
    <w:rsid w:val="10EF00F3"/>
    <w:rsid w:val="10EF0934"/>
    <w:rsid w:val="10EF74F9"/>
    <w:rsid w:val="10F15FE4"/>
    <w:rsid w:val="10F20D97"/>
    <w:rsid w:val="10F22B45"/>
    <w:rsid w:val="10F25551"/>
    <w:rsid w:val="10F36FE9"/>
    <w:rsid w:val="10F42D61"/>
    <w:rsid w:val="10F44B0F"/>
    <w:rsid w:val="10F468BD"/>
    <w:rsid w:val="10F62635"/>
    <w:rsid w:val="10F66AD9"/>
    <w:rsid w:val="10F70556"/>
    <w:rsid w:val="10F73F4D"/>
    <w:rsid w:val="10F845FF"/>
    <w:rsid w:val="10F92125"/>
    <w:rsid w:val="10FB5E9E"/>
    <w:rsid w:val="10FC5772"/>
    <w:rsid w:val="10FD1C16"/>
    <w:rsid w:val="10FD43C8"/>
    <w:rsid w:val="10FE598E"/>
    <w:rsid w:val="10FE6461"/>
    <w:rsid w:val="11002D49"/>
    <w:rsid w:val="11005262"/>
    <w:rsid w:val="11017C87"/>
    <w:rsid w:val="11020FDA"/>
    <w:rsid w:val="11022343"/>
    <w:rsid w:val="1102547E"/>
    <w:rsid w:val="1102722C"/>
    <w:rsid w:val="11032FA4"/>
    <w:rsid w:val="11034D52"/>
    <w:rsid w:val="11036B00"/>
    <w:rsid w:val="11050ACA"/>
    <w:rsid w:val="110513E7"/>
    <w:rsid w:val="1105227B"/>
    <w:rsid w:val="11052878"/>
    <w:rsid w:val="11056D1C"/>
    <w:rsid w:val="11066BBB"/>
    <w:rsid w:val="110765F0"/>
    <w:rsid w:val="110A60E1"/>
    <w:rsid w:val="110B144C"/>
    <w:rsid w:val="110B528B"/>
    <w:rsid w:val="110C00AB"/>
    <w:rsid w:val="110C3C07"/>
    <w:rsid w:val="110E3E23"/>
    <w:rsid w:val="110F36F7"/>
    <w:rsid w:val="110F7B9B"/>
    <w:rsid w:val="11101D8E"/>
    <w:rsid w:val="1111121D"/>
    <w:rsid w:val="111156C1"/>
    <w:rsid w:val="111331E7"/>
    <w:rsid w:val="11140D0D"/>
    <w:rsid w:val="11146F5F"/>
    <w:rsid w:val="11160F29"/>
    <w:rsid w:val="11162CD7"/>
    <w:rsid w:val="11164A85"/>
    <w:rsid w:val="11196324"/>
    <w:rsid w:val="111A2D88"/>
    <w:rsid w:val="111A38EF"/>
    <w:rsid w:val="111B209C"/>
    <w:rsid w:val="111B3927"/>
    <w:rsid w:val="111B5F6B"/>
    <w:rsid w:val="111C0918"/>
    <w:rsid w:val="111D4066"/>
    <w:rsid w:val="111E393A"/>
    <w:rsid w:val="111E5162"/>
    <w:rsid w:val="111E5A3E"/>
    <w:rsid w:val="112076B2"/>
    <w:rsid w:val="112105BD"/>
    <w:rsid w:val="11211791"/>
    <w:rsid w:val="11220530"/>
    <w:rsid w:val="1122342A"/>
    <w:rsid w:val="112278CE"/>
    <w:rsid w:val="11230F50"/>
    <w:rsid w:val="11276C93"/>
    <w:rsid w:val="11280AC4"/>
    <w:rsid w:val="11286567"/>
    <w:rsid w:val="11290C5D"/>
    <w:rsid w:val="112A6783"/>
    <w:rsid w:val="112C6057"/>
    <w:rsid w:val="112E0021"/>
    <w:rsid w:val="112F3D99"/>
    <w:rsid w:val="112F6224"/>
    <w:rsid w:val="112F78F5"/>
    <w:rsid w:val="11300BBC"/>
    <w:rsid w:val="11301FEB"/>
    <w:rsid w:val="11317B11"/>
    <w:rsid w:val="11333889"/>
    <w:rsid w:val="113461CB"/>
    <w:rsid w:val="11351403"/>
    <w:rsid w:val="113530C8"/>
    <w:rsid w:val="113565BA"/>
    <w:rsid w:val="11360C84"/>
    <w:rsid w:val="11366ED6"/>
    <w:rsid w:val="11381354"/>
    <w:rsid w:val="113B4369"/>
    <w:rsid w:val="113B44EC"/>
    <w:rsid w:val="113B4C71"/>
    <w:rsid w:val="113C70F0"/>
    <w:rsid w:val="113D0264"/>
    <w:rsid w:val="113D64B6"/>
    <w:rsid w:val="113E3FDC"/>
    <w:rsid w:val="113F0E06"/>
    <w:rsid w:val="11405FA6"/>
    <w:rsid w:val="114101DB"/>
    <w:rsid w:val="1141166B"/>
    <w:rsid w:val="11423ACC"/>
    <w:rsid w:val="1142587A"/>
    <w:rsid w:val="11427949"/>
    <w:rsid w:val="114301E9"/>
    <w:rsid w:val="11446B5C"/>
    <w:rsid w:val="11457119"/>
    <w:rsid w:val="11457FEC"/>
    <w:rsid w:val="11477335"/>
    <w:rsid w:val="114809B7"/>
    <w:rsid w:val="1148696D"/>
    <w:rsid w:val="11497A77"/>
    <w:rsid w:val="114A0BD3"/>
    <w:rsid w:val="114A310B"/>
    <w:rsid w:val="114C04A7"/>
    <w:rsid w:val="114D7C0E"/>
    <w:rsid w:val="114E06C3"/>
    <w:rsid w:val="114E780F"/>
    <w:rsid w:val="114F1D45"/>
    <w:rsid w:val="114F61E9"/>
    <w:rsid w:val="114F7F97"/>
    <w:rsid w:val="11511160"/>
    <w:rsid w:val="11513D10"/>
    <w:rsid w:val="11537A88"/>
    <w:rsid w:val="1154735C"/>
    <w:rsid w:val="11557AE1"/>
    <w:rsid w:val="115630D4"/>
    <w:rsid w:val="11567CCE"/>
    <w:rsid w:val="11576D6C"/>
    <w:rsid w:val="11584A9F"/>
    <w:rsid w:val="1158509E"/>
    <w:rsid w:val="115A0E16"/>
    <w:rsid w:val="115B2BC2"/>
    <w:rsid w:val="115B693C"/>
    <w:rsid w:val="115D7703"/>
    <w:rsid w:val="115F467E"/>
    <w:rsid w:val="115F642C"/>
    <w:rsid w:val="116003F7"/>
    <w:rsid w:val="11603F53"/>
    <w:rsid w:val="11604BF4"/>
    <w:rsid w:val="11606388"/>
    <w:rsid w:val="116075A4"/>
    <w:rsid w:val="11607D95"/>
    <w:rsid w:val="11616F26"/>
    <w:rsid w:val="11621A79"/>
    <w:rsid w:val="116220E5"/>
    <w:rsid w:val="11625F1D"/>
    <w:rsid w:val="11627CCB"/>
    <w:rsid w:val="1163049F"/>
    <w:rsid w:val="11643A43"/>
    <w:rsid w:val="116518B4"/>
    <w:rsid w:val="116577BB"/>
    <w:rsid w:val="116752E1"/>
    <w:rsid w:val="116972AB"/>
    <w:rsid w:val="1169781D"/>
    <w:rsid w:val="116A50A8"/>
    <w:rsid w:val="116B3023"/>
    <w:rsid w:val="116B73AB"/>
    <w:rsid w:val="116E0688"/>
    <w:rsid w:val="116E2B13"/>
    <w:rsid w:val="116E48C1"/>
    <w:rsid w:val="116E6670"/>
    <w:rsid w:val="1170063A"/>
    <w:rsid w:val="117143B2"/>
    <w:rsid w:val="117235B3"/>
    <w:rsid w:val="11743CDE"/>
    <w:rsid w:val="117619C8"/>
    <w:rsid w:val="117621CC"/>
    <w:rsid w:val="11772E7B"/>
    <w:rsid w:val="11773341"/>
    <w:rsid w:val="1178129C"/>
    <w:rsid w:val="11783118"/>
    <w:rsid w:val="1179579B"/>
    <w:rsid w:val="117A036C"/>
    <w:rsid w:val="117A14B8"/>
    <w:rsid w:val="117A3266"/>
    <w:rsid w:val="117A3DC9"/>
    <w:rsid w:val="117B0D8C"/>
    <w:rsid w:val="117B2B3A"/>
    <w:rsid w:val="117B6FDE"/>
    <w:rsid w:val="117C31BA"/>
    <w:rsid w:val="117D68B3"/>
    <w:rsid w:val="117F262B"/>
    <w:rsid w:val="117F6ACF"/>
    <w:rsid w:val="118004CD"/>
    <w:rsid w:val="118045F5"/>
    <w:rsid w:val="118063A3"/>
    <w:rsid w:val="11812847"/>
    <w:rsid w:val="11816503"/>
    <w:rsid w:val="1182211B"/>
    <w:rsid w:val="11844D14"/>
    <w:rsid w:val="11844ECA"/>
    <w:rsid w:val="11845E93"/>
    <w:rsid w:val="11851C0B"/>
    <w:rsid w:val="11852C3C"/>
    <w:rsid w:val="11875983"/>
    <w:rsid w:val="11883AE7"/>
    <w:rsid w:val="11895257"/>
    <w:rsid w:val="118B5473"/>
    <w:rsid w:val="118C11EC"/>
    <w:rsid w:val="118E0AC0"/>
    <w:rsid w:val="118E435A"/>
    <w:rsid w:val="118F65E6"/>
    <w:rsid w:val="11902A8A"/>
    <w:rsid w:val="11907072"/>
    <w:rsid w:val="11916802"/>
    <w:rsid w:val="1193257A"/>
    <w:rsid w:val="11936E1B"/>
    <w:rsid w:val="11951E4E"/>
    <w:rsid w:val="11963E18"/>
    <w:rsid w:val="11965BC6"/>
    <w:rsid w:val="119838F5"/>
    <w:rsid w:val="11987B90"/>
    <w:rsid w:val="11994D85"/>
    <w:rsid w:val="119A02EF"/>
    <w:rsid w:val="119B4F8B"/>
    <w:rsid w:val="119D51A7"/>
    <w:rsid w:val="119F0BF7"/>
    <w:rsid w:val="119F4A7B"/>
    <w:rsid w:val="11A025A1"/>
    <w:rsid w:val="11A227BD"/>
    <w:rsid w:val="11A2456B"/>
    <w:rsid w:val="11A249A7"/>
    <w:rsid w:val="11A26319"/>
    <w:rsid w:val="11A35E37"/>
    <w:rsid w:val="11A36E95"/>
    <w:rsid w:val="11A42091"/>
    <w:rsid w:val="11A71B81"/>
    <w:rsid w:val="11A74070"/>
    <w:rsid w:val="11A830C4"/>
    <w:rsid w:val="11A93139"/>
    <w:rsid w:val="11A93B4C"/>
    <w:rsid w:val="11AA45C9"/>
    <w:rsid w:val="11AA463D"/>
    <w:rsid w:val="11AA5D0A"/>
    <w:rsid w:val="11AA74E6"/>
    <w:rsid w:val="11AB1672"/>
    <w:rsid w:val="11AB78C4"/>
    <w:rsid w:val="11AC31FB"/>
    <w:rsid w:val="11AD6755"/>
    <w:rsid w:val="11AE00FA"/>
    <w:rsid w:val="11AE2F10"/>
    <w:rsid w:val="11AE4CBE"/>
    <w:rsid w:val="11B00A36"/>
    <w:rsid w:val="11B04EDA"/>
    <w:rsid w:val="11B118CB"/>
    <w:rsid w:val="11B20C52"/>
    <w:rsid w:val="11B2208D"/>
    <w:rsid w:val="11B30526"/>
    <w:rsid w:val="11B31DBB"/>
    <w:rsid w:val="11B60016"/>
    <w:rsid w:val="11B828FA"/>
    <w:rsid w:val="11BA18B5"/>
    <w:rsid w:val="11BA3ADF"/>
    <w:rsid w:val="11BA40BE"/>
    <w:rsid w:val="11BB73DB"/>
    <w:rsid w:val="11BC010C"/>
    <w:rsid w:val="11BC387F"/>
    <w:rsid w:val="11BD13A5"/>
    <w:rsid w:val="11BE5610"/>
    <w:rsid w:val="11BF32D8"/>
    <w:rsid w:val="11BF336F"/>
    <w:rsid w:val="11BF3ECF"/>
    <w:rsid w:val="11BF435B"/>
    <w:rsid w:val="11BF5650"/>
    <w:rsid w:val="11C12C43"/>
    <w:rsid w:val="11C157E4"/>
    <w:rsid w:val="11C24C0D"/>
    <w:rsid w:val="11C42733"/>
    <w:rsid w:val="11C444E1"/>
    <w:rsid w:val="11C6025A"/>
    <w:rsid w:val="11C73FD2"/>
    <w:rsid w:val="11CB1D14"/>
    <w:rsid w:val="11CC3396"/>
    <w:rsid w:val="11CE35B2"/>
    <w:rsid w:val="11CE5360"/>
    <w:rsid w:val="11D010D8"/>
    <w:rsid w:val="11D0732A"/>
    <w:rsid w:val="11D24E50"/>
    <w:rsid w:val="11D32976"/>
    <w:rsid w:val="11D34725"/>
    <w:rsid w:val="11D62156"/>
    <w:rsid w:val="11D63897"/>
    <w:rsid w:val="11D706B9"/>
    <w:rsid w:val="11D72467"/>
    <w:rsid w:val="11D84431"/>
    <w:rsid w:val="11D87F8D"/>
    <w:rsid w:val="11D90AD7"/>
    <w:rsid w:val="11DA5AB3"/>
    <w:rsid w:val="11DB182B"/>
    <w:rsid w:val="11DC7709"/>
    <w:rsid w:val="11DC7A7D"/>
    <w:rsid w:val="11DE3B22"/>
    <w:rsid w:val="11DF30C9"/>
    <w:rsid w:val="11DF756D"/>
    <w:rsid w:val="11E14EEE"/>
    <w:rsid w:val="11E2047A"/>
    <w:rsid w:val="11E21E3A"/>
    <w:rsid w:val="11E22BBA"/>
    <w:rsid w:val="11E46932"/>
    <w:rsid w:val="11E556BF"/>
    <w:rsid w:val="11E61D28"/>
    <w:rsid w:val="11E76422"/>
    <w:rsid w:val="11E8281D"/>
    <w:rsid w:val="11E84674"/>
    <w:rsid w:val="11EA35CF"/>
    <w:rsid w:val="11EB1D02"/>
    <w:rsid w:val="11EB231B"/>
    <w:rsid w:val="11EC3A38"/>
    <w:rsid w:val="11EE5A02"/>
    <w:rsid w:val="11F052D6"/>
    <w:rsid w:val="11F05653"/>
    <w:rsid w:val="11F0700F"/>
    <w:rsid w:val="11F304F7"/>
    <w:rsid w:val="11F320DD"/>
    <w:rsid w:val="11F36B75"/>
    <w:rsid w:val="11F528ED"/>
    <w:rsid w:val="11F53491"/>
    <w:rsid w:val="11F67A6C"/>
    <w:rsid w:val="11F70BFD"/>
    <w:rsid w:val="11F72BD0"/>
    <w:rsid w:val="11F748B7"/>
    <w:rsid w:val="11F757A1"/>
    <w:rsid w:val="11F8418B"/>
    <w:rsid w:val="11F85AF8"/>
    <w:rsid w:val="11F96B22"/>
    <w:rsid w:val="11FA7885"/>
    <w:rsid w:val="11FA7F03"/>
    <w:rsid w:val="11FC1ECD"/>
    <w:rsid w:val="11FD6908"/>
    <w:rsid w:val="11FD79F3"/>
    <w:rsid w:val="11FE2AA3"/>
    <w:rsid w:val="11FE3E97"/>
    <w:rsid w:val="11FF19BD"/>
    <w:rsid w:val="11FF551A"/>
    <w:rsid w:val="12040D82"/>
    <w:rsid w:val="120558E8"/>
    <w:rsid w:val="12062D4C"/>
    <w:rsid w:val="12072620"/>
    <w:rsid w:val="1209283C"/>
    <w:rsid w:val="120945EA"/>
    <w:rsid w:val="12096398"/>
    <w:rsid w:val="120B2110"/>
    <w:rsid w:val="120B3EBE"/>
    <w:rsid w:val="12103BCB"/>
    <w:rsid w:val="12104EB8"/>
    <w:rsid w:val="12105979"/>
    <w:rsid w:val="1211524D"/>
    <w:rsid w:val="1212349F"/>
    <w:rsid w:val="12137217"/>
    <w:rsid w:val="121438E9"/>
    <w:rsid w:val="12145696"/>
    <w:rsid w:val="12152F8F"/>
    <w:rsid w:val="12153449"/>
    <w:rsid w:val="12156159"/>
    <w:rsid w:val="121A67F7"/>
    <w:rsid w:val="121C256F"/>
    <w:rsid w:val="121C431D"/>
    <w:rsid w:val="121D1E44"/>
    <w:rsid w:val="121D3BF2"/>
    <w:rsid w:val="121E0096"/>
    <w:rsid w:val="121E62E8"/>
    <w:rsid w:val="121F2ECD"/>
    <w:rsid w:val="121F3E0E"/>
    <w:rsid w:val="121F796A"/>
    <w:rsid w:val="122136E2"/>
    <w:rsid w:val="12217B86"/>
    <w:rsid w:val="1222745A"/>
    <w:rsid w:val="122338FE"/>
    <w:rsid w:val="1224655D"/>
    <w:rsid w:val="1225785D"/>
    <w:rsid w:val="12260CF8"/>
    <w:rsid w:val="12274A70"/>
    <w:rsid w:val="122B4561"/>
    <w:rsid w:val="122B630F"/>
    <w:rsid w:val="122D2087"/>
    <w:rsid w:val="122E4051"/>
    <w:rsid w:val="122E5DFF"/>
    <w:rsid w:val="122F00DB"/>
    <w:rsid w:val="122F69BB"/>
    <w:rsid w:val="12303925"/>
    <w:rsid w:val="1230601B"/>
    <w:rsid w:val="1231249B"/>
    <w:rsid w:val="12323B41"/>
    <w:rsid w:val="123258EF"/>
    <w:rsid w:val="1232769D"/>
    <w:rsid w:val="12350FF5"/>
    <w:rsid w:val="123563C8"/>
    <w:rsid w:val="1235718D"/>
    <w:rsid w:val="12362CBB"/>
    <w:rsid w:val="123635C4"/>
    <w:rsid w:val="1236624A"/>
    <w:rsid w:val="12372F05"/>
    <w:rsid w:val="12373F9F"/>
    <w:rsid w:val="12374CB3"/>
    <w:rsid w:val="1238019B"/>
    <w:rsid w:val="12384D02"/>
    <w:rsid w:val="123A29F6"/>
    <w:rsid w:val="123B15B5"/>
    <w:rsid w:val="123C00EC"/>
    <w:rsid w:val="123C676E"/>
    <w:rsid w:val="123D4FD6"/>
    <w:rsid w:val="123E4294"/>
    <w:rsid w:val="123F1DBA"/>
    <w:rsid w:val="123F3967"/>
    <w:rsid w:val="123F4C78"/>
    <w:rsid w:val="123F625E"/>
    <w:rsid w:val="12411FD6"/>
    <w:rsid w:val="12413D84"/>
    <w:rsid w:val="124318AA"/>
    <w:rsid w:val="12433FBF"/>
    <w:rsid w:val="12435D4E"/>
    <w:rsid w:val="12443874"/>
    <w:rsid w:val="12480FE8"/>
    <w:rsid w:val="12483364"/>
    <w:rsid w:val="12485112"/>
    <w:rsid w:val="12497F82"/>
    <w:rsid w:val="124A70DD"/>
    <w:rsid w:val="124C3CD3"/>
    <w:rsid w:val="124D2729"/>
    <w:rsid w:val="124D44D7"/>
    <w:rsid w:val="124E024F"/>
    <w:rsid w:val="124E6A14"/>
    <w:rsid w:val="124F46F3"/>
    <w:rsid w:val="124F5AB1"/>
    <w:rsid w:val="124F64F3"/>
    <w:rsid w:val="12502219"/>
    <w:rsid w:val="12505D75"/>
    <w:rsid w:val="12524C6B"/>
    <w:rsid w:val="12525F91"/>
    <w:rsid w:val="12543AB7"/>
    <w:rsid w:val="125515DD"/>
    <w:rsid w:val="12575356"/>
    <w:rsid w:val="125A3098"/>
    <w:rsid w:val="125B745E"/>
    <w:rsid w:val="125C0BBE"/>
    <w:rsid w:val="125C13A6"/>
    <w:rsid w:val="125C296C"/>
    <w:rsid w:val="125C6E10"/>
    <w:rsid w:val="125D0492"/>
    <w:rsid w:val="125E2474"/>
    <w:rsid w:val="125E66E4"/>
    <w:rsid w:val="125E7BB8"/>
    <w:rsid w:val="126006AE"/>
    <w:rsid w:val="12631AF2"/>
    <w:rsid w:val="12631F4C"/>
    <w:rsid w:val="12635AA8"/>
    <w:rsid w:val="12635BF0"/>
    <w:rsid w:val="12653CB6"/>
    <w:rsid w:val="12655CC4"/>
    <w:rsid w:val="126637EB"/>
    <w:rsid w:val="12665599"/>
    <w:rsid w:val="12681311"/>
    <w:rsid w:val="12687563"/>
    <w:rsid w:val="12696E37"/>
    <w:rsid w:val="126A32DB"/>
    <w:rsid w:val="126B0E01"/>
    <w:rsid w:val="126B2BAF"/>
    <w:rsid w:val="126B2D6C"/>
    <w:rsid w:val="126B56C5"/>
    <w:rsid w:val="126C2A6B"/>
    <w:rsid w:val="126D2DCB"/>
    <w:rsid w:val="126F08F1"/>
    <w:rsid w:val="12704669"/>
    <w:rsid w:val="127203E1"/>
    <w:rsid w:val="12752BD6"/>
    <w:rsid w:val="12753F7D"/>
    <w:rsid w:val="127557DC"/>
    <w:rsid w:val="127759F8"/>
    <w:rsid w:val="12781557"/>
    <w:rsid w:val="12782013"/>
    <w:rsid w:val="127842F5"/>
    <w:rsid w:val="127929E7"/>
    <w:rsid w:val="1279413F"/>
    <w:rsid w:val="127952CC"/>
    <w:rsid w:val="127A564B"/>
    <w:rsid w:val="127A5C8A"/>
    <w:rsid w:val="127A7296"/>
    <w:rsid w:val="127B4131"/>
    <w:rsid w:val="127B54E8"/>
    <w:rsid w:val="127C300E"/>
    <w:rsid w:val="127D6363"/>
    <w:rsid w:val="127D7927"/>
    <w:rsid w:val="127E28E2"/>
    <w:rsid w:val="127E6D86"/>
    <w:rsid w:val="127E7433"/>
    <w:rsid w:val="12802AFE"/>
    <w:rsid w:val="12810624"/>
    <w:rsid w:val="12833A99"/>
    <w:rsid w:val="1283439D"/>
    <w:rsid w:val="1283614B"/>
    <w:rsid w:val="12851EC3"/>
    <w:rsid w:val="12865C3B"/>
    <w:rsid w:val="128679E9"/>
    <w:rsid w:val="128819B3"/>
    <w:rsid w:val="1288550F"/>
    <w:rsid w:val="1289075F"/>
    <w:rsid w:val="12891287"/>
    <w:rsid w:val="12896E2E"/>
    <w:rsid w:val="128A74D9"/>
    <w:rsid w:val="128B3251"/>
    <w:rsid w:val="128B4DFC"/>
    <w:rsid w:val="128B4FFF"/>
    <w:rsid w:val="128C1F69"/>
    <w:rsid w:val="128D521B"/>
    <w:rsid w:val="12906AB9"/>
    <w:rsid w:val="129077DE"/>
    <w:rsid w:val="12922832"/>
    <w:rsid w:val="1292438F"/>
    <w:rsid w:val="129245E0"/>
    <w:rsid w:val="12924C25"/>
    <w:rsid w:val="12957C2C"/>
    <w:rsid w:val="12963118"/>
    <w:rsid w:val="12971BF6"/>
    <w:rsid w:val="12971E98"/>
    <w:rsid w:val="12972723"/>
    <w:rsid w:val="12973ED8"/>
    <w:rsid w:val="12993BC0"/>
    <w:rsid w:val="129977F1"/>
    <w:rsid w:val="129A3494"/>
    <w:rsid w:val="129B31AF"/>
    <w:rsid w:val="129C1FCF"/>
    <w:rsid w:val="129F0AAB"/>
    <w:rsid w:val="12A21BF2"/>
    <w:rsid w:val="12A22CC6"/>
    <w:rsid w:val="12A3059B"/>
    <w:rsid w:val="12A367ED"/>
    <w:rsid w:val="12A52565"/>
    <w:rsid w:val="12A63A7D"/>
    <w:rsid w:val="12A762DD"/>
    <w:rsid w:val="12A83E03"/>
    <w:rsid w:val="12A8795F"/>
    <w:rsid w:val="12AA10F1"/>
    <w:rsid w:val="12AA7B7B"/>
    <w:rsid w:val="12AB744F"/>
    <w:rsid w:val="12AC235E"/>
    <w:rsid w:val="12AC5875"/>
    <w:rsid w:val="12AD31C8"/>
    <w:rsid w:val="12AE2D66"/>
    <w:rsid w:val="12AE4934"/>
    <w:rsid w:val="12AF41F6"/>
    <w:rsid w:val="12AF5192"/>
    <w:rsid w:val="12B10F0A"/>
    <w:rsid w:val="12B15CFA"/>
    <w:rsid w:val="12B216E7"/>
    <w:rsid w:val="12B24C82"/>
    <w:rsid w:val="12B409FA"/>
    <w:rsid w:val="12B502CE"/>
    <w:rsid w:val="12B5207C"/>
    <w:rsid w:val="12B83E18"/>
    <w:rsid w:val="12B92CB9"/>
    <w:rsid w:val="12B96010"/>
    <w:rsid w:val="12BA1309"/>
    <w:rsid w:val="12BA7692"/>
    <w:rsid w:val="12BB2799"/>
    <w:rsid w:val="12BC78AF"/>
    <w:rsid w:val="12BD67FA"/>
    <w:rsid w:val="12BE27B6"/>
    <w:rsid w:val="12BF111A"/>
    <w:rsid w:val="12C0114D"/>
    <w:rsid w:val="12C10A21"/>
    <w:rsid w:val="12C21877"/>
    <w:rsid w:val="12C30C3D"/>
    <w:rsid w:val="12C51E8E"/>
    <w:rsid w:val="12C54F8C"/>
    <w:rsid w:val="12C7072D"/>
    <w:rsid w:val="12C70D3C"/>
    <w:rsid w:val="12C754A0"/>
    <w:rsid w:val="12CB10A8"/>
    <w:rsid w:val="12CB18A0"/>
    <w:rsid w:val="12CC5D44"/>
    <w:rsid w:val="12CD1ABC"/>
    <w:rsid w:val="12CD386A"/>
    <w:rsid w:val="12CD5618"/>
    <w:rsid w:val="12CE603E"/>
    <w:rsid w:val="12CF0C0F"/>
    <w:rsid w:val="12CF1390"/>
    <w:rsid w:val="12CF75E2"/>
    <w:rsid w:val="12D1335A"/>
    <w:rsid w:val="12D15108"/>
    <w:rsid w:val="12D16100"/>
    <w:rsid w:val="12D20E80"/>
    <w:rsid w:val="12D40754"/>
    <w:rsid w:val="12D469A6"/>
    <w:rsid w:val="12D544CC"/>
    <w:rsid w:val="12D70244"/>
    <w:rsid w:val="12D81D34"/>
    <w:rsid w:val="12D83402"/>
    <w:rsid w:val="12D90460"/>
    <w:rsid w:val="12D9220E"/>
    <w:rsid w:val="12D93FBD"/>
    <w:rsid w:val="12DA1AE3"/>
    <w:rsid w:val="12DA5D22"/>
    <w:rsid w:val="12DB7D35"/>
    <w:rsid w:val="12DC585B"/>
    <w:rsid w:val="12DE15D3"/>
    <w:rsid w:val="12DF50B2"/>
    <w:rsid w:val="12E017EF"/>
    <w:rsid w:val="12E03024"/>
    <w:rsid w:val="12E110C3"/>
    <w:rsid w:val="12E12E71"/>
    <w:rsid w:val="12E25944"/>
    <w:rsid w:val="12E27315"/>
    <w:rsid w:val="12E30C1F"/>
    <w:rsid w:val="12E330B3"/>
    <w:rsid w:val="12E36BE9"/>
    <w:rsid w:val="12E4368F"/>
    <w:rsid w:val="12E50BB3"/>
    <w:rsid w:val="12E51E04"/>
    <w:rsid w:val="12E52961"/>
    <w:rsid w:val="12E56E05"/>
    <w:rsid w:val="12E60488"/>
    <w:rsid w:val="12E666D9"/>
    <w:rsid w:val="12E806A4"/>
    <w:rsid w:val="12E84200"/>
    <w:rsid w:val="12EA61CA"/>
    <w:rsid w:val="12EA7AE7"/>
    <w:rsid w:val="12EA7CAB"/>
    <w:rsid w:val="12EB3CF0"/>
    <w:rsid w:val="12EB50C2"/>
    <w:rsid w:val="12EC15C7"/>
    <w:rsid w:val="12ED5CBA"/>
    <w:rsid w:val="12ED7A68"/>
    <w:rsid w:val="12EE01F9"/>
    <w:rsid w:val="12EF1A32"/>
    <w:rsid w:val="12F10F28"/>
    <w:rsid w:val="12F13FA9"/>
    <w:rsid w:val="12F157AA"/>
    <w:rsid w:val="12F232D0"/>
    <w:rsid w:val="12F3000A"/>
    <w:rsid w:val="12F40DF6"/>
    <w:rsid w:val="12F47048"/>
    <w:rsid w:val="12F6698B"/>
    <w:rsid w:val="12F72695"/>
    <w:rsid w:val="12F86B39"/>
    <w:rsid w:val="12F901BB"/>
    <w:rsid w:val="12F928B1"/>
    <w:rsid w:val="12FA4AEE"/>
    <w:rsid w:val="12FB03D7"/>
    <w:rsid w:val="12FB2185"/>
    <w:rsid w:val="12FC7CAB"/>
    <w:rsid w:val="12FD22D6"/>
    <w:rsid w:val="12FE1894"/>
    <w:rsid w:val="12FE1C75"/>
    <w:rsid w:val="13001549"/>
    <w:rsid w:val="130059ED"/>
    <w:rsid w:val="1300779B"/>
    <w:rsid w:val="13031039"/>
    <w:rsid w:val="13037AFF"/>
    <w:rsid w:val="13051255"/>
    <w:rsid w:val="13075171"/>
    <w:rsid w:val="130761CF"/>
    <w:rsid w:val="130827ED"/>
    <w:rsid w:val="13094E01"/>
    <w:rsid w:val="130A061A"/>
    <w:rsid w:val="130B4B50"/>
    <w:rsid w:val="130F2B6D"/>
    <w:rsid w:val="130F5C30"/>
    <w:rsid w:val="130F6E68"/>
    <w:rsid w:val="130F79DE"/>
    <w:rsid w:val="13102103"/>
    <w:rsid w:val="131021CA"/>
    <w:rsid w:val="131119A8"/>
    <w:rsid w:val="13113756"/>
    <w:rsid w:val="13117BFA"/>
    <w:rsid w:val="1312127D"/>
    <w:rsid w:val="13121B0F"/>
    <w:rsid w:val="1312540B"/>
    <w:rsid w:val="131274CE"/>
    <w:rsid w:val="13141499"/>
    <w:rsid w:val="13143247"/>
    <w:rsid w:val="131533A4"/>
    <w:rsid w:val="13160D6D"/>
    <w:rsid w:val="13171183"/>
    <w:rsid w:val="13180895"/>
    <w:rsid w:val="13180F89"/>
    <w:rsid w:val="13182D37"/>
    <w:rsid w:val="131854EB"/>
    <w:rsid w:val="1319085D"/>
    <w:rsid w:val="1319260B"/>
    <w:rsid w:val="131B45D5"/>
    <w:rsid w:val="131B6178"/>
    <w:rsid w:val="131C20FB"/>
    <w:rsid w:val="131D034D"/>
    <w:rsid w:val="131E2317"/>
    <w:rsid w:val="13201BEB"/>
    <w:rsid w:val="13207E3D"/>
    <w:rsid w:val="13217712"/>
    <w:rsid w:val="13224518"/>
    <w:rsid w:val="13225964"/>
    <w:rsid w:val="132316DC"/>
    <w:rsid w:val="1323348A"/>
    <w:rsid w:val="13246E38"/>
    <w:rsid w:val="13250FB0"/>
    <w:rsid w:val="13267EF6"/>
    <w:rsid w:val="132711CC"/>
    <w:rsid w:val="13272F7A"/>
    <w:rsid w:val="132818B7"/>
    <w:rsid w:val="13286CF2"/>
    <w:rsid w:val="132A0CBC"/>
    <w:rsid w:val="132D1357"/>
    <w:rsid w:val="132D4308"/>
    <w:rsid w:val="13315BA7"/>
    <w:rsid w:val="133228CC"/>
    <w:rsid w:val="133236CD"/>
    <w:rsid w:val="13345697"/>
    <w:rsid w:val="13347445"/>
    <w:rsid w:val="13355D25"/>
    <w:rsid w:val="1336140F"/>
    <w:rsid w:val="13363FA0"/>
    <w:rsid w:val="1336476B"/>
    <w:rsid w:val="13367661"/>
    <w:rsid w:val="13370CE3"/>
    <w:rsid w:val="13386F35"/>
    <w:rsid w:val="13390EFF"/>
    <w:rsid w:val="13392CAD"/>
    <w:rsid w:val="133A3C2F"/>
    <w:rsid w:val="133B07D3"/>
    <w:rsid w:val="133B3544"/>
    <w:rsid w:val="133B4C77"/>
    <w:rsid w:val="133C0B4B"/>
    <w:rsid w:val="133C13AD"/>
    <w:rsid w:val="133D09EF"/>
    <w:rsid w:val="133D279D"/>
    <w:rsid w:val="133D454B"/>
    <w:rsid w:val="133E2072"/>
    <w:rsid w:val="133E6515"/>
    <w:rsid w:val="1340228E"/>
    <w:rsid w:val="13407AA1"/>
    <w:rsid w:val="134214D1"/>
    <w:rsid w:val="13427DB4"/>
    <w:rsid w:val="13433B2C"/>
    <w:rsid w:val="13441D7E"/>
    <w:rsid w:val="13451652"/>
    <w:rsid w:val="13453400"/>
    <w:rsid w:val="134578A4"/>
    <w:rsid w:val="13491142"/>
    <w:rsid w:val="134976C3"/>
    <w:rsid w:val="134A0A16"/>
    <w:rsid w:val="134A6C68"/>
    <w:rsid w:val="134B7D96"/>
    <w:rsid w:val="134C0C32"/>
    <w:rsid w:val="134D0507"/>
    <w:rsid w:val="134D74D4"/>
    <w:rsid w:val="134E20A5"/>
    <w:rsid w:val="134E6759"/>
    <w:rsid w:val="134F0723"/>
    <w:rsid w:val="13511DA5"/>
    <w:rsid w:val="13533D6F"/>
    <w:rsid w:val="13550837"/>
    <w:rsid w:val="135573A7"/>
    <w:rsid w:val="13581385"/>
    <w:rsid w:val="13596EAB"/>
    <w:rsid w:val="135A334F"/>
    <w:rsid w:val="135B2C24"/>
    <w:rsid w:val="135D4BEE"/>
    <w:rsid w:val="135D699C"/>
    <w:rsid w:val="135E0459"/>
    <w:rsid w:val="1360023A"/>
    <w:rsid w:val="1360594A"/>
    <w:rsid w:val="13620456"/>
    <w:rsid w:val="13622204"/>
    <w:rsid w:val="13631AD8"/>
    <w:rsid w:val="13637D2A"/>
    <w:rsid w:val="136441CE"/>
    <w:rsid w:val="136442CB"/>
    <w:rsid w:val="136452DF"/>
    <w:rsid w:val="13645F7C"/>
    <w:rsid w:val="13653AA2"/>
    <w:rsid w:val="13655850"/>
    <w:rsid w:val="1367007B"/>
    <w:rsid w:val="136715C8"/>
    <w:rsid w:val="13685340"/>
    <w:rsid w:val="13696CAD"/>
    <w:rsid w:val="136975B8"/>
    <w:rsid w:val="136A10B9"/>
    <w:rsid w:val="136A2E67"/>
    <w:rsid w:val="136A730B"/>
    <w:rsid w:val="136C3083"/>
    <w:rsid w:val="136C4E31"/>
    <w:rsid w:val="136C66D5"/>
    <w:rsid w:val="136E60E8"/>
    <w:rsid w:val="13702B73"/>
    <w:rsid w:val="1370543F"/>
    <w:rsid w:val="13707711"/>
    <w:rsid w:val="13712447"/>
    <w:rsid w:val="137141F5"/>
    <w:rsid w:val="13723F7D"/>
    <w:rsid w:val="13737F6D"/>
    <w:rsid w:val="13743CE5"/>
    <w:rsid w:val="13750189"/>
    <w:rsid w:val="13763F01"/>
    <w:rsid w:val="13765CAF"/>
    <w:rsid w:val="137666E0"/>
    <w:rsid w:val="13767A5D"/>
    <w:rsid w:val="13781A27"/>
    <w:rsid w:val="13783BD1"/>
    <w:rsid w:val="13785584"/>
    <w:rsid w:val="13791606"/>
    <w:rsid w:val="137A7C32"/>
    <w:rsid w:val="137B32C6"/>
    <w:rsid w:val="137D65B3"/>
    <w:rsid w:val="137D703E"/>
    <w:rsid w:val="137F2DB6"/>
    <w:rsid w:val="1381624B"/>
    <w:rsid w:val="138165B6"/>
    <w:rsid w:val="13816D08"/>
    <w:rsid w:val="13824654"/>
    <w:rsid w:val="13833F28"/>
    <w:rsid w:val="13837C04"/>
    <w:rsid w:val="138403CC"/>
    <w:rsid w:val="13840E20"/>
    <w:rsid w:val="13854144"/>
    <w:rsid w:val="13857CA0"/>
    <w:rsid w:val="13862F37"/>
    <w:rsid w:val="13871C6A"/>
    <w:rsid w:val="13873A19"/>
    <w:rsid w:val="1389504F"/>
    <w:rsid w:val="138959E3"/>
    <w:rsid w:val="138C54D3"/>
    <w:rsid w:val="138C7281"/>
    <w:rsid w:val="138E4DA7"/>
    <w:rsid w:val="138E6AF9"/>
    <w:rsid w:val="138F7287"/>
    <w:rsid w:val="13907FE6"/>
    <w:rsid w:val="13914897"/>
    <w:rsid w:val="13924778"/>
    <w:rsid w:val="13927349"/>
    <w:rsid w:val="1393465A"/>
    <w:rsid w:val="139513AE"/>
    <w:rsid w:val="13954387"/>
    <w:rsid w:val="1395559D"/>
    <w:rsid w:val="13964589"/>
    <w:rsid w:val="13970E9E"/>
    <w:rsid w:val="139775C4"/>
    <w:rsid w:val="13981A7A"/>
    <w:rsid w:val="139837E0"/>
    <w:rsid w:val="13983E78"/>
    <w:rsid w:val="13985C26"/>
    <w:rsid w:val="139879D4"/>
    <w:rsid w:val="1399374C"/>
    <w:rsid w:val="1399464B"/>
    <w:rsid w:val="139A439A"/>
    <w:rsid w:val="139A7BF0"/>
    <w:rsid w:val="139B6F6B"/>
    <w:rsid w:val="139B74C4"/>
    <w:rsid w:val="139C1831"/>
    <w:rsid w:val="139F5206"/>
    <w:rsid w:val="13A01C87"/>
    <w:rsid w:val="13A10F7E"/>
    <w:rsid w:val="13A22600"/>
    <w:rsid w:val="13A24CF6"/>
    <w:rsid w:val="13A520F1"/>
    <w:rsid w:val="13A60A7C"/>
    <w:rsid w:val="13A700DF"/>
    <w:rsid w:val="13A75E69"/>
    <w:rsid w:val="13A8156F"/>
    <w:rsid w:val="13A8699E"/>
    <w:rsid w:val="13A91BE1"/>
    <w:rsid w:val="13A929FF"/>
    <w:rsid w:val="13A97E33"/>
    <w:rsid w:val="13AA7707"/>
    <w:rsid w:val="13AC347F"/>
    <w:rsid w:val="13AF4D1D"/>
    <w:rsid w:val="13B011C1"/>
    <w:rsid w:val="13B16CE7"/>
    <w:rsid w:val="13B30CB1"/>
    <w:rsid w:val="13B341E1"/>
    <w:rsid w:val="13B44A8A"/>
    <w:rsid w:val="13B54A2A"/>
    <w:rsid w:val="13B567D8"/>
    <w:rsid w:val="13B80076"/>
    <w:rsid w:val="13BA2040"/>
    <w:rsid w:val="13BB14CF"/>
    <w:rsid w:val="13BB7B66"/>
    <w:rsid w:val="13BB7C9E"/>
    <w:rsid w:val="13BC5DB8"/>
    <w:rsid w:val="13BD38DE"/>
    <w:rsid w:val="13BD3CC2"/>
    <w:rsid w:val="13BD743A"/>
    <w:rsid w:val="13BF31B2"/>
    <w:rsid w:val="13BF7656"/>
    <w:rsid w:val="13C0517C"/>
    <w:rsid w:val="13C10C86"/>
    <w:rsid w:val="13C20EF5"/>
    <w:rsid w:val="13C403B4"/>
    <w:rsid w:val="13C407C9"/>
    <w:rsid w:val="13C55E53"/>
    <w:rsid w:val="13C62793"/>
    <w:rsid w:val="13C63668"/>
    <w:rsid w:val="13C702B9"/>
    <w:rsid w:val="13C7475D"/>
    <w:rsid w:val="13C83593"/>
    <w:rsid w:val="13C90FAE"/>
    <w:rsid w:val="13C94031"/>
    <w:rsid w:val="13C95DDF"/>
    <w:rsid w:val="13CA1B57"/>
    <w:rsid w:val="13CA5957"/>
    <w:rsid w:val="13CB5FFB"/>
    <w:rsid w:val="13CB7DA9"/>
    <w:rsid w:val="13CC3B21"/>
    <w:rsid w:val="13CC58CF"/>
    <w:rsid w:val="13D053C0"/>
    <w:rsid w:val="13D072EB"/>
    <w:rsid w:val="13D11138"/>
    <w:rsid w:val="13D1738A"/>
    <w:rsid w:val="13D33102"/>
    <w:rsid w:val="13D34EB0"/>
    <w:rsid w:val="13D44784"/>
    <w:rsid w:val="13D64956"/>
    <w:rsid w:val="13D6674E"/>
    <w:rsid w:val="13D75179"/>
    <w:rsid w:val="13D75A7D"/>
    <w:rsid w:val="13D84274"/>
    <w:rsid w:val="13D843CC"/>
    <w:rsid w:val="13DA623E"/>
    <w:rsid w:val="13DA7FEC"/>
    <w:rsid w:val="13DC1FB6"/>
    <w:rsid w:val="13DD2F5C"/>
    <w:rsid w:val="13DD5D2E"/>
    <w:rsid w:val="13DF1AA7"/>
    <w:rsid w:val="13DF5603"/>
    <w:rsid w:val="13E0137B"/>
    <w:rsid w:val="13E0569F"/>
    <w:rsid w:val="13E1581F"/>
    <w:rsid w:val="13E26EA1"/>
    <w:rsid w:val="13E40E6B"/>
    <w:rsid w:val="13E470BD"/>
    <w:rsid w:val="13E62E35"/>
    <w:rsid w:val="13E72709"/>
    <w:rsid w:val="13E75572"/>
    <w:rsid w:val="13E76BAD"/>
    <w:rsid w:val="13E83022"/>
    <w:rsid w:val="13E86A02"/>
    <w:rsid w:val="13E946D3"/>
    <w:rsid w:val="13E96481"/>
    <w:rsid w:val="13EA7908"/>
    <w:rsid w:val="13EC5F71"/>
    <w:rsid w:val="13EE5846"/>
    <w:rsid w:val="13F07810"/>
    <w:rsid w:val="13F217DA"/>
    <w:rsid w:val="13F276B2"/>
    <w:rsid w:val="13F27AB4"/>
    <w:rsid w:val="13F310AE"/>
    <w:rsid w:val="13F35552"/>
    <w:rsid w:val="13F37300"/>
    <w:rsid w:val="13F53078"/>
    <w:rsid w:val="13F539F5"/>
    <w:rsid w:val="13F56BD4"/>
    <w:rsid w:val="13F60B9E"/>
    <w:rsid w:val="13F67483"/>
    <w:rsid w:val="13F72496"/>
    <w:rsid w:val="13F75067"/>
    <w:rsid w:val="13F76DF0"/>
    <w:rsid w:val="13F866C4"/>
    <w:rsid w:val="13FA068E"/>
    <w:rsid w:val="13FA243C"/>
    <w:rsid w:val="13FA41EA"/>
    <w:rsid w:val="13FB7F63"/>
    <w:rsid w:val="13FD1F2D"/>
    <w:rsid w:val="13FD3CDB"/>
    <w:rsid w:val="13FE0C28"/>
    <w:rsid w:val="13FE2369"/>
    <w:rsid w:val="13FF5CA5"/>
    <w:rsid w:val="14011A1D"/>
    <w:rsid w:val="14015831"/>
    <w:rsid w:val="140212F1"/>
    <w:rsid w:val="14025795"/>
    <w:rsid w:val="14030A39"/>
    <w:rsid w:val="14044774"/>
    <w:rsid w:val="14057536"/>
    <w:rsid w:val="14060DE1"/>
    <w:rsid w:val="140673BA"/>
    <w:rsid w:val="140908D1"/>
    <w:rsid w:val="14092680"/>
    <w:rsid w:val="1409747C"/>
    <w:rsid w:val="140C03C2"/>
    <w:rsid w:val="140C2170"/>
    <w:rsid w:val="140D0423"/>
    <w:rsid w:val="140E413A"/>
    <w:rsid w:val="140E5EE8"/>
    <w:rsid w:val="14100946"/>
    <w:rsid w:val="14103A0E"/>
    <w:rsid w:val="14121EBF"/>
    <w:rsid w:val="1413052D"/>
    <w:rsid w:val="14131750"/>
    <w:rsid w:val="14153FD6"/>
    <w:rsid w:val="141554C8"/>
    <w:rsid w:val="14157276"/>
    <w:rsid w:val="14161856"/>
    <w:rsid w:val="14161A7F"/>
    <w:rsid w:val="14164D9C"/>
    <w:rsid w:val="14166EAE"/>
    <w:rsid w:val="14172FEE"/>
    <w:rsid w:val="14184FB8"/>
    <w:rsid w:val="14186D36"/>
    <w:rsid w:val="141A2ADF"/>
    <w:rsid w:val="141A488D"/>
    <w:rsid w:val="141A7667"/>
    <w:rsid w:val="141C6857"/>
    <w:rsid w:val="141D25CF"/>
    <w:rsid w:val="14215BE8"/>
    <w:rsid w:val="14217566"/>
    <w:rsid w:val="14225448"/>
    <w:rsid w:val="14237BE5"/>
    <w:rsid w:val="1424395D"/>
    <w:rsid w:val="14253DD2"/>
    <w:rsid w:val="14261483"/>
    <w:rsid w:val="14264FE0"/>
    <w:rsid w:val="142669A3"/>
    <w:rsid w:val="142676D5"/>
    <w:rsid w:val="14277E33"/>
    <w:rsid w:val="142851FC"/>
    <w:rsid w:val="14292D22"/>
    <w:rsid w:val="142A6128"/>
    <w:rsid w:val="142B0848"/>
    <w:rsid w:val="142C50DF"/>
    <w:rsid w:val="142C636E"/>
    <w:rsid w:val="142D1A7E"/>
    <w:rsid w:val="142E20E6"/>
    <w:rsid w:val="142E34C4"/>
    <w:rsid w:val="142E658A"/>
    <w:rsid w:val="142E7D06"/>
    <w:rsid w:val="14304CEF"/>
    <w:rsid w:val="14305E5E"/>
    <w:rsid w:val="14310709"/>
    <w:rsid w:val="14310739"/>
    <w:rsid w:val="143108FD"/>
    <w:rsid w:val="143272AB"/>
    <w:rsid w:val="14327E28"/>
    <w:rsid w:val="14333BA0"/>
    <w:rsid w:val="1433594E"/>
    <w:rsid w:val="14353475"/>
    <w:rsid w:val="14363DC9"/>
    <w:rsid w:val="14365982"/>
    <w:rsid w:val="1437543F"/>
    <w:rsid w:val="143771ED"/>
    <w:rsid w:val="143811B7"/>
    <w:rsid w:val="143A06A2"/>
    <w:rsid w:val="143A6CDD"/>
    <w:rsid w:val="143C4803"/>
    <w:rsid w:val="143E4A1F"/>
    <w:rsid w:val="143F60A1"/>
    <w:rsid w:val="1441060C"/>
    <w:rsid w:val="14411E19"/>
    <w:rsid w:val="1444190A"/>
    <w:rsid w:val="14445DAD"/>
    <w:rsid w:val="14475CDC"/>
    <w:rsid w:val="14477FE7"/>
    <w:rsid w:val="144813FA"/>
    <w:rsid w:val="144933C4"/>
    <w:rsid w:val="144B0EEA"/>
    <w:rsid w:val="144B2C98"/>
    <w:rsid w:val="144C06BE"/>
    <w:rsid w:val="144C07BE"/>
    <w:rsid w:val="144D6A10"/>
    <w:rsid w:val="144E09DA"/>
    <w:rsid w:val="145002AE"/>
    <w:rsid w:val="14504752"/>
    <w:rsid w:val="14522278"/>
    <w:rsid w:val="145402E0"/>
    <w:rsid w:val="14551D69"/>
    <w:rsid w:val="1457788F"/>
    <w:rsid w:val="145A2727"/>
    <w:rsid w:val="145A2EDB"/>
    <w:rsid w:val="145A737F"/>
    <w:rsid w:val="145B55E2"/>
    <w:rsid w:val="145C6C53"/>
    <w:rsid w:val="145D4214"/>
    <w:rsid w:val="145F04F1"/>
    <w:rsid w:val="145F6743"/>
    <w:rsid w:val="1461426A"/>
    <w:rsid w:val="14617D99"/>
    <w:rsid w:val="146228E4"/>
    <w:rsid w:val="14630572"/>
    <w:rsid w:val="14634486"/>
    <w:rsid w:val="146401FE"/>
    <w:rsid w:val="14651265"/>
    <w:rsid w:val="14661880"/>
    <w:rsid w:val="146618A0"/>
    <w:rsid w:val="1467040E"/>
    <w:rsid w:val="14681A9C"/>
    <w:rsid w:val="1468384A"/>
    <w:rsid w:val="146855F8"/>
    <w:rsid w:val="14691370"/>
    <w:rsid w:val="14691987"/>
    <w:rsid w:val="146975C2"/>
    <w:rsid w:val="146A5814"/>
    <w:rsid w:val="146B158C"/>
    <w:rsid w:val="146B50E8"/>
    <w:rsid w:val="146E4BD8"/>
    <w:rsid w:val="146F2E2A"/>
    <w:rsid w:val="14700951"/>
    <w:rsid w:val="147223D9"/>
    <w:rsid w:val="147246C9"/>
    <w:rsid w:val="147541B9"/>
    <w:rsid w:val="14760003"/>
    <w:rsid w:val="1476752B"/>
    <w:rsid w:val="14773A8D"/>
    <w:rsid w:val="14774DBB"/>
    <w:rsid w:val="14777F31"/>
    <w:rsid w:val="147815B3"/>
    <w:rsid w:val="147A357D"/>
    <w:rsid w:val="147A532B"/>
    <w:rsid w:val="147B1C15"/>
    <w:rsid w:val="147C72F5"/>
    <w:rsid w:val="147D6BCA"/>
    <w:rsid w:val="147E12BF"/>
    <w:rsid w:val="147E306D"/>
    <w:rsid w:val="147E4E1C"/>
    <w:rsid w:val="147F2942"/>
    <w:rsid w:val="147F49DD"/>
    <w:rsid w:val="14805E6D"/>
    <w:rsid w:val="14824196"/>
    <w:rsid w:val="148368D6"/>
    <w:rsid w:val="1485084F"/>
    <w:rsid w:val="14861F22"/>
    <w:rsid w:val="14863CD0"/>
    <w:rsid w:val="14883EEC"/>
    <w:rsid w:val="14885C9A"/>
    <w:rsid w:val="14885D40"/>
    <w:rsid w:val="148B578A"/>
    <w:rsid w:val="148B7538"/>
    <w:rsid w:val="148D1503"/>
    <w:rsid w:val="148D1BB2"/>
    <w:rsid w:val="148E0DD7"/>
    <w:rsid w:val="14904B4F"/>
    <w:rsid w:val="14942891"/>
    <w:rsid w:val="149433CE"/>
    <w:rsid w:val="1494463F"/>
    <w:rsid w:val="14950344"/>
    <w:rsid w:val="149503B7"/>
    <w:rsid w:val="14952165"/>
    <w:rsid w:val="14985AAA"/>
    <w:rsid w:val="149A3C1F"/>
    <w:rsid w:val="149C1746"/>
    <w:rsid w:val="149C410D"/>
    <w:rsid w:val="149E726C"/>
    <w:rsid w:val="149F2FE4"/>
    <w:rsid w:val="14A14DE8"/>
    <w:rsid w:val="14A214B8"/>
    <w:rsid w:val="14A25D60"/>
    <w:rsid w:val="14A30D26"/>
    <w:rsid w:val="14A34882"/>
    <w:rsid w:val="14A34FB4"/>
    <w:rsid w:val="14A405FA"/>
    <w:rsid w:val="14A423A8"/>
    <w:rsid w:val="14A469A9"/>
    <w:rsid w:val="14A5684C"/>
    <w:rsid w:val="14A64372"/>
    <w:rsid w:val="14A7196D"/>
    <w:rsid w:val="14A800EA"/>
    <w:rsid w:val="14A81E98"/>
    <w:rsid w:val="14A83BE9"/>
    <w:rsid w:val="14A8633C"/>
    <w:rsid w:val="14A95C11"/>
    <w:rsid w:val="14A979BF"/>
    <w:rsid w:val="14AA20B4"/>
    <w:rsid w:val="14AB3275"/>
    <w:rsid w:val="14AB7BDB"/>
    <w:rsid w:val="14AF1479"/>
    <w:rsid w:val="14AF76CB"/>
    <w:rsid w:val="14B00D4D"/>
    <w:rsid w:val="14B06F9F"/>
    <w:rsid w:val="14B10388"/>
    <w:rsid w:val="14B22D17"/>
    <w:rsid w:val="14B364B2"/>
    <w:rsid w:val="14B53875"/>
    <w:rsid w:val="14B541D5"/>
    <w:rsid w:val="14B60A59"/>
    <w:rsid w:val="14B7032D"/>
    <w:rsid w:val="14B720DC"/>
    <w:rsid w:val="14B7657F"/>
    <w:rsid w:val="14B81816"/>
    <w:rsid w:val="14B90B7D"/>
    <w:rsid w:val="14B95E54"/>
    <w:rsid w:val="14BA7E1E"/>
    <w:rsid w:val="14BC3B96"/>
    <w:rsid w:val="14BE2E84"/>
    <w:rsid w:val="14BE346A"/>
    <w:rsid w:val="14BF71E2"/>
    <w:rsid w:val="14C03686"/>
    <w:rsid w:val="14C04A41"/>
    <w:rsid w:val="14C12F5A"/>
    <w:rsid w:val="14C15ED1"/>
    <w:rsid w:val="14C27361"/>
    <w:rsid w:val="14C33176"/>
    <w:rsid w:val="14C333C2"/>
    <w:rsid w:val="14C36CD2"/>
    <w:rsid w:val="14C37009"/>
    <w:rsid w:val="14C44852"/>
    <w:rsid w:val="14C50C9C"/>
    <w:rsid w:val="14C6340F"/>
    <w:rsid w:val="14C64A14"/>
    <w:rsid w:val="14C667C2"/>
    <w:rsid w:val="14C67172"/>
    <w:rsid w:val="14C8078D"/>
    <w:rsid w:val="14C81A92"/>
    <w:rsid w:val="14C91E0F"/>
    <w:rsid w:val="14CA0061"/>
    <w:rsid w:val="14CA62B3"/>
    <w:rsid w:val="14CB3DD9"/>
    <w:rsid w:val="14CD18FF"/>
    <w:rsid w:val="14CE4728"/>
    <w:rsid w:val="14CE4C6C"/>
    <w:rsid w:val="14CF38C9"/>
    <w:rsid w:val="14D013EF"/>
    <w:rsid w:val="14D07641"/>
    <w:rsid w:val="14D0775B"/>
    <w:rsid w:val="14D1667B"/>
    <w:rsid w:val="14D25715"/>
    <w:rsid w:val="14D273DE"/>
    <w:rsid w:val="14D4081D"/>
    <w:rsid w:val="14D51331"/>
    <w:rsid w:val="14D6078A"/>
    <w:rsid w:val="14D7277E"/>
    <w:rsid w:val="14D7452C"/>
    <w:rsid w:val="14D8245B"/>
    <w:rsid w:val="14D86FB3"/>
    <w:rsid w:val="14D95BBA"/>
    <w:rsid w:val="14DC1B42"/>
    <w:rsid w:val="14DC6AD9"/>
    <w:rsid w:val="14DE1D5E"/>
    <w:rsid w:val="14DE58BA"/>
    <w:rsid w:val="14DF53CE"/>
    <w:rsid w:val="14E07884"/>
    <w:rsid w:val="14E07D19"/>
    <w:rsid w:val="14E1184E"/>
    <w:rsid w:val="14E13D7A"/>
    <w:rsid w:val="14E153AA"/>
    <w:rsid w:val="14E2287F"/>
    <w:rsid w:val="14E31122"/>
    <w:rsid w:val="14E32ED1"/>
    <w:rsid w:val="14E37DDB"/>
    <w:rsid w:val="14E44281"/>
    <w:rsid w:val="14E82BDD"/>
    <w:rsid w:val="14E8498B"/>
    <w:rsid w:val="14EA0703"/>
    <w:rsid w:val="14EA24B1"/>
    <w:rsid w:val="14EA399C"/>
    <w:rsid w:val="14EB7FD7"/>
    <w:rsid w:val="14EC25C7"/>
    <w:rsid w:val="14EC447B"/>
    <w:rsid w:val="14ED01F3"/>
    <w:rsid w:val="14ED1FA1"/>
    <w:rsid w:val="14EF3F6B"/>
    <w:rsid w:val="14EF5D19"/>
    <w:rsid w:val="14EF780E"/>
    <w:rsid w:val="14EF7AC7"/>
    <w:rsid w:val="14F055ED"/>
    <w:rsid w:val="14F21366"/>
    <w:rsid w:val="14F22EE3"/>
    <w:rsid w:val="14F275B8"/>
    <w:rsid w:val="14F3618F"/>
    <w:rsid w:val="14F41582"/>
    <w:rsid w:val="14F43330"/>
    <w:rsid w:val="14F450DE"/>
    <w:rsid w:val="14F52C04"/>
    <w:rsid w:val="14F66251"/>
    <w:rsid w:val="14F71E87"/>
    <w:rsid w:val="14F75FA0"/>
    <w:rsid w:val="14F80B71"/>
    <w:rsid w:val="14F82861"/>
    <w:rsid w:val="14F850DF"/>
    <w:rsid w:val="14F96B98"/>
    <w:rsid w:val="14FA6062"/>
    <w:rsid w:val="14FB2910"/>
    <w:rsid w:val="14FB46BE"/>
    <w:rsid w:val="14FB646C"/>
    <w:rsid w:val="14FD2A2E"/>
    <w:rsid w:val="14FE5F5C"/>
    <w:rsid w:val="15006DA9"/>
    <w:rsid w:val="150115A9"/>
    <w:rsid w:val="15011C23"/>
    <w:rsid w:val="150177FB"/>
    <w:rsid w:val="15017A7D"/>
    <w:rsid w:val="15030855"/>
    <w:rsid w:val="150317C5"/>
    <w:rsid w:val="15033573"/>
    <w:rsid w:val="150443FD"/>
    <w:rsid w:val="15051099"/>
    <w:rsid w:val="1505553D"/>
    <w:rsid w:val="15063063"/>
    <w:rsid w:val="15064E11"/>
    <w:rsid w:val="150712B5"/>
    <w:rsid w:val="15075A95"/>
    <w:rsid w:val="150771D6"/>
    <w:rsid w:val="15082937"/>
    <w:rsid w:val="15085E5C"/>
    <w:rsid w:val="150A448F"/>
    <w:rsid w:val="150A4B66"/>
    <w:rsid w:val="150A5B57"/>
    <w:rsid w:val="150B0736"/>
    <w:rsid w:val="150C0679"/>
    <w:rsid w:val="150D43F1"/>
    <w:rsid w:val="150D619F"/>
    <w:rsid w:val="150F3CC6"/>
    <w:rsid w:val="15107A3E"/>
    <w:rsid w:val="15112E59"/>
    <w:rsid w:val="15115235"/>
    <w:rsid w:val="15121A08"/>
    <w:rsid w:val="151242E9"/>
    <w:rsid w:val="15127C5A"/>
    <w:rsid w:val="151439D2"/>
    <w:rsid w:val="15145780"/>
    <w:rsid w:val="15147EEB"/>
    <w:rsid w:val="15151529"/>
    <w:rsid w:val="15152C6A"/>
    <w:rsid w:val="15175270"/>
    <w:rsid w:val="1518015B"/>
    <w:rsid w:val="15186A1A"/>
    <w:rsid w:val="151876AE"/>
    <w:rsid w:val="151933B7"/>
    <w:rsid w:val="15194B44"/>
    <w:rsid w:val="151A266A"/>
    <w:rsid w:val="151B08BC"/>
    <w:rsid w:val="151B4D60"/>
    <w:rsid w:val="151B6ADC"/>
    <w:rsid w:val="151D483A"/>
    <w:rsid w:val="151E215B"/>
    <w:rsid w:val="151E545D"/>
    <w:rsid w:val="151E65FF"/>
    <w:rsid w:val="15202377"/>
    <w:rsid w:val="15211C4B"/>
    <w:rsid w:val="152139F9"/>
    <w:rsid w:val="1522269D"/>
    <w:rsid w:val="1525173B"/>
    <w:rsid w:val="1525275F"/>
    <w:rsid w:val="1525714C"/>
    <w:rsid w:val="15267261"/>
    <w:rsid w:val="1527393E"/>
    <w:rsid w:val="1527507F"/>
    <w:rsid w:val="15282FD9"/>
    <w:rsid w:val="15284D87"/>
    <w:rsid w:val="1528650F"/>
    <w:rsid w:val="15292570"/>
    <w:rsid w:val="152A4FA3"/>
    <w:rsid w:val="152B4878"/>
    <w:rsid w:val="152C0D1B"/>
    <w:rsid w:val="152C2AC9"/>
    <w:rsid w:val="152F25BA"/>
    <w:rsid w:val="15304CA1"/>
    <w:rsid w:val="153161F6"/>
    <w:rsid w:val="15344AB2"/>
    <w:rsid w:val="153455CA"/>
    <w:rsid w:val="15347BD0"/>
    <w:rsid w:val="153544B2"/>
    <w:rsid w:val="15363948"/>
    <w:rsid w:val="153674A4"/>
    <w:rsid w:val="15372356"/>
    <w:rsid w:val="153876C0"/>
    <w:rsid w:val="15393438"/>
    <w:rsid w:val="153951E6"/>
    <w:rsid w:val="15396F94"/>
    <w:rsid w:val="153B0F5F"/>
    <w:rsid w:val="153B1DB4"/>
    <w:rsid w:val="153C0833"/>
    <w:rsid w:val="153C6A85"/>
    <w:rsid w:val="153E45AB"/>
    <w:rsid w:val="153F4796"/>
    <w:rsid w:val="15400323"/>
    <w:rsid w:val="154222ED"/>
    <w:rsid w:val="15431BC1"/>
    <w:rsid w:val="15436065"/>
    <w:rsid w:val="15437366"/>
    <w:rsid w:val="154459C2"/>
    <w:rsid w:val="15445D2D"/>
    <w:rsid w:val="15477903"/>
    <w:rsid w:val="1548367B"/>
    <w:rsid w:val="15484F82"/>
    <w:rsid w:val="15497720"/>
    <w:rsid w:val="154A11A2"/>
    <w:rsid w:val="154C4F1A"/>
    <w:rsid w:val="154D0C92"/>
    <w:rsid w:val="154D47EE"/>
    <w:rsid w:val="154E1C63"/>
    <w:rsid w:val="154F16BA"/>
    <w:rsid w:val="154F4A0A"/>
    <w:rsid w:val="15520A2B"/>
    <w:rsid w:val="15530355"/>
    <w:rsid w:val="15532D61"/>
    <w:rsid w:val="15533B0A"/>
    <w:rsid w:val="15556236"/>
    <w:rsid w:val="155618F4"/>
    <w:rsid w:val="15565D98"/>
    <w:rsid w:val="1557566D"/>
    <w:rsid w:val="155777F8"/>
    <w:rsid w:val="155838BF"/>
    <w:rsid w:val="155913E5"/>
    <w:rsid w:val="15595889"/>
    <w:rsid w:val="15597637"/>
    <w:rsid w:val="155B33AF"/>
    <w:rsid w:val="155B6F0B"/>
    <w:rsid w:val="155C2C83"/>
    <w:rsid w:val="155C4C28"/>
    <w:rsid w:val="155D7127"/>
    <w:rsid w:val="155E2E9F"/>
    <w:rsid w:val="155E4C4D"/>
    <w:rsid w:val="155E69FB"/>
    <w:rsid w:val="155F2C44"/>
    <w:rsid w:val="156009C5"/>
    <w:rsid w:val="15634011"/>
    <w:rsid w:val="15640325"/>
    <w:rsid w:val="15643B91"/>
    <w:rsid w:val="1565422D"/>
    <w:rsid w:val="156564B1"/>
    <w:rsid w:val="15664886"/>
    <w:rsid w:val="15671D54"/>
    <w:rsid w:val="1568787A"/>
    <w:rsid w:val="156B2323"/>
    <w:rsid w:val="156C1118"/>
    <w:rsid w:val="156C55BC"/>
    <w:rsid w:val="156D4E90"/>
    <w:rsid w:val="156F5B9B"/>
    <w:rsid w:val="15704D05"/>
    <w:rsid w:val="15712BD2"/>
    <w:rsid w:val="1571672E"/>
    <w:rsid w:val="1573694A"/>
    <w:rsid w:val="15744470"/>
    <w:rsid w:val="1574621E"/>
    <w:rsid w:val="1578154F"/>
    <w:rsid w:val="15785D0F"/>
    <w:rsid w:val="15787ABD"/>
    <w:rsid w:val="15793835"/>
    <w:rsid w:val="157955E3"/>
    <w:rsid w:val="157B3666"/>
    <w:rsid w:val="157B7247"/>
    <w:rsid w:val="157B75AD"/>
    <w:rsid w:val="157D1577"/>
    <w:rsid w:val="157D50D3"/>
    <w:rsid w:val="157F52EF"/>
    <w:rsid w:val="15816208"/>
    <w:rsid w:val="1582093B"/>
    <w:rsid w:val="15820E0E"/>
    <w:rsid w:val="158226E9"/>
    <w:rsid w:val="1582388C"/>
    <w:rsid w:val="15826B8D"/>
    <w:rsid w:val="158346B4"/>
    <w:rsid w:val="15842905"/>
    <w:rsid w:val="15853F88"/>
    <w:rsid w:val="15855A9A"/>
    <w:rsid w:val="15855BFC"/>
    <w:rsid w:val="15875F52"/>
    <w:rsid w:val="15882F8B"/>
    <w:rsid w:val="15891CCA"/>
    <w:rsid w:val="1589441B"/>
    <w:rsid w:val="158A262E"/>
    <w:rsid w:val="158A58AB"/>
    <w:rsid w:val="158C17BA"/>
    <w:rsid w:val="158C5316"/>
    <w:rsid w:val="158E5532"/>
    <w:rsid w:val="158F3B5B"/>
    <w:rsid w:val="15907FDC"/>
    <w:rsid w:val="1591403D"/>
    <w:rsid w:val="15915022"/>
    <w:rsid w:val="15924585"/>
    <w:rsid w:val="1593695D"/>
    <w:rsid w:val="1594066F"/>
    <w:rsid w:val="1595558F"/>
    <w:rsid w:val="15966195"/>
    <w:rsid w:val="159666F8"/>
    <w:rsid w:val="1598015F"/>
    <w:rsid w:val="15995C85"/>
    <w:rsid w:val="15995D8D"/>
    <w:rsid w:val="15997A33"/>
    <w:rsid w:val="159B4065"/>
    <w:rsid w:val="159E0309"/>
    <w:rsid w:val="159E5049"/>
    <w:rsid w:val="159F4B4C"/>
    <w:rsid w:val="15A026A2"/>
    <w:rsid w:val="15A05265"/>
    <w:rsid w:val="15A07014"/>
    <w:rsid w:val="15A101AA"/>
    <w:rsid w:val="15A24B3A"/>
    <w:rsid w:val="15A308B2"/>
    <w:rsid w:val="15A33211"/>
    <w:rsid w:val="15A53943"/>
    <w:rsid w:val="15A5462A"/>
    <w:rsid w:val="15A563D8"/>
    <w:rsid w:val="15A765F4"/>
    <w:rsid w:val="15A81ECE"/>
    <w:rsid w:val="15A85EC8"/>
    <w:rsid w:val="15A9411A"/>
    <w:rsid w:val="15A96D62"/>
    <w:rsid w:val="15AA1C40"/>
    <w:rsid w:val="15AA7E92"/>
    <w:rsid w:val="15AB60E4"/>
    <w:rsid w:val="15AE1730"/>
    <w:rsid w:val="15AE34DE"/>
    <w:rsid w:val="15AF54A9"/>
    <w:rsid w:val="15AF7257"/>
    <w:rsid w:val="15B11221"/>
    <w:rsid w:val="15B12877"/>
    <w:rsid w:val="15B14D7D"/>
    <w:rsid w:val="15B17473"/>
    <w:rsid w:val="15B5351E"/>
    <w:rsid w:val="15B605E5"/>
    <w:rsid w:val="15B624A2"/>
    <w:rsid w:val="15B66837"/>
    <w:rsid w:val="15B764E7"/>
    <w:rsid w:val="15BD1974"/>
    <w:rsid w:val="15BF0B36"/>
    <w:rsid w:val="15BF393E"/>
    <w:rsid w:val="15BF56EC"/>
    <w:rsid w:val="15BF5C2B"/>
    <w:rsid w:val="15C076B6"/>
    <w:rsid w:val="15C2342E"/>
    <w:rsid w:val="15C319C3"/>
    <w:rsid w:val="15C40D7D"/>
    <w:rsid w:val="15C40F54"/>
    <w:rsid w:val="15C42D02"/>
    <w:rsid w:val="15C471A6"/>
    <w:rsid w:val="15C9016D"/>
    <w:rsid w:val="15C90318"/>
    <w:rsid w:val="15C947BC"/>
    <w:rsid w:val="15CA22E2"/>
    <w:rsid w:val="15CC022F"/>
    <w:rsid w:val="15CC3832"/>
    <w:rsid w:val="15CC7E09"/>
    <w:rsid w:val="15CE1DD3"/>
    <w:rsid w:val="15CE3B81"/>
    <w:rsid w:val="15CF16A7"/>
    <w:rsid w:val="15D05B4B"/>
    <w:rsid w:val="15D12754"/>
    <w:rsid w:val="15D13671"/>
    <w:rsid w:val="15D1541F"/>
    <w:rsid w:val="15D31197"/>
    <w:rsid w:val="15D32E59"/>
    <w:rsid w:val="15D3745C"/>
    <w:rsid w:val="15D418DD"/>
    <w:rsid w:val="15D43E1B"/>
    <w:rsid w:val="15D46CBD"/>
    <w:rsid w:val="15D54F0F"/>
    <w:rsid w:val="15D55597"/>
    <w:rsid w:val="15D60C87"/>
    <w:rsid w:val="15D75342"/>
    <w:rsid w:val="15D8055B"/>
    <w:rsid w:val="15D83EF3"/>
    <w:rsid w:val="15D867AD"/>
    <w:rsid w:val="15DA10F2"/>
    <w:rsid w:val="15DA4F00"/>
    <w:rsid w:val="15DB004C"/>
    <w:rsid w:val="15DD7A73"/>
    <w:rsid w:val="15DE18EA"/>
    <w:rsid w:val="15DF3AD4"/>
    <w:rsid w:val="15DF5D8E"/>
    <w:rsid w:val="15DF7B3C"/>
    <w:rsid w:val="15E11B06"/>
    <w:rsid w:val="15E2587E"/>
    <w:rsid w:val="15E307B6"/>
    <w:rsid w:val="15E30B21"/>
    <w:rsid w:val="15E321B7"/>
    <w:rsid w:val="15E433A4"/>
    <w:rsid w:val="15E46FC8"/>
    <w:rsid w:val="15E52C78"/>
    <w:rsid w:val="15E60DD6"/>
    <w:rsid w:val="15E72E94"/>
    <w:rsid w:val="15E769F0"/>
    <w:rsid w:val="15E909BB"/>
    <w:rsid w:val="15E92769"/>
    <w:rsid w:val="15EA028F"/>
    <w:rsid w:val="15EA64E1"/>
    <w:rsid w:val="15EC4007"/>
    <w:rsid w:val="15EC60D8"/>
    <w:rsid w:val="15ED7568"/>
    <w:rsid w:val="15EE5FD1"/>
    <w:rsid w:val="15EF1193"/>
    <w:rsid w:val="15F01D49"/>
    <w:rsid w:val="15F13221"/>
    <w:rsid w:val="15F1381F"/>
    <w:rsid w:val="15F15AC1"/>
    <w:rsid w:val="15F20809"/>
    <w:rsid w:val="15F31839"/>
    <w:rsid w:val="15F35395"/>
    <w:rsid w:val="15F47354"/>
    <w:rsid w:val="15F5110D"/>
    <w:rsid w:val="15F5735F"/>
    <w:rsid w:val="15F80BFE"/>
    <w:rsid w:val="15FA4976"/>
    <w:rsid w:val="15FA6724"/>
    <w:rsid w:val="15FC1B1D"/>
    <w:rsid w:val="15FC2B6A"/>
    <w:rsid w:val="15FC2FFC"/>
    <w:rsid w:val="15FC6940"/>
    <w:rsid w:val="15FD6214"/>
    <w:rsid w:val="15FD7FC2"/>
    <w:rsid w:val="15FF01DE"/>
    <w:rsid w:val="15FF1F8C"/>
    <w:rsid w:val="1600454E"/>
    <w:rsid w:val="160055BA"/>
    <w:rsid w:val="16005D04"/>
    <w:rsid w:val="160126AE"/>
    <w:rsid w:val="1602382A"/>
    <w:rsid w:val="16041350"/>
    <w:rsid w:val="16041DAB"/>
    <w:rsid w:val="160457F4"/>
    <w:rsid w:val="1606331B"/>
    <w:rsid w:val="16091002"/>
    <w:rsid w:val="1609105D"/>
    <w:rsid w:val="16096967"/>
    <w:rsid w:val="160A0C75"/>
    <w:rsid w:val="160B0931"/>
    <w:rsid w:val="160B6B83"/>
    <w:rsid w:val="160E0421"/>
    <w:rsid w:val="160E6673"/>
    <w:rsid w:val="160E670A"/>
    <w:rsid w:val="16104199"/>
    <w:rsid w:val="16111CBF"/>
    <w:rsid w:val="1613293D"/>
    <w:rsid w:val="161377E5"/>
    <w:rsid w:val="16143C3C"/>
    <w:rsid w:val="16157A01"/>
    <w:rsid w:val="161620D4"/>
    <w:rsid w:val="161672D6"/>
    <w:rsid w:val="16175528"/>
    <w:rsid w:val="161872CC"/>
    <w:rsid w:val="161950F5"/>
    <w:rsid w:val="161C43CA"/>
    <w:rsid w:val="161F262E"/>
    <w:rsid w:val="161F618A"/>
    <w:rsid w:val="16210154"/>
    <w:rsid w:val="162163A6"/>
    <w:rsid w:val="16223ECC"/>
    <w:rsid w:val="16227A29"/>
    <w:rsid w:val="16247C45"/>
    <w:rsid w:val="16261E12"/>
    <w:rsid w:val="162639BD"/>
    <w:rsid w:val="162714E3"/>
    <w:rsid w:val="16287735"/>
    <w:rsid w:val="16290DB7"/>
    <w:rsid w:val="16297009"/>
    <w:rsid w:val="162B0FD3"/>
    <w:rsid w:val="162B2D81"/>
    <w:rsid w:val="162C6AF9"/>
    <w:rsid w:val="162E3608"/>
    <w:rsid w:val="162F0A5C"/>
    <w:rsid w:val="16300397"/>
    <w:rsid w:val="163065E9"/>
    <w:rsid w:val="16315EBE"/>
    <w:rsid w:val="1635775C"/>
    <w:rsid w:val="16377978"/>
    <w:rsid w:val="163836F0"/>
    <w:rsid w:val="1638549E"/>
    <w:rsid w:val="163A2FC4"/>
    <w:rsid w:val="163A7468"/>
    <w:rsid w:val="163B0AEA"/>
    <w:rsid w:val="163B54B5"/>
    <w:rsid w:val="163B5B8B"/>
    <w:rsid w:val="163C048F"/>
    <w:rsid w:val="163C3060"/>
    <w:rsid w:val="163C6D3C"/>
    <w:rsid w:val="163D4862"/>
    <w:rsid w:val="163F6FB6"/>
    <w:rsid w:val="16414353"/>
    <w:rsid w:val="164200CB"/>
    <w:rsid w:val="1642631D"/>
    <w:rsid w:val="16436C21"/>
    <w:rsid w:val="16442095"/>
    <w:rsid w:val="16461969"/>
    <w:rsid w:val="16465E0D"/>
    <w:rsid w:val="16467BBB"/>
    <w:rsid w:val="164756E1"/>
    <w:rsid w:val="1647748F"/>
    <w:rsid w:val="16486627"/>
    <w:rsid w:val="16492A93"/>
    <w:rsid w:val="16493207"/>
    <w:rsid w:val="16497332"/>
    <w:rsid w:val="164B51D1"/>
    <w:rsid w:val="164B6F7F"/>
    <w:rsid w:val="164C4E8A"/>
    <w:rsid w:val="164E081E"/>
    <w:rsid w:val="164E4CC1"/>
    <w:rsid w:val="16500A3A"/>
    <w:rsid w:val="1651030E"/>
    <w:rsid w:val="16551BAC"/>
    <w:rsid w:val="16557DFE"/>
    <w:rsid w:val="16564724"/>
    <w:rsid w:val="16571DC8"/>
    <w:rsid w:val="16573A3C"/>
    <w:rsid w:val="1658169C"/>
    <w:rsid w:val="165A3A18"/>
    <w:rsid w:val="165A5414"/>
    <w:rsid w:val="165B2F3A"/>
    <w:rsid w:val="165B60C9"/>
    <w:rsid w:val="165C0F09"/>
    <w:rsid w:val="165D4F05"/>
    <w:rsid w:val="165D6CB3"/>
    <w:rsid w:val="165E3157"/>
    <w:rsid w:val="165F2A2B"/>
    <w:rsid w:val="165F6ECF"/>
    <w:rsid w:val="16611B55"/>
    <w:rsid w:val="166149F5"/>
    <w:rsid w:val="166171F5"/>
    <w:rsid w:val="1663076D"/>
    <w:rsid w:val="16640041"/>
    <w:rsid w:val="16641840"/>
    <w:rsid w:val="16646293"/>
    <w:rsid w:val="1665226C"/>
    <w:rsid w:val="16661FBB"/>
    <w:rsid w:val="1666200B"/>
    <w:rsid w:val="16673BA0"/>
    <w:rsid w:val="16674B8C"/>
    <w:rsid w:val="16675F0E"/>
    <w:rsid w:val="16685D83"/>
    <w:rsid w:val="16691AFB"/>
    <w:rsid w:val="166938A9"/>
    <w:rsid w:val="16695657"/>
    <w:rsid w:val="166B7621"/>
    <w:rsid w:val="166C5148"/>
    <w:rsid w:val="166D72BD"/>
    <w:rsid w:val="166E2C6E"/>
    <w:rsid w:val="166E331E"/>
    <w:rsid w:val="16702E8A"/>
    <w:rsid w:val="167209B0"/>
    <w:rsid w:val="16721235"/>
    <w:rsid w:val="1672275E"/>
    <w:rsid w:val="16734728"/>
    <w:rsid w:val="1674297A"/>
    <w:rsid w:val="16753188"/>
    <w:rsid w:val="16764681"/>
    <w:rsid w:val="16772C66"/>
    <w:rsid w:val="16774218"/>
    <w:rsid w:val="16775FC6"/>
    <w:rsid w:val="16777D74"/>
    <w:rsid w:val="16781D3E"/>
    <w:rsid w:val="167C04F3"/>
    <w:rsid w:val="167C182F"/>
    <w:rsid w:val="167C35DD"/>
    <w:rsid w:val="167D7355"/>
    <w:rsid w:val="167F131F"/>
    <w:rsid w:val="167F30CD"/>
    <w:rsid w:val="16816E45"/>
    <w:rsid w:val="16832BBD"/>
    <w:rsid w:val="1683496B"/>
    <w:rsid w:val="168441C4"/>
    <w:rsid w:val="16846935"/>
    <w:rsid w:val="16856C77"/>
    <w:rsid w:val="168626AD"/>
    <w:rsid w:val="1686445B"/>
    <w:rsid w:val="16866209"/>
    <w:rsid w:val="16881E56"/>
    <w:rsid w:val="16895CFA"/>
    <w:rsid w:val="168B3820"/>
    <w:rsid w:val="168D3A3C"/>
    <w:rsid w:val="168D7598"/>
    <w:rsid w:val="168E50BE"/>
    <w:rsid w:val="16900E36"/>
    <w:rsid w:val="16921052"/>
    <w:rsid w:val="169326D4"/>
    <w:rsid w:val="169528F0"/>
    <w:rsid w:val="1696109A"/>
    <w:rsid w:val="16977785"/>
    <w:rsid w:val="16980066"/>
    <w:rsid w:val="16985F3D"/>
    <w:rsid w:val="169A3A63"/>
    <w:rsid w:val="169A57FF"/>
    <w:rsid w:val="169C3C7F"/>
    <w:rsid w:val="169C5A2D"/>
    <w:rsid w:val="169D3553"/>
    <w:rsid w:val="169E1486"/>
    <w:rsid w:val="169E79F7"/>
    <w:rsid w:val="169F72CB"/>
    <w:rsid w:val="16A02BC4"/>
    <w:rsid w:val="16A11295"/>
    <w:rsid w:val="16A13043"/>
    <w:rsid w:val="16A14DF1"/>
    <w:rsid w:val="16A20B69"/>
    <w:rsid w:val="16A2220E"/>
    <w:rsid w:val="16A70127"/>
    <w:rsid w:val="16A80D15"/>
    <w:rsid w:val="16A86080"/>
    <w:rsid w:val="16A86180"/>
    <w:rsid w:val="16AB2114"/>
    <w:rsid w:val="16AC125D"/>
    <w:rsid w:val="16AC6DE4"/>
    <w:rsid w:val="16AD19E8"/>
    <w:rsid w:val="16AE1F94"/>
    <w:rsid w:val="16AE5760"/>
    <w:rsid w:val="16AE750E"/>
    <w:rsid w:val="16AF1032"/>
    <w:rsid w:val="16AF3382"/>
    <w:rsid w:val="16AF39B2"/>
    <w:rsid w:val="16B03286"/>
    <w:rsid w:val="16B20DAC"/>
    <w:rsid w:val="16B26FFE"/>
    <w:rsid w:val="16B305C2"/>
    <w:rsid w:val="16B34B25"/>
    <w:rsid w:val="16B56AEF"/>
    <w:rsid w:val="16B632BB"/>
    <w:rsid w:val="16B70AB9"/>
    <w:rsid w:val="16B71B14"/>
    <w:rsid w:val="16B74615"/>
    <w:rsid w:val="16B8031D"/>
    <w:rsid w:val="16B84834"/>
    <w:rsid w:val="16B9038D"/>
    <w:rsid w:val="16BA5EB3"/>
    <w:rsid w:val="16BB01E4"/>
    <w:rsid w:val="16BC5986"/>
    <w:rsid w:val="16BC7E7D"/>
    <w:rsid w:val="16BE02C0"/>
    <w:rsid w:val="16BE1E47"/>
    <w:rsid w:val="16BE3BF5"/>
    <w:rsid w:val="16BE59A3"/>
    <w:rsid w:val="16BF1B00"/>
    <w:rsid w:val="16BF1CB6"/>
    <w:rsid w:val="16BF34C9"/>
    <w:rsid w:val="16C136E5"/>
    <w:rsid w:val="16C1371A"/>
    <w:rsid w:val="16C25E01"/>
    <w:rsid w:val="16C54E5F"/>
    <w:rsid w:val="16C60CFC"/>
    <w:rsid w:val="16C62BBD"/>
    <w:rsid w:val="16C64858"/>
    <w:rsid w:val="16C66BE6"/>
    <w:rsid w:val="16C84A74"/>
    <w:rsid w:val="16C86822"/>
    <w:rsid w:val="16C927E8"/>
    <w:rsid w:val="16CA07EC"/>
    <w:rsid w:val="16CA259A"/>
    <w:rsid w:val="16CB00C0"/>
    <w:rsid w:val="16CB4564"/>
    <w:rsid w:val="16CB650D"/>
    <w:rsid w:val="16CC39B3"/>
    <w:rsid w:val="16CD5B1F"/>
    <w:rsid w:val="16CF7BB0"/>
    <w:rsid w:val="16D03928"/>
    <w:rsid w:val="16D1671C"/>
    <w:rsid w:val="16D2144F"/>
    <w:rsid w:val="16D231FD"/>
    <w:rsid w:val="16D336A7"/>
    <w:rsid w:val="16D36F75"/>
    <w:rsid w:val="16D451C7"/>
    <w:rsid w:val="16D52CED"/>
    <w:rsid w:val="16D5325A"/>
    <w:rsid w:val="16D550DC"/>
    <w:rsid w:val="16D57191"/>
    <w:rsid w:val="16D626D4"/>
    <w:rsid w:val="16D6652D"/>
    <w:rsid w:val="16D72F09"/>
    <w:rsid w:val="16D927DD"/>
    <w:rsid w:val="16D9376D"/>
    <w:rsid w:val="16DA0303"/>
    <w:rsid w:val="16DC051F"/>
    <w:rsid w:val="16DC407B"/>
    <w:rsid w:val="16DC674F"/>
    <w:rsid w:val="16DC6904"/>
    <w:rsid w:val="16DE1BA1"/>
    <w:rsid w:val="16DE4297"/>
    <w:rsid w:val="16DE6045"/>
    <w:rsid w:val="16DF591A"/>
    <w:rsid w:val="16E01DBD"/>
    <w:rsid w:val="16E3540A"/>
    <w:rsid w:val="16E55626"/>
    <w:rsid w:val="16E6314C"/>
    <w:rsid w:val="16E80C72"/>
    <w:rsid w:val="16E82FA6"/>
    <w:rsid w:val="16E96798"/>
    <w:rsid w:val="16EA17B8"/>
    <w:rsid w:val="16EA2C3C"/>
    <w:rsid w:val="16EA46F2"/>
    <w:rsid w:val="16EA5E33"/>
    <w:rsid w:val="16EB2510"/>
    <w:rsid w:val="16EC0753"/>
    <w:rsid w:val="16EC2DCC"/>
    <w:rsid w:val="16ED0036"/>
    <w:rsid w:val="16ED396B"/>
    <w:rsid w:val="16ED47B4"/>
    <w:rsid w:val="16ED6288"/>
    <w:rsid w:val="16EF0253"/>
    <w:rsid w:val="16F01CA5"/>
    <w:rsid w:val="16F07B27"/>
    <w:rsid w:val="16F13FCB"/>
    <w:rsid w:val="16F2564D"/>
    <w:rsid w:val="16F41BB2"/>
    <w:rsid w:val="16F45869"/>
    <w:rsid w:val="16F46EE5"/>
    <w:rsid w:val="16F615E1"/>
    <w:rsid w:val="16F70EB5"/>
    <w:rsid w:val="16F72C63"/>
    <w:rsid w:val="16F85567"/>
    <w:rsid w:val="16F94C2D"/>
    <w:rsid w:val="16FC471D"/>
    <w:rsid w:val="16FD42A8"/>
    <w:rsid w:val="16FE3FF2"/>
    <w:rsid w:val="170114E8"/>
    <w:rsid w:val="17011D34"/>
    <w:rsid w:val="170240B9"/>
    <w:rsid w:val="1703785A"/>
    <w:rsid w:val="17044C01"/>
    <w:rsid w:val="17045380"/>
    <w:rsid w:val="170557A0"/>
    <w:rsid w:val="17057572"/>
    <w:rsid w:val="17072BD0"/>
    <w:rsid w:val="17081314"/>
    <w:rsid w:val="17084E70"/>
    <w:rsid w:val="17087008"/>
    <w:rsid w:val="17097C7A"/>
    <w:rsid w:val="170A0BE8"/>
    <w:rsid w:val="170A508C"/>
    <w:rsid w:val="170A6E3A"/>
    <w:rsid w:val="170B670F"/>
    <w:rsid w:val="170D06D9"/>
    <w:rsid w:val="170E4685"/>
    <w:rsid w:val="170F4451"/>
    <w:rsid w:val="170F61FF"/>
    <w:rsid w:val="17123BAE"/>
    <w:rsid w:val="1712503E"/>
    <w:rsid w:val="17127A9D"/>
    <w:rsid w:val="171364CE"/>
    <w:rsid w:val="17136C57"/>
    <w:rsid w:val="17150172"/>
    <w:rsid w:val="171510CA"/>
    <w:rsid w:val="17163A31"/>
    <w:rsid w:val="171657DF"/>
    <w:rsid w:val="171750B3"/>
    <w:rsid w:val="17180F8C"/>
    <w:rsid w:val="17190E2C"/>
    <w:rsid w:val="1719707D"/>
    <w:rsid w:val="171A4BA4"/>
    <w:rsid w:val="171B127C"/>
    <w:rsid w:val="171B2DF6"/>
    <w:rsid w:val="171C4DC0"/>
    <w:rsid w:val="171C6A37"/>
    <w:rsid w:val="171C6B6E"/>
    <w:rsid w:val="171C7831"/>
    <w:rsid w:val="171E6442"/>
    <w:rsid w:val="171E68AF"/>
    <w:rsid w:val="17214184"/>
    <w:rsid w:val="17215F32"/>
    <w:rsid w:val="17224B33"/>
    <w:rsid w:val="17233A58"/>
    <w:rsid w:val="17237EFC"/>
    <w:rsid w:val="17243C5D"/>
    <w:rsid w:val="172474C6"/>
    <w:rsid w:val="17253C74"/>
    <w:rsid w:val="17263548"/>
    <w:rsid w:val="17273203"/>
    <w:rsid w:val="172779EC"/>
    <w:rsid w:val="17283764"/>
    <w:rsid w:val="17285513"/>
    <w:rsid w:val="172A128B"/>
    <w:rsid w:val="172A4DE7"/>
    <w:rsid w:val="172B0B5F"/>
    <w:rsid w:val="172B408E"/>
    <w:rsid w:val="172C5003"/>
    <w:rsid w:val="172D2B29"/>
    <w:rsid w:val="172E30D6"/>
    <w:rsid w:val="172E5E61"/>
    <w:rsid w:val="172F064F"/>
    <w:rsid w:val="172F2754"/>
    <w:rsid w:val="172F68A1"/>
    <w:rsid w:val="173051DB"/>
    <w:rsid w:val="17312619"/>
    <w:rsid w:val="17316E86"/>
    <w:rsid w:val="17326590"/>
    <w:rsid w:val="17337317"/>
    <w:rsid w:val="17347CCD"/>
    <w:rsid w:val="17367C2F"/>
    <w:rsid w:val="173739A8"/>
    <w:rsid w:val="173914CE"/>
    <w:rsid w:val="17396E67"/>
    <w:rsid w:val="173B5246"/>
    <w:rsid w:val="173B6FF4"/>
    <w:rsid w:val="173C0FBE"/>
    <w:rsid w:val="173D7210"/>
    <w:rsid w:val="173E11A0"/>
    <w:rsid w:val="173E6AE4"/>
    <w:rsid w:val="17400AAE"/>
    <w:rsid w:val="1740291A"/>
    <w:rsid w:val="1740460A"/>
    <w:rsid w:val="174340FA"/>
    <w:rsid w:val="17435EA8"/>
    <w:rsid w:val="17446A3D"/>
    <w:rsid w:val="17452AE4"/>
    <w:rsid w:val="17465999"/>
    <w:rsid w:val="17470682"/>
    <w:rsid w:val="17481711"/>
    <w:rsid w:val="17486848"/>
    <w:rsid w:val="174A36DB"/>
    <w:rsid w:val="174D6D27"/>
    <w:rsid w:val="174E26C0"/>
    <w:rsid w:val="174E7AEF"/>
    <w:rsid w:val="174F0CF1"/>
    <w:rsid w:val="174F2A9F"/>
    <w:rsid w:val="174F484D"/>
    <w:rsid w:val="17516817"/>
    <w:rsid w:val="175224D1"/>
    <w:rsid w:val="1752433D"/>
    <w:rsid w:val="17544559"/>
    <w:rsid w:val="17545EB9"/>
    <w:rsid w:val="1755065F"/>
    <w:rsid w:val="175579C2"/>
    <w:rsid w:val="17571954"/>
    <w:rsid w:val="17575DF8"/>
    <w:rsid w:val="17577BA6"/>
    <w:rsid w:val="17597673"/>
    <w:rsid w:val="175977D3"/>
    <w:rsid w:val="175A0C63"/>
    <w:rsid w:val="175A79F8"/>
    <w:rsid w:val="175C51BC"/>
    <w:rsid w:val="175C6F6A"/>
    <w:rsid w:val="175E0F34"/>
    <w:rsid w:val="175E7186"/>
    <w:rsid w:val="175E75E4"/>
    <w:rsid w:val="175F75DF"/>
    <w:rsid w:val="17612D83"/>
    <w:rsid w:val="17615F65"/>
    <w:rsid w:val="17626C76"/>
    <w:rsid w:val="1763479D"/>
    <w:rsid w:val="17654071"/>
    <w:rsid w:val="17667DE9"/>
    <w:rsid w:val="17671DD7"/>
    <w:rsid w:val="1767428D"/>
    <w:rsid w:val="17680005"/>
    <w:rsid w:val="1768158C"/>
    <w:rsid w:val="17681B26"/>
    <w:rsid w:val="17683B61"/>
    <w:rsid w:val="176A1687"/>
    <w:rsid w:val="176A5B2B"/>
    <w:rsid w:val="176A78D9"/>
    <w:rsid w:val="176C3651"/>
    <w:rsid w:val="176E561B"/>
    <w:rsid w:val="176F6C9D"/>
    <w:rsid w:val="17710C68"/>
    <w:rsid w:val="17713B83"/>
    <w:rsid w:val="17714319"/>
    <w:rsid w:val="1772678E"/>
    <w:rsid w:val="177443DB"/>
    <w:rsid w:val="177469AA"/>
    <w:rsid w:val="1775586B"/>
    <w:rsid w:val="1776002C"/>
    <w:rsid w:val="1776627E"/>
    <w:rsid w:val="1778161B"/>
    <w:rsid w:val="17797B1C"/>
    <w:rsid w:val="177B5642"/>
    <w:rsid w:val="177B7D38"/>
    <w:rsid w:val="177B7F9C"/>
    <w:rsid w:val="177C760C"/>
    <w:rsid w:val="177E5EAD"/>
    <w:rsid w:val="17800EAB"/>
    <w:rsid w:val="1780297E"/>
    <w:rsid w:val="17803CDE"/>
    <w:rsid w:val="178070FD"/>
    <w:rsid w:val="178169D1"/>
    <w:rsid w:val="1783582E"/>
    <w:rsid w:val="17836BED"/>
    <w:rsid w:val="178667F0"/>
    <w:rsid w:val="1788002A"/>
    <w:rsid w:val="17884203"/>
    <w:rsid w:val="178A1D29"/>
    <w:rsid w:val="178A3AD7"/>
    <w:rsid w:val="178A7F7B"/>
    <w:rsid w:val="178C5AA1"/>
    <w:rsid w:val="178C784F"/>
    <w:rsid w:val="178D1819"/>
    <w:rsid w:val="178D1A71"/>
    <w:rsid w:val="178D5376"/>
    <w:rsid w:val="178F10EE"/>
    <w:rsid w:val="178F5592"/>
    <w:rsid w:val="178F7340"/>
    <w:rsid w:val="1791130A"/>
    <w:rsid w:val="17914E66"/>
    <w:rsid w:val="17925EB3"/>
    <w:rsid w:val="17933D65"/>
    <w:rsid w:val="17942BA8"/>
    <w:rsid w:val="17946704"/>
    <w:rsid w:val="179606CE"/>
    <w:rsid w:val="17966920"/>
    <w:rsid w:val="179761F4"/>
    <w:rsid w:val="17984446"/>
    <w:rsid w:val="179901BE"/>
    <w:rsid w:val="17991F6C"/>
    <w:rsid w:val="17996410"/>
    <w:rsid w:val="179C380B"/>
    <w:rsid w:val="179D1A5D"/>
    <w:rsid w:val="179D3A12"/>
    <w:rsid w:val="179D7CAF"/>
    <w:rsid w:val="179E3336"/>
    <w:rsid w:val="179E57D5"/>
    <w:rsid w:val="179E7583"/>
    <w:rsid w:val="179F5F07"/>
    <w:rsid w:val="17A0154D"/>
    <w:rsid w:val="17A252C5"/>
    <w:rsid w:val="17A31A4C"/>
    <w:rsid w:val="17A32DEB"/>
    <w:rsid w:val="17A54DB5"/>
    <w:rsid w:val="17A728DB"/>
    <w:rsid w:val="17A74689"/>
    <w:rsid w:val="17A857FA"/>
    <w:rsid w:val="17AC7EF2"/>
    <w:rsid w:val="17AD249E"/>
    <w:rsid w:val="17AD5A18"/>
    <w:rsid w:val="17AD77C6"/>
    <w:rsid w:val="17AE0791"/>
    <w:rsid w:val="17B1375A"/>
    <w:rsid w:val="17B172B6"/>
    <w:rsid w:val="17B246DF"/>
    <w:rsid w:val="17B31280"/>
    <w:rsid w:val="17B40B54"/>
    <w:rsid w:val="17B43822"/>
    <w:rsid w:val="17B5219E"/>
    <w:rsid w:val="17B615BD"/>
    <w:rsid w:val="17B648CC"/>
    <w:rsid w:val="17B9616B"/>
    <w:rsid w:val="17BA0860"/>
    <w:rsid w:val="17BB0135"/>
    <w:rsid w:val="17BE7C25"/>
    <w:rsid w:val="17BF3DB0"/>
    <w:rsid w:val="17C07E11"/>
    <w:rsid w:val="17C112A1"/>
    <w:rsid w:val="17C214C3"/>
    <w:rsid w:val="17C27715"/>
    <w:rsid w:val="17C3523B"/>
    <w:rsid w:val="17C36FE9"/>
    <w:rsid w:val="17C57205"/>
    <w:rsid w:val="17C70888"/>
    <w:rsid w:val="17C74D2B"/>
    <w:rsid w:val="17C84600"/>
    <w:rsid w:val="17CA0378"/>
    <w:rsid w:val="17CA46DA"/>
    <w:rsid w:val="17CA481C"/>
    <w:rsid w:val="17CA65CA"/>
    <w:rsid w:val="17CB2353"/>
    <w:rsid w:val="17CB6D2A"/>
    <w:rsid w:val="17CC40F0"/>
    <w:rsid w:val="17CE1BA5"/>
    <w:rsid w:val="17CE2415"/>
    <w:rsid w:val="17CE51FC"/>
    <w:rsid w:val="17D007DC"/>
    <w:rsid w:val="17D02EE7"/>
    <w:rsid w:val="17D11706"/>
    <w:rsid w:val="17D15BAA"/>
    <w:rsid w:val="17D17655"/>
    <w:rsid w:val="17D2722C"/>
    <w:rsid w:val="17D2750F"/>
    <w:rsid w:val="17D31922"/>
    <w:rsid w:val="17D336D0"/>
    <w:rsid w:val="17D3608C"/>
    <w:rsid w:val="17D365AD"/>
    <w:rsid w:val="17D42FA4"/>
    <w:rsid w:val="17D47717"/>
    <w:rsid w:val="17D64F6F"/>
    <w:rsid w:val="17D65C87"/>
    <w:rsid w:val="17D66D1D"/>
    <w:rsid w:val="17D81FF2"/>
    <w:rsid w:val="17D82A95"/>
    <w:rsid w:val="17D905BB"/>
    <w:rsid w:val="17D9680D"/>
    <w:rsid w:val="17DA3589"/>
    <w:rsid w:val="17DA4A5F"/>
    <w:rsid w:val="17DB3D2E"/>
    <w:rsid w:val="17DB4333"/>
    <w:rsid w:val="17DC1F43"/>
    <w:rsid w:val="17DD0A7A"/>
    <w:rsid w:val="17DE3E23"/>
    <w:rsid w:val="17DE54CF"/>
    <w:rsid w:val="17DE6CF9"/>
    <w:rsid w:val="17DF02C7"/>
    <w:rsid w:val="17E10BFF"/>
    <w:rsid w:val="17E15DE3"/>
    <w:rsid w:val="17E331AB"/>
    <w:rsid w:val="17E33C79"/>
    <w:rsid w:val="17E46210"/>
    <w:rsid w:val="17E53404"/>
    <w:rsid w:val="17E551B2"/>
    <w:rsid w:val="17E56F60"/>
    <w:rsid w:val="17E85B8D"/>
    <w:rsid w:val="17EA0A1A"/>
    <w:rsid w:val="17EB5904"/>
    <w:rsid w:val="17EB6C6C"/>
    <w:rsid w:val="17EC425D"/>
    <w:rsid w:val="17EC6540"/>
    <w:rsid w:val="17EE050A"/>
    <w:rsid w:val="17EE22B8"/>
    <w:rsid w:val="17EF3DF3"/>
    <w:rsid w:val="17EF5DD7"/>
    <w:rsid w:val="17EF6030"/>
    <w:rsid w:val="17F11DA8"/>
    <w:rsid w:val="17F32CA0"/>
    <w:rsid w:val="17F43647"/>
    <w:rsid w:val="17F453F5"/>
    <w:rsid w:val="17F51899"/>
    <w:rsid w:val="17F719A5"/>
    <w:rsid w:val="17F81389"/>
    <w:rsid w:val="17F84EE5"/>
    <w:rsid w:val="17F90C5D"/>
    <w:rsid w:val="17FA6861"/>
    <w:rsid w:val="17FA7FA2"/>
    <w:rsid w:val="17FD24FB"/>
    <w:rsid w:val="17FE0021"/>
    <w:rsid w:val="17FF44C5"/>
    <w:rsid w:val="17FF6273"/>
    <w:rsid w:val="18016734"/>
    <w:rsid w:val="18021930"/>
    <w:rsid w:val="18024BDD"/>
    <w:rsid w:val="18027B12"/>
    <w:rsid w:val="18032795"/>
    <w:rsid w:val="180516B5"/>
    <w:rsid w:val="18057602"/>
    <w:rsid w:val="180A74EF"/>
    <w:rsid w:val="180B6483"/>
    <w:rsid w:val="180C6E5D"/>
    <w:rsid w:val="180D75BF"/>
    <w:rsid w:val="180E295A"/>
    <w:rsid w:val="180E4708"/>
    <w:rsid w:val="180F222F"/>
    <w:rsid w:val="18107206"/>
    <w:rsid w:val="181126B2"/>
    <w:rsid w:val="181141F9"/>
    <w:rsid w:val="18114955"/>
    <w:rsid w:val="18114AE8"/>
    <w:rsid w:val="18131D1F"/>
    <w:rsid w:val="18153CE9"/>
    <w:rsid w:val="18155A97"/>
    <w:rsid w:val="1816180F"/>
    <w:rsid w:val="181635BD"/>
    <w:rsid w:val="1817126D"/>
    <w:rsid w:val="181772BB"/>
    <w:rsid w:val="181810E3"/>
    <w:rsid w:val="18185587"/>
    <w:rsid w:val="18187335"/>
    <w:rsid w:val="18194E5B"/>
    <w:rsid w:val="18194FAB"/>
    <w:rsid w:val="181A03E2"/>
    <w:rsid w:val="181B0BD3"/>
    <w:rsid w:val="181B6E25"/>
    <w:rsid w:val="181B72DB"/>
    <w:rsid w:val="181C187B"/>
    <w:rsid w:val="181D494B"/>
    <w:rsid w:val="181F06C4"/>
    <w:rsid w:val="1821268E"/>
    <w:rsid w:val="182201B4"/>
    <w:rsid w:val="18226406"/>
    <w:rsid w:val="1822771A"/>
    <w:rsid w:val="182300F4"/>
    <w:rsid w:val="1824217E"/>
    <w:rsid w:val="18251A52"/>
    <w:rsid w:val="18252F5E"/>
    <w:rsid w:val="18253800"/>
    <w:rsid w:val="18291542"/>
    <w:rsid w:val="182932F0"/>
    <w:rsid w:val="18297794"/>
    <w:rsid w:val="182A0E16"/>
    <w:rsid w:val="182A7068"/>
    <w:rsid w:val="182B19A1"/>
    <w:rsid w:val="182B350C"/>
    <w:rsid w:val="182B52BA"/>
    <w:rsid w:val="182C1032"/>
    <w:rsid w:val="182C2DE0"/>
    <w:rsid w:val="182C4B8E"/>
    <w:rsid w:val="18300B23"/>
    <w:rsid w:val="183103F7"/>
    <w:rsid w:val="183121A5"/>
    <w:rsid w:val="18326CA3"/>
    <w:rsid w:val="1833416F"/>
    <w:rsid w:val="18352A53"/>
    <w:rsid w:val="18357EE7"/>
    <w:rsid w:val="18363EE3"/>
    <w:rsid w:val="18375738"/>
    <w:rsid w:val="18381785"/>
    <w:rsid w:val="18386BA0"/>
    <w:rsid w:val="183A3210"/>
    <w:rsid w:val="183A72AB"/>
    <w:rsid w:val="183B3024"/>
    <w:rsid w:val="183D02EF"/>
    <w:rsid w:val="183D4FEE"/>
    <w:rsid w:val="183D6D9C"/>
    <w:rsid w:val="183E3E7C"/>
    <w:rsid w:val="183E4041"/>
    <w:rsid w:val="183F48C2"/>
    <w:rsid w:val="1840063A"/>
    <w:rsid w:val="1840688C"/>
    <w:rsid w:val="18407B66"/>
    <w:rsid w:val="18422604"/>
    <w:rsid w:val="184243B2"/>
    <w:rsid w:val="184364E7"/>
    <w:rsid w:val="18441ED8"/>
    <w:rsid w:val="18455C50"/>
    <w:rsid w:val="18461F74"/>
    <w:rsid w:val="18470AF1"/>
    <w:rsid w:val="184721C3"/>
    <w:rsid w:val="18475E6C"/>
    <w:rsid w:val="18477C1A"/>
    <w:rsid w:val="18482B9D"/>
    <w:rsid w:val="18495740"/>
    <w:rsid w:val="184B14B9"/>
    <w:rsid w:val="184C0CEE"/>
    <w:rsid w:val="184C5231"/>
    <w:rsid w:val="184D216A"/>
    <w:rsid w:val="18501FF1"/>
    <w:rsid w:val="18504D21"/>
    <w:rsid w:val="18510A99"/>
    <w:rsid w:val="18511F97"/>
    <w:rsid w:val="18524B4C"/>
    <w:rsid w:val="1853036D"/>
    <w:rsid w:val="185346AA"/>
    <w:rsid w:val="18534811"/>
    <w:rsid w:val="18535FDC"/>
    <w:rsid w:val="18550589"/>
    <w:rsid w:val="18561D8C"/>
    <w:rsid w:val="18574301"/>
    <w:rsid w:val="18575DED"/>
    <w:rsid w:val="185760AF"/>
    <w:rsid w:val="18581E27"/>
    <w:rsid w:val="18585984"/>
    <w:rsid w:val="185A0482"/>
    <w:rsid w:val="185A2304"/>
    <w:rsid w:val="185A3FBD"/>
    <w:rsid w:val="185A552F"/>
    <w:rsid w:val="185B1070"/>
    <w:rsid w:val="185B5474"/>
    <w:rsid w:val="185D708E"/>
    <w:rsid w:val="185D743E"/>
    <w:rsid w:val="185F4372"/>
    <w:rsid w:val="185F6D12"/>
    <w:rsid w:val="18602A8A"/>
    <w:rsid w:val="18607150"/>
    <w:rsid w:val="18610CDC"/>
    <w:rsid w:val="18624A54"/>
    <w:rsid w:val="18626802"/>
    <w:rsid w:val="186270E4"/>
    <w:rsid w:val="186420F6"/>
    <w:rsid w:val="1864257A"/>
    <w:rsid w:val="18644328"/>
    <w:rsid w:val="18664544"/>
    <w:rsid w:val="186662F2"/>
    <w:rsid w:val="1867206B"/>
    <w:rsid w:val="18676345"/>
    <w:rsid w:val="18694035"/>
    <w:rsid w:val="186A33A8"/>
    <w:rsid w:val="186B1B5B"/>
    <w:rsid w:val="186B56B7"/>
    <w:rsid w:val="186C142F"/>
    <w:rsid w:val="186C7681"/>
    <w:rsid w:val="186D58D3"/>
    <w:rsid w:val="186E164B"/>
    <w:rsid w:val="186E33F9"/>
    <w:rsid w:val="18700F1F"/>
    <w:rsid w:val="18702CCD"/>
    <w:rsid w:val="18722EE9"/>
    <w:rsid w:val="18730A0F"/>
    <w:rsid w:val="18755D09"/>
    <w:rsid w:val="187622AE"/>
    <w:rsid w:val="1876405C"/>
    <w:rsid w:val="18770500"/>
    <w:rsid w:val="18772805"/>
    <w:rsid w:val="18784278"/>
    <w:rsid w:val="18786026"/>
    <w:rsid w:val="187A1D9E"/>
    <w:rsid w:val="187A3B4C"/>
    <w:rsid w:val="187C3D68"/>
    <w:rsid w:val="187D188E"/>
    <w:rsid w:val="187E716F"/>
    <w:rsid w:val="187F73B4"/>
    <w:rsid w:val="1881312C"/>
    <w:rsid w:val="18822A00"/>
    <w:rsid w:val="188350F6"/>
    <w:rsid w:val="1884654A"/>
    <w:rsid w:val="18846779"/>
    <w:rsid w:val="18866995"/>
    <w:rsid w:val="1887113B"/>
    <w:rsid w:val="18876269"/>
    <w:rsid w:val="1888270D"/>
    <w:rsid w:val="18886EE5"/>
    <w:rsid w:val="18893D8F"/>
    <w:rsid w:val="188B3FAB"/>
    <w:rsid w:val="188B67D8"/>
    <w:rsid w:val="188C387F"/>
    <w:rsid w:val="188D656C"/>
    <w:rsid w:val="188E1AD6"/>
    <w:rsid w:val="188E3A9B"/>
    <w:rsid w:val="188E75F7"/>
    <w:rsid w:val="1890412B"/>
    <w:rsid w:val="18910E95"/>
    <w:rsid w:val="1891463B"/>
    <w:rsid w:val="18925339"/>
    <w:rsid w:val="189310B2"/>
    <w:rsid w:val="18932E60"/>
    <w:rsid w:val="18963BDD"/>
    <w:rsid w:val="189664AC"/>
    <w:rsid w:val="189746FE"/>
    <w:rsid w:val="189866C8"/>
    <w:rsid w:val="189A2440"/>
    <w:rsid w:val="189A41EE"/>
    <w:rsid w:val="189B3AC2"/>
    <w:rsid w:val="189C1AEC"/>
    <w:rsid w:val="189C3090"/>
    <w:rsid w:val="189C42D4"/>
    <w:rsid w:val="189C7F66"/>
    <w:rsid w:val="189D783A"/>
    <w:rsid w:val="189F35B2"/>
    <w:rsid w:val="18A0374C"/>
    <w:rsid w:val="18A1557C"/>
    <w:rsid w:val="18A1732B"/>
    <w:rsid w:val="18A26C8A"/>
    <w:rsid w:val="18A312F5"/>
    <w:rsid w:val="18A40BC9"/>
    <w:rsid w:val="18A46E1B"/>
    <w:rsid w:val="18A51BC7"/>
    <w:rsid w:val="18A64941"/>
    <w:rsid w:val="18A8690B"/>
    <w:rsid w:val="18A92683"/>
    <w:rsid w:val="18A94431"/>
    <w:rsid w:val="18A961DF"/>
    <w:rsid w:val="18AB1F57"/>
    <w:rsid w:val="18AC5CCF"/>
    <w:rsid w:val="18AD2173"/>
    <w:rsid w:val="18AE7C99"/>
    <w:rsid w:val="18AF5EEB"/>
    <w:rsid w:val="18AF6EB7"/>
    <w:rsid w:val="18B057C0"/>
    <w:rsid w:val="18B105F4"/>
    <w:rsid w:val="18B169F7"/>
    <w:rsid w:val="18B21538"/>
    <w:rsid w:val="18B352B0"/>
    <w:rsid w:val="18B3705E"/>
    <w:rsid w:val="18B43EE8"/>
    <w:rsid w:val="18B51028"/>
    <w:rsid w:val="18B55378"/>
    <w:rsid w:val="18B81128"/>
    <w:rsid w:val="18B828C6"/>
    <w:rsid w:val="18B83CF9"/>
    <w:rsid w:val="18BA7D5A"/>
    <w:rsid w:val="18BD0DC8"/>
    <w:rsid w:val="18BD1C8B"/>
    <w:rsid w:val="18BE612E"/>
    <w:rsid w:val="18BF3C55"/>
    <w:rsid w:val="18C0638C"/>
    <w:rsid w:val="18C1177B"/>
    <w:rsid w:val="18C13529"/>
    <w:rsid w:val="18C2334E"/>
    <w:rsid w:val="18C41FB0"/>
    <w:rsid w:val="18C474BD"/>
    <w:rsid w:val="18C64FE3"/>
    <w:rsid w:val="18C80D5B"/>
    <w:rsid w:val="18C82B09"/>
    <w:rsid w:val="18C837EE"/>
    <w:rsid w:val="18C8736D"/>
    <w:rsid w:val="18C9062F"/>
    <w:rsid w:val="18C94AD3"/>
    <w:rsid w:val="18C96881"/>
    <w:rsid w:val="18CA610E"/>
    <w:rsid w:val="18CB25F9"/>
    <w:rsid w:val="18CB43A7"/>
    <w:rsid w:val="18CB7E25"/>
    <w:rsid w:val="18CD45C3"/>
    <w:rsid w:val="18CE5C46"/>
    <w:rsid w:val="18CE5F1F"/>
    <w:rsid w:val="18D01F80"/>
    <w:rsid w:val="18D0493F"/>
    <w:rsid w:val="18D07C10"/>
    <w:rsid w:val="18D21BDA"/>
    <w:rsid w:val="18D25736"/>
    <w:rsid w:val="18D314AE"/>
    <w:rsid w:val="18D3325C"/>
    <w:rsid w:val="18D35D30"/>
    <w:rsid w:val="18D47700"/>
    <w:rsid w:val="18D56FD4"/>
    <w:rsid w:val="18D63C3C"/>
    <w:rsid w:val="18D70712"/>
    <w:rsid w:val="18D771F0"/>
    <w:rsid w:val="18D80511"/>
    <w:rsid w:val="18D92E48"/>
    <w:rsid w:val="18D92F68"/>
    <w:rsid w:val="18D94D16"/>
    <w:rsid w:val="18DA44C2"/>
    <w:rsid w:val="18DA45EA"/>
    <w:rsid w:val="18DA6CE0"/>
    <w:rsid w:val="18DB1C64"/>
    <w:rsid w:val="18DD63DD"/>
    <w:rsid w:val="18DE43E9"/>
    <w:rsid w:val="18DF05E5"/>
    <w:rsid w:val="18DF42F7"/>
    <w:rsid w:val="18E117C4"/>
    <w:rsid w:val="18E15979"/>
    <w:rsid w:val="18E611E1"/>
    <w:rsid w:val="18E831AB"/>
    <w:rsid w:val="18E84F59"/>
    <w:rsid w:val="18E92B27"/>
    <w:rsid w:val="18E94268"/>
    <w:rsid w:val="18EB4A4A"/>
    <w:rsid w:val="18ED07C2"/>
    <w:rsid w:val="18ED4334"/>
    <w:rsid w:val="18ED6A14"/>
    <w:rsid w:val="18EE5509"/>
    <w:rsid w:val="18EE62E8"/>
    <w:rsid w:val="18EF453A"/>
    <w:rsid w:val="18EF5A71"/>
    <w:rsid w:val="18F002B2"/>
    <w:rsid w:val="18F060F4"/>
    <w:rsid w:val="18F22749"/>
    <w:rsid w:val="18F2402A"/>
    <w:rsid w:val="18F27B86"/>
    <w:rsid w:val="18F51424"/>
    <w:rsid w:val="18F5280B"/>
    <w:rsid w:val="18F55316"/>
    <w:rsid w:val="18F7519C"/>
    <w:rsid w:val="18F95331"/>
    <w:rsid w:val="18F953B8"/>
    <w:rsid w:val="18F97167"/>
    <w:rsid w:val="18FA4C8D"/>
    <w:rsid w:val="18FC0A05"/>
    <w:rsid w:val="18FC27B3"/>
    <w:rsid w:val="18FC6C57"/>
    <w:rsid w:val="18FD1452"/>
    <w:rsid w:val="18FE29CF"/>
    <w:rsid w:val="18FE477D"/>
    <w:rsid w:val="18FE652B"/>
    <w:rsid w:val="18FF4051"/>
    <w:rsid w:val="1900791E"/>
    <w:rsid w:val="190100D1"/>
    <w:rsid w:val="1901426D"/>
    <w:rsid w:val="1901601B"/>
    <w:rsid w:val="19017DC9"/>
    <w:rsid w:val="190315DB"/>
    <w:rsid w:val="19031D93"/>
    <w:rsid w:val="19032D53"/>
    <w:rsid w:val="19037FE5"/>
    <w:rsid w:val="19046D46"/>
    <w:rsid w:val="19061883"/>
    <w:rsid w:val="1906204F"/>
    <w:rsid w:val="19063631"/>
    <w:rsid w:val="19081158"/>
    <w:rsid w:val="190860B0"/>
    <w:rsid w:val="19094ED0"/>
    <w:rsid w:val="190A3122"/>
    <w:rsid w:val="190B0C48"/>
    <w:rsid w:val="190B1D5D"/>
    <w:rsid w:val="190B50EC"/>
    <w:rsid w:val="190B6E9A"/>
    <w:rsid w:val="190D49C0"/>
    <w:rsid w:val="190D7351"/>
    <w:rsid w:val="190F698A"/>
    <w:rsid w:val="191055EA"/>
    <w:rsid w:val="1910625E"/>
    <w:rsid w:val="1912647A"/>
    <w:rsid w:val="19130410"/>
    <w:rsid w:val="191330C1"/>
    <w:rsid w:val="1914647A"/>
    <w:rsid w:val="19151AC7"/>
    <w:rsid w:val="19157D18"/>
    <w:rsid w:val="191636E8"/>
    <w:rsid w:val="19183BAB"/>
    <w:rsid w:val="191A0E8B"/>
    <w:rsid w:val="191A3096"/>
    <w:rsid w:val="191A5E87"/>
    <w:rsid w:val="191E6BCD"/>
    <w:rsid w:val="19210398"/>
    <w:rsid w:val="19212219"/>
    <w:rsid w:val="192561AE"/>
    <w:rsid w:val="19257F5C"/>
    <w:rsid w:val="192626A4"/>
    <w:rsid w:val="19265A82"/>
    <w:rsid w:val="192835A8"/>
    <w:rsid w:val="19290DD7"/>
    <w:rsid w:val="192B12EA"/>
    <w:rsid w:val="192B218B"/>
    <w:rsid w:val="192B401B"/>
    <w:rsid w:val="192B6F9A"/>
    <w:rsid w:val="192C753C"/>
    <w:rsid w:val="192D0BBE"/>
    <w:rsid w:val="192F0DDA"/>
    <w:rsid w:val="192F3E2C"/>
    <w:rsid w:val="192F5006"/>
    <w:rsid w:val="192F70D4"/>
    <w:rsid w:val="19314B52"/>
    <w:rsid w:val="19322678"/>
    <w:rsid w:val="19341F4D"/>
    <w:rsid w:val="193463F1"/>
    <w:rsid w:val="19351C0F"/>
    <w:rsid w:val="19353F17"/>
    <w:rsid w:val="19394701"/>
    <w:rsid w:val="19397563"/>
    <w:rsid w:val="193A152D"/>
    <w:rsid w:val="193A32DB"/>
    <w:rsid w:val="193B4AC7"/>
    <w:rsid w:val="193B777F"/>
    <w:rsid w:val="193D78C0"/>
    <w:rsid w:val="193E0D50"/>
    <w:rsid w:val="193E259F"/>
    <w:rsid w:val="193E726F"/>
    <w:rsid w:val="193F7F0D"/>
    <w:rsid w:val="19406B43"/>
    <w:rsid w:val="194128BC"/>
    <w:rsid w:val="1941466A"/>
    <w:rsid w:val="194303E2"/>
    <w:rsid w:val="19436634"/>
    <w:rsid w:val="19445F08"/>
    <w:rsid w:val="19466124"/>
    <w:rsid w:val="19481E9C"/>
    <w:rsid w:val="19486E8E"/>
    <w:rsid w:val="194878BC"/>
    <w:rsid w:val="194A1770"/>
    <w:rsid w:val="194B373A"/>
    <w:rsid w:val="194B7296"/>
    <w:rsid w:val="194C3497"/>
    <w:rsid w:val="194D300E"/>
    <w:rsid w:val="194D74B2"/>
    <w:rsid w:val="194F322A"/>
    <w:rsid w:val="195048E3"/>
    <w:rsid w:val="19516FA3"/>
    <w:rsid w:val="19530656"/>
    <w:rsid w:val="19540489"/>
    <w:rsid w:val="19541AE6"/>
    <w:rsid w:val="195425EF"/>
    <w:rsid w:val="1954439D"/>
    <w:rsid w:val="195645B9"/>
    <w:rsid w:val="19566367"/>
    <w:rsid w:val="195720DF"/>
    <w:rsid w:val="19595E57"/>
    <w:rsid w:val="19597C05"/>
    <w:rsid w:val="195B397D"/>
    <w:rsid w:val="195B4796"/>
    <w:rsid w:val="195C5947"/>
    <w:rsid w:val="195C5A1A"/>
    <w:rsid w:val="195E033A"/>
    <w:rsid w:val="196229FF"/>
    <w:rsid w:val="196441AC"/>
    <w:rsid w:val="19650358"/>
    <w:rsid w:val="196547FC"/>
    <w:rsid w:val="1966169D"/>
    <w:rsid w:val="19662322"/>
    <w:rsid w:val="19662BA6"/>
    <w:rsid w:val="196640D0"/>
    <w:rsid w:val="1967459C"/>
    <w:rsid w:val="196776A1"/>
    <w:rsid w:val="19687E48"/>
    <w:rsid w:val="19690451"/>
    <w:rsid w:val="196938FF"/>
    <w:rsid w:val="196A0064"/>
    <w:rsid w:val="196A3BC0"/>
    <w:rsid w:val="196B16E7"/>
    <w:rsid w:val="196D1903"/>
    <w:rsid w:val="196D699F"/>
    <w:rsid w:val="196E3BF4"/>
    <w:rsid w:val="196F12BF"/>
    <w:rsid w:val="197113F3"/>
    <w:rsid w:val="197131A1"/>
    <w:rsid w:val="197350D8"/>
    <w:rsid w:val="19742C91"/>
    <w:rsid w:val="19744A3F"/>
    <w:rsid w:val="197467ED"/>
    <w:rsid w:val="19755855"/>
    <w:rsid w:val="197561F6"/>
    <w:rsid w:val="19763B91"/>
    <w:rsid w:val="1977008B"/>
    <w:rsid w:val="19783AB2"/>
    <w:rsid w:val="197902A7"/>
    <w:rsid w:val="19792055"/>
    <w:rsid w:val="197A46B2"/>
    <w:rsid w:val="197D0652"/>
    <w:rsid w:val="197D5004"/>
    <w:rsid w:val="197F7EC5"/>
    <w:rsid w:val="198033E4"/>
    <w:rsid w:val="19810F0A"/>
    <w:rsid w:val="198136D4"/>
    <w:rsid w:val="1981715C"/>
    <w:rsid w:val="198244EA"/>
    <w:rsid w:val="19834C82"/>
    <w:rsid w:val="198509FA"/>
    <w:rsid w:val="1986540C"/>
    <w:rsid w:val="1988673C"/>
    <w:rsid w:val="198A4263"/>
    <w:rsid w:val="198B434F"/>
    <w:rsid w:val="198C1D89"/>
    <w:rsid w:val="198F041B"/>
    <w:rsid w:val="1990114D"/>
    <w:rsid w:val="199131C9"/>
    <w:rsid w:val="199355F6"/>
    <w:rsid w:val="19936AE1"/>
    <w:rsid w:val="19937BE6"/>
    <w:rsid w:val="19940C3D"/>
    <w:rsid w:val="19942A05"/>
    <w:rsid w:val="199624B8"/>
    <w:rsid w:val="199724DC"/>
    <w:rsid w:val="19996254"/>
    <w:rsid w:val="199B021E"/>
    <w:rsid w:val="199B32ED"/>
    <w:rsid w:val="199B6470"/>
    <w:rsid w:val="199C5D44"/>
    <w:rsid w:val="199E1ABC"/>
    <w:rsid w:val="199E386A"/>
    <w:rsid w:val="19A000ED"/>
    <w:rsid w:val="19A03A86"/>
    <w:rsid w:val="19A075E2"/>
    <w:rsid w:val="19A1335A"/>
    <w:rsid w:val="19A215AC"/>
    <w:rsid w:val="19A277FE"/>
    <w:rsid w:val="19A30E80"/>
    <w:rsid w:val="19A35324"/>
    <w:rsid w:val="19A54BF8"/>
    <w:rsid w:val="19A67A1A"/>
    <w:rsid w:val="19A74E14"/>
    <w:rsid w:val="19A76BC3"/>
    <w:rsid w:val="19A846E9"/>
    <w:rsid w:val="19AA220F"/>
    <w:rsid w:val="19AC41D9"/>
    <w:rsid w:val="19AF3CC9"/>
    <w:rsid w:val="19AF5A77"/>
    <w:rsid w:val="19B07C2E"/>
    <w:rsid w:val="19B117EF"/>
    <w:rsid w:val="19B1359D"/>
    <w:rsid w:val="19B25567"/>
    <w:rsid w:val="19B27315"/>
    <w:rsid w:val="19B4308D"/>
    <w:rsid w:val="19B47531"/>
    <w:rsid w:val="19B60BB4"/>
    <w:rsid w:val="19B66E06"/>
    <w:rsid w:val="19B72B7E"/>
    <w:rsid w:val="19B7492C"/>
    <w:rsid w:val="19B80DD0"/>
    <w:rsid w:val="19B906A4"/>
    <w:rsid w:val="19BB266E"/>
    <w:rsid w:val="19BC1F42"/>
    <w:rsid w:val="19BC467B"/>
    <w:rsid w:val="19BD0194"/>
    <w:rsid w:val="19BD63E6"/>
    <w:rsid w:val="19BE17A4"/>
    <w:rsid w:val="19BE21E6"/>
    <w:rsid w:val="19BE3F0C"/>
    <w:rsid w:val="19BE43D4"/>
    <w:rsid w:val="19BF0BFD"/>
    <w:rsid w:val="19BF5FD9"/>
    <w:rsid w:val="19C02EA8"/>
    <w:rsid w:val="19C05ED6"/>
    <w:rsid w:val="19C06789"/>
    <w:rsid w:val="19C07C84"/>
    <w:rsid w:val="19C07FF8"/>
    <w:rsid w:val="19C10B67"/>
    <w:rsid w:val="19C1161C"/>
    <w:rsid w:val="19C15150"/>
    <w:rsid w:val="19C201A3"/>
    <w:rsid w:val="19C213AC"/>
    <w:rsid w:val="19C239FC"/>
    <w:rsid w:val="19C332D1"/>
    <w:rsid w:val="19C33487"/>
    <w:rsid w:val="19C37774"/>
    <w:rsid w:val="19C44917"/>
    <w:rsid w:val="19C534ED"/>
    <w:rsid w:val="19C57049"/>
    <w:rsid w:val="19C72DC1"/>
    <w:rsid w:val="19CB62FD"/>
    <w:rsid w:val="19CC487B"/>
    <w:rsid w:val="19CE23A1"/>
    <w:rsid w:val="19CF7C98"/>
    <w:rsid w:val="19D21766"/>
    <w:rsid w:val="19D35C0A"/>
    <w:rsid w:val="19D43730"/>
    <w:rsid w:val="19D5046D"/>
    <w:rsid w:val="19D5589C"/>
    <w:rsid w:val="19D57177"/>
    <w:rsid w:val="19D578FB"/>
    <w:rsid w:val="19D61256"/>
    <w:rsid w:val="19D63004"/>
    <w:rsid w:val="19D674A8"/>
    <w:rsid w:val="19D72D8D"/>
    <w:rsid w:val="19D76D7C"/>
    <w:rsid w:val="19D83220"/>
    <w:rsid w:val="19D8421D"/>
    <w:rsid w:val="19D90D46"/>
    <w:rsid w:val="19D92AF4"/>
    <w:rsid w:val="19DB4ABE"/>
    <w:rsid w:val="19DB686C"/>
    <w:rsid w:val="19DC3FCF"/>
    <w:rsid w:val="19DC4392"/>
    <w:rsid w:val="19DE008F"/>
    <w:rsid w:val="19DE27E1"/>
    <w:rsid w:val="19DF16C9"/>
    <w:rsid w:val="19DF45AE"/>
    <w:rsid w:val="19E00326"/>
    <w:rsid w:val="19E020D4"/>
    <w:rsid w:val="19E03E83"/>
    <w:rsid w:val="19E13B1B"/>
    <w:rsid w:val="19E25E4D"/>
    <w:rsid w:val="19E27BFB"/>
    <w:rsid w:val="19E32A71"/>
    <w:rsid w:val="19E35721"/>
    <w:rsid w:val="19E46AD2"/>
    <w:rsid w:val="19E51499"/>
    <w:rsid w:val="19E5593D"/>
    <w:rsid w:val="19E60B1D"/>
    <w:rsid w:val="19E610C0"/>
    <w:rsid w:val="19E73463"/>
    <w:rsid w:val="19E75211"/>
    <w:rsid w:val="19E971DB"/>
    <w:rsid w:val="19E97D73"/>
    <w:rsid w:val="19EA2F53"/>
    <w:rsid w:val="19EA4D01"/>
    <w:rsid w:val="19EB60D6"/>
    <w:rsid w:val="19EC0A79"/>
    <w:rsid w:val="19EC2827"/>
    <w:rsid w:val="19ED3CF0"/>
    <w:rsid w:val="19ED4FB2"/>
    <w:rsid w:val="19ED659F"/>
    <w:rsid w:val="19EF2318"/>
    <w:rsid w:val="19F17E3E"/>
    <w:rsid w:val="19F33BB6"/>
    <w:rsid w:val="19F40565"/>
    <w:rsid w:val="19F655CC"/>
    <w:rsid w:val="19F811CC"/>
    <w:rsid w:val="19F93196"/>
    <w:rsid w:val="19F94F44"/>
    <w:rsid w:val="19FA13E8"/>
    <w:rsid w:val="19FD4A34"/>
    <w:rsid w:val="19FD67E3"/>
    <w:rsid w:val="19FE07AD"/>
    <w:rsid w:val="19FE3A9F"/>
    <w:rsid w:val="19FE7678"/>
    <w:rsid w:val="1A002777"/>
    <w:rsid w:val="1A003428"/>
    <w:rsid w:val="1A015FF9"/>
    <w:rsid w:val="1A023DF9"/>
    <w:rsid w:val="1A0259D8"/>
    <w:rsid w:val="1A037B71"/>
    <w:rsid w:val="1A045DC3"/>
    <w:rsid w:val="1A051B3B"/>
    <w:rsid w:val="1A0538E9"/>
    <w:rsid w:val="1A055C30"/>
    <w:rsid w:val="1A0573BC"/>
    <w:rsid w:val="1A082804"/>
    <w:rsid w:val="1A0829B9"/>
    <w:rsid w:val="1A085187"/>
    <w:rsid w:val="1A091536"/>
    <w:rsid w:val="1A09162B"/>
    <w:rsid w:val="1A09751B"/>
    <w:rsid w:val="1A0C2EC9"/>
    <w:rsid w:val="1A0C4C78"/>
    <w:rsid w:val="1A0D279E"/>
    <w:rsid w:val="1A0D6B0E"/>
    <w:rsid w:val="1A0D70D0"/>
    <w:rsid w:val="1A0F4768"/>
    <w:rsid w:val="1A1104E0"/>
    <w:rsid w:val="1A114A29"/>
    <w:rsid w:val="1A121F48"/>
    <w:rsid w:val="1A131B43"/>
    <w:rsid w:val="1A1324AA"/>
    <w:rsid w:val="1A134258"/>
    <w:rsid w:val="1A1400FC"/>
    <w:rsid w:val="1A15645A"/>
    <w:rsid w:val="1A16696F"/>
    <w:rsid w:val="1A197394"/>
    <w:rsid w:val="1A1A3838"/>
    <w:rsid w:val="1A1A6BA0"/>
    <w:rsid w:val="1A1B0CDE"/>
    <w:rsid w:val="1A1B310D"/>
    <w:rsid w:val="1A1C14C0"/>
    <w:rsid w:val="1A1D50D7"/>
    <w:rsid w:val="1A1D6E85"/>
    <w:rsid w:val="1A1F0E4F"/>
    <w:rsid w:val="1A1F2D0C"/>
    <w:rsid w:val="1A200723"/>
    <w:rsid w:val="1A2024D1"/>
    <w:rsid w:val="1A202A12"/>
    <w:rsid w:val="1A204BC7"/>
    <w:rsid w:val="1A206975"/>
    <w:rsid w:val="1A2226ED"/>
    <w:rsid w:val="1A225332"/>
    <w:rsid w:val="1A226249"/>
    <w:rsid w:val="1A253F8B"/>
    <w:rsid w:val="1A2811A4"/>
    <w:rsid w:val="1A283D75"/>
    <w:rsid w:val="1A293A7B"/>
    <w:rsid w:val="1A2975D8"/>
    <w:rsid w:val="1A2B5B83"/>
    <w:rsid w:val="1A2B7B25"/>
    <w:rsid w:val="1A2C531A"/>
    <w:rsid w:val="1A2D3B86"/>
    <w:rsid w:val="1A2E1092"/>
    <w:rsid w:val="1A2E4BEE"/>
    <w:rsid w:val="1A2F1ED0"/>
    <w:rsid w:val="1A2F6BB8"/>
    <w:rsid w:val="1A3348FA"/>
    <w:rsid w:val="1A366198"/>
    <w:rsid w:val="1A383B0D"/>
    <w:rsid w:val="1A383CBF"/>
    <w:rsid w:val="1A385A6D"/>
    <w:rsid w:val="1A394CFA"/>
    <w:rsid w:val="1A3A17E5"/>
    <w:rsid w:val="1A3A1B8F"/>
    <w:rsid w:val="1A3A3318"/>
    <w:rsid w:val="1A3B761A"/>
    <w:rsid w:val="1A3D12D5"/>
    <w:rsid w:val="1A3D748B"/>
    <w:rsid w:val="1A3F329F"/>
    <w:rsid w:val="1A4008BB"/>
    <w:rsid w:val="1A402B73"/>
    <w:rsid w:val="1A404921"/>
    <w:rsid w:val="1A4062D0"/>
    <w:rsid w:val="1A42491C"/>
    <w:rsid w:val="1A4268EB"/>
    <w:rsid w:val="1A43313F"/>
    <w:rsid w:val="1A4421DD"/>
    <w:rsid w:val="1A473F02"/>
    <w:rsid w:val="1A484105"/>
    <w:rsid w:val="1A491A28"/>
    <w:rsid w:val="1A495ECC"/>
    <w:rsid w:val="1A497C7A"/>
    <w:rsid w:val="1A4A39F2"/>
    <w:rsid w:val="1A4A57A0"/>
    <w:rsid w:val="1A4A5C0B"/>
    <w:rsid w:val="1A4B59F0"/>
    <w:rsid w:val="1A4C32C6"/>
    <w:rsid w:val="1A4C776A"/>
    <w:rsid w:val="1A4D26F0"/>
    <w:rsid w:val="1A4E703E"/>
    <w:rsid w:val="1A4F2DB6"/>
    <w:rsid w:val="1A4F6F20"/>
    <w:rsid w:val="1A501008"/>
    <w:rsid w:val="1A5034CD"/>
    <w:rsid w:val="1A50725A"/>
    <w:rsid w:val="1A511382"/>
    <w:rsid w:val="1A522CD0"/>
    <w:rsid w:val="1A524411"/>
    <w:rsid w:val="1A525091"/>
    <w:rsid w:val="1A5403CD"/>
    <w:rsid w:val="1A541902"/>
    <w:rsid w:val="1A545102"/>
    <w:rsid w:val="1A555368"/>
    <w:rsid w:val="1A57655A"/>
    <w:rsid w:val="1A584361"/>
    <w:rsid w:val="1A587EBD"/>
    <w:rsid w:val="1A591713"/>
    <w:rsid w:val="1A597FD2"/>
    <w:rsid w:val="1A5A1E87"/>
    <w:rsid w:val="1A5A3C35"/>
    <w:rsid w:val="1A5B5BFF"/>
    <w:rsid w:val="1A5D1977"/>
    <w:rsid w:val="1A5F56EF"/>
    <w:rsid w:val="1A5F6A15"/>
    <w:rsid w:val="1A5F749D"/>
    <w:rsid w:val="1A620D3B"/>
    <w:rsid w:val="1A635396"/>
    <w:rsid w:val="1A6525DA"/>
    <w:rsid w:val="1A657CB6"/>
    <w:rsid w:val="1A66082C"/>
    <w:rsid w:val="1A663D17"/>
    <w:rsid w:val="1A670100"/>
    <w:rsid w:val="1A6751A7"/>
    <w:rsid w:val="1A681208"/>
    <w:rsid w:val="1A6859A3"/>
    <w:rsid w:val="1A687CD6"/>
    <w:rsid w:val="1A6920CA"/>
    <w:rsid w:val="1A6A0F57"/>
    <w:rsid w:val="1A6A37F9"/>
    <w:rsid w:val="1A6B5E42"/>
    <w:rsid w:val="1A6C4F4B"/>
    <w:rsid w:val="1A6E1403"/>
    <w:rsid w:val="1A6E76E0"/>
    <w:rsid w:val="1A7016AA"/>
    <w:rsid w:val="1A703458"/>
    <w:rsid w:val="1A705206"/>
    <w:rsid w:val="1A710F7F"/>
    <w:rsid w:val="1A711FB7"/>
    <w:rsid w:val="1A7171D0"/>
    <w:rsid w:val="1A725422"/>
    <w:rsid w:val="1A732F49"/>
    <w:rsid w:val="1A734CF7"/>
    <w:rsid w:val="1A750A6F"/>
    <w:rsid w:val="1A75281D"/>
    <w:rsid w:val="1A756CC1"/>
    <w:rsid w:val="1A766595"/>
    <w:rsid w:val="1A78230D"/>
    <w:rsid w:val="1A7840BB"/>
    <w:rsid w:val="1A7A6085"/>
    <w:rsid w:val="1A7D44BD"/>
    <w:rsid w:val="1A7D73CD"/>
    <w:rsid w:val="1A7E085D"/>
    <w:rsid w:val="1A7E1F9E"/>
    <w:rsid w:val="1A7F18ED"/>
    <w:rsid w:val="1A7F369B"/>
    <w:rsid w:val="1A82066E"/>
    <w:rsid w:val="1A821DAF"/>
    <w:rsid w:val="1A840CB2"/>
    <w:rsid w:val="1A846F04"/>
    <w:rsid w:val="1A8567D8"/>
    <w:rsid w:val="1A864A2A"/>
    <w:rsid w:val="1A8707A2"/>
    <w:rsid w:val="1A89505D"/>
    <w:rsid w:val="1A8A078C"/>
    <w:rsid w:val="1A8B0292"/>
    <w:rsid w:val="1A8B64E4"/>
    <w:rsid w:val="1A8C400A"/>
    <w:rsid w:val="1A9058A9"/>
    <w:rsid w:val="1A911621"/>
    <w:rsid w:val="1A9119E0"/>
    <w:rsid w:val="1A91517D"/>
    <w:rsid w:val="1A920A3F"/>
    <w:rsid w:val="1A922EB8"/>
    <w:rsid w:val="1A935399"/>
    <w:rsid w:val="1A974E89"/>
    <w:rsid w:val="1A9A6727"/>
    <w:rsid w:val="1A9C424D"/>
    <w:rsid w:val="1A9D1D74"/>
    <w:rsid w:val="1A9D6217"/>
    <w:rsid w:val="1AA145EF"/>
    <w:rsid w:val="1AA255DC"/>
    <w:rsid w:val="1AA2738A"/>
    <w:rsid w:val="1AA41354"/>
    <w:rsid w:val="1AA43102"/>
    <w:rsid w:val="1AA66E7A"/>
    <w:rsid w:val="1AA72BF2"/>
    <w:rsid w:val="1AA81F13"/>
    <w:rsid w:val="1AA844E0"/>
    <w:rsid w:val="1AAA41EF"/>
    <w:rsid w:val="1AAB26E2"/>
    <w:rsid w:val="1AAC0209"/>
    <w:rsid w:val="1AAE3F81"/>
    <w:rsid w:val="1AAE61FB"/>
    <w:rsid w:val="1AB05F4B"/>
    <w:rsid w:val="1AB1581F"/>
    <w:rsid w:val="1AB23A71"/>
    <w:rsid w:val="1AB31597"/>
    <w:rsid w:val="1AB33345"/>
    <w:rsid w:val="1AB560D3"/>
    <w:rsid w:val="1AB62E35"/>
    <w:rsid w:val="1AB772D9"/>
    <w:rsid w:val="1ABA0B77"/>
    <w:rsid w:val="1ABA2925"/>
    <w:rsid w:val="1ABB1F40"/>
    <w:rsid w:val="1ABC669E"/>
    <w:rsid w:val="1ABD2416"/>
    <w:rsid w:val="1ABD3CA0"/>
    <w:rsid w:val="1ABD5F72"/>
    <w:rsid w:val="1ABF1CEA"/>
    <w:rsid w:val="1ABF618E"/>
    <w:rsid w:val="1ABF7F3C"/>
    <w:rsid w:val="1AC00E0D"/>
    <w:rsid w:val="1AC03B72"/>
    <w:rsid w:val="1AC10464"/>
    <w:rsid w:val="1AC11F06"/>
    <w:rsid w:val="1AC23C61"/>
    <w:rsid w:val="1AC25B01"/>
    <w:rsid w:val="1AC27242"/>
    <w:rsid w:val="1AC315C3"/>
    <w:rsid w:val="1AC44733"/>
    <w:rsid w:val="1AC47300"/>
    <w:rsid w:val="1AC56532"/>
    <w:rsid w:val="1AC612CA"/>
    <w:rsid w:val="1AC63078"/>
    <w:rsid w:val="1AC6751C"/>
    <w:rsid w:val="1AC83294"/>
    <w:rsid w:val="1AC90DBB"/>
    <w:rsid w:val="1AC92A69"/>
    <w:rsid w:val="1AC92C2E"/>
    <w:rsid w:val="1AC94917"/>
    <w:rsid w:val="1ACB068F"/>
    <w:rsid w:val="1ACC4407"/>
    <w:rsid w:val="1ACE63D1"/>
    <w:rsid w:val="1ACF1846"/>
    <w:rsid w:val="1ACF211B"/>
    <w:rsid w:val="1AD05CA5"/>
    <w:rsid w:val="1AD11A1D"/>
    <w:rsid w:val="1AD25EC1"/>
    <w:rsid w:val="1AD339E7"/>
    <w:rsid w:val="1AD51BFD"/>
    <w:rsid w:val="1AD53A66"/>
    <w:rsid w:val="1AD559B1"/>
    <w:rsid w:val="1AD734D7"/>
    <w:rsid w:val="1AD80FFE"/>
    <w:rsid w:val="1AD82CB4"/>
    <w:rsid w:val="1AD82DAC"/>
    <w:rsid w:val="1AD8342D"/>
    <w:rsid w:val="1AD91346"/>
    <w:rsid w:val="1AD95915"/>
    <w:rsid w:val="1ADA4D76"/>
    <w:rsid w:val="1ADC0AEE"/>
    <w:rsid w:val="1ADD03C2"/>
    <w:rsid w:val="1ADD6614"/>
    <w:rsid w:val="1ADE294C"/>
    <w:rsid w:val="1AE16104"/>
    <w:rsid w:val="1AE17EB2"/>
    <w:rsid w:val="1AE23C2A"/>
    <w:rsid w:val="1AE25BC8"/>
    <w:rsid w:val="1AE34596"/>
    <w:rsid w:val="1AE525DC"/>
    <w:rsid w:val="1AE654C9"/>
    <w:rsid w:val="1AE8410E"/>
    <w:rsid w:val="1AE86115"/>
    <w:rsid w:val="1AE96166"/>
    <w:rsid w:val="1AEB0D31"/>
    <w:rsid w:val="1AED2CFB"/>
    <w:rsid w:val="1AEE368E"/>
    <w:rsid w:val="1AEE4DCF"/>
    <w:rsid w:val="1AEE4E22"/>
    <w:rsid w:val="1AF04599"/>
    <w:rsid w:val="1AF20311"/>
    <w:rsid w:val="1AF2200F"/>
    <w:rsid w:val="1AF22EF0"/>
    <w:rsid w:val="1AF2632B"/>
    <w:rsid w:val="1AF35E37"/>
    <w:rsid w:val="1AF44089"/>
    <w:rsid w:val="1AF51BB0"/>
    <w:rsid w:val="1AF5395E"/>
    <w:rsid w:val="1AF57E02"/>
    <w:rsid w:val="1AF702D8"/>
    <w:rsid w:val="1AF71484"/>
    <w:rsid w:val="1AF851FC"/>
    <w:rsid w:val="1AF916A0"/>
    <w:rsid w:val="1AF91EE2"/>
    <w:rsid w:val="1AFA30B5"/>
    <w:rsid w:val="1AFA46C7"/>
    <w:rsid w:val="1AFA5418"/>
    <w:rsid w:val="1AFC6A9A"/>
    <w:rsid w:val="1AFD0A64"/>
    <w:rsid w:val="1AFD2812"/>
    <w:rsid w:val="1AFE48C4"/>
    <w:rsid w:val="1AFE6CB6"/>
    <w:rsid w:val="1AFF02A3"/>
    <w:rsid w:val="1AFF47DC"/>
    <w:rsid w:val="1B012302"/>
    <w:rsid w:val="1B0167A6"/>
    <w:rsid w:val="1B040045"/>
    <w:rsid w:val="1B041DF3"/>
    <w:rsid w:val="1B053056"/>
    <w:rsid w:val="1B077544"/>
    <w:rsid w:val="1B0818E3"/>
    <w:rsid w:val="1B083691"/>
    <w:rsid w:val="1B090296"/>
    <w:rsid w:val="1B097409"/>
    <w:rsid w:val="1B0D0CA7"/>
    <w:rsid w:val="1B0E3D27"/>
    <w:rsid w:val="1B0E4AD3"/>
    <w:rsid w:val="1B0E67CD"/>
    <w:rsid w:val="1B102383"/>
    <w:rsid w:val="1B1069E9"/>
    <w:rsid w:val="1B106CD9"/>
    <w:rsid w:val="1B122762"/>
    <w:rsid w:val="1B122A89"/>
    <w:rsid w:val="1B1262BE"/>
    <w:rsid w:val="1B130F83"/>
    <w:rsid w:val="1B132036"/>
    <w:rsid w:val="1B1431CA"/>
    <w:rsid w:val="1B15245C"/>
    <w:rsid w:val="1B157B5C"/>
    <w:rsid w:val="1B171B26"/>
    <w:rsid w:val="1B1738D4"/>
    <w:rsid w:val="1B177D78"/>
    <w:rsid w:val="1B1844B6"/>
    <w:rsid w:val="1B18764C"/>
    <w:rsid w:val="1B197773"/>
    <w:rsid w:val="1B1C0EEA"/>
    <w:rsid w:val="1B1C713C"/>
    <w:rsid w:val="1B1D29C5"/>
    <w:rsid w:val="1B1E2EB4"/>
    <w:rsid w:val="1B1F4E7E"/>
    <w:rsid w:val="1B201FE4"/>
    <w:rsid w:val="1B210BF7"/>
    <w:rsid w:val="1B2129A5"/>
    <w:rsid w:val="1B214753"/>
    <w:rsid w:val="1B23671D"/>
    <w:rsid w:val="1B285AE1"/>
    <w:rsid w:val="1B2A7AAB"/>
    <w:rsid w:val="1B2B737F"/>
    <w:rsid w:val="1B2D1349"/>
    <w:rsid w:val="1B2D759B"/>
    <w:rsid w:val="1B2E4C6C"/>
    <w:rsid w:val="1B2F50C2"/>
    <w:rsid w:val="1B302BE8"/>
    <w:rsid w:val="1B314EC3"/>
    <w:rsid w:val="1B32070E"/>
    <w:rsid w:val="1B322073"/>
    <w:rsid w:val="1B324BB2"/>
    <w:rsid w:val="1B3426D8"/>
    <w:rsid w:val="1B344CB1"/>
    <w:rsid w:val="1B3501FE"/>
    <w:rsid w:val="1B351FAC"/>
    <w:rsid w:val="1B357564"/>
    <w:rsid w:val="1B373F76"/>
    <w:rsid w:val="1B397CEE"/>
    <w:rsid w:val="1B3A1DD2"/>
    <w:rsid w:val="1B3A5C69"/>
    <w:rsid w:val="1B3A75C2"/>
    <w:rsid w:val="1B3B1CB8"/>
    <w:rsid w:val="1B3F107D"/>
    <w:rsid w:val="1B3F2E2B"/>
    <w:rsid w:val="1B404677"/>
    <w:rsid w:val="1B42017F"/>
    <w:rsid w:val="1B430B6D"/>
    <w:rsid w:val="1B440441"/>
    <w:rsid w:val="1B4548E5"/>
    <w:rsid w:val="1B46240B"/>
    <w:rsid w:val="1B4668DD"/>
    <w:rsid w:val="1B48001A"/>
    <w:rsid w:val="1B486183"/>
    <w:rsid w:val="1B4B178A"/>
    <w:rsid w:val="1B4B17D0"/>
    <w:rsid w:val="1B4B7A22"/>
    <w:rsid w:val="1B4C3C75"/>
    <w:rsid w:val="1B4C7F71"/>
    <w:rsid w:val="1B4D141D"/>
    <w:rsid w:val="1B4D379A"/>
    <w:rsid w:val="1B4F12C0"/>
    <w:rsid w:val="1B516A8C"/>
    <w:rsid w:val="1B527002"/>
    <w:rsid w:val="1B530684"/>
    <w:rsid w:val="1B542D7A"/>
    <w:rsid w:val="1B5468D6"/>
    <w:rsid w:val="1B5508A0"/>
    <w:rsid w:val="1B5543FC"/>
    <w:rsid w:val="1B55540D"/>
    <w:rsid w:val="1B5863FE"/>
    <w:rsid w:val="1B5865B3"/>
    <w:rsid w:val="1B593EEC"/>
    <w:rsid w:val="1B5B127F"/>
    <w:rsid w:val="1B5C39DD"/>
    <w:rsid w:val="1B5C3B9F"/>
    <w:rsid w:val="1B5F1090"/>
    <w:rsid w:val="1B612DA1"/>
    <w:rsid w:val="1B617245"/>
    <w:rsid w:val="1B643A72"/>
    <w:rsid w:val="1B656D35"/>
    <w:rsid w:val="1B661B3D"/>
    <w:rsid w:val="1B661EA8"/>
    <w:rsid w:val="1B666609"/>
    <w:rsid w:val="1B677821"/>
    <w:rsid w:val="1B6805D3"/>
    <w:rsid w:val="1B682381"/>
    <w:rsid w:val="1B6A434C"/>
    <w:rsid w:val="1B6A60FA"/>
    <w:rsid w:val="1B6B086C"/>
    <w:rsid w:val="1B6B3C20"/>
    <w:rsid w:val="1B6C00C4"/>
    <w:rsid w:val="1B6C3693"/>
    <w:rsid w:val="1B6F1962"/>
    <w:rsid w:val="1B6F54BE"/>
    <w:rsid w:val="1B7156DA"/>
    <w:rsid w:val="1B716318"/>
    <w:rsid w:val="1B726EB7"/>
    <w:rsid w:val="1B731EB5"/>
    <w:rsid w:val="1B735084"/>
    <w:rsid w:val="1B740D26"/>
    <w:rsid w:val="1B75684C"/>
    <w:rsid w:val="1B762547"/>
    <w:rsid w:val="1B762976"/>
    <w:rsid w:val="1B76355A"/>
    <w:rsid w:val="1B7725C5"/>
    <w:rsid w:val="1B781C36"/>
    <w:rsid w:val="1B7927E1"/>
    <w:rsid w:val="1B79458F"/>
    <w:rsid w:val="1B7A20B5"/>
    <w:rsid w:val="1B7A3E63"/>
    <w:rsid w:val="1B7C2EBF"/>
    <w:rsid w:val="1B7C407F"/>
    <w:rsid w:val="1B7D6C5B"/>
    <w:rsid w:val="1B7E1BA5"/>
    <w:rsid w:val="1B7F06C9"/>
    <w:rsid w:val="1B7F1479"/>
    <w:rsid w:val="1B813443"/>
    <w:rsid w:val="1B830F69"/>
    <w:rsid w:val="1B83540D"/>
    <w:rsid w:val="1B84191A"/>
    <w:rsid w:val="1B844DE8"/>
    <w:rsid w:val="1B851185"/>
    <w:rsid w:val="1B854CE1"/>
    <w:rsid w:val="1B8A054A"/>
    <w:rsid w:val="1B8B42C2"/>
    <w:rsid w:val="1B8B6070"/>
    <w:rsid w:val="1B8C2514"/>
    <w:rsid w:val="1B8D1DE8"/>
    <w:rsid w:val="1B8F3CFE"/>
    <w:rsid w:val="1B8F790E"/>
    <w:rsid w:val="1B907EBD"/>
    <w:rsid w:val="1B91134D"/>
    <w:rsid w:val="1B9118D8"/>
    <w:rsid w:val="1B917B2A"/>
    <w:rsid w:val="1B9211AC"/>
    <w:rsid w:val="1B9273FE"/>
    <w:rsid w:val="1B937611"/>
    <w:rsid w:val="1B944F25"/>
    <w:rsid w:val="1B947CCE"/>
    <w:rsid w:val="1B95115E"/>
    <w:rsid w:val="1B970EB9"/>
    <w:rsid w:val="1B977D90"/>
    <w:rsid w:val="1B98664F"/>
    <w:rsid w:val="1B9A5E9D"/>
    <w:rsid w:val="1B9B1973"/>
    <w:rsid w:val="1B9B4505"/>
    <w:rsid w:val="1B9B6711"/>
    <w:rsid w:val="1B9B78DE"/>
    <w:rsid w:val="1B9C027D"/>
    <w:rsid w:val="1B9D3E93"/>
    <w:rsid w:val="1B9E3FF5"/>
    <w:rsid w:val="1B9E5DA3"/>
    <w:rsid w:val="1B9F38C9"/>
    <w:rsid w:val="1BA01B1B"/>
    <w:rsid w:val="1BA03591"/>
    <w:rsid w:val="1BA10E42"/>
    <w:rsid w:val="1BA20DA5"/>
    <w:rsid w:val="1BA3357F"/>
    <w:rsid w:val="1BA477C3"/>
    <w:rsid w:val="1BA535D6"/>
    <w:rsid w:val="1BA55384"/>
    <w:rsid w:val="1BA57132"/>
    <w:rsid w:val="1BA620E3"/>
    <w:rsid w:val="1BA62EAA"/>
    <w:rsid w:val="1BA90A64"/>
    <w:rsid w:val="1BA97566"/>
    <w:rsid w:val="1BAB04C0"/>
    <w:rsid w:val="1BAB226E"/>
    <w:rsid w:val="1BAD248A"/>
    <w:rsid w:val="1BAD550F"/>
    <w:rsid w:val="1BAD5FE6"/>
    <w:rsid w:val="1BAF1D5E"/>
    <w:rsid w:val="1BAF4AA0"/>
    <w:rsid w:val="1BAF4E0B"/>
    <w:rsid w:val="1BAF6202"/>
    <w:rsid w:val="1BB13D28"/>
    <w:rsid w:val="1BB27AA1"/>
    <w:rsid w:val="1BB551E1"/>
    <w:rsid w:val="1BB630ED"/>
    <w:rsid w:val="1BB663F1"/>
    <w:rsid w:val="1BB750B7"/>
    <w:rsid w:val="1BB83309"/>
    <w:rsid w:val="1BB90559"/>
    <w:rsid w:val="1BB90E2F"/>
    <w:rsid w:val="1BB91C9A"/>
    <w:rsid w:val="1BB9498B"/>
    <w:rsid w:val="1BBB4BA7"/>
    <w:rsid w:val="1BBC12CF"/>
    <w:rsid w:val="1BBC447B"/>
    <w:rsid w:val="1BBD091F"/>
    <w:rsid w:val="1BBE01F3"/>
    <w:rsid w:val="1BBE6445"/>
    <w:rsid w:val="1BBF43CB"/>
    <w:rsid w:val="1BC05D1A"/>
    <w:rsid w:val="1BC11A92"/>
    <w:rsid w:val="1BC215D2"/>
    <w:rsid w:val="1BC21D75"/>
    <w:rsid w:val="1BC33A5C"/>
    <w:rsid w:val="1BC3660E"/>
    <w:rsid w:val="1BC57CA0"/>
    <w:rsid w:val="1BC7354C"/>
    <w:rsid w:val="1BC82E20"/>
    <w:rsid w:val="1BC84A1C"/>
    <w:rsid w:val="1BC91825"/>
    <w:rsid w:val="1BCA303C"/>
    <w:rsid w:val="1BCA4036"/>
    <w:rsid w:val="1BCA4DEA"/>
    <w:rsid w:val="1BCA6B98"/>
    <w:rsid w:val="1BCC1DC6"/>
    <w:rsid w:val="1BCC2910"/>
    <w:rsid w:val="1BCD0437"/>
    <w:rsid w:val="1BCD48DA"/>
    <w:rsid w:val="1BCF0653"/>
    <w:rsid w:val="1BCF41AF"/>
    <w:rsid w:val="1BD01CD5"/>
    <w:rsid w:val="1BD17F27"/>
    <w:rsid w:val="1BD21EF1"/>
    <w:rsid w:val="1BD33CD1"/>
    <w:rsid w:val="1BD417C5"/>
    <w:rsid w:val="1BD47A17"/>
    <w:rsid w:val="1BD619E1"/>
    <w:rsid w:val="1BD9502D"/>
    <w:rsid w:val="1BD96DDB"/>
    <w:rsid w:val="1BD97B43"/>
    <w:rsid w:val="1BDB39AC"/>
    <w:rsid w:val="1BDB6FF7"/>
    <w:rsid w:val="1BDE2644"/>
    <w:rsid w:val="1BDE43F2"/>
    <w:rsid w:val="1BDF01FB"/>
    <w:rsid w:val="1BDF39B5"/>
    <w:rsid w:val="1BE04E45"/>
    <w:rsid w:val="1BE20386"/>
    <w:rsid w:val="1BE340FE"/>
    <w:rsid w:val="1BE3688E"/>
    <w:rsid w:val="1BE428CB"/>
    <w:rsid w:val="1BE560E6"/>
    <w:rsid w:val="1BE614F8"/>
    <w:rsid w:val="1BE72147"/>
    <w:rsid w:val="1BE86120"/>
    <w:rsid w:val="1BE8760C"/>
    <w:rsid w:val="1BEA0FE8"/>
    <w:rsid w:val="1BEA2D97"/>
    <w:rsid w:val="1BEA548C"/>
    <w:rsid w:val="1BEB0238"/>
    <w:rsid w:val="1BEC2FB3"/>
    <w:rsid w:val="1BED2887"/>
    <w:rsid w:val="1BEE50D4"/>
    <w:rsid w:val="1BEF23DE"/>
    <w:rsid w:val="1BEF2AA3"/>
    <w:rsid w:val="1BF105C9"/>
    <w:rsid w:val="1BF260EF"/>
    <w:rsid w:val="1BF34341"/>
    <w:rsid w:val="1BF36824"/>
    <w:rsid w:val="1BF400B9"/>
    <w:rsid w:val="1BF41E67"/>
    <w:rsid w:val="1BF5244D"/>
    <w:rsid w:val="1BF64F14"/>
    <w:rsid w:val="1BF65BDF"/>
    <w:rsid w:val="1BF6798D"/>
    <w:rsid w:val="1BF70E86"/>
    <w:rsid w:val="1BF73705"/>
    <w:rsid w:val="1BF754B3"/>
    <w:rsid w:val="1BF81957"/>
    <w:rsid w:val="1BF81F89"/>
    <w:rsid w:val="1BF87760"/>
    <w:rsid w:val="1BF9747E"/>
    <w:rsid w:val="1BFB31F6"/>
    <w:rsid w:val="1BFD0D1C"/>
    <w:rsid w:val="1BFD51C0"/>
    <w:rsid w:val="1BFE6842"/>
    <w:rsid w:val="1BFF1E35"/>
    <w:rsid w:val="1C0025BA"/>
    <w:rsid w:val="1C002CEE"/>
    <w:rsid w:val="1C0074D3"/>
    <w:rsid w:val="1C030E72"/>
    <w:rsid w:val="1C03166F"/>
    <w:rsid w:val="1C033E58"/>
    <w:rsid w:val="1C053F8F"/>
    <w:rsid w:val="1C055E22"/>
    <w:rsid w:val="1C057BD0"/>
    <w:rsid w:val="1C062C22"/>
    <w:rsid w:val="1C077DEC"/>
    <w:rsid w:val="1C084051"/>
    <w:rsid w:val="1C09217F"/>
    <w:rsid w:val="1C092C35"/>
    <w:rsid w:val="1C0A51E7"/>
    <w:rsid w:val="1C0A6AB2"/>
    <w:rsid w:val="1C0C0F5F"/>
    <w:rsid w:val="1C0D4CD7"/>
    <w:rsid w:val="1C0E2F29"/>
    <w:rsid w:val="1C0F0A4F"/>
    <w:rsid w:val="1C0F6CA1"/>
    <w:rsid w:val="1C116575"/>
    <w:rsid w:val="1C125103"/>
    <w:rsid w:val="1C13053F"/>
    <w:rsid w:val="1C136791"/>
    <w:rsid w:val="1C1456C4"/>
    <w:rsid w:val="1C16002F"/>
    <w:rsid w:val="1C163B8C"/>
    <w:rsid w:val="1C177904"/>
    <w:rsid w:val="1C183B46"/>
    <w:rsid w:val="1C1918CE"/>
    <w:rsid w:val="1C19367C"/>
    <w:rsid w:val="1C194FD6"/>
    <w:rsid w:val="1C1A3895"/>
    <w:rsid w:val="1C1B3898"/>
    <w:rsid w:val="1C1C4F1A"/>
    <w:rsid w:val="1C1E0C92"/>
    <w:rsid w:val="1C1F5136"/>
    <w:rsid w:val="1C204A0A"/>
    <w:rsid w:val="1C224BF8"/>
    <w:rsid w:val="1C2564C4"/>
    <w:rsid w:val="1C281B11"/>
    <w:rsid w:val="1C2838BF"/>
    <w:rsid w:val="1C297D63"/>
    <w:rsid w:val="1C2A7637"/>
    <w:rsid w:val="1C2C1601"/>
    <w:rsid w:val="1C2C7853"/>
    <w:rsid w:val="1C2E35CB"/>
    <w:rsid w:val="1C2E5379"/>
    <w:rsid w:val="1C2F10F1"/>
    <w:rsid w:val="1C33298F"/>
    <w:rsid w:val="1C33473D"/>
    <w:rsid w:val="1C3778A2"/>
    <w:rsid w:val="1C3861F8"/>
    <w:rsid w:val="1C387FA6"/>
    <w:rsid w:val="1C393D1E"/>
    <w:rsid w:val="1C395ACC"/>
    <w:rsid w:val="1C3B7A96"/>
    <w:rsid w:val="1C3D55BC"/>
    <w:rsid w:val="1C3E1334"/>
    <w:rsid w:val="1C3E30E2"/>
    <w:rsid w:val="1C400211"/>
    <w:rsid w:val="1C406E5A"/>
    <w:rsid w:val="1C413C34"/>
    <w:rsid w:val="1C417326"/>
    <w:rsid w:val="1C420E24"/>
    <w:rsid w:val="1C4306F9"/>
    <w:rsid w:val="1C432D37"/>
    <w:rsid w:val="1C435672"/>
    <w:rsid w:val="1C454471"/>
    <w:rsid w:val="1C4701E9"/>
    <w:rsid w:val="1C485D0F"/>
    <w:rsid w:val="1C4921B3"/>
    <w:rsid w:val="1C4A1A87"/>
    <w:rsid w:val="1C4C1CA3"/>
    <w:rsid w:val="1C4C57FF"/>
    <w:rsid w:val="1C4F50A5"/>
    <w:rsid w:val="1C4F709D"/>
    <w:rsid w:val="1C550B58"/>
    <w:rsid w:val="1C556DAA"/>
    <w:rsid w:val="1C56042C"/>
    <w:rsid w:val="1C5648D0"/>
    <w:rsid w:val="1C567043"/>
    <w:rsid w:val="1C57568C"/>
    <w:rsid w:val="1C580648"/>
    <w:rsid w:val="1C5823F6"/>
    <w:rsid w:val="1C5841A4"/>
    <w:rsid w:val="1C597898"/>
    <w:rsid w:val="1C5A0DB8"/>
    <w:rsid w:val="1C5A616E"/>
    <w:rsid w:val="1C5A73B6"/>
    <w:rsid w:val="1C5B1EE6"/>
    <w:rsid w:val="1C5B4D89"/>
    <w:rsid w:val="1C5B5A42"/>
    <w:rsid w:val="1C5B6CAC"/>
    <w:rsid w:val="1C5C6219"/>
    <w:rsid w:val="1C5D110F"/>
    <w:rsid w:val="1C5D17BA"/>
    <w:rsid w:val="1C5D212C"/>
    <w:rsid w:val="1C5F3784"/>
    <w:rsid w:val="1C6045BD"/>
    <w:rsid w:val="1C60574F"/>
    <w:rsid w:val="1C6074FD"/>
    <w:rsid w:val="1C623275"/>
    <w:rsid w:val="1C625023"/>
    <w:rsid w:val="1C64757C"/>
    <w:rsid w:val="1C647A98"/>
    <w:rsid w:val="1C654B13"/>
    <w:rsid w:val="1C654D9E"/>
    <w:rsid w:val="1C654F5F"/>
    <w:rsid w:val="1C6568C1"/>
    <w:rsid w:val="1C662D65"/>
    <w:rsid w:val="1C67088B"/>
    <w:rsid w:val="1C676ADD"/>
    <w:rsid w:val="1C69015F"/>
    <w:rsid w:val="1C6B037B"/>
    <w:rsid w:val="1C6B61C2"/>
    <w:rsid w:val="1C6C3736"/>
    <w:rsid w:val="1C6C5D0E"/>
    <w:rsid w:val="1C6C5EA1"/>
    <w:rsid w:val="1C6E39C8"/>
    <w:rsid w:val="1C6E5776"/>
    <w:rsid w:val="1C6F14EE"/>
    <w:rsid w:val="1C705992"/>
    <w:rsid w:val="1C71170A"/>
    <w:rsid w:val="1C7134B8"/>
    <w:rsid w:val="1C721B80"/>
    <w:rsid w:val="1C730FDE"/>
    <w:rsid w:val="1C735482"/>
    <w:rsid w:val="1C7444C3"/>
    <w:rsid w:val="1C752FA8"/>
    <w:rsid w:val="1C75322F"/>
    <w:rsid w:val="1C760ACE"/>
    <w:rsid w:val="1C76287C"/>
    <w:rsid w:val="1C772E21"/>
    <w:rsid w:val="1C782A98"/>
    <w:rsid w:val="1C7865F4"/>
    <w:rsid w:val="1C7A05BE"/>
    <w:rsid w:val="1C7A6810"/>
    <w:rsid w:val="1C7B4336"/>
    <w:rsid w:val="1C7B60E4"/>
    <w:rsid w:val="1C7C15D2"/>
    <w:rsid w:val="1C7D4F48"/>
    <w:rsid w:val="1C7E45DE"/>
    <w:rsid w:val="1C7F5BD5"/>
    <w:rsid w:val="1C80194D"/>
    <w:rsid w:val="1C8036FB"/>
    <w:rsid w:val="1C8054A9"/>
    <w:rsid w:val="1C817B9F"/>
    <w:rsid w:val="1C821221"/>
    <w:rsid w:val="1C821675"/>
    <w:rsid w:val="1C8256C5"/>
    <w:rsid w:val="1C827473"/>
    <w:rsid w:val="1C84143D"/>
    <w:rsid w:val="1C8431EB"/>
    <w:rsid w:val="1C844F99"/>
    <w:rsid w:val="1C846B66"/>
    <w:rsid w:val="1C857158"/>
    <w:rsid w:val="1C857FF6"/>
    <w:rsid w:val="1C8651B5"/>
    <w:rsid w:val="1C871728"/>
    <w:rsid w:val="1C874A89"/>
    <w:rsid w:val="1C876837"/>
    <w:rsid w:val="1C886977"/>
    <w:rsid w:val="1C895236"/>
    <w:rsid w:val="1C8A1297"/>
    <w:rsid w:val="1C8C02F2"/>
    <w:rsid w:val="1C8E406A"/>
    <w:rsid w:val="1C8E5E18"/>
    <w:rsid w:val="1C8E7BC6"/>
    <w:rsid w:val="1C8F393E"/>
    <w:rsid w:val="1C907DE2"/>
    <w:rsid w:val="1C915908"/>
    <w:rsid w:val="1C930EB9"/>
    <w:rsid w:val="1C940F54"/>
    <w:rsid w:val="1C9443CE"/>
    <w:rsid w:val="1C9553F8"/>
    <w:rsid w:val="1C9571A6"/>
    <w:rsid w:val="1C962F1E"/>
    <w:rsid w:val="1C964CCC"/>
    <w:rsid w:val="1C976DEE"/>
    <w:rsid w:val="1C984EE8"/>
    <w:rsid w:val="1C986C96"/>
    <w:rsid w:val="1C99656B"/>
    <w:rsid w:val="1C9A0C60"/>
    <w:rsid w:val="1C9B22E3"/>
    <w:rsid w:val="1C9C4409"/>
    <w:rsid w:val="1C9D42AD"/>
    <w:rsid w:val="1C9D605B"/>
    <w:rsid w:val="1C9E37BB"/>
    <w:rsid w:val="1C9E770D"/>
    <w:rsid w:val="1C9F0025"/>
    <w:rsid w:val="1C9F1DD3"/>
    <w:rsid w:val="1CA034BD"/>
    <w:rsid w:val="1CA05B4B"/>
    <w:rsid w:val="1CA078F9"/>
    <w:rsid w:val="1CA1608E"/>
    <w:rsid w:val="1CA36461"/>
    <w:rsid w:val="1CA3724C"/>
    <w:rsid w:val="1CA473E9"/>
    <w:rsid w:val="1CA53161"/>
    <w:rsid w:val="1CA64AB4"/>
    <w:rsid w:val="1CA72AA1"/>
    <w:rsid w:val="1CA7512B"/>
    <w:rsid w:val="1CA92C52"/>
    <w:rsid w:val="1CAA0778"/>
    <w:rsid w:val="1CAB1D11"/>
    <w:rsid w:val="1CAC44F0"/>
    <w:rsid w:val="1CAD0994"/>
    <w:rsid w:val="1CAE0692"/>
    <w:rsid w:val="1CAE2016"/>
    <w:rsid w:val="1CB02232"/>
    <w:rsid w:val="1CB03FE0"/>
    <w:rsid w:val="1CB05D8E"/>
    <w:rsid w:val="1CB17D58"/>
    <w:rsid w:val="1CB258D2"/>
    <w:rsid w:val="1CB25FAA"/>
    <w:rsid w:val="1CB3003D"/>
    <w:rsid w:val="1CB47B1D"/>
    <w:rsid w:val="1CB515F6"/>
    <w:rsid w:val="1CB52DC3"/>
    <w:rsid w:val="1CB533A4"/>
    <w:rsid w:val="1CB810E7"/>
    <w:rsid w:val="1CB87339"/>
    <w:rsid w:val="1CBA09BB"/>
    <w:rsid w:val="1CBB2985"/>
    <w:rsid w:val="1CBC0BD7"/>
    <w:rsid w:val="1CBD04AB"/>
    <w:rsid w:val="1CBD66FD"/>
    <w:rsid w:val="1CC02AA7"/>
    <w:rsid w:val="1CC25AC1"/>
    <w:rsid w:val="1CC451CB"/>
    <w:rsid w:val="1CC45CDD"/>
    <w:rsid w:val="1CC53D48"/>
    <w:rsid w:val="1CC57360"/>
    <w:rsid w:val="1CC614DF"/>
    <w:rsid w:val="1CC61A56"/>
    <w:rsid w:val="1CC7132A"/>
    <w:rsid w:val="1CC730D8"/>
    <w:rsid w:val="1CC7757C"/>
    <w:rsid w:val="1CC77DA9"/>
    <w:rsid w:val="1CC85FE5"/>
    <w:rsid w:val="1CCA3B59"/>
    <w:rsid w:val="1CCB4B70"/>
    <w:rsid w:val="1CCB706C"/>
    <w:rsid w:val="1CCC06EE"/>
    <w:rsid w:val="1CCC4B92"/>
    <w:rsid w:val="1CCD3C1B"/>
    <w:rsid w:val="1CCE26B8"/>
    <w:rsid w:val="1CD145B6"/>
    <w:rsid w:val="1CD17F97"/>
    <w:rsid w:val="1CD203FA"/>
    <w:rsid w:val="1CD21A8B"/>
    <w:rsid w:val="1CD221A8"/>
    <w:rsid w:val="1CD31A7D"/>
    <w:rsid w:val="1CD35F20"/>
    <w:rsid w:val="1CD40DEE"/>
    <w:rsid w:val="1CD777BF"/>
    <w:rsid w:val="1CD83537"/>
    <w:rsid w:val="1CDA4463"/>
    <w:rsid w:val="1CDC1BD7"/>
    <w:rsid w:val="1CDC4DD5"/>
    <w:rsid w:val="1CDD6D9F"/>
    <w:rsid w:val="1CDE345E"/>
    <w:rsid w:val="1CDF48C5"/>
    <w:rsid w:val="1CDF6333"/>
    <w:rsid w:val="1CE123EB"/>
    <w:rsid w:val="1CE149AE"/>
    <w:rsid w:val="1CE4012E"/>
    <w:rsid w:val="1CE7377A"/>
    <w:rsid w:val="1CE974F2"/>
    <w:rsid w:val="1CEA3142"/>
    <w:rsid w:val="1CEB14BC"/>
    <w:rsid w:val="1CEB6DC6"/>
    <w:rsid w:val="1CEB71A3"/>
    <w:rsid w:val="1CEC2B3E"/>
    <w:rsid w:val="1CED6FE2"/>
    <w:rsid w:val="1CEE4B08"/>
    <w:rsid w:val="1CF0262F"/>
    <w:rsid w:val="1CF118D4"/>
    <w:rsid w:val="1CF2284B"/>
    <w:rsid w:val="1CF245F9"/>
    <w:rsid w:val="1CF35935"/>
    <w:rsid w:val="1CF4524C"/>
    <w:rsid w:val="1CF540E9"/>
    <w:rsid w:val="1CF55E97"/>
    <w:rsid w:val="1CF71C0F"/>
    <w:rsid w:val="1CF87735"/>
    <w:rsid w:val="1CFA16FF"/>
    <w:rsid w:val="1CFA525B"/>
    <w:rsid w:val="1CFB0616"/>
    <w:rsid w:val="1CFD20AF"/>
    <w:rsid w:val="1CFD2FA0"/>
    <w:rsid w:val="1CFF6AA9"/>
    <w:rsid w:val="1CFF6D16"/>
    <w:rsid w:val="1D012A8E"/>
    <w:rsid w:val="1D0165EA"/>
    <w:rsid w:val="1D022362"/>
    <w:rsid w:val="1D023B39"/>
    <w:rsid w:val="1D03542A"/>
    <w:rsid w:val="1D047E88"/>
    <w:rsid w:val="1D0600A4"/>
    <w:rsid w:val="1D063C00"/>
    <w:rsid w:val="1D07523B"/>
    <w:rsid w:val="1D081E29"/>
    <w:rsid w:val="1D083E1C"/>
    <w:rsid w:val="1D097B94"/>
    <w:rsid w:val="1D0A0FEB"/>
    <w:rsid w:val="1D0B56BA"/>
    <w:rsid w:val="1D0B7468"/>
    <w:rsid w:val="1D0D3DDA"/>
    <w:rsid w:val="1D0D782F"/>
    <w:rsid w:val="1D0E0D07"/>
    <w:rsid w:val="1D100F23"/>
    <w:rsid w:val="1D1125A5"/>
    <w:rsid w:val="1D1207F7"/>
    <w:rsid w:val="1D1218AC"/>
    <w:rsid w:val="1D126A49"/>
    <w:rsid w:val="1D1327C1"/>
    <w:rsid w:val="1D1337DE"/>
    <w:rsid w:val="1D13631D"/>
    <w:rsid w:val="1D144C6E"/>
    <w:rsid w:val="1D1502E7"/>
    <w:rsid w:val="1D1560FE"/>
    <w:rsid w:val="1D160E0A"/>
    <w:rsid w:val="1D1722B1"/>
    <w:rsid w:val="1D1735EF"/>
    <w:rsid w:val="1D175E0D"/>
    <w:rsid w:val="1D183933"/>
    <w:rsid w:val="1D185521"/>
    <w:rsid w:val="1D187DD7"/>
    <w:rsid w:val="1D1A36B1"/>
    <w:rsid w:val="1D1A76CF"/>
    <w:rsid w:val="1D1C1676"/>
    <w:rsid w:val="1D1C78C7"/>
    <w:rsid w:val="1D1D719C"/>
    <w:rsid w:val="1D1E3640"/>
    <w:rsid w:val="1D1E6DB9"/>
    <w:rsid w:val="1D1F4CC2"/>
    <w:rsid w:val="1D210A3A"/>
    <w:rsid w:val="1D21612C"/>
    <w:rsid w:val="1D216B94"/>
    <w:rsid w:val="1D2247B2"/>
    <w:rsid w:val="1D230C56"/>
    <w:rsid w:val="1D24052A"/>
    <w:rsid w:val="1D2624F4"/>
    <w:rsid w:val="1D2642A2"/>
    <w:rsid w:val="1D280446"/>
    <w:rsid w:val="1D28626C"/>
    <w:rsid w:val="1D291FE4"/>
    <w:rsid w:val="1D295B40"/>
    <w:rsid w:val="1D2A2B43"/>
    <w:rsid w:val="1D2B18B9"/>
    <w:rsid w:val="1D2B7B0B"/>
    <w:rsid w:val="1D2D5631"/>
    <w:rsid w:val="1D303373"/>
    <w:rsid w:val="1D306ECF"/>
    <w:rsid w:val="1D315622"/>
    <w:rsid w:val="1D322C47"/>
    <w:rsid w:val="1D3369BF"/>
    <w:rsid w:val="1D352737"/>
    <w:rsid w:val="1D37025D"/>
    <w:rsid w:val="1D372BD9"/>
    <w:rsid w:val="1D384069"/>
    <w:rsid w:val="1D392227"/>
    <w:rsid w:val="1D3A5FA0"/>
    <w:rsid w:val="1D3A6989"/>
    <w:rsid w:val="1D3B29EA"/>
    <w:rsid w:val="1D3C4FC3"/>
    <w:rsid w:val="1D3C55BB"/>
    <w:rsid w:val="1D3C6C87"/>
    <w:rsid w:val="1D3E15EC"/>
    <w:rsid w:val="1D3F2D67"/>
    <w:rsid w:val="1D3F35B6"/>
    <w:rsid w:val="1D3F3F3C"/>
    <w:rsid w:val="1D4053CC"/>
    <w:rsid w:val="1D412E8A"/>
    <w:rsid w:val="1D4330A6"/>
    <w:rsid w:val="1D434E54"/>
    <w:rsid w:val="1D440BCC"/>
    <w:rsid w:val="1D444728"/>
    <w:rsid w:val="1D4551DD"/>
    <w:rsid w:val="1D4604A0"/>
    <w:rsid w:val="1D464944"/>
    <w:rsid w:val="1D465D4E"/>
    <w:rsid w:val="1D47116E"/>
    <w:rsid w:val="1D4806BC"/>
    <w:rsid w:val="1D484219"/>
    <w:rsid w:val="1D497F91"/>
    <w:rsid w:val="1D4A4435"/>
    <w:rsid w:val="1D4B1F5B"/>
    <w:rsid w:val="1D4B5AB7"/>
    <w:rsid w:val="1D4D182F"/>
    <w:rsid w:val="1D4D5CD3"/>
    <w:rsid w:val="1D4E1BDE"/>
    <w:rsid w:val="1D4F1A4B"/>
    <w:rsid w:val="1D4F6E3B"/>
    <w:rsid w:val="1D50131F"/>
    <w:rsid w:val="1D5030CD"/>
    <w:rsid w:val="1D5113F8"/>
    <w:rsid w:val="1D5148BC"/>
    <w:rsid w:val="1D5232E9"/>
    <w:rsid w:val="1D5254AA"/>
    <w:rsid w:val="1D530C71"/>
    <w:rsid w:val="1D532BBD"/>
    <w:rsid w:val="1D540E0F"/>
    <w:rsid w:val="1D552DD9"/>
    <w:rsid w:val="1D553591"/>
    <w:rsid w:val="1D55480D"/>
    <w:rsid w:val="1D562F59"/>
    <w:rsid w:val="1D5726AE"/>
    <w:rsid w:val="1D583653"/>
    <w:rsid w:val="1D594678"/>
    <w:rsid w:val="1D594C7C"/>
    <w:rsid w:val="1D5C1A72"/>
    <w:rsid w:val="1D5C799E"/>
    <w:rsid w:val="1D5C7CC4"/>
    <w:rsid w:val="1D5E1C8E"/>
    <w:rsid w:val="1D61177E"/>
    <w:rsid w:val="1D61352C"/>
    <w:rsid w:val="1D6152DA"/>
    <w:rsid w:val="1D615E46"/>
    <w:rsid w:val="1D644DCB"/>
    <w:rsid w:val="1D65301C"/>
    <w:rsid w:val="1D664516"/>
    <w:rsid w:val="1D666D95"/>
    <w:rsid w:val="1D6670E7"/>
    <w:rsid w:val="1D6848BB"/>
    <w:rsid w:val="1D686669"/>
    <w:rsid w:val="1D69418F"/>
    <w:rsid w:val="1D6A0296"/>
    <w:rsid w:val="1D6A0633"/>
    <w:rsid w:val="1D6A5668"/>
    <w:rsid w:val="1D6A5A68"/>
    <w:rsid w:val="1D6B310E"/>
    <w:rsid w:val="1D6B7F07"/>
    <w:rsid w:val="1D6D1ED1"/>
    <w:rsid w:val="1D6E1711"/>
    <w:rsid w:val="1D6E7421"/>
    <w:rsid w:val="1D6E79F7"/>
    <w:rsid w:val="1D6F3E9B"/>
    <w:rsid w:val="1D6F5C49"/>
    <w:rsid w:val="1D7019C1"/>
    <w:rsid w:val="1D70551D"/>
    <w:rsid w:val="1D721295"/>
    <w:rsid w:val="1D725739"/>
    <w:rsid w:val="1D741997"/>
    <w:rsid w:val="1D74500E"/>
    <w:rsid w:val="1D755216"/>
    <w:rsid w:val="1D756FD8"/>
    <w:rsid w:val="1D763D09"/>
    <w:rsid w:val="1D774AFE"/>
    <w:rsid w:val="1D790876"/>
    <w:rsid w:val="1D79298C"/>
    <w:rsid w:val="1D796AC8"/>
    <w:rsid w:val="1D7B4C88"/>
    <w:rsid w:val="1D7C2114"/>
    <w:rsid w:val="1D7E7C3A"/>
    <w:rsid w:val="1D7F39B2"/>
    <w:rsid w:val="1D8027D0"/>
    <w:rsid w:val="1D8070CB"/>
    <w:rsid w:val="1D814ED0"/>
    <w:rsid w:val="1D816D52"/>
    <w:rsid w:val="1D81772B"/>
    <w:rsid w:val="1D8316F5"/>
    <w:rsid w:val="1D83660F"/>
    <w:rsid w:val="1D85546D"/>
    <w:rsid w:val="1D8611E5"/>
    <w:rsid w:val="1D862F93"/>
    <w:rsid w:val="1D864D41"/>
    <w:rsid w:val="1D876420"/>
    <w:rsid w:val="1D880AB9"/>
    <w:rsid w:val="1D882867"/>
    <w:rsid w:val="1D892481"/>
    <w:rsid w:val="1D8C2C2E"/>
    <w:rsid w:val="1D8D136A"/>
    <w:rsid w:val="1D8D60CF"/>
    <w:rsid w:val="1D905BC0"/>
    <w:rsid w:val="1D90796E"/>
    <w:rsid w:val="1D93318F"/>
    <w:rsid w:val="1D951428"/>
    <w:rsid w:val="1D9531D6"/>
    <w:rsid w:val="1D9751A0"/>
    <w:rsid w:val="1D976F4E"/>
    <w:rsid w:val="1D9A07EC"/>
    <w:rsid w:val="1D9A259A"/>
    <w:rsid w:val="1D9B4C90"/>
    <w:rsid w:val="1D9B6558"/>
    <w:rsid w:val="1D9B6A3E"/>
    <w:rsid w:val="1D9C6312"/>
    <w:rsid w:val="1D9C70F7"/>
    <w:rsid w:val="1D9D3ED0"/>
    <w:rsid w:val="1D9E652E"/>
    <w:rsid w:val="1D9E7C1B"/>
    <w:rsid w:val="1DA019F7"/>
    <w:rsid w:val="1DA022A7"/>
    <w:rsid w:val="1DA04055"/>
    <w:rsid w:val="1DA11B7B"/>
    <w:rsid w:val="1DA17DCD"/>
    <w:rsid w:val="1DA23161"/>
    <w:rsid w:val="1DA24769"/>
    <w:rsid w:val="1DA33B45"/>
    <w:rsid w:val="1DA50210"/>
    <w:rsid w:val="1DA578BD"/>
    <w:rsid w:val="1DA63635"/>
    <w:rsid w:val="1DA65E17"/>
    <w:rsid w:val="1DA82F09"/>
    <w:rsid w:val="1DA84CB7"/>
    <w:rsid w:val="1DAA4A53"/>
    <w:rsid w:val="1DAA4ED3"/>
    <w:rsid w:val="1DAA6C81"/>
    <w:rsid w:val="1DAB29F9"/>
    <w:rsid w:val="1DAB760F"/>
    <w:rsid w:val="1DAC0C4B"/>
    <w:rsid w:val="1DAF4298"/>
    <w:rsid w:val="1DAF6046"/>
    <w:rsid w:val="1DB01DBE"/>
    <w:rsid w:val="1DB056D7"/>
    <w:rsid w:val="1DB16262"/>
    <w:rsid w:val="1DB21FDA"/>
    <w:rsid w:val="1DB23D88"/>
    <w:rsid w:val="1DB25B36"/>
    <w:rsid w:val="1DB418AE"/>
    <w:rsid w:val="1DB55626"/>
    <w:rsid w:val="1DB573D4"/>
    <w:rsid w:val="1DB8698F"/>
    <w:rsid w:val="1DB96EC4"/>
    <w:rsid w:val="1DBA2C3C"/>
    <w:rsid w:val="1DBA49EB"/>
    <w:rsid w:val="1DBB1753"/>
    <w:rsid w:val="1DBC4C07"/>
    <w:rsid w:val="1DBC650F"/>
    <w:rsid w:val="1DBC69B5"/>
    <w:rsid w:val="1DBD1371"/>
    <w:rsid w:val="1DBE097F"/>
    <w:rsid w:val="1DBF3C91"/>
    <w:rsid w:val="1DC1221D"/>
    <w:rsid w:val="1DC323E3"/>
    <w:rsid w:val="1DC37D43"/>
    <w:rsid w:val="1DC53ABB"/>
    <w:rsid w:val="1DC57B03"/>
    <w:rsid w:val="1DC65F93"/>
    <w:rsid w:val="1DC67833"/>
    <w:rsid w:val="1DC72423"/>
    <w:rsid w:val="1DC835AB"/>
    <w:rsid w:val="1DC840A8"/>
    <w:rsid w:val="1DC85359"/>
    <w:rsid w:val="1DCA0DA4"/>
    <w:rsid w:val="1DCA1E79"/>
    <w:rsid w:val="1DCA2E80"/>
    <w:rsid w:val="1DCD0BC2"/>
    <w:rsid w:val="1DCD2970"/>
    <w:rsid w:val="1DCE373B"/>
    <w:rsid w:val="1DCF460D"/>
    <w:rsid w:val="1DD01570"/>
    <w:rsid w:val="1DD0420E"/>
    <w:rsid w:val="1DD04AF0"/>
    <w:rsid w:val="1DD06133"/>
    <w:rsid w:val="1DD2442A"/>
    <w:rsid w:val="1DD261D8"/>
    <w:rsid w:val="1DD45AAC"/>
    <w:rsid w:val="1DD5022C"/>
    <w:rsid w:val="1DD66F98"/>
    <w:rsid w:val="1DD67A76"/>
    <w:rsid w:val="1DD71A40"/>
    <w:rsid w:val="1DD733A8"/>
    <w:rsid w:val="1DD75923"/>
    <w:rsid w:val="1DD81A08"/>
    <w:rsid w:val="1DD84838"/>
    <w:rsid w:val="1DD957B9"/>
    <w:rsid w:val="1DDA6E3B"/>
    <w:rsid w:val="1DDB0383"/>
    <w:rsid w:val="1DDB32DF"/>
    <w:rsid w:val="1DDB565E"/>
    <w:rsid w:val="1DDC2BB3"/>
    <w:rsid w:val="1DDD7BF0"/>
    <w:rsid w:val="1DDE4B7D"/>
    <w:rsid w:val="1DDE692B"/>
    <w:rsid w:val="1DE008F5"/>
    <w:rsid w:val="1DE026A3"/>
    <w:rsid w:val="1DE06B47"/>
    <w:rsid w:val="1DE2466D"/>
    <w:rsid w:val="1DE2702B"/>
    <w:rsid w:val="1DE3194B"/>
    <w:rsid w:val="1DE32193"/>
    <w:rsid w:val="1DE33F41"/>
    <w:rsid w:val="1DE5415D"/>
    <w:rsid w:val="1DE55F0B"/>
    <w:rsid w:val="1DE63A32"/>
    <w:rsid w:val="1DE71C83"/>
    <w:rsid w:val="1DE81558"/>
    <w:rsid w:val="1DE859FC"/>
    <w:rsid w:val="1DE861F8"/>
    <w:rsid w:val="1DEA3522"/>
    <w:rsid w:val="1DED6B6E"/>
    <w:rsid w:val="1DF223D6"/>
    <w:rsid w:val="1DF24184"/>
    <w:rsid w:val="1DF3368A"/>
    <w:rsid w:val="1DF443A0"/>
    <w:rsid w:val="1DF51610"/>
    <w:rsid w:val="1DF5197B"/>
    <w:rsid w:val="1DF554A1"/>
    <w:rsid w:val="1DF63A52"/>
    <w:rsid w:val="1DF86605"/>
    <w:rsid w:val="1DF919B7"/>
    <w:rsid w:val="1DFA6CCA"/>
    <w:rsid w:val="1DFB572F"/>
    <w:rsid w:val="1DFB7BD2"/>
    <w:rsid w:val="1DFC163B"/>
    <w:rsid w:val="1DFC3255"/>
    <w:rsid w:val="1DFD14A7"/>
    <w:rsid w:val="1DFD6804"/>
    <w:rsid w:val="1DFE0C99"/>
    <w:rsid w:val="1E002D45"/>
    <w:rsid w:val="1E004AF3"/>
    <w:rsid w:val="1E005185"/>
    <w:rsid w:val="1E0068A1"/>
    <w:rsid w:val="1E01086B"/>
    <w:rsid w:val="1E012619"/>
    <w:rsid w:val="1E013A44"/>
    <w:rsid w:val="1E024D4F"/>
    <w:rsid w:val="1E036392"/>
    <w:rsid w:val="1E042876"/>
    <w:rsid w:val="1E05143D"/>
    <w:rsid w:val="1E05210A"/>
    <w:rsid w:val="1E0563C6"/>
    <w:rsid w:val="1E0565AE"/>
    <w:rsid w:val="1E067C30"/>
    <w:rsid w:val="1E072487"/>
    <w:rsid w:val="1E0740D4"/>
    <w:rsid w:val="1E081BFA"/>
    <w:rsid w:val="1E0A3BC4"/>
    <w:rsid w:val="1E0A5972"/>
    <w:rsid w:val="1E0A7720"/>
    <w:rsid w:val="1E0B0E08"/>
    <w:rsid w:val="1E0B5246"/>
    <w:rsid w:val="1E0C16EA"/>
    <w:rsid w:val="1E0C3498"/>
    <w:rsid w:val="1E0D0FBE"/>
    <w:rsid w:val="1E0D610D"/>
    <w:rsid w:val="1E0E6229"/>
    <w:rsid w:val="1E0F11DA"/>
    <w:rsid w:val="1E107C03"/>
    <w:rsid w:val="1E111BED"/>
    <w:rsid w:val="1E113539"/>
    <w:rsid w:val="1E114F52"/>
    <w:rsid w:val="1E116D00"/>
    <w:rsid w:val="1E124827"/>
    <w:rsid w:val="1E12759A"/>
    <w:rsid w:val="1E1467F1"/>
    <w:rsid w:val="1E15334A"/>
    <w:rsid w:val="1E160478"/>
    <w:rsid w:val="1E17083B"/>
    <w:rsid w:val="1E1A5D2C"/>
    <w:rsid w:val="1E1B7B7F"/>
    <w:rsid w:val="1E1C064C"/>
    <w:rsid w:val="1E1D38F7"/>
    <w:rsid w:val="1E1E141D"/>
    <w:rsid w:val="1E1F1EBF"/>
    <w:rsid w:val="1E1F2595"/>
    <w:rsid w:val="1E2012C8"/>
    <w:rsid w:val="1E205195"/>
    <w:rsid w:val="1E206F43"/>
    <w:rsid w:val="1E214A6A"/>
    <w:rsid w:val="1E220F0E"/>
    <w:rsid w:val="1E222CBC"/>
    <w:rsid w:val="1E231C8B"/>
    <w:rsid w:val="1E236A34"/>
    <w:rsid w:val="1E2527AC"/>
    <w:rsid w:val="1E252E3F"/>
    <w:rsid w:val="1E285DF8"/>
    <w:rsid w:val="1E29229C"/>
    <w:rsid w:val="1E2A1B70"/>
    <w:rsid w:val="1E2A7B00"/>
    <w:rsid w:val="1E2C09AB"/>
    <w:rsid w:val="1E2C34DA"/>
    <w:rsid w:val="1E2C3B3A"/>
    <w:rsid w:val="1E2C43AB"/>
    <w:rsid w:val="1E2C7696"/>
    <w:rsid w:val="1E2D340E"/>
    <w:rsid w:val="1E2E78B2"/>
    <w:rsid w:val="1E2F362A"/>
    <w:rsid w:val="1E2F53D8"/>
    <w:rsid w:val="1E2F6AC2"/>
    <w:rsid w:val="1E2F7187"/>
    <w:rsid w:val="1E307726"/>
    <w:rsid w:val="1E312B23"/>
    <w:rsid w:val="1E312EFF"/>
    <w:rsid w:val="1E3173A3"/>
    <w:rsid w:val="1E320A25"/>
    <w:rsid w:val="1E326C77"/>
    <w:rsid w:val="1E334EC9"/>
    <w:rsid w:val="1E3414A4"/>
    <w:rsid w:val="1E3429EF"/>
    <w:rsid w:val="1E352934"/>
    <w:rsid w:val="1E354CE7"/>
    <w:rsid w:val="1E3866E4"/>
    <w:rsid w:val="1E3B0DA8"/>
    <w:rsid w:val="1E3B1FCF"/>
    <w:rsid w:val="1E3C64F5"/>
    <w:rsid w:val="1E3C6958"/>
    <w:rsid w:val="1E3D5024"/>
    <w:rsid w:val="1E3D5D47"/>
    <w:rsid w:val="1E3D7AF5"/>
    <w:rsid w:val="1E3E516A"/>
    <w:rsid w:val="1E3E73CA"/>
    <w:rsid w:val="1E3F0A5F"/>
    <w:rsid w:val="1E401394"/>
    <w:rsid w:val="1E430E84"/>
    <w:rsid w:val="1E432C32"/>
    <w:rsid w:val="1E4363C8"/>
    <w:rsid w:val="1E4470D6"/>
    <w:rsid w:val="1E450CE8"/>
    <w:rsid w:val="1E454BFC"/>
    <w:rsid w:val="1E470974"/>
    <w:rsid w:val="1E4744D0"/>
    <w:rsid w:val="1E487669"/>
    <w:rsid w:val="1E4A2212"/>
    <w:rsid w:val="1E4A671A"/>
    <w:rsid w:val="1E4C5F8A"/>
    <w:rsid w:val="1E4E3AB1"/>
    <w:rsid w:val="1E4F15D7"/>
    <w:rsid w:val="1E4F4DB4"/>
    <w:rsid w:val="1E4F5A7B"/>
    <w:rsid w:val="1E4F7829"/>
    <w:rsid w:val="1E5001B2"/>
    <w:rsid w:val="1E5135A1"/>
    <w:rsid w:val="1E5242F2"/>
    <w:rsid w:val="1E560BB7"/>
    <w:rsid w:val="1E566E09"/>
    <w:rsid w:val="1E57048B"/>
    <w:rsid w:val="1E5835A5"/>
    <w:rsid w:val="1E58715D"/>
    <w:rsid w:val="1E5906A7"/>
    <w:rsid w:val="1E5A1A7D"/>
    <w:rsid w:val="1E5A2311"/>
    <w:rsid w:val="1E5A2645"/>
    <w:rsid w:val="1E5B1DB9"/>
    <w:rsid w:val="1E5B61CE"/>
    <w:rsid w:val="1E5C5ADE"/>
    <w:rsid w:val="1E5D1B3F"/>
    <w:rsid w:val="1E5E6B54"/>
    <w:rsid w:val="1E601A36"/>
    <w:rsid w:val="1E605592"/>
    <w:rsid w:val="1E61052E"/>
    <w:rsid w:val="1E62130A"/>
    <w:rsid w:val="1E62755C"/>
    <w:rsid w:val="1E635082"/>
    <w:rsid w:val="1E646E41"/>
    <w:rsid w:val="1E6502D1"/>
    <w:rsid w:val="1E650DFA"/>
    <w:rsid w:val="1E672DC4"/>
    <w:rsid w:val="1E6757C2"/>
    <w:rsid w:val="1E676920"/>
    <w:rsid w:val="1E682698"/>
    <w:rsid w:val="1E6A37E9"/>
    <w:rsid w:val="1E6A4663"/>
    <w:rsid w:val="1E6A6411"/>
    <w:rsid w:val="1E6C03DB"/>
    <w:rsid w:val="1E6C2189"/>
    <w:rsid w:val="1E6C3F37"/>
    <w:rsid w:val="1E6C55D3"/>
    <w:rsid w:val="1E6C7F40"/>
    <w:rsid w:val="1E6D7CAF"/>
    <w:rsid w:val="1E6E1383"/>
    <w:rsid w:val="1E6E393B"/>
    <w:rsid w:val="1E6E5F01"/>
    <w:rsid w:val="1E6F1C79"/>
    <w:rsid w:val="1E7159F1"/>
    <w:rsid w:val="1E731769"/>
    <w:rsid w:val="1E7352C5"/>
    <w:rsid w:val="1E74103D"/>
    <w:rsid w:val="1E756287"/>
    <w:rsid w:val="1E763007"/>
    <w:rsid w:val="1E766B63"/>
    <w:rsid w:val="1E780B2E"/>
    <w:rsid w:val="1E7866CF"/>
    <w:rsid w:val="1E786D7F"/>
    <w:rsid w:val="1E7948A6"/>
    <w:rsid w:val="1E796654"/>
    <w:rsid w:val="1E7B23CC"/>
    <w:rsid w:val="1E7B3521"/>
    <w:rsid w:val="1E7D4396"/>
    <w:rsid w:val="1E7D6144"/>
    <w:rsid w:val="1E7E1EBC"/>
    <w:rsid w:val="1E7F010E"/>
    <w:rsid w:val="1E7F544A"/>
    <w:rsid w:val="1E803E86"/>
    <w:rsid w:val="1E805C34"/>
    <w:rsid w:val="1E817AAD"/>
    <w:rsid w:val="1E82375A"/>
    <w:rsid w:val="1E830C89"/>
    <w:rsid w:val="1E844CEA"/>
    <w:rsid w:val="1E85131C"/>
    <w:rsid w:val="1E85149C"/>
    <w:rsid w:val="1E877F18"/>
    <w:rsid w:val="1E890F8D"/>
    <w:rsid w:val="1E8A0861"/>
    <w:rsid w:val="1E8A260F"/>
    <w:rsid w:val="1E8A5B8F"/>
    <w:rsid w:val="1E8A6AB3"/>
    <w:rsid w:val="1E8C45D9"/>
    <w:rsid w:val="1E8C6387"/>
    <w:rsid w:val="1E8E20FF"/>
    <w:rsid w:val="1E8E65A3"/>
    <w:rsid w:val="1E8F40C9"/>
    <w:rsid w:val="1E8F7C25"/>
    <w:rsid w:val="1E9021CA"/>
    <w:rsid w:val="1E9049CE"/>
    <w:rsid w:val="1E911BEF"/>
    <w:rsid w:val="1E917E41"/>
    <w:rsid w:val="1E921EBF"/>
    <w:rsid w:val="1E937715"/>
    <w:rsid w:val="1E944404"/>
    <w:rsid w:val="1E9516DF"/>
    <w:rsid w:val="1E960FB4"/>
    <w:rsid w:val="1E967206"/>
    <w:rsid w:val="1E9845F0"/>
    <w:rsid w:val="1E990AA4"/>
    <w:rsid w:val="1E9A3377"/>
    <w:rsid w:val="1E9A4F48"/>
    <w:rsid w:val="1E9B2A6E"/>
    <w:rsid w:val="1E9C5B42"/>
    <w:rsid w:val="1E9D2342"/>
    <w:rsid w:val="1E9D39E6"/>
    <w:rsid w:val="1E9D67E6"/>
    <w:rsid w:val="1E9F255E"/>
    <w:rsid w:val="1EA062D6"/>
    <w:rsid w:val="1EA2204E"/>
    <w:rsid w:val="1EA23DFC"/>
    <w:rsid w:val="1EA362C4"/>
    <w:rsid w:val="1EA42B93"/>
    <w:rsid w:val="1EA47B74"/>
    <w:rsid w:val="1EA51D2D"/>
    <w:rsid w:val="1EA66BF4"/>
    <w:rsid w:val="1EA717C5"/>
    <w:rsid w:val="1EA731C1"/>
    <w:rsid w:val="1EA77665"/>
    <w:rsid w:val="1EA90CE7"/>
    <w:rsid w:val="1EA92AB9"/>
    <w:rsid w:val="1EA9518B"/>
    <w:rsid w:val="1EA96F39"/>
    <w:rsid w:val="1EAA4A5F"/>
    <w:rsid w:val="1EAE454F"/>
    <w:rsid w:val="1EAF02C7"/>
    <w:rsid w:val="1EAF0A4E"/>
    <w:rsid w:val="1EAF13E7"/>
    <w:rsid w:val="1EB15BB6"/>
    <w:rsid w:val="1EB42688"/>
    <w:rsid w:val="1EB458DE"/>
    <w:rsid w:val="1EB4768C"/>
    <w:rsid w:val="1EB51D82"/>
    <w:rsid w:val="1EB564C5"/>
    <w:rsid w:val="1EB57186"/>
    <w:rsid w:val="1EB83620"/>
    <w:rsid w:val="1EB83BDA"/>
    <w:rsid w:val="1EB8717C"/>
    <w:rsid w:val="1EB8776E"/>
    <w:rsid w:val="1EBA1146"/>
    <w:rsid w:val="1EBA64FA"/>
    <w:rsid w:val="1EBB0A1A"/>
    <w:rsid w:val="1EBB4EBE"/>
    <w:rsid w:val="1EBC4B33"/>
    <w:rsid w:val="1EBD0C36"/>
    <w:rsid w:val="1EBD4792"/>
    <w:rsid w:val="1EBF050A"/>
    <w:rsid w:val="1EBF49AE"/>
    <w:rsid w:val="1EC10726"/>
    <w:rsid w:val="1EC24C8C"/>
    <w:rsid w:val="1EC2624D"/>
    <w:rsid w:val="1EC3611C"/>
    <w:rsid w:val="1EC41FC5"/>
    <w:rsid w:val="1EC43D73"/>
    <w:rsid w:val="1EC45B21"/>
    <w:rsid w:val="1EC51899"/>
    <w:rsid w:val="1EC57AEB"/>
    <w:rsid w:val="1EC73863"/>
    <w:rsid w:val="1EC91389"/>
    <w:rsid w:val="1EC93DFC"/>
    <w:rsid w:val="1ECA6EAF"/>
    <w:rsid w:val="1ECB3353"/>
    <w:rsid w:val="1ECC0E79"/>
    <w:rsid w:val="1ECC2C27"/>
    <w:rsid w:val="1ECE4BF1"/>
    <w:rsid w:val="1ECF3BA9"/>
    <w:rsid w:val="1ECF7290"/>
    <w:rsid w:val="1ED02718"/>
    <w:rsid w:val="1ED1023E"/>
    <w:rsid w:val="1ED11BB0"/>
    <w:rsid w:val="1ED146E2"/>
    <w:rsid w:val="1ED32208"/>
    <w:rsid w:val="1ED41ADC"/>
    <w:rsid w:val="1ED44256"/>
    <w:rsid w:val="1ED57D2E"/>
    <w:rsid w:val="1EDA17E8"/>
    <w:rsid w:val="1EDB10BC"/>
    <w:rsid w:val="1EDC6AF8"/>
    <w:rsid w:val="1EDC730E"/>
    <w:rsid w:val="1EDC7DA8"/>
    <w:rsid w:val="1EDE624F"/>
    <w:rsid w:val="1EDF2698"/>
    <w:rsid w:val="1EDF295B"/>
    <w:rsid w:val="1EDF2B6B"/>
    <w:rsid w:val="1EDF6D85"/>
    <w:rsid w:val="1EDF6DFF"/>
    <w:rsid w:val="1EE1004B"/>
    <w:rsid w:val="1EE14925"/>
    <w:rsid w:val="1EE2069D"/>
    <w:rsid w:val="1EE2244B"/>
    <w:rsid w:val="1EE241F9"/>
    <w:rsid w:val="1EE44415"/>
    <w:rsid w:val="1EE53CE9"/>
    <w:rsid w:val="1EE6018D"/>
    <w:rsid w:val="1EE7180F"/>
    <w:rsid w:val="1EE76CC2"/>
    <w:rsid w:val="1EE95587"/>
    <w:rsid w:val="1EEA12FF"/>
    <w:rsid w:val="1EEB57A3"/>
    <w:rsid w:val="1EEC5078"/>
    <w:rsid w:val="1EEE0DF0"/>
    <w:rsid w:val="1EEE6DDC"/>
    <w:rsid w:val="1EEF01A7"/>
    <w:rsid w:val="1EEF7FE2"/>
    <w:rsid w:val="1EF06916"/>
    <w:rsid w:val="1EF1268E"/>
    <w:rsid w:val="1EF503D0"/>
    <w:rsid w:val="1EF5217E"/>
    <w:rsid w:val="1EF53F2C"/>
    <w:rsid w:val="1EF63B7C"/>
    <w:rsid w:val="1EF65EF6"/>
    <w:rsid w:val="1EF67CA4"/>
    <w:rsid w:val="1EF8106D"/>
    <w:rsid w:val="1EFA1543"/>
    <w:rsid w:val="1EFA3C38"/>
    <w:rsid w:val="1EFB3F4A"/>
    <w:rsid w:val="1EFB52BB"/>
    <w:rsid w:val="1EFC175F"/>
    <w:rsid w:val="1EFC79EE"/>
    <w:rsid w:val="1EFD1033"/>
    <w:rsid w:val="1EFD54D7"/>
    <w:rsid w:val="1EFF124F"/>
    <w:rsid w:val="1EFF4DAB"/>
    <w:rsid w:val="1F0028D1"/>
    <w:rsid w:val="1F006665"/>
    <w:rsid w:val="1F016D75"/>
    <w:rsid w:val="1F022AED"/>
    <w:rsid w:val="1F036180"/>
    <w:rsid w:val="1F0625DD"/>
    <w:rsid w:val="1F070103"/>
    <w:rsid w:val="1F071EB1"/>
    <w:rsid w:val="1F073C5F"/>
    <w:rsid w:val="1F080E63"/>
    <w:rsid w:val="1F0827F2"/>
    <w:rsid w:val="1F086AFE"/>
    <w:rsid w:val="1F093E7B"/>
    <w:rsid w:val="1F097421"/>
    <w:rsid w:val="1F0979D8"/>
    <w:rsid w:val="1F0A3ECA"/>
    <w:rsid w:val="1F0A7B1F"/>
    <w:rsid w:val="1F0A7BCF"/>
    <w:rsid w:val="1F0B7BF4"/>
    <w:rsid w:val="1F0C1276"/>
    <w:rsid w:val="1F0D1E03"/>
    <w:rsid w:val="1F0D396C"/>
    <w:rsid w:val="1F100D66"/>
    <w:rsid w:val="1F106FB8"/>
    <w:rsid w:val="1F114ADE"/>
    <w:rsid w:val="1F120F82"/>
    <w:rsid w:val="1F122D30"/>
    <w:rsid w:val="1F123511"/>
    <w:rsid w:val="1F134CFA"/>
    <w:rsid w:val="1F136AA8"/>
    <w:rsid w:val="1F150595"/>
    <w:rsid w:val="1F1545CE"/>
    <w:rsid w:val="1F170346"/>
    <w:rsid w:val="1F170C05"/>
    <w:rsid w:val="1F176598"/>
    <w:rsid w:val="1F180379"/>
    <w:rsid w:val="1F1840BF"/>
    <w:rsid w:val="1F184743"/>
    <w:rsid w:val="1F1970AB"/>
    <w:rsid w:val="1F1B770B"/>
    <w:rsid w:val="1F1D16D5"/>
    <w:rsid w:val="1F1F5F5A"/>
    <w:rsid w:val="1F212F73"/>
    <w:rsid w:val="1F240CB5"/>
    <w:rsid w:val="1F242A63"/>
    <w:rsid w:val="1F244029"/>
    <w:rsid w:val="1F244811"/>
    <w:rsid w:val="1F253597"/>
    <w:rsid w:val="1F26058A"/>
    <w:rsid w:val="1F264A2D"/>
    <w:rsid w:val="1F274302"/>
    <w:rsid w:val="1F29007A"/>
    <w:rsid w:val="1F291E28"/>
    <w:rsid w:val="1F2962CC"/>
    <w:rsid w:val="1F2974A4"/>
    <w:rsid w:val="1F2E5690"/>
    <w:rsid w:val="1F2F113C"/>
    <w:rsid w:val="1F2F1C7B"/>
    <w:rsid w:val="1F301408"/>
    <w:rsid w:val="1F3031B6"/>
    <w:rsid w:val="1F330EF8"/>
    <w:rsid w:val="1F3507CD"/>
    <w:rsid w:val="1F372797"/>
    <w:rsid w:val="1F374545"/>
    <w:rsid w:val="1F38206B"/>
    <w:rsid w:val="1F38650F"/>
    <w:rsid w:val="1F3A5DE3"/>
    <w:rsid w:val="1F3C5FFF"/>
    <w:rsid w:val="1F3D3B25"/>
    <w:rsid w:val="1F3D58D3"/>
    <w:rsid w:val="1F3E1D77"/>
    <w:rsid w:val="1F3F16A4"/>
    <w:rsid w:val="1F3F33F9"/>
    <w:rsid w:val="1F4153C3"/>
    <w:rsid w:val="1F422183"/>
    <w:rsid w:val="1F422EEA"/>
    <w:rsid w:val="1F427E7B"/>
    <w:rsid w:val="1F442D6E"/>
    <w:rsid w:val="1F446C62"/>
    <w:rsid w:val="1F4629DA"/>
    <w:rsid w:val="1F4853F4"/>
    <w:rsid w:val="1F486752"/>
    <w:rsid w:val="1F49071C"/>
    <w:rsid w:val="1F4924CA"/>
    <w:rsid w:val="1F494278"/>
    <w:rsid w:val="1F4A7E04"/>
    <w:rsid w:val="1F4B1DA5"/>
    <w:rsid w:val="1F4B4494"/>
    <w:rsid w:val="1F4C08D8"/>
    <w:rsid w:val="1F4F34B0"/>
    <w:rsid w:val="1F501AAA"/>
    <w:rsid w:val="1F503858"/>
    <w:rsid w:val="1F525822"/>
    <w:rsid w:val="1F533349"/>
    <w:rsid w:val="1F5350F7"/>
    <w:rsid w:val="1F550E6F"/>
    <w:rsid w:val="1F552E57"/>
    <w:rsid w:val="1F5570C1"/>
    <w:rsid w:val="1F572E39"/>
    <w:rsid w:val="1F574BE7"/>
    <w:rsid w:val="1F575C13"/>
    <w:rsid w:val="1F59095F"/>
    <w:rsid w:val="1F5A46D7"/>
    <w:rsid w:val="1F5A6485"/>
    <w:rsid w:val="1F5B6042"/>
    <w:rsid w:val="1F5C21FD"/>
    <w:rsid w:val="1F5C3FAB"/>
    <w:rsid w:val="1F5E5F75"/>
    <w:rsid w:val="1F5F16AB"/>
    <w:rsid w:val="1F5F584A"/>
    <w:rsid w:val="1F5F6ADA"/>
    <w:rsid w:val="1F6137FD"/>
    <w:rsid w:val="1F617814"/>
    <w:rsid w:val="1F63358C"/>
    <w:rsid w:val="1F642E60"/>
    <w:rsid w:val="1F647304"/>
    <w:rsid w:val="1F66307C"/>
    <w:rsid w:val="1F6643FF"/>
    <w:rsid w:val="1F664E2A"/>
    <w:rsid w:val="1F666BD8"/>
    <w:rsid w:val="1F6707D7"/>
    <w:rsid w:val="1F677E3D"/>
    <w:rsid w:val="1F686DF4"/>
    <w:rsid w:val="1F69275D"/>
    <w:rsid w:val="1F6966C8"/>
    <w:rsid w:val="1F6B0692"/>
    <w:rsid w:val="1F6B2440"/>
    <w:rsid w:val="1F6B41EE"/>
    <w:rsid w:val="1F6B68E4"/>
    <w:rsid w:val="1F6D256E"/>
    <w:rsid w:val="1F6D2CE6"/>
    <w:rsid w:val="1F6D440A"/>
    <w:rsid w:val="1F6D7F66"/>
    <w:rsid w:val="1F6E1F30"/>
    <w:rsid w:val="1F6F5C6F"/>
    <w:rsid w:val="1F703EFB"/>
    <w:rsid w:val="1F710EEF"/>
    <w:rsid w:val="1F721A21"/>
    <w:rsid w:val="1F7363E0"/>
    <w:rsid w:val="1F745799"/>
    <w:rsid w:val="1F770DE5"/>
    <w:rsid w:val="1F777037"/>
    <w:rsid w:val="1F78690B"/>
    <w:rsid w:val="1F792252"/>
    <w:rsid w:val="1F7A6B27"/>
    <w:rsid w:val="1F7C289F"/>
    <w:rsid w:val="1F7C464D"/>
    <w:rsid w:val="1F7C63FB"/>
    <w:rsid w:val="1F7D3F22"/>
    <w:rsid w:val="1F7E03C6"/>
    <w:rsid w:val="1F7F5EEC"/>
    <w:rsid w:val="1F803199"/>
    <w:rsid w:val="1F811C64"/>
    <w:rsid w:val="1F8325A2"/>
    <w:rsid w:val="1F833C2E"/>
    <w:rsid w:val="1F8359DC"/>
    <w:rsid w:val="1F841754"/>
    <w:rsid w:val="1F843502"/>
    <w:rsid w:val="1F852AAF"/>
    <w:rsid w:val="1F861028"/>
    <w:rsid w:val="1F8654CC"/>
    <w:rsid w:val="1F86620F"/>
    <w:rsid w:val="1F875CE6"/>
    <w:rsid w:val="1F884DA0"/>
    <w:rsid w:val="1F887176"/>
    <w:rsid w:val="1F8A4FBC"/>
    <w:rsid w:val="1F8B2AE2"/>
    <w:rsid w:val="1F8B3EF6"/>
    <w:rsid w:val="1F8B663F"/>
    <w:rsid w:val="1F8D0609"/>
    <w:rsid w:val="1F8D23B7"/>
    <w:rsid w:val="1F8D4A57"/>
    <w:rsid w:val="1F8E42DE"/>
    <w:rsid w:val="1F9000F9"/>
    <w:rsid w:val="1F901EA7"/>
    <w:rsid w:val="1F9279CD"/>
    <w:rsid w:val="1F941997"/>
    <w:rsid w:val="1F947BE9"/>
    <w:rsid w:val="1F953961"/>
    <w:rsid w:val="1F974FE3"/>
    <w:rsid w:val="1F980D5B"/>
    <w:rsid w:val="1F9900FB"/>
    <w:rsid w:val="1F9951FF"/>
    <w:rsid w:val="1F9959A8"/>
    <w:rsid w:val="1F996FAD"/>
    <w:rsid w:val="1F9A0F77"/>
    <w:rsid w:val="1F9A2D26"/>
    <w:rsid w:val="1F9B4B7A"/>
    <w:rsid w:val="1F9C01BD"/>
    <w:rsid w:val="1F9C706C"/>
    <w:rsid w:val="1F9E2ADD"/>
    <w:rsid w:val="1F9E45C4"/>
    <w:rsid w:val="1FA0342B"/>
    <w:rsid w:val="1FA23B2A"/>
    <w:rsid w:val="1FA346C9"/>
    <w:rsid w:val="1FA37E2C"/>
    <w:rsid w:val="1FA6126F"/>
    <w:rsid w:val="1FA80990"/>
    <w:rsid w:val="1FA83694"/>
    <w:rsid w:val="1FA85442"/>
    <w:rsid w:val="1FA86760"/>
    <w:rsid w:val="1FA92F69"/>
    <w:rsid w:val="1FA94D17"/>
    <w:rsid w:val="1FA9750D"/>
    <w:rsid w:val="1FAA740D"/>
    <w:rsid w:val="1FAD0CAB"/>
    <w:rsid w:val="1FAE057F"/>
    <w:rsid w:val="1FAF67D1"/>
    <w:rsid w:val="1FB02549"/>
    <w:rsid w:val="1FB16C3F"/>
    <w:rsid w:val="1FB2128A"/>
    <w:rsid w:val="1FB21E1D"/>
    <w:rsid w:val="1FB301B8"/>
    <w:rsid w:val="1FB35BE2"/>
    <w:rsid w:val="1FB44DFE"/>
    <w:rsid w:val="1FB5074C"/>
    <w:rsid w:val="1FB5190D"/>
    <w:rsid w:val="1FB57B5F"/>
    <w:rsid w:val="1FB6316D"/>
    <w:rsid w:val="1FB65DB1"/>
    <w:rsid w:val="1FB75686"/>
    <w:rsid w:val="1FB810F2"/>
    <w:rsid w:val="1FB81613"/>
    <w:rsid w:val="1FB97650"/>
    <w:rsid w:val="1FBA5176"/>
    <w:rsid w:val="1FBB04F4"/>
    <w:rsid w:val="1FBB4490"/>
    <w:rsid w:val="1FBC0EEE"/>
    <w:rsid w:val="1FBC3495"/>
    <w:rsid w:val="1FBC4A4A"/>
    <w:rsid w:val="1FBD7271"/>
    <w:rsid w:val="1FBE07C2"/>
    <w:rsid w:val="1FBE0986"/>
    <w:rsid w:val="1FBE4C66"/>
    <w:rsid w:val="1FBF453A"/>
    <w:rsid w:val="1FC009DE"/>
    <w:rsid w:val="1FC075B8"/>
    <w:rsid w:val="1FC3402A"/>
    <w:rsid w:val="1FC42E37"/>
    <w:rsid w:val="1FC45AFF"/>
    <w:rsid w:val="1FC55C88"/>
    <w:rsid w:val="1FC63DF0"/>
    <w:rsid w:val="1FC658C9"/>
    <w:rsid w:val="1FC733AF"/>
    <w:rsid w:val="1FC748BA"/>
    <w:rsid w:val="1FC85AE5"/>
    <w:rsid w:val="1FC971DA"/>
    <w:rsid w:val="1FCA360B"/>
    <w:rsid w:val="1FCA53B9"/>
    <w:rsid w:val="1FCB1131"/>
    <w:rsid w:val="1FCB1AFA"/>
    <w:rsid w:val="1FCB1E28"/>
    <w:rsid w:val="1FCB2EDF"/>
    <w:rsid w:val="1FCB5AF2"/>
    <w:rsid w:val="1FCC2803"/>
    <w:rsid w:val="1FCD4EA9"/>
    <w:rsid w:val="1FCF0C21"/>
    <w:rsid w:val="1FCF29CF"/>
    <w:rsid w:val="1FCF66C4"/>
    <w:rsid w:val="1FCF6E73"/>
    <w:rsid w:val="1FD004F5"/>
    <w:rsid w:val="1FD2426D"/>
    <w:rsid w:val="1FD30694"/>
    <w:rsid w:val="1FD46237"/>
    <w:rsid w:val="1FD53D5E"/>
    <w:rsid w:val="1FD55B0C"/>
    <w:rsid w:val="1FD55B8C"/>
    <w:rsid w:val="1FD60202"/>
    <w:rsid w:val="1FD61FB0"/>
    <w:rsid w:val="1FD75D28"/>
    <w:rsid w:val="1FD77AD6"/>
    <w:rsid w:val="1FD840FD"/>
    <w:rsid w:val="1FD91AA0"/>
    <w:rsid w:val="1FD9384E"/>
    <w:rsid w:val="1FDA1374"/>
    <w:rsid w:val="1FDB2A7E"/>
    <w:rsid w:val="1FDB7D95"/>
    <w:rsid w:val="1FDC333E"/>
    <w:rsid w:val="1FDD6ADF"/>
    <w:rsid w:val="1FDE70B6"/>
    <w:rsid w:val="1FDF7539"/>
    <w:rsid w:val="1FE01B46"/>
    <w:rsid w:val="1FE04BDC"/>
    <w:rsid w:val="1FE10954"/>
    <w:rsid w:val="1FE16BA6"/>
    <w:rsid w:val="1FE30229"/>
    <w:rsid w:val="1FE33D7C"/>
    <w:rsid w:val="1FE346CD"/>
    <w:rsid w:val="1FE3647B"/>
    <w:rsid w:val="1FE43FA1"/>
    <w:rsid w:val="1FE6339F"/>
    <w:rsid w:val="1FE71E4B"/>
    <w:rsid w:val="1FE741BD"/>
    <w:rsid w:val="1FE77225"/>
    <w:rsid w:val="1FEA7809"/>
    <w:rsid w:val="1FEB2573"/>
    <w:rsid w:val="1FEC1213"/>
    <w:rsid w:val="1FEC17D3"/>
    <w:rsid w:val="1FED10A7"/>
    <w:rsid w:val="1FED554B"/>
    <w:rsid w:val="1FED72F9"/>
    <w:rsid w:val="1FEF3071"/>
    <w:rsid w:val="1FF00B97"/>
    <w:rsid w:val="1FF13FC9"/>
    <w:rsid w:val="1FF16DE9"/>
    <w:rsid w:val="1FF40688"/>
    <w:rsid w:val="1FF57F5C"/>
    <w:rsid w:val="1FF64400"/>
    <w:rsid w:val="1FF6610F"/>
    <w:rsid w:val="1FF836E7"/>
    <w:rsid w:val="1FF93EF0"/>
    <w:rsid w:val="1FF95C9E"/>
    <w:rsid w:val="1FFC12EA"/>
    <w:rsid w:val="1FFC578E"/>
    <w:rsid w:val="1FFE5062"/>
    <w:rsid w:val="2000394A"/>
    <w:rsid w:val="2000527E"/>
    <w:rsid w:val="20012DA5"/>
    <w:rsid w:val="20032679"/>
    <w:rsid w:val="200357C5"/>
    <w:rsid w:val="20054643"/>
    <w:rsid w:val="200603BB"/>
    <w:rsid w:val="20062169"/>
    <w:rsid w:val="200872A5"/>
    <w:rsid w:val="200A7EAB"/>
    <w:rsid w:val="200B21DA"/>
    <w:rsid w:val="200B6F8C"/>
    <w:rsid w:val="200C01F2"/>
    <w:rsid w:val="200C041C"/>
    <w:rsid w:val="200C59D1"/>
    <w:rsid w:val="200D1749"/>
    <w:rsid w:val="200D34F7"/>
    <w:rsid w:val="200F0E23"/>
    <w:rsid w:val="200F101E"/>
    <w:rsid w:val="200F7270"/>
    <w:rsid w:val="2010022D"/>
    <w:rsid w:val="20120B0E"/>
    <w:rsid w:val="20140D2A"/>
    <w:rsid w:val="20145C76"/>
    <w:rsid w:val="201523AC"/>
    <w:rsid w:val="20166850"/>
    <w:rsid w:val="20170100"/>
    <w:rsid w:val="20176124"/>
    <w:rsid w:val="20190BDF"/>
    <w:rsid w:val="201B3E66"/>
    <w:rsid w:val="201B5C14"/>
    <w:rsid w:val="201B7ACA"/>
    <w:rsid w:val="201C373B"/>
    <w:rsid w:val="201D1F72"/>
    <w:rsid w:val="201D27FE"/>
    <w:rsid w:val="201D2D1F"/>
    <w:rsid w:val="201E74B3"/>
    <w:rsid w:val="2020147D"/>
    <w:rsid w:val="202028F3"/>
    <w:rsid w:val="202251F5"/>
    <w:rsid w:val="2023096B"/>
    <w:rsid w:val="2025476B"/>
    <w:rsid w:val="2027280B"/>
    <w:rsid w:val="202874D1"/>
    <w:rsid w:val="202A1D1E"/>
    <w:rsid w:val="202A40A9"/>
    <w:rsid w:val="202A6576"/>
    <w:rsid w:val="202B4E25"/>
    <w:rsid w:val="202B4E35"/>
    <w:rsid w:val="202C0E96"/>
    <w:rsid w:val="202C6073"/>
    <w:rsid w:val="202D1DEC"/>
    <w:rsid w:val="202D3B58"/>
    <w:rsid w:val="202D3B9A"/>
    <w:rsid w:val="202D3DFB"/>
    <w:rsid w:val="202D76F6"/>
    <w:rsid w:val="202E37B6"/>
    <w:rsid w:val="202F7912"/>
    <w:rsid w:val="203211B0"/>
    <w:rsid w:val="20324D08"/>
    <w:rsid w:val="20334955"/>
    <w:rsid w:val="20336B1C"/>
    <w:rsid w:val="20360CA0"/>
    <w:rsid w:val="203647FC"/>
    <w:rsid w:val="20384A18"/>
    <w:rsid w:val="2039253E"/>
    <w:rsid w:val="20396EBD"/>
    <w:rsid w:val="203A349A"/>
    <w:rsid w:val="203B1E13"/>
    <w:rsid w:val="203C3DDD"/>
    <w:rsid w:val="203D7CFB"/>
    <w:rsid w:val="203E5DA7"/>
    <w:rsid w:val="204038CD"/>
    <w:rsid w:val="204333BD"/>
    <w:rsid w:val="2043516B"/>
    <w:rsid w:val="204505AD"/>
    <w:rsid w:val="20450EE3"/>
    <w:rsid w:val="20452C91"/>
    <w:rsid w:val="204607B7"/>
    <w:rsid w:val="204809D3"/>
    <w:rsid w:val="204D01CF"/>
    <w:rsid w:val="204F1D62"/>
    <w:rsid w:val="204F3B10"/>
    <w:rsid w:val="20511636"/>
    <w:rsid w:val="20515ADA"/>
    <w:rsid w:val="20517888"/>
    <w:rsid w:val="20523600"/>
    <w:rsid w:val="205253AE"/>
    <w:rsid w:val="20526FE4"/>
    <w:rsid w:val="20531852"/>
    <w:rsid w:val="20541126"/>
    <w:rsid w:val="20564103"/>
    <w:rsid w:val="20564772"/>
    <w:rsid w:val="20564C93"/>
    <w:rsid w:val="20564E9E"/>
    <w:rsid w:val="20566C4C"/>
    <w:rsid w:val="20586E69"/>
    <w:rsid w:val="20590647"/>
    <w:rsid w:val="20595DD8"/>
    <w:rsid w:val="205B63C0"/>
    <w:rsid w:val="205C7FDB"/>
    <w:rsid w:val="205D5FA8"/>
    <w:rsid w:val="20605D1D"/>
    <w:rsid w:val="20607ACB"/>
    <w:rsid w:val="206155F1"/>
    <w:rsid w:val="20616645"/>
    <w:rsid w:val="20620A30"/>
    <w:rsid w:val="206323A6"/>
    <w:rsid w:val="2063580D"/>
    <w:rsid w:val="20642E48"/>
    <w:rsid w:val="20651585"/>
    <w:rsid w:val="20657105"/>
    <w:rsid w:val="20672C08"/>
    <w:rsid w:val="20686980"/>
    <w:rsid w:val="20692E24"/>
    <w:rsid w:val="206A6947"/>
    <w:rsid w:val="206B1AB6"/>
    <w:rsid w:val="206C021E"/>
    <w:rsid w:val="206C46C2"/>
    <w:rsid w:val="206D3F96"/>
    <w:rsid w:val="206D77B9"/>
    <w:rsid w:val="206E0C49"/>
    <w:rsid w:val="206E1E82"/>
    <w:rsid w:val="206E238A"/>
    <w:rsid w:val="206F7D0E"/>
    <w:rsid w:val="20713A86"/>
    <w:rsid w:val="2071613A"/>
    <w:rsid w:val="20756A1B"/>
    <w:rsid w:val="207673DB"/>
    <w:rsid w:val="207812B9"/>
    <w:rsid w:val="20783067"/>
    <w:rsid w:val="2079293B"/>
    <w:rsid w:val="207978BD"/>
    <w:rsid w:val="207A092D"/>
    <w:rsid w:val="207B4905"/>
    <w:rsid w:val="207B6FD6"/>
    <w:rsid w:val="207C43F8"/>
    <w:rsid w:val="207D067D"/>
    <w:rsid w:val="207D242B"/>
    <w:rsid w:val="207E43F5"/>
    <w:rsid w:val="207F1255"/>
    <w:rsid w:val="20801F1B"/>
    <w:rsid w:val="20803CC9"/>
    <w:rsid w:val="20821C90"/>
    <w:rsid w:val="20825C93"/>
    <w:rsid w:val="208539D6"/>
    <w:rsid w:val="20857532"/>
    <w:rsid w:val="20866C6D"/>
    <w:rsid w:val="208714FC"/>
    <w:rsid w:val="208843C1"/>
    <w:rsid w:val="20895274"/>
    <w:rsid w:val="208A0FEC"/>
    <w:rsid w:val="208A2D9A"/>
    <w:rsid w:val="208A4B48"/>
    <w:rsid w:val="208C08C0"/>
    <w:rsid w:val="208C4DC3"/>
    <w:rsid w:val="208D63E6"/>
    <w:rsid w:val="208E0233"/>
    <w:rsid w:val="208E2C65"/>
    <w:rsid w:val="208F16C3"/>
    <w:rsid w:val="20914128"/>
    <w:rsid w:val="20931C4F"/>
    <w:rsid w:val="20937EA1"/>
    <w:rsid w:val="209440A5"/>
    <w:rsid w:val="209459C7"/>
    <w:rsid w:val="20946623"/>
    <w:rsid w:val="209669C5"/>
    <w:rsid w:val="20987265"/>
    <w:rsid w:val="209B4FA7"/>
    <w:rsid w:val="209B6D55"/>
    <w:rsid w:val="209C39D5"/>
    <w:rsid w:val="209D6898"/>
    <w:rsid w:val="209E05F3"/>
    <w:rsid w:val="209F6845"/>
    <w:rsid w:val="20A0611A"/>
    <w:rsid w:val="20A200E4"/>
    <w:rsid w:val="20A26336"/>
    <w:rsid w:val="20A43E5C"/>
    <w:rsid w:val="20A51982"/>
    <w:rsid w:val="20A53730"/>
    <w:rsid w:val="20A57BD4"/>
    <w:rsid w:val="20A774A8"/>
    <w:rsid w:val="20A80DDA"/>
    <w:rsid w:val="20A8226A"/>
    <w:rsid w:val="20AA343C"/>
    <w:rsid w:val="20AA51EA"/>
    <w:rsid w:val="20AA6F98"/>
    <w:rsid w:val="20AC0F62"/>
    <w:rsid w:val="20AC4ABE"/>
    <w:rsid w:val="20AD0837"/>
    <w:rsid w:val="20AD4C4C"/>
    <w:rsid w:val="20AE1417"/>
    <w:rsid w:val="20AE1992"/>
    <w:rsid w:val="20B1441C"/>
    <w:rsid w:val="20B147CB"/>
    <w:rsid w:val="20B16579"/>
    <w:rsid w:val="20B3409F"/>
    <w:rsid w:val="20B54B1F"/>
    <w:rsid w:val="20B56069"/>
    <w:rsid w:val="20B61DE1"/>
    <w:rsid w:val="20B63B8F"/>
    <w:rsid w:val="20B6486E"/>
    <w:rsid w:val="20B7743F"/>
    <w:rsid w:val="20B8126D"/>
    <w:rsid w:val="20B816B5"/>
    <w:rsid w:val="20B971DB"/>
    <w:rsid w:val="20BA09EF"/>
    <w:rsid w:val="20BD4F1E"/>
    <w:rsid w:val="20BD6CCC"/>
    <w:rsid w:val="20BE47F2"/>
    <w:rsid w:val="20BE4E13"/>
    <w:rsid w:val="20BF07A2"/>
    <w:rsid w:val="20BF0C96"/>
    <w:rsid w:val="20C07B2F"/>
    <w:rsid w:val="20C1476D"/>
    <w:rsid w:val="20C20786"/>
    <w:rsid w:val="20C22EE1"/>
    <w:rsid w:val="20C242E2"/>
    <w:rsid w:val="20C31E08"/>
    <w:rsid w:val="20C462AC"/>
    <w:rsid w:val="20C718F8"/>
    <w:rsid w:val="20CA13E8"/>
    <w:rsid w:val="20CA1D87"/>
    <w:rsid w:val="20CB32E8"/>
    <w:rsid w:val="20CB6718"/>
    <w:rsid w:val="20CB71D8"/>
    <w:rsid w:val="20CC6F0F"/>
    <w:rsid w:val="20CE0ED9"/>
    <w:rsid w:val="20CE15D6"/>
    <w:rsid w:val="20CE2C87"/>
    <w:rsid w:val="20CE3F85"/>
    <w:rsid w:val="20CF69FF"/>
    <w:rsid w:val="20CF6B56"/>
    <w:rsid w:val="20D001B3"/>
    <w:rsid w:val="20D109C9"/>
    <w:rsid w:val="20D12947"/>
    <w:rsid w:val="20D61B3B"/>
    <w:rsid w:val="20D65FDF"/>
    <w:rsid w:val="20D67D8D"/>
    <w:rsid w:val="20D81D57"/>
    <w:rsid w:val="20D83B05"/>
    <w:rsid w:val="20D858B3"/>
    <w:rsid w:val="20D9162C"/>
    <w:rsid w:val="20DA787E"/>
    <w:rsid w:val="20DB35F6"/>
    <w:rsid w:val="20DB53A4"/>
    <w:rsid w:val="20DF4E94"/>
    <w:rsid w:val="20DF7006"/>
    <w:rsid w:val="20DF718A"/>
    <w:rsid w:val="20E029BA"/>
    <w:rsid w:val="20E24984"/>
    <w:rsid w:val="20E30711"/>
    <w:rsid w:val="20E424AA"/>
    <w:rsid w:val="20E6220C"/>
    <w:rsid w:val="20E71F9A"/>
    <w:rsid w:val="20E7303F"/>
    <w:rsid w:val="20E765ED"/>
    <w:rsid w:val="20E819B8"/>
    <w:rsid w:val="20E83E27"/>
    <w:rsid w:val="20E863F3"/>
    <w:rsid w:val="20E86C14"/>
    <w:rsid w:val="20EA3839"/>
    <w:rsid w:val="20EA531B"/>
    <w:rsid w:val="20EB4BEE"/>
    <w:rsid w:val="20EC135F"/>
    <w:rsid w:val="20EC5803"/>
    <w:rsid w:val="20EC75B1"/>
    <w:rsid w:val="20EC77BF"/>
    <w:rsid w:val="20EE3329"/>
    <w:rsid w:val="20EF0E4F"/>
    <w:rsid w:val="20EF2BFD"/>
    <w:rsid w:val="20F070A1"/>
    <w:rsid w:val="20F075D0"/>
    <w:rsid w:val="20F12E19"/>
    <w:rsid w:val="20F326ED"/>
    <w:rsid w:val="20F33380"/>
    <w:rsid w:val="20F36B91"/>
    <w:rsid w:val="20F46465"/>
    <w:rsid w:val="20F52909"/>
    <w:rsid w:val="20F6042F"/>
    <w:rsid w:val="20F748D2"/>
    <w:rsid w:val="20F76B2D"/>
    <w:rsid w:val="20F84069"/>
    <w:rsid w:val="20F841A8"/>
    <w:rsid w:val="20F84C60"/>
    <w:rsid w:val="20F900A6"/>
    <w:rsid w:val="20FA1CCE"/>
    <w:rsid w:val="20FA7F20"/>
    <w:rsid w:val="20FC3C98"/>
    <w:rsid w:val="20FF4E74"/>
    <w:rsid w:val="20FF5536"/>
    <w:rsid w:val="2100305C"/>
    <w:rsid w:val="210070C5"/>
    <w:rsid w:val="21016CD7"/>
    <w:rsid w:val="21020B82"/>
    <w:rsid w:val="21022930"/>
    <w:rsid w:val="21025026"/>
    <w:rsid w:val="21026DD4"/>
    <w:rsid w:val="21035486"/>
    <w:rsid w:val="21042B4C"/>
    <w:rsid w:val="210466A8"/>
    <w:rsid w:val="21052421"/>
    <w:rsid w:val="2107263D"/>
    <w:rsid w:val="21076199"/>
    <w:rsid w:val="21090163"/>
    <w:rsid w:val="21090177"/>
    <w:rsid w:val="21093CBF"/>
    <w:rsid w:val="210963B5"/>
    <w:rsid w:val="210A0532"/>
    <w:rsid w:val="210B2DDA"/>
    <w:rsid w:val="210B3EDB"/>
    <w:rsid w:val="210B5C89"/>
    <w:rsid w:val="210C37AF"/>
    <w:rsid w:val="210E39CB"/>
    <w:rsid w:val="210F1418"/>
    <w:rsid w:val="211014F1"/>
    <w:rsid w:val="2110329F"/>
    <w:rsid w:val="2111004A"/>
    <w:rsid w:val="21117017"/>
    <w:rsid w:val="21130FE1"/>
    <w:rsid w:val="211508B6"/>
    <w:rsid w:val="2116462E"/>
    <w:rsid w:val="211803A6"/>
    <w:rsid w:val="21182134"/>
    <w:rsid w:val="2119509B"/>
    <w:rsid w:val="211A7A85"/>
    <w:rsid w:val="211B777E"/>
    <w:rsid w:val="211C60E8"/>
    <w:rsid w:val="211E22CD"/>
    <w:rsid w:val="21204F6E"/>
    <w:rsid w:val="2120725A"/>
    <w:rsid w:val="212154AC"/>
    <w:rsid w:val="21221225"/>
    <w:rsid w:val="21222FD3"/>
    <w:rsid w:val="212338EF"/>
    <w:rsid w:val="21240AF9"/>
    <w:rsid w:val="21244F9D"/>
    <w:rsid w:val="2125616F"/>
    <w:rsid w:val="2125620F"/>
    <w:rsid w:val="2126121F"/>
    <w:rsid w:val="21267EFF"/>
    <w:rsid w:val="212705E9"/>
    <w:rsid w:val="21274A8D"/>
    <w:rsid w:val="21296553"/>
    <w:rsid w:val="212B00D9"/>
    <w:rsid w:val="212C5BFF"/>
    <w:rsid w:val="212D20A3"/>
    <w:rsid w:val="212E0A02"/>
    <w:rsid w:val="213056EF"/>
    <w:rsid w:val="2130749E"/>
    <w:rsid w:val="21311468"/>
    <w:rsid w:val="213217A6"/>
    <w:rsid w:val="213276BA"/>
    <w:rsid w:val="21332BF6"/>
    <w:rsid w:val="213351E0"/>
    <w:rsid w:val="21341CA3"/>
    <w:rsid w:val="21344DBE"/>
    <w:rsid w:val="21350F58"/>
    <w:rsid w:val="21354AB4"/>
    <w:rsid w:val="213608D5"/>
    <w:rsid w:val="213A2B9C"/>
    <w:rsid w:val="213A47C0"/>
    <w:rsid w:val="213A656E"/>
    <w:rsid w:val="213B4094"/>
    <w:rsid w:val="213B5E42"/>
    <w:rsid w:val="213D1BBA"/>
    <w:rsid w:val="213E04F7"/>
    <w:rsid w:val="213F13B1"/>
    <w:rsid w:val="213F171D"/>
    <w:rsid w:val="213F1987"/>
    <w:rsid w:val="213F3B84"/>
    <w:rsid w:val="214011FC"/>
    <w:rsid w:val="21402E17"/>
    <w:rsid w:val="21423675"/>
    <w:rsid w:val="214271D1"/>
    <w:rsid w:val="21441798"/>
    <w:rsid w:val="21455E77"/>
    <w:rsid w:val="21484179"/>
    <w:rsid w:val="21494A03"/>
    <w:rsid w:val="214967B1"/>
    <w:rsid w:val="214B166A"/>
    <w:rsid w:val="214C004F"/>
    <w:rsid w:val="214C26E8"/>
    <w:rsid w:val="214E5737"/>
    <w:rsid w:val="214F68AA"/>
    <w:rsid w:val="2150195F"/>
    <w:rsid w:val="21505D92"/>
    <w:rsid w:val="21507B40"/>
    <w:rsid w:val="215108D1"/>
    <w:rsid w:val="21521B0A"/>
    <w:rsid w:val="2152696C"/>
    <w:rsid w:val="215329E9"/>
    <w:rsid w:val="21537630"/>
    <w:rsid w:val="21555156"/>
    <w:rsid w:val="21556F04"/>
    <w:rsid w:val="2156433D"/>
    <w:rsid w:val="21570ECE"/>
    <w:rsid w:val="21584C46"/>
    <w:rsid w:val="215A451A"/>
    <w:rsid w:val="215A6C10"/>
    <w:rsid w:val="215B0293"/>
    <w:rsid w:val="215D04AF"/>
    <w:rsid w:val="215D5409"/>
    <w:rsid w:val="215E639F"/>
    <w:rsid w:val="215F4227"/>
    <w:rsid w:val="215F7D83"/>
    <w:rsid w:val="21602400"/>
    <w:rsid w:val="216058A9"/>
    <w:rsid w:val="2161165A"/>
    <w:rsid w:val="21611D4D"/>
    <w:rsid w:val="21617F9F"/>
    <w:rsid w:val="216278F1"/>
    <w:rsid w:val="2164183D"/>
    <w:rsid w:val="216435EB"/>
    <w:rsid w:val="21646607"/>
    <w:rsid w:val="21652D23"/>
    <w:rsid w:val="216536A1"/>
    <w:rsid w:val="21676C37"/>
    <w:rsid w:val="216830DB"/>
    <w:rsid w:val="216D06F2"/>
    <w:rsid w:val="216D6944"/>
    <w:rsid w:val="216E7FC6"/>
    <w:rsid w:val="21701F90"/>
    <w:rsid w:val="21703D3E"/>
    <w:rsid w:val="21725D08"/>
    <w:rsid w:val="21753704"/>
    <w:rsid w:val="2177331E"/>
    <w:rsid w:val="217750CC"/>
    <w:rsid w:val="21775AB6"/>
    <w:rsid w:val="217952E8"/>
    <w:rsid w:val="217A2E0F"/>
    <w:rsid w:val="217A4BBD"/>
    <w:rsid w:val="217A696B"/>
    <w:rsid w:val="217B5B5B"/>
    <w:rsid w:val="217B7008"/>
    <w:rsid w:val="217C26E3"/>
    <w:rsid w:val="217C6B87"/>
    <w:rsid w:val="217D1928"/>
    <w:rsid w:val="217D46AD"/>
    <w:rsid w:val="217E28FF"/>
    <w:rsid w:val="217F0425"/>
    <w:rsid w:val="217F4248"/>
    <w:rsid w:val="21834CD3"/>
    <w:rsid w:val="21837F15"/>
    <w:rsid w:val="21845A3B"/>
    <w:rsid w:val="21863561"/>
    <w:rsid w:val="21867A05"/>
    <w:rsid w:val="2188017C"/>
    <w:rsid w:val="218912A4"/>
    <w:rsid w:val="21894E00"/>
    <w:rsid w:val="218A371D"/>
    <w:rsid w:val="218A3F2C"/>
    <w:rsid w:val="218A54C3"/>
    <w:rsid w:val="218B501C"/>
    <w:rsid w:val="218B6DCA"/>
    <w:rsid w:val="218C669E"/>
    <w:rsid w:val="218C684C"/>
    <w:rsid w:val="218C7F8D"/>
    <w:rsid w:val="218D2B42"/>
    <w:rsid w:val="218D48F0"/>
    <w:rsid w:val="218E0668"/>
    <w:rsid w:val="218E2416"/>
    <w:rsid w:val="218F690E"/>
    <w:rsid w:val="21902632"/>
    <w:rsid w:val="219043E0"/>
    <w:rsid w:val="21907D9E"/>
    <w:rsid w:val="21921F06"/>
    <w:rsid w:val="21933ED0"/>
    <w:rsid w:val="21937A2C"/>
    <w:rsid w:val="21957C48"/>
    <w:rsid w:val="219624CF"/>
    <w:rsid w:val="219721FA"/>
    <w:rsid w:val="2198560E"/>
    <w:rsid w:val="2198596A"/>
    <w:rsid w:val="21986530"/>
    <w:rsid w:val="21986917"/>
    <w:rsid w:val="21997739"/>
    <w:rsid w:val="219A525F"/>
    <w:rsid w:val="219D3981"/>
    <w:rsid w:val="219E4D4F"/>
    <w:rsid w:val="219E4FA2"/>
    <w:rsid w:val="219F0AC7"/>
    <w:rsid w:val="219F2875"/>
    <w:rsid w:val="219F63D1"/>
    <w:rsid w:val="21A12149"/>
    <w:rsid w:val="21A165ED"/>
    <w:rsid w:val="21A25EC1"/>
    <w:rsid w:val="21A35A6C"/>
    <w:rsid w:val="21A41C3A"/>
    <w:rsid w:val="21A47E8B"/>
    <w:rsid w:val="21A5067B"/>
    <w:rsid w:val="21A67760"/>
    <w:rsid w:val="21A734D8"/>
    <w:rsid w:val="21A86025"/>
    <w:rsid w:val="21A8797C"/>
    <w:rsid w:val="21A92086"/>
    <w:rsid w:val="21A954A2"/>
    <w:rsid w:val="21A97250"/>
    <w:rsid w:val="21AA2676"/>
    <w:rsid w:val="21AB121A"/>
    <w:rsid w:val="21AB746C"/>
    <w:rsid w:val="21AD0AEE"/>
    <w:rsid w:val="21AD4F92"/>
    <w:rsid w:val="21AE1E97"/>
    <w:rsid w:val="21AE3327"/>
    <w:rsid w:val="21AE4866"/>
    <w:rsid w:val="21AF5D06"/>
    <w:rsid w:val="21B06830"/>
    <w:rsid w:val="21B207FA"/>
    <w:rsid w:val="21B300CF"/>
    <w:rsid w:val="21B344ED"/>
    <w:rsid w:val="21B407B3"/>
    <w:rsid w:val="21B43FEB"/>
    <w:rsid w:val="21B53E47"/>
    <w:rsid w:val="21B55BF5"/>
    <w:rsid w:val="21B75E11"/>
    <w:rsid w:val="21B77BBF"/>
    <w:rsid w:val="21B84BEB"/>
    <w:rsid w:val="21B87493"/>
    <w:rsid w:val="21B93937"/>
    <w:rsid w:val="21BA145D"/>
    <w:rsid w:val="21BA320B"/>
    <w:rsid w:val="21BA76AF"/>
    <w:rsid w:val="21BC51D5"/>
    <w:rsid w:val="21BC592B"/>
    <w:rsid w:val="21BD198C"/>
    <w:rsid w:val="21BD6D71"/>
    <w:rsid w:val="21BE19B9"/>
    <w:rsid w:val="21BF6A73"/>
    <w:rsid w:val="21C127EB"/>
    <w:rsid w:val="21C1459A"/>
    <w:rsid w:val="21C172B9"/>
    <w:rsid w:val="21C26D0F"/>
    <w:rsid w:val="21C30312"/>
    <w:rsid w:val="21C5011E"/>
    <w:rsid w:val="21C66F9D"/>
    <w:rsid w:val="21C67E02"/>
    <w:rsid w:val="21C8560F"/>
    <w:rsid w:val="21C916A0"/>
    <w:rsid w:val="21CB23EF"/>
    <w:rsid w:val="21CB366A"/>
    <w:rsid w:val="21CD73E2"/>
    <w:rsid w:val="21CF315A"/>
    <w:rsid w:val="21D012F2"/>
    <w:rsid w:val="21D02A2F"/>
    <w:rsid w:val="21D175BF"/>
    <w:rsid w:val="21D249F9"/>
    <w:rsid w:val="21D30FE1"/>
    <w:rsid w:val="21D342CD"/>
    <w:rsid w:val="21D41512"/>
    <w:rsid w:val="21D4176D"/>
    <w:rsid w:val="21D7200F"/>
    <w:rsid w:val="21D72533"/>
    <w:rsid w:val="21D73DBD"/>
    <w:rsid w:val="21D818E3"/>
    <w:rsid w:val="21D86594"/>
    <w:rsid w:val="21DA565B"/>
    <w:rsid w:val="21DC32CC"/>
    <w:rsid w:val="21DC5877"/>
    <w:rsid w:val="21DC7694"/>
    <w:rsid w:val="21DD63A5"/>
    <w:rsid w:val="21DD6EFA"/>
    <w:rsid w:val="21E11C0A"/>
    <w:rsid w:val="21E12E8E"/>
    <w:rsid w:val="21E14C3C"/>
    <w:rsid w:val="21E169EA"/>
    <w:rsid w:val="21E23597"/>
    <w:rsid w:val="21E32217"/>
    <w:rsid w:val="21E36C06"/>
    <w:rsid w:val="21E40288"/>
    <w:rsid w:val="21E41F66"/>
    <w:rsid w:val="21E464DA"/>
    <w:rsid w:val="21E533F6"/>
    <w:rsid w:val="21E67457"/>
    <w:rsid w:val="21E801A1"/>
    <w:rsid w:val="21E8421C"/>
    <w:rsid w:val="21E85FCA"/>
    <w:rsid w:val="21E93AF0"/>
    <w:rsid w:val="21EA1D42"/>
    <w:rsid w:val="21EA3EB5"/>
    <w:rsid w:val="21EA7F94"/>
    <w:rsid w:val="21EB5ABA"/>
    <w:rsid w:val="21EB619F"/>
    <w:rsid w:val="21EB7868"/>
    <w:rsid w:val="21EC1864"/>
    <w:rsid w:val="21ED1AF5"/>
    <w:rsid w:val="21ED2EF5"/>
    <w:rsid w:val="21EF23EB"/>
    <w:rsid w:val="21EF55AB"/>
    <w:rsid w:val="21EF5E3F"/>
    <w:rsid w:val="21F00B60"/>
    <w:rsid w:val="21F1456A"/>
    <w:rsid w:val="21F15CAB"/>
    <w:rsid w:val="21F273B2"/>
    <w:rsid w:val="21F4496F"/>
    <w:rsid w:val="21F506E7"/>
    <w:rsid w:val="21F60341"/>
    <w:rsid w:val="21F66939"/>
    <w:rsid w:val="21F726B1"/>
    <w:rsid w:val="21F77FBB"/>
    <w:rsid w:val="21F93D33"/>
    <w:rsid w:val="21F9443D"/>
    <w:rsid w:val="21FA5CFD"/>
    <w:rsid w:val="21FB3F4F"/>
    <w:rsid w:val="21FC3431"/>
    <w:rsid w:val="21FE134A"/>
    <w:rsid w:val="21FE759C"/>
    <w:rsid w:val="21FF3314"/>
    <w:rsid w:val="22001928"/>
    <w:rsid w:val="22010E3A"/>
    <w:rsid w:val="220152DE"/>
    <w:rsid w:val="22016CA5"/>
    <w:rsid w:val="22034BB2"/>
    <w:rsid w:val="220426D8"/>
    <w:rsid w:val="2204454B"/>
    <w:rsid w:val="22056B7C"/>
    <w:rsid w:val="22067E42"/>
    <w:rsid w:val="220740D0"/>
    <w:rsid w:val="2208041A"/>
    <w:rsid w:val="2208666C"/>
    <w:rsid w:val="220A23E4"/>
    <w:rsid w:val="220A4192"/>
    <w:rsid w:val="220B1C2D"/>
    <w:rsid w:val="220B1CB9"/>
    <w:rsid w:val="220B7F0B"/>
    <w:rsid w:val="220D77DF"/>
    <w:rsid w:val="220E3E9E"/>
    <w:rsid w:val="220F1A3D"/>
    <w:rsid w:val="221026C4"/>
    <w:rsid w:val="221072CF"/>
    <w:rsid w:val="22107AF3"/>
    <w:rsid w:val="22114593"/>
    <w:rsid w:val="22121299"/>
    <w:rsid w:val="22123047"/>
    <w:rsid w:val="22124DF5"/>
    <w:rsid w:val="22161548"/>
    <w:rsid w:val="2217065D"/>
    <w:rsid w:val="2217240B"/>
    <w:rsid w:val="221768AF"/>
    <w:rsid w:val="221943D6"/>
    <w:rsid w:val="221A1EFC"/>
    <w:rsid w:val="221A3776"/>
    <w:rsid w:val="221A39C9"/>
    <w:rsid w:val="221C3EC6"/>
    <w:rsid w:val="221D3838"/>
    <w:rsid w:val="221E19EC"/>
    <w:rsid w:val="221E6685"/>
    <w:rsid w:val="221F7512"/>
    <w:rsid w:val="222021B9"/>
    <w:rsid w:val="22205764"/>
    <w:rsid w:val="222114DC"/>
    <w:rsid w:val="22230DB0"/>
    <w:rsid w:val="22250FCC"/>
    <w:rsid w:val="22252D7A"/>
    <w:rsid w:val="222774BB"/>
    <w:rsid w:val="22280ABD"/>
    <w:rsid w:val="2228208E"/>
    <w:rsid w:val="22284619"/>
    <w:rsid w:val="222A213F"/>
    <w:rsid w:val="222A4363"/>
    <w:rsid w:val="222A6F6B"/>
    <w:rsid w:val="222B1851"/>
    <w:rsid w:val="222B3CF9"/>
    <w:rsid w:val="222B5EB7"/>
    <w:rsid w:val="222C235B"/>
    <w:rsid w:val="222F450C"/>
    <w:rsid w:val="222F49F4"/>
    <w:rsid w:val="2230171F"/>
    <w:rsid w:val="223034CD"/>
    <w:rsid w:val="22317971"/>
    <w:rsid w:val="22325497"/>
    <w:rsid w:val="22327245"/>
    <w:rsid w:val="2234120F"/>
    <w:rsid w:val="22342FBD"/>
    <w:rsid w:val="22347461"/>
    <w:rsid w:val="22350AE4"/>
    <w:rsid w:val="22356D36"/>
    <w:rsid w:val="223631D9"/>
    <w:rsid w:val="22364F87"/>
    <w:rsid w:val="22380440"/>
    <w:rsid w:val="22382B76"/>
    <w:rsid w:val="223B7E71"/>
    <w:rsid w:val="223C00C4"/>
    <w:rsid w:val="223C0251"/>
    <w:rsid w:val="223C1E72"/>
    <w:rsid w:val="223E208E"/>
    <w:rsid w:val="22404C76"/>
    <w:rsid w:val="22405E06"/>
    <w:rsid w:val="22407BB4"/>
    <w:rsid w:val="224156DA"/>
    <w:rsid w:val="22431452"/>
    <w:rsid w:val="22433200"/>
    <w:rsid w:val="22453E10"/>
    <w:rsid w:val="224551CB"/>
    <w:rsid w:val="22461303"/>
    <w:rsid w:val="22462CF1"/>
    <w:rsid w:val="22471B27"/>
    <w:rsid w:val="22473898"/>
    <w:rsid w:val="22480CF7"/>
    <w:rsid w:val="22482F0D"/>
    <w:rsid w:val="22486A69"/>
    <w:rsid w:val="224A458F"/>
    <w:rsid w:val="224B131B"/>
    <w:rsid w:val="224D11D6"/>
    <w:rsid w:val="224D22D1"/>
    <w:rsid w:val="2250591D"/>
    <w:rsid w:val="225278E7"/>
    <w:rsid w:val="2254540E"/>
    <w:rsid w:val="22552F34"/>
    <w:rsid w:val="22561186"/>
    <w:rsid w:val="22562288"/>
    <w:rsid w:val="22573150"/>
    <w:rsid w:val="22573718"/>
    <w:rsid w:val="22590C76"/>
    <w:rsid w:val="22592A24"/>
    <w:rsid w:val="225B2C40"/>
    <w:rsid w:val="225B49EE"/>
    <w:rsid w:val="225B679C"/>
    <w:rsid w:val="225D0766"/>
    <w:rsid w:val="225F35EB"/>
    <w:rsid w:val="22602004"/>
    <w:rsid w:val="22603BFE"/>
    <w:rsid w:val="226118D9"/>
    <w:rsid w:val="22623FCE"/>
    <w:rsid w:val="226338A3"/>
    <w:rsid w:val="2265761B"/>
    <w:rsid w:val="226650A3"/>
    <w:rsid w:val="22683576"/>
    <w:rsid w:val="2268710B"/>
    <w:rsid w:val="226A69DF"/>
    <w:rsid w:val="226A7D59"/>
    <w:rsid w:val="226C21B5"/>
    <w:rsid w:val="226C6BFB"/>
    <w:rsid w:val="226D4721"/>
    <w:rsid w:val="226D64CF"/>
    <w:rsid w:val="226E284B"/>
    <w:rsid w:val="226E2973"/>
    <w:rsid w:val="226F0499"/>
    <w:rsid w:val="226F2247"/>
    <w:rsid w:val="226F3FF6"/>
    <w:rsid w:val="22715FC0"/>
    <w:rsid w:val="227212BF"/>
    <w:rsid w:val="22733ED9"/>
    <w:rsid w:val="22743D02"/>
    <w:rsid w:val="22745AB0"/>
    <w:rsid w:val="2274785E"/>
    <w:rsid w:val="22757FF3"/>
    <w:rsid w:val="22761828"/>
    <w:rsid w:val="227623A2"/>
    <w:rsid w:val="227635D6"/>
    <w:rsid w:val="227710FC"/>
    <w:rsid w:val="2277734E"/>
    <w:rsid w:val="22791318"/>
    <w:rsid w:val="227A01F3"/>
    <w:rsid w:val="227B0BEC"/>
    <w:rsid w:val="227D2BB6"/>
    <w:rsid w:val="227E248B"/>
    <w:rsid w:val="227E692E"/>
    <w:rsid w:val="227F4849"/>
    <w:rsid w:val="227F50D5"/>
    <w:rsid w:val="22804455"/>
    <w:rsid w:val="22813D29"/>
    <w:rsid w:val="228201CD"/>
    <w:rsid w:val="2283199F"/>
    <w:rsid w:val="22841A92"/>
    <w:rsid w:val="22851A6B"/>
    <w:rsid w:val="22855306"/>
    <w:rsid w:val="22857CBD"/>
    <w:rsid w:val="228710B6"/>
    <w:rsid w:val="2288155B"/>
    <w:rsid w:val="22883309"/>
    <w:rsid w:val="22883C87"/>
    <w:rsid w:val="228850B7"/>
    <w:rsid w:val="22896D8E"/>
    <w:rsid w:val="228A0E2F"/>
    <w:rsid w:val="228A65A7"/>
    <w:rsid w:val="228A7081"/>
    <w:rsid w:val="228C104B"/>
    <w:rsid w:val="228C2DF9"/>
    <w:rsid w:val="228D0920"/>
    <w:rsid w:val="228E4DC3"/>
    <w:rsid w:val="228E6738"/>
    <w:rsid w:val="228F28EA"/>
    <w:rsid w:val="228F4698"/>
    <w:rsid w:val="228F797A"/>
    <w:rsid w:val="22910102"/>
    <w:rsid w:val="22910410"/>
    <w:rsid w:val="22923313"/>
    <w:rsid w:val="229323DA"/>
    <w:rsid w:val="22941CAE"/>
    <w:rsid w:val="229501DB"/>
    <w:rsid w:val="22954DFB"/>
    <w:rsid w:val="22965A26"/>
    <w:rsid w:val="2297354C"/>
    <w:rsid w:val="2298179E"/>
    <w:rsid w:val="2298203B"/>
    <w:rsid w:val="229879F0"/>
    <w:rsid w:val="22993768"/>
    <w:rsid w:val="229A4CF1"/>
    <w:rsid w:val="229B128E"/>
    <w:rsid w:val="229B303C"/>
    <w:rsid w:val="229C0B63"/>
    <w:rsid w:val="229C358D"/>
    <w:rsid w:val="229D4A1D"/>
    <w:rsid w:val="229D5007"/>
    <w:rsid w:val="229E0D7F"/>
    <w:rsid w:val="229E7AF4"/>
    <w:rsid w:val="22A00A9F"/>
    <w:rsid w:val="22A03FD6"/>
    <w:rsid w:val="22A2261D"/>
    <w:rsid w:val="22A5210D"/>
    <w:rsid w:val="22A53EBB"/>
    <w:rsid w:val="22A55C69"/>
    <w:rsid w:val="22A719E1"/>
    <w:rsid w:val="22A86A68"/>
    <w:rsid w:val="22A87507"/>
    <w:rsid w:val="22AD4B1E"/>
    <w:rsid w:val="22AE0FC2"/>
    <w:rsid w:val="22AF6AE8"/>
    <w:rsid w:val="22B10AB2"/>
    <w:rsid w:val="22B11B4D"/>
    <w:rsid w:val="22B12860"/>
    <w:rsid w:val="22B20386"/>
    <w:rsid w:val="22B26EF4"/>
    <w:rsid w:val="22B365D8"/>
    <w:rsid w:val="22B440FE"/>
    <w:rsid w:val="22B45EAC"/>
    <w:rsid w:val="22B55875"/>
    <w:rsid w:val="22B660C8"/>
    <w:rsid w:val="22B74196"/>
    <w:rsid w:val="22B755C4"/>
    <w:rsid w:val="22B81E40"/>
    <w:rsid w:val="22B91715"/>
    <w:rsid w:val="22B934C3"/>
    <w:rsid w:val="22B97967"/>
    <w:rsid w:val="22BB3D01"/>
    <w:rsid w:val="22BB548D"/>
    <w:rsid w:val="22BC502D"/>
    <w:rsid w:val="22BD0785"/>
    <w:rsid w:val="22BD2FB3"/>
    <w:rsid w:val="22BD7457"/>
    <w:rsid w:val="22BE6D2B"/>
    <w:rsid w:val="22C00CF5"/>
    <w:rsid w:val="22C02AA3"/>
    <w:rsid w:val="22C205C9"/>
    <w:rsid w:val="22C229F3"/>
    <w:rsid w:val="22C31167"/>
    <w:rsid w:val="22C34341"/>
    <w:rsid w:val="22C500B9"/>
    <w:rsid w:val="22C5630B"/>
    <w:rsid w:val="22C750B8"/>
    <w:rsid w:val="22C80038"/>
    <w:rsid w:val="22C81958"/>
    <w:rsid w:val="22C969F9"/>
    <w:rsid w:val="22C96B90"/>
    <w:rsid w:val="22C97BAA"/>
    <w:rsid w:val="22CB2401"/>
    <w:rsid w:val="22CC1448"/>
    <w:rsid w:val="22CC31F6"/>
    <w:rsid w:val="22CC769A"/>
    <w:rsid w:val="22CD23BA"/>
    <w:rsid w:val="22D12F02"/>
    <w:rsid w:val="22D14CB0"/>
    <w:rsid w:val="22D16A5E"/>
    <w:rsid w:val="22D221CB"/>
    <w:rsid w:val="22D30A28"/>
    <w:rsid w:val="22D327D6"/>
    <w:rsid w:val="22D36C7A"/>
    <w:rsid w:val="22D40DFD"/>
    <w:rsid w:val="22D60519"/>
    <w:rsid w:val="22D64075"/>
    <w:rsid w:val="22D700DE"/>
    <w:rsid w:val="22D8603F"/>
    <w:rsid w:val="22D87DED"/>
    <w:rsid w:val="22D95913"/>
    <w:rsid w:val="22DA1DB7"/>
    <w:rsid w:val="22DB2D94"/>
    <w:rsid w:val="22DB49BE"/>
    <w:rsid w:val="22DB78DD"/>
    <w:rsid w:val="22DD3655"/>
    <w:rsid w:val="22DE117B"/>
    <w:rsid w:val="22DF47CF"/>
    <w:rsid w:val="22E06CA1"/>
    <w:rsid w:val="22E10830"/>
    <w:rsid w:val="22E20C6B"/>
    <w:rsid w:val="22E22A19"/>
    <w:rsid w:val="22E24891"/>
    <w:rsid w:val="22E449E3"/>
    <w:rsid w:val="22E5075C"/>
    <w:rsid w:val="22E542B8"/>
    <w:rsid w:val="22E63803"/>
    <w:rsid w:val="22E744D4"/>
    <w:rsid w:val="22E80703"/>
    <w:rsid w:val="22E86FC2"/>
    <w:rsid w:val="22EA18E2"/>
    <w:rsid w:val="22EA5D72"/>
    <w:rsid w:val="22EB7084"/>
    <w:rsid w:val="22EC1AEA"/>
    <w:rsid w:val="22EE0645"/>
    <w:rsid w:val="22EF5136"/>
    <w:rsid w:val="22F35816"/>
    <w:rsid w:val="22F4099F"/>
    <w:rsid w:val="22F45565"/>
    <w:rsid w:val="22F64248"/>
    <w:rsid w:val="22F64DD9"/>
    <w:rsid w:val="22F75627"/>
    <w:rsid w:val="22F8223D"/>
    <w:rsid w:val="22FA4207"/>
    <w:rsid w:val="22FD3CF7"/>
    <w:rsid w:val="22FD5AA5"/>
    <w:rsid w:val="22FD7853"/>
    <w:rsid w:val="22FD7D58"/>
    <w:rsid w:val="22FF181D"/>
    <w:rsid w:val="230010F2"/>
    <w:rsid w:val="23005595"/>
    <w:rsid w:val="23007343"/>
    <w:rsid w:val="230166D9"/>
    <w:rsid w:val="230211FF"/>
    <w:rsid w:val="2302130E"/>
    <w:rsid w:val="230213B5"/>
    <w:rsid w:val="23024E6A"/>
    <w:rsid w:val="230371D1"/>
    <w:rsid w:val="2304679B"/>
    <w:rsid w:val="23046E34"/>
    <w:rsid w:val="23056708"/>
    <w:rsid w:val="23073B84"/>
    <w:rsid w:val="2307511C"/>
    <w:rsid w:val="230839DB"/>
    <w:rsid w:val="23086038"/>
    <w:rsid w:val="230B3A9D"/>
    <w:rsid w:val="230C5CE8"/>
    <w:rsid w:val="230E7CB2"/>
    <w:rsid w:val="230F7587"/>
    <w:rsid w:val="2310441E"/>
    <w:rsid w:val="231128A5"/>
    <w:rsid w:val="231132FF"/>
    <w:rsid w:val="231134BB"/>
    <w:rsid w:val="231177A3"/>
    <w:rsid w:val="2316746F"/>
    <w:rsid w:val="231828DF"/>
    <w:rsid w:val="2318643B"/>
    <w:rsid w:val="23190BEB"/>
    <w:rsid w:val="231A15C5"/>
    <w:rsid w:val="231A6657"/>
    <w:rsid w:val="231F3C6E"/>
    <w:rsid w:val="23201794"/>
    <w:rsid w:val="232079E6"/>
    <w:rsid w:val="2321413F"/>
    <w:rsid w:val="23217CCE"/>
    <w:rsid w:val="2322550C"/>
    <w:rsid w:val="232272BA"/>
    <w:rsid w:val="23243032"/>
    <w:rsid w:val="23244644"/>
    <w:rsid w:val="232474D6"/>
    <w:rsid w:val="2325297C"/>
    <w:rsid w:val="23261B35"/>
    <w:rsid w:val="23270D74"/>
    <w:rsid w:val="23282C5F"/>
    <w:rsid w:val="23290648"/>
    <w:rsid w:val="23294AEC"/>
    <w:rsid w:val="2329689A"/>
    <w:rsid w:val="232A616E"/>
    <w:rsid w:val="232B0864"/>
    <w:rsid w:val="232C638A"/>
    <w:rsid w:val="232D4266"/>
    <w:rsid w:val="232E010A"/>
    <w:rsid w:val="232E5C5F"/>
    <w:rsid w:val="232F76C9"/>
    <w:rsid w:val="23307C29"/>
    <w:rsid w:val="233139A1"/>
    <w:rsid w:val="23332CA9"/>
    <w:rsid w:val="23337719"/>
    <w:rsid w:val="23344974"/>
    <w:rsid w:val="23353491"/>
    <w:rsid w:val="2335523F"/>
    <w:rsid w:val="23356FED"/>
    <w:rsid w:val="23362D65"/>
    <w:rsid w:val="23376FB6"/>
    <w:rsid w:val="2338088B"/>
    <w:rsid w:val="233953DA"/>
    <w:rsid w:val="233B65CE"/>
    <w:rsid w:val="233C211C"/>
    <w:rsid w:val="233C481F"/>
    <w:rsid w:val="233D0598"/>
    <w:rsid w:val="233D40F4"/>
    <w:rsid w:val="233D5EA2"/>
    <w:rsid w:val="233F1C1A"/>
    <w:rsid w:val="233F60BE"/>
    <w:rsid w:val="233F7D8E"/>
    <w:rsid w:val="233F7E6C"/>
    <w:rsid w:val="23405992"/>
    <w:rsid w:val="23411E36"/>
    <w:rsid w:val="2342170A"/>
    <w:rsid w:val="234436D4"/>
    <w:rsid w:val="23443C2E"/>
    <w:rsid w:val="23447230"/>
    <w:rsid w:val="2345361E"/>
    <w:rsid w:val="234731C4"/>
    <w:rsid w:val="23476D20"/>
    <w:rsid w:val="23483A3F"/>
    <w:rsid w:val="23490CEA"/>
    <w:rsid w:val="23494ECF"/>
    <w:rsid w:val="234B4A63"/>
    <w:rsid w:val="234B7B22"/>
    <w:rsid w:val="234C4162"/>
    <w:rsid w:val="234C4337"/>
    <w:rsid w:val="234F5BD5"/>
    <w:rsid w:val="23524EC0"/>
    <w:rsid w:val="23531B69"/>
    <w:rsid w:val="23533577"/>
    <w:rsid w:val="2355143D"/>
    <w:rsid w:val="23556B34"/>
    <w:rsid w:val="235651B5"/>
    <w:rsid w:val="23571659"/>
    <w:rsid w:val="23582CDC"/>
    <w:rsid w:val="23583534"/>
    <w:rsid w:val="2358717F"/>
    <w:rsid w:val="23595B43"/>
    <w:rsid w:val="235A65D4"/>
    <w:rsid w:val="235A6A54"/>
    <w:rsid w:val="235A6CAA"/>
    <w:rsid w:val="235B2580"/>
    <w:rsid w:val="235B72E4"/>
    <w:rsid w:val="235C0A1E"/>
    <w:rsid w:val="235D02F2"/>
    <w:rsid w:val="235D6544"/>
    <w:rsid w:val="235F406A"/>
    <w:rsid w:val="23607DE2"/>
    <w:rsid w:val="23616034"/>
    <w:rsid w:val="23627FFE"/>
    <w:rsid w:val="23641680"/>
    <w:rsid w:val="236773C3"/>
    <w:rsid w:val="2369138D"/>
    <w:rsid w:val="23696C97"/>
    <w:rsid w:val="236E0751"/>
    <w:rsid w:val="23720241"/>
    <w:rsid w:val="23721A5B"/>
    <w:rsid w:val="23723119"/>
    <w:rsid w:val="237240DB"/>
    <w:rsid w:val="23757D31"/>
    <w:rsid w:val="237613B4"/>
    <w:rsid w:val="23766ABD"/>
    <w:rsid w:val="23774DF4"/>
    <w:rsid w:val="237815D0"/>
    <w:rsid w:val="2378512C"/>
    <w:rsid w:val="23797C9C"/>
    <w:rsid w:val="237A3CFD"/>
    <w:rsid w:val="237A5348"/>
    <w:rsid w:val="237B1337"/>
    <w:rsid w:val="237C10C0"/>
    <w:rsid w:val="237C2E6E"/>
    <w:rsid w:val="237C4C1C"/>
    <w:rsid w:val="237D2742"/>
    <w:rsid w:val="237D6BE6"/>
    <w:rsid w:val="237F470C"/>
    <w:rsid w:val="237F64BA"/>
    <w:rsid w:val="23803555"/>
    <w:rsid w:val="23812232"/>
    <w:rsid w:val="23813BD0"/>
    <w:rsid w:val="238166D6"/>
    <w:rsid w:val="23822B70"/>
    <w:rsid w:val="23825FAA"/>
    <w:rsid w:val="23856B18"/>
    <w:rsid w:val="23897339"/>
    <w:rsid w:val="238B30B1"/>
    <w:rsid w:val="238B4E5F"/>
    <w:rsid w:val="238C1D8F"/>
    <w:rsid w:val="238C6E29"/>
    <w:rsid w:val="238D507B"/>
    <w:rsid w:val="238E0DF3"/>
    <w:rsid w:val="239006C7"/>
    <w:rsid w:val="2391082F"/>
    <w:rsid w:val="2392443F"/>
    <w:rsid w:val="239301B8"/>
    <w:rsid w:val="23931F66"/>
    <w:rsid w:val="239341FB"/>
    <w:rsid w:val="23935FE5"/>
    <w:rsid w:val="2393640A"/>
    <w:rsid w:val="23947475"/>
    <w:rsid w:val="239513FF"/>
    <w:rsid w:val="23953D3B"/>
    <w:rsid w:val="239570C5"/>
    <w:rsid w:val="23957A8C"/>
    <w:rsid w:val="23975B30"/>
    <w:rsid w:val="23977CA8"/>
    <w:rsid w:val="239857CE"/>
    <w:rsid w:val="239A1546"/>
    <w:rsid w:val="239A7798"/>
    <w:rsid w:val="239D4B92"/>
    <w:rsid w:val="239F090A"/>
    <w:rsid w:val="239F6AF1"/>
    <w:rsid w:val="23A14683"/>
    <w:rsid w:val="23A16CFF"/>
    <w:rsid w:val="23A203FB"/>
    <w:rsid w:val="23A36435"/>
    <w:rsid w:val="23A3664D"/>
    <w:rsid w:val="23A423C5"/>
    <w:rsid w:val="23A45829"/>
    <w:rsid w:val="23A75A11"/>
    <w:rsid w:val="23A979DB"/>
    <w:rsid w:val="23AA508F"/>
    <w:rsid w:val="23AB3753"/>
    <w:rsid w:val="23AB72AF"/>
    <w:rsid w:val="23AD1543"/>
    <w:rsid w:val="23AE001C"/>
    <w:rsid w:val="23AE0B4E"/>
    <w:rsid w:val="23AE4FF1"/>
    <w:rsid w:val="23AE6B60"/>
    <w:rsid w:val="23AE6D9F"/>
    <w:rsid w:val="23AF7A99"/>
    <w:rsid w:val="23B02B18"/>
    <w:rsid w:val="23B3157A"/>
    <w:rsid w:val="23B4085A"/>
    <w:rsid w:val="23B5012E"/>
    <w:rsid w:val="23B56380"/>
    <w:rsid w:val="23B6137F"/>
    <w:rsid w:val="23B720F8"/>
    <w:rsid w:val="23B73EA6"/>
    <w:rsid w:val="23B87C1E"/>
    <w:rsid w:val="23BC3AB0"/>
    <w:rsid w:val="23BC51F1"/>
    <w:rsid w:val="23BC770E"/>
    <w:rsid w:val="23BD6681"/>
    <w:rsid w:val="23BE3486"/>
    <w:rsid w:val="23C07454"/>
    <w:rsid w:val="23C11063"/>
    <w:rsid w:val="23C2284B"/>
    <w:rsid w:val="23C430F6"/>
    <w:rsid w:val="23C465C3"/>
    <w:rsid w:val="23C6058D"/>
    <w:rsid w:val="23C860B3"/>
    <w:rsid w:val="23C91E2B"/>
    <w:rsid w:val="23CC5F99"/>
    <w:rsid w:val="23CD1B7D"/>
    <w:rsid w:val="23CD6176"/>
    <w:rsid w:val="23CE11F0"/>
    <w:rsid w:val="23CE1F9C"/>
    <w:rsid w:val="23CE2F9E"/>
    <w:rsid w:val="23D031BA"/>
    <w:rsid w:val="23D04F68"/>
    <w:rsid w:val="23D06C29"/>
    <w:rsid w:val="23D06D16"/>
    <w:rsid w:val="23D13B4D"/>
    <w:rsid w:val="23D22A8E"/>
    <w:rsid w:val="23D308A7"/>
    <w:rsid w:val="23D42CAA"/>
    <w:rsid w:val="23D60969"/>
    <w:rsid w:val="23D62259"/>
    <w:rsid w:val="23D73E2E"/>
    <w:rsid w:val="23D74548"/>
    <w:rsid w:val="23D84719"/>
    <w:rsid w:val="23D9610A"/>
    <w:rsid w:val="23DA1943"/>
    <w:rsid w:val="23DB07F0"/>
    <w:rsid w:val="23DB0E91"/>
    <w:rsid w:val="23DC309A"/>
    <w:rsid w:val="23DC56BB"/>
    <w:rsid w:val="23DC5C6B"/>
    <w:rsid w:val="23DE58D7"/>
    <w:rsid w:val="23DE7685"/>
    <w:rsid w:val="23DF51AB"/>
    <w:rsid w:val="23E12CD1"/>
    <w:rsid w:val="23E26A49"/>
    <w:rsid w:val="23E40A13"/>
    <w:rsid w:val="23E42CBC"/>
    <w:rsid w:val="23E463A4"/>
    <w:rsid w:val="23E46569"/>
    <w:rsid w:val="23E46C65"/>
    <w:rsid w:val="23E56F43"/>
    <w:rsid w:val="23E66539"/>
    <w:rsid w:val="23E7405F"/>
    <w:rsid w:val="23E9602A"/>
    <w:rsid w:val="23EB2FAD"/>
    <w:rsid w:val="23EB3B50"/>
    <w:rsid w:val="23EC591D"/>
    <w:rsid w:val="23ED1676"/>
    <w:rsid w:val="23ED401F"/>
    <w:rsid w:val="23EE0080"/>
    <w:rsid w:val="23EE53EE"/>
    <w:rsid w:val="23EF693F"/>
    <w:rsid w:val="23F01166"/>
    <w:rsid w:val="23F0560A"/>
    <w:rsid w:val="23F073B8"/>
    <w:rsid w:val="23F139DF"/>
    <w:rsid w:val="23F24EDE"/>
    <w:rsid w:val="23F32A04"/>
    <w:rsid w:val="23F37E91"/>
    <w:rsid w:val="23F46EA8"/>
    <w:rsid w:val="23F517A7"/>
    <w:rsid w:val="23F549CE"/>
    <w:rsid w:val="23F55382"/>
    <w:rsid w:val="23F60841"/>
    <w:rsid w:val="23F65AA3"/>
    <w:rsid w:val="23F70746"/>
    <w:rsid w:val="23F70B0A"/>
    <w:rsid w:val="23F724F4"/>
    <w:rsid w:val="23F76998"/>
    <w:rsid w:val="23F77CA2"/>
    <w:rsid w:val="23FA0237"/>
    <w:rsid w:val="23FC5D5D"/>
    <w:rsid w:val="23FE3883"/>
    <w:rsid w:val="23FF78C4"/>
    <w:rsid w:val="24003A9F"/>
    <w:rsid w:val="24044C11"/>
    <w:rsid w:val="24045981"/>
    <w:rsid w:val="24045BCB"/>
    <w:rsid w:val="240476D5"/>
    <w:rsid w:val="240510B5"/>
    <w:rsid w:val="24054E77"/>
    <w:rsid w:val="24062738"/>
    <w:rsid w:val="24066BDB"/>
    <w:rsid w:val="24084702"/>
    <w:rsid w:val="24092228"/>
    <w:rsid w:val="24094C88"/>
    <w:rsid w:val="240A66CC"/>
    <w:rsid w:val="240A73B4"/>
    <w:rsid w:val="240B75A8"/>
    <w:rsid w:val="240C3129"/>
    <w:rsid w:val="240E783E"/>
    <w:rsid w:val="240F5A90"/>
    <w:rsid w:val="241067BA"/>
    <w:rsid w:val="2411341A"/>
    <w:rsid w:val="241412F8"/>
    <w:rsid w:val="2415322B"/>
    <w:rsid w:val="24156E1F"/>
    <w:rsid w:val="24172B97"/>
    <w:rsid w:val="24174945"/>
    <w:rsid w:val="2417526A"/>
    <w:rsid w:val="241A4435"/>
    <w:rsid w:val="241B7B65"/>
    <w:rsid w:val="241C1F5B"/>
    <w:rsid w:val="241C63FF"/>
    <w:rsid w:val="241D1B02"/>
    <w:rsid w:val="241E3F25"/>
    <w:rsid w:val="241F1A4B"/>
    <w:rsid w:val="242157C3"/>
    <w:rsid w:val="242341FB"/>
    <w:rsid w:val="2423582F"/>
    <w:rsid w:val="2423778D"/>
    <w:rsid w:val="24246CBF"/>
    <w:rsid w:val="24247062"/>
    <w:rsid w:val="24247DD2"/>
    <w:rsid w:val="24250489"/>
    <w:rsid w:val="24253506"/>
    <w:rsid w:val="24257A47"/>
    <w:rsid w:val="2426102C"/>
    <w:rsid w:val="24286B52"/>
    <w:rsid w:val="242B03F0"/>
    <w:rsid w:val="242B219E"/>
    <w:rsid w:val="242B6642"/>
    <w:rsid w:val="242E1C8E"/>
    <w:rsid w:val="242E5513"/>
    <w:rsid w:val="242E675F"/>
    <w:rsid w:val="24303C58"/>
    <w:rsid w:val="24305262"/>
    <w:rsid w:val="24311EAA"/>
    <w:rsid w:val="2432269A"/>
    <w:rsid w:val="24322753"/>
    <w:rsid w:val="243279D1"/>
    <w:rsid w:val="24340A4D"/>
    <w:rsid w:val="24341EB9"/>
    <w:rsid w:val="243467B4"/>
    <w:rsid w:val="243472A5"/>
    <w:rsid w:val="2435301D"/>
    <w:rsid w:val="243629A0"/>
    <w:rsid w:val="243674C1"/>
    <w:rsid w:val="24392B0D"/>
    <w:rsid w:val="243948BB"/>
    <w:rsid w:val="243A0633"/>
    <w:rsid w:val="243C426D"/>
    <w:rsid w:val="243C43AB"/>
    <w:rsid w:val="243E45C7"/>
    <w:rsid w:val="24400A52"/>
    <w:rsid w:val="244020ED"/>
    <w:rsid w:val="24412260"/>
    <w:rsid w:val="24417C14"/>
    <w:rsid w:val="24422247"/>
    <w:rsid w:val="244338EA"/>
    <w:rsid w:val="2446522A"/>
    <w:rsid w:val="24482D50"/>
    <w:rsid w:val="244A0F81"/>
    <w:rsid w:val="244A6AC8"/>
    <w:rsid w:val="244B2840"/>
    <w:rsid w:val="244D0366"/>
    <w:rsid w:val="244D480A"/>
    <w:rsid w:val="244D65B8"/>
    <w:rsid w:val="244E193E"/>
    <w:rsid w:val="245108AC"/>
    <w:rsid w:val="24515D4E"/>
    <w:rsid w:val="24517416"/>
    <w:rsid w:val="24521E21"/>
    <w:rsid w:val="24523BCF"/>
    <w:rsid w:val="24524F8D"/>
    <w:rsid w:val="2452597D"/>
    <w:rsid w:val="24532D12"/>
    <w:rsid w:val="245416F5"/>
    <w:rsid w:val="24547947"/>
    <w:rsid w:val="2455546D"/>
    <w:rsid w:val="245636BF"/>
    <w:rsid w:val="245711E5"/>
    <w:rsid w:val="24575689"/>
    <w:rsid w:val="24577437"/>
    <w:rsid w:val="24591B8E"/>
    <w:rsid w:val="245931AF"/>
    <w:rsid w:val="24596D0B"/>
    <w:rsid w:val="245A2A83"/>
    <w:rsid w:val="245C4C26"/>
    <w:rsid w:val="245D31F5"/>
    <w:rsid w:val="245D63CA"/>
    <w:rsid w:val="245E4322"/>
    <w:rsid w:val="245E4EEC"/>
    <w:rsid w:val="2460453E"/>
    <w:rsid w:val="24613E12"/>
    <w:rsid w:val="2463402E"/>
    <w:rsid w:val="24644151"/>
    <w:rsid w:val="246456B0"/>
    <w:rsid w:val="24651B54"/>
    <w:rsid w:val="24653902"/>
    <w:rsid w:val="24661642"/>
    <w:rsid w:val="24662546"/>
    <w:rsid w:val="24677FB1"/>
    <w:rsid w:val="246833F2"/>
    <w:rsid w:val="246A716A"/>
    <w:rsid w:val="246B6A3F"/>
    <w:rsid w:val="246C2EE2"/>
    <w:rsid w:val="246D27B7"/>
    <w:rsid w:val="246D6C5B"/>
    <w:rsid w:val="246F1264"/>
    <w:rsid w:val="246F4781"/>
    <w:rsid w:val="246F652F"/>
    <w:rsid w:val="24704883"/>
    <w:rsid w:val="2471674B"/>
    <w:rsid w:val="24727BE5"/>
    <w:rsid w:val="24731075"/>
    <w:rsid w:val="24765B0F"/>
    <w:rsid w:val="24773635"/>
    <w:rsid w:val="247827F6"/>
    <w:rsid w:val="24787255"/>
    <w:rsid w:val="2479115B"/>
    <w:rsid w:val="247B23D8"/>
    <w:rsid w:val="247B4ED4"/>
    <w:rsid w:val="247C0C4C"/>
    <w:rsid w:val="247C7268"/>
    <w:rsid w:val="247E195A"/>
    <w:rsid w:val="247E78C9"/>
    <w:rsid w:val="2480073C"/>
    <w:rsid w:val="24800CBD"/>
    <w:rsid w:val="24816262"/>
    <w:rsid w:val="24817A29"/>
    <w:rsid w:val="24822706"/>
    <w:rsid w:val="24825E61"/>
    <w:rsid w:val="2483022C"/>
    <w:rsid w:val="24834912"/>
    <w:rsid w:val="2483647E"/>
    <w:rsid w:val="24847203"/>
    <w:rsid w:val="24857B00"/>
    <w:rsid w:val="24877D1C"/>
    <w:rsid w:val="24881E0B"/>
    <w:rsid w:val="24885842"/>
    <w:rsid w:val="248920B0"/>
    <w:rsid w:val="24897977"/>
    <w:rsid w:val="248A08C7"/>
    <w:rsid w:val="248A5117"/>
    <w:rsid w:val="248B003B"/>
    <w:rsid w:val="248B10B4"/>
    <w:rsid w:val="248C70E1"/>
    <w:rsid w:val="248C75F9"/>
    <w:rsid w:val="248D10AB"/>
    <w:rsid w:val="248F084E"/>
    <w:rsid w:val="248F097F"/>
    <w:rsid w:val="249064A5"/>
    <w:rsid w:val="24912949"/>
    <w:rsid w:val="24915D3F"/>
    <w:rsid w:val="2492046F"/>
    <w:rsid w:val="249266C1"/>
    <w:rsid w:val="249271CF"/>
    <w:rsid w:val="24945F95"/>
    <w:rsid w:val="24954A36"/>
    <w:rsid w:val="2499063C"/>
    <w:rsid w:val="249935AC"/>
    <w:rsid w:val="24997A50"/>
    <w:rsid w:val="249A1C21"/>
    <w:rsid w:val="249B37C8"/>
    <w:rsid w:val="249B7324"/>
    <w:rsid w:val="249D7540"/>
    <w:rsid w:val="249E5066"/>
    <w:rsid w:val="249E6AF6"/>
    <w:rsid w:val="24A00092"/>
    <w:rsid w:val="24A106B2"/>
    <w:rsid w:val="24A1412C"/>
    <w:rsid w:val="24A3442A"/>
    <w:rsid w:val="24A361D8"/>
    <w:rsid w:val="24A42772"/>
    <w:rsid w:val="24A501A2"/>
    <w:rsid w:val="24A51F50"/>
    <w:rsid w:val="24A65394"/>
    <w:rsid w:val="24A65CC9"/>
    <w:rsid w:val="24A75360"/>
    <w:rsid w:val="24A77F65"/>
    <w:rsid w:val="24A81A41"/>
    <w:rsid w:val="24A82CBA"/>
    <w:rsid w:val="24A94248"/>
    <w:rsid w:val="24AA3A0B"/>
    <w:rsid w:val="24AC1531"/>
    <w:rsid w:val="24AD3DD7"/>
    <w:rsid w:val="24AD7057"/>
    <w:rsid w:val="24AF1021"/>
    <w:rsid w:val="24AF49DE"/>
    <w:rsid w:val="24B108F5"/>
    <w:rsid w:val="24B13A01"/>
    <w:rsid w:val="24B14D99"/>
    <w:rsid w:val="24B2070E"/>
    <w:rsid w:val="24B228BF"/>
    <w:rsid w:val="24B2466D"/>
    <w:rsid w:val="24B403E6"/>
    <w:rsid w:val="24B41DEC"/>
    <w:rsid w:val="24B52569"/>
    <w:rsid w:val="24B65F0C"/>
    <w:rsid w:val="24B670FC"/>
    <w:rsid w:val="24B71C84"/>
    <w:rsid w:val="24B86128"/>
    <w:rsid w:val="24B93C4E"/>
    <w:rsid w:val="24BB1774"/>
    <w:rsid w:val="24BB5C18"/>
    <w:rsid w:val="24BB79C6"/>
    <w:rsid w:val="24BC54EC"/>
    <w:rsid w:val="24BD218B"/>
    <w:rsid w:val="24BE0639"/>
    <w:rsid w:val="24BE74B6"/>
    <w:rsid w:val="24C0764C"/>
    <w:rsid w:val="24C22B02"/>
    <w:rsid w:val="24C34ACD"/>
    <w:rsid w:val="24C3687B"/>
    <w:rsid w:val="24C52E10"/>
    <w:rsid w:val="24C543A1"/>
    <w:rsid w:val="24C6060B"/>
    <w:rsid w:val="24C820E3"/>
    <w:rsid w:val="24C85B57"/>
    <w:rsid w:val="24C85C3F"/>
    <w:rsid w:val="24C90335"/>
    <w:rsid w:val="24C95021"/>
    <w:rsid w:val="24CA19B7"/>
    <w:rsid w:val="24CC1BD3"/>
    <w:rsid w:val="24CC572F"/>
    <w:rsid w:val="24CC5C1F"/>
    <w:rsid w:val="24CD1C80"/>
    <w:rsid w:val="24CE3110"/>
    <w:rsid w:val="24CE594B"/>
    <w:rsid w:val="24CF1C50"/>
    <w:rsid w:val="24CF3471"/>
    <w:rsid w:val="24D00601"/>
    <w:rsid w:val="24D10F97"/>
    <w:rsid w:val="24D12D46"/>
    <w:rsid w:val="24D26ABE"/>
    <w:rsid w:val="24D40A88"/>
    <w:rsid w:val="24D42836"/>
    <w:rsid w:val="24D46CDA"/>
    <w:rsid w:val="24D6035C"/>
    <w:rsid w:val="24D61CD0"/>
    <w:rsid w:val="24D80E54"/>
    <w:rsid w:val="24D84FDF"/>
    <w:rsid w:val="24DB0068"/>
    <w:rsid w:val="24DB1E16"/>
    <w:rsid w:val="24DB3BC4"/>
    <w:rsid w:val="24DB4284"/>
    <w:rsid w:val="24DB5972"/>
    <w:rsid w:val="24DC4CD6"/>
    <w:rsid w:val="24DD33CA"/>
    <w:rsid w:val="24DD793C"/>
    <w:rsid w:val="24DE36B4"/>
    <w:rsid w:val="24E000F6"/>
    <w:rsid w:val="24E011DB"/>
    <w:rsid w:val="24E0742D"/>
    <w:rsid w:val="24E16D01"/>
    <w:rsid w:val="24E26007"/>
    <w:rsid w:val="24E46F1D"/>
    <w:rsid w:val="24E52AD8"/>
    <w:rsid w:val="24E567F1"/>
    <w:rsid w:val="24E707BB"/>
    <w:rsid w:val="24E72569"/>
    <w:rsid w:val="24EA6EC3"/>
    <w:rsid w:val="24EC6699"/>
    <w:rsid w:val="24EC7B7F"/>
    <w:rsid w:val="24EC7DDA"/>
    <w:rsid w:val="24ED38F7"/>
    <w:rsid w:val="24EF58C2"/>
    <w:rsid w:val="24F102C3"/>
    <w:rsid w:val="24F20F0E"/>
    <w:rsid w:val="24F2250B"/>
    <w:rsid w:val="24F26C8B"/>
    <w:rsid w:val="24F3399B"/>
    <w:rsid w:val="24F353B2"/>
    <w:rsid w:val="24F37160"/>
    <w:rsid w:val="24F46A34"/>
    <w:rsid w:val="24F5112A"/>
    <w:rsid w:val="24F609FE"/>
    <w:rsid w:val="24F627AC"/>
    <w:rsid w:val="24F84776"/>
    <w:rsid w:val="24F904EE"/>
    <w:rsid w:val="24FA5429"/>
    <w:rsid w:val="24FA6740"/>
    <w:rsid w:val="24FB4266"/>
    <w:rsid w:val="24FD1D8D"/>
    <w:rsid w:val="24FD3B3B"/>
    <w:rsid w:val="24FD6C05"/>
    <w:rsid w:val="24FD761E"/>
    <w:rsid w:val="24FE5B05"/>
    <w:rsid w:val="24FE71FC"/>
    <w:rsid w:val="24FF3D57"/>
    <w:rsid w:val="2500187D"/>
    <w:rsid w:val="2500362B"/>
    <w:rsid w:val="25010B70"/>
    <w:rsid w:val="25016513"/>
    <w:rsid w:val="25021151"/>
    <w:rsid w:val="250255F5"/>
    <w:rsid w:val="250321B4"/>
    <w:rsid w:val="25061E11"/>
    <w:rsid w:val="250626AD"/>
    <w:rsid w:val="25063990"/>
    <w:rsid w:val="25067240"/>
    <w:rsid w:val="25070E5D"/>
    <w:rsid w:val="25072228"/>
    <w:rsid w:val="250732A1"/>
    <w:rsid w:val="250824DF"/>
    <w:rsid w:val="25090731"/>
    <w:rsid w:val="25096983"/>
    <w:rsid w:val="250A5EC6"/>
    <w:rsid w:val="250C30B2"/>
    <w:rsid w:val="250C6474"/>
    <w:rsid w:val="250D7AF6"/>
    <w:rsid w:val="250E3F9A"/>
    <w:rsid w:val="250E44D1"/>
    <w:rsid w:val="250E5D48"/>
    <w:rsid w:val="25105A94"/>
    <w:rsid w:val="251173AB"/>
    <w:rsid w:val="251175E6"/>
    <w:rsid w:val="251315B0"/>
    <w:rsid w:val="25140E84"/>
    <w:rsid w:val="25145328"/>
    <w:rsid w:val="251610A0"/>
    <w:rsid w:val="25164BFC"/>
    <w:rsid w:val="25180974"/>
    <w:rsid w:val="25184E18"/>
    <w:rsid w:val="251915B4"/>
    <w:rsid w:val="251956B6"/>
    <w:rsid w:val="2519649B"/>
    <w:rsid w:val="251A0B90"/>
    <w:rsid w:val="251A293E"/>
    <w:rsid w:val="251B2213"/>
    <w:rsid w:val="251B66B7"/>
    <w:rsid w:val="251C5778"/>
    <w:rsid w:val="251D41DD"/>
    <w:rsid w:val="251D6E63"/>
    <w:rsid w:val="251E1D03"/>
    <w:rsid w:val="251E582B"/>
    <w:rsid w:val="251F40F9"/>
    <w:rsid w:val="25201F1F"/>
    <w:rsid w:val="25205589"/>
    <w:rsid w:val="252235A1"/>
    <w:rsid w:val="25227A45"/>
    <w:rsid w:val="25237319"/>
    <w:rsid w:val="252437BD"/>
    <w:rsid w:val="2524556B"/>
    <w:rsid w:val="25253091"/>
    <w:rsid w:val="25257535"/>
    <w:rsid w:val="2527114A"/>
    <w:rsid w:val="252C08C4"/>
    <w:rsid w:val="252D66FD"/>
    <w:rsid w:val="252F3F10"/>
    <w:rsid w:val="25302162"/>
    <w:rsid w:val="2530507E"/>
    <w:rsid w:val="25311A36"/>
    <w:rsid w:val="25331ACA"/>
    <w:rsid w:val="25331C52"/>
    <w:rsid w:val="25333A00"/>
    <w:rsid w:val="2533755C"/>
    <w:rsid w:val="25341526"/>
    <w:rsid w:val="253432D4"/>
    <w:rsid w:val="253500F5"/>
    <w:rsid w:val="2535374E"/>
    <w:rsid w:val="2536529E"/>
    <w:rsid w:val="2536704D"/>
    <w:rsid w:val="25381017"/>
    <w:rsid w:val="25382DC5"/>
    <w:rsid w:val="25387269"/>
    <w:rsid w:val="253908EB"/>
    <w:rsid w:val="253B0B07"/>
    <w:rsid w:val="253B28B5"/>
    <w:rsid w:val="253B35FE"/>
    <w:rsid w:val="253D4AB1"/>
    <w:rsid w:val="253E5089"/>
    <w:rsid w:val="253F05F7"/>
    <w:rsid w:val="253F2625"/>
    <w:rsid w:val="25401C79"/>
    <w:rsid w:val="2540611D"/>
    <w:rsid w:val="25423C43"/>
    <w:rsid w:val="25425B1A"/>
    <w:rsid w:val="25445C0D"/>
    <w:rsid w:val="25457290"/>
    <w:rsid w:val="25493054"/>
    <w:rsid w:val="25493224"/>
    <w:rsid w:val="25494FD2"/>
    <w:rsid w:val="254B39D5"/>
    <w:rsid w:val="254B70B5"/>
    <w:rsid w:val="254C2D14"/>
    <w:rsid w:val="254C6870"/>
    <w:rsid w:val="254E25E8"/>
    <w:rsid w:val="254F010E"/>
    <w:rsid w:val="255045B2"/>
    <w:rsid w:val="2551032A"/>
    <w:rsid w:val="25522017"/>
    <w:rsid w:val="255231DD"/>
    <w:rsid w:val="2552700B"/>
    <w:rsid w:val="255319AC"/>
    <w:rsid w:val="25535E50"/>
    <w:rsid w:val="25537BFE"/>
    <w:rsid w:val="25545725"/>
    <w:rsid w:val="255566CB"/>
    <w:rsid w:val="25561403"/>
    <w:rsid w:val="2556149D"/>
    <w:rsid w:val="25565941"/>
    <w:rsid w:val="25566D99"/>
    <w:rsid w:val="255816B9"/>
    <w:rsid w:val="25583467"/>
    <w:rsid w:val="255A71DF"/>
    <w:rsid w:val="255B4D05"/>
    <w:rsid w:val="255B6AB3"/>
    <w:rsid w:val="255C003A"/>
    <w:rsid w:val="255C275A"/>
    <w:rsid w:val="255D6CCF"/>
    <w:rsid w:val="255F47F5"/>
    <w:rsid w:val="255F4BB4"/>
    <w:rsid w:val="2561056D"/>
    <w:rsid w:val="2561612C"/>
    <w:rsid w:val="256344D0"/>
    <w:rsid w:val="2563786A"/>
    <w:rsid w:val="2564005E"/>
    <w:rsid w:val="25641E0C"/>
    <w:rsid w:val="25643BBA"/>
    <w:rsid w:val="25655609"/>
    <w:rsid w:val="25657932"/>
    <w:rsid w:val="2566235C"/>
    <w:rsid w:val="2566688E"/>
    <w:rsid w:val="256718FC"/>
    <w:rsid w:val="256A4E4D"/>
    <w:rsid w:val="256A4F48"/>
    <w:rsid w:val="256B7B2F"/>
    <w:rsid w:val="256C0CC0"/>
    <w:rsid w:val="256C2A6E"/>
    <w:rsid w:val="256E4A38"/>
    <w:rsid w:val="256E67E6"/>
    <w:rsid w:val="256F64B0"/>
    <w:rsid w:val="257007B0"/>
    <w:rsid w:val="25714529"/>
    <w:rsid w:val="25724E31"/>
    <w:rsid w:val="257302A1"/>
    <w:rsid w:val="25744AC4"/>
    <w:rsid w:val="25744FE5"/>
    <w:rsid w:val="25747751"/>
    <w:rsid w:val="25754019"/>
    <w:rsid w:val="25754083"/>
    <w:rsid w:val="257552AB"/>
    <w:rsid w:val="257575F8"/>
    <w:rsid w:val="25776824"/>
    <w:rsid w:val="25781413"/>
    <w:rsid w:val="257858B7"/>
    <w:rsid w:val="25787665"/>
    <w:rsid w:val="25792133"/>
    <w:rsid w:val="257A33DD"/>
    <w:rsid w:val="257B0F03"/>
    <w:rsid w:val="257B7155"/>
    <w:rsid w:val="257C1D5E"/>
    <w:rsid w:val="257C53A7"/>
    <w:rsid w:val="257D2ECD"/>
    <w:rsid w:val="257E4B15"/>
    <w:rsid w:val="257F5FA5"/>
    <w:rsid w:val="2580260B"/>
    <w:rsid w:val="25805B0C"/>
    <w:rsid w:val="258129BE"/>
    <w:rsid w:val="25813496"/>
    <w:rsid w:val="25824926"/>
    <w:rsid w:val="258334E9"/>
    <w:rsid w:val="25836860"/>
    <w:rsid w:val="258424AE"/>
    <w:rsid w:val="25861B66"/>
    <w:rsid w:val="25867FD4"/>
    <w:rsid w:val="25875AFA"/>
    <w:rsid w:val="258778A8"/>
    <w:rsid w:val="25882416"/>
    <w:rsid w:val="25891182"/>
    <w:rsid w:val="25891C28"/>
    <w:rsid w:val="258A1146"/>
    <w:rsid w:val="258C4EBE"/>
    <w:rsid w:val="258D1A39"/>
    <w:rsid w:val="258D2751"/>
    <w:rsid w:val="258D2BFC"/>
    <w:rsid w:val="258E2EC9"/>
    <w:rsid w:val="258E6E89"/>
    <w:rsid w:val="258F2241"/>
    <w:rsid w:val="25900E53"/>
    <w:rsid w:val="25916979"/>
    <w:rsid w:val="25922CDA"/>
    <w:rsid w:val="2593624D"/>
    <w:rsid w:val="25950217"/>
    <w:rsid w:val="25956469"/>
    <w:rsid w:val="259721E1"/>
    <w:rsid w:val="25983863"/>
    <w:rsid w:val="25987D07"/>
    <w:rsid w:val="2599753F"/>
    <w:rsid w:val="259A582D"/>
    <w:rsid w:val="259A75DB"/>
    <w:rsid w:val="259B1656"/>
    <w:rsid w:val="259B403D"/>
    <w:rsid w:val="259B711F"/>
    <w:rsid w:val="259C0192"/>
    <w:rsid w:val="259D0E7A"/>
    <w:rsid w:val="259D3570"/>
    <w:rsid w:val="259D70CC"/>
    <w:rsid w:val="259F1096"/>
    <w:rsid w:val="25A1254D"/>
    <w:rsid w:val="25A14E0E"/>
    <w:rsid w:val="25A16BBC"/>
    <w:rsid w:val="25A22934"/>
    <w:rsid w:val="25A246E2"/>
    <w:rsid w:val="25A46830"/>
    <w:rsid w:val="25A5657F"/>
    <w:rsid w:val="25A62424"/>
    <w:rsid w:val="25A71CF8"/>
    <w:rsid w:val="25A8619C"/>
    <w:rsid w:val="25AA531E"/>
    <w:rsid w:val="25AB17E9"/>
    <w:rsid w:val="25AC5561"/>
    <w:rsid w:val="25AC5B1F"/>
    <w:rsid w:val="25AC5D4E"/>
    <w:rsid w:val="25AE61AD"/>
    <w:rsid w:val="25AF576B"/>
    <w:rsid w:val="25B05051"/>
    <w:rsid w:val="25B05C9E"/>
    <w:rsid w:val="25B12B77"/>
    <w:rsid w:val="25B3069D"/>
    <w:rsid w:val="25B52667"/>
    <w:rsid w:val="25B5495B"/>
    <w:rsid w:val="25B6018D"/>
    <w:rsid w:val="25B74631"/>
    <w:rsid w:val="25B763DF"/>
    <w:rsid w:val="25B82157"/>
    <w:rsid w:val="25B86135"/>
    <w:rsid w:val="25BA1A2C"/>
    <w:rsid w:val="25BA5ED0"/>
    <w:rsid w:val="25BA7C7E"/>
    <w:rsid w:val="25BD00FE"/>
    <w:rsid w:val="25BD32CA"/>
    <w:rsid w:val="25BD73D6"/>
    <w:rsid w:val="25BF34E6"/>
    <w:rsid w:val="25C04100"/>
    <w:rsid w:val="25C12DBA"/>
    <w:rsid w:val="25C24D84"/>
    <w:rsid w:val="25C26B32"/>
    <w:rsid w:val="25C66622"/>
    <w:rsid w:val="25C74149"/>
    <w:rsid w:val="25C805EC"/>
    <w:rsid w:val="25C91C6F"/>
    <w:rsid w:val="25C94365"/>
    <w:rsid w:val="25C9436E"/>
    <w:rsid w:val="25C95979"/>
    <w:rsid w:val="25C970BA"/>
    <w:rsid w:val="25CB1E8B"/>
    <w:rsid w:val="25CB2DFC"/>
    <w:rsid w:val="25CB4399"/>
    <w:rsid w:val="25CC2570"/>
    <w:rsid w:val="25CD6ECB"/>
    <w:rsid w:val="25CD79B1"/>
    <w:rsid w:val="25D02FFD"/>
    <w:rsid w:val="25D074A1"/>
    <w:rsid w:val="25D1410B"/>
    <w:rsid w:val="25D1584C"/>
    <w:rsid w:val="25D17D82"/>
    <w:rsid w:val="25D21D06"/>
    <w:rsid w:val="25D23219"/>
    <w:rsid w:val="25D263F9"/>
    <w:rsid w:val="25D32AED"/>
    <w:rsid w:val="25D32D3D"/>
    <w:rsid w:val="25D36F91"/>
    <w:rsid w:val="25D42A8C"/>
    <w:rsid w:val="25D50342"/>
    <w:rsid w:val="25D50679"/>
    <w:rsid w:val="25D54AB7"/>
    <w:rsid w:val="25D967C9"/>
    <w:rsid w:val="25DC4098"/>
    <w:rsid w:val="25DC7BF4"/>
    <w:rsid w:val="25DE1BBE"/>
    <w:rsid w:val="25DF1492"/>
    <w:rsid w:val="25DF5936"/>
    <w:rsid w:val="25E1520A"/>
    <w:rsid w:val="25E20F82"/>
    <w:rsid w:val="25E22D30"/>
    <w:rsid w:val="25E35426"/>
    <w:rsid w:val="25E42F4C"/>
    <w:rsid w:val="25E57747"/>
    <w:rsid w:val="25E64BB6"/>
    <w:rsid w:val="25E66CC5"/>
    <w:rsid w:val="25E70642"/>
    <w:rsid w:val="25E75AA8"/>
    <w:rsid w:val="25E76599"/>
    <w:rsid w:val="25E92311"/>
    <w:rsid w:val="25E92392"/>
    <w:rsid w:val="25E940BF"/>
    <w:rsid w:val="25E96E54"/>
    <w:rsid w:val="25E971BF"/>
    <w:rsid w:val="25E97374"/>
    <w:rsid w:val="25EA2F9C"/>
    <w:rsid w:val="25EA63F3"/>
    <w:rsid w:val="25EB6089"/>
    <w:rsid w:val="25EB7883"/>
    <w:rsid w:val="25EC29D5"/>
    <w:rsid w:val="25EC3BAF"/>
    <w:rsid w:val="25ED1E01"/>
    <w:rsid w:val="25ED4D74"/>
    <w:rsid w:val="25EE5B79"/>
    <w:rsid w:val="25EF3DCB"/>
    <w:rsid w:val="25F018F1"/>
    <w:rsid w:val="25F0544D"/>
    <w:rsid w:val="25F24792"/>
    <w:rsid w:val="25F30BE6"/>
    <w:rsid w:val="25F36015"/>
    <w:rsid w:val="25F413E1"/>
    <w:rsid w:val="25F42076"/>
    <w:rsid w:val="25F5515A"/>
    <w:rsid w:val="25F767DC"/>
    <w:rsid w:val="25F901AD"/>
    <w:rsid w:val="25F969F8"/>
    <w:rsid w:val="25FA2770"/>
    <w:rsid w:val="25FC33D9"/>
    <w:rsid w:val="25FC3DF2"/>
    <w:rsid w:val="25FF08CA"/>
    <w:rsid w:val="25FF7D86"/>
    <w:rsid w:val="260131EA"/>
    <w:rsid w:val="2601765A"/>
    <w:rsid w:val="26031625"/>
    <w:rsid w:val="260333D3"/>
    <w:rsid w:val="260378EC"/>
    <w:rsid w:val="26040EF9"/>
    <w:rsid w:val="26043475"/>
    <w:rsid w:val="26064C51"/>
    <w:rsid w:val="260676FF"/>
    <w:rsid w:val="260704EC"/>
    <w:rsid w:val="260727D5"/>
    <w:rsid w:val="260809E9"/>
    <w:rsid w:val="26084E8D"/>
    <w:rsid w:val="26086C3B"/>
    <w:rsid w:val="26087200"/>
    <w:rsid w:val="2609650F"/>
    <w:rsid w:val="260A5B46"/>
    <w:rsid w:val="260B04D9"/>
    <w:rsid w:val="260B672B"/>
    <w:rsid w:val="260C2ECE"/>
    <w:rsid w:val="260D24A3"/>
    <w:rsid w:val="260D4350"/>
    <w:rsid w:val="260D5FFF"/>
    <w:rsid w:val="260F6C7E"/>
    <w:rsid w:val="26102F02"/>
    <w:rsid w:val="26103D41"/>
    <w:rsid w:val="26121868"/>
    <w:rsid w:val="26123616"/>
    <w:rsid w:val="261407F7"/>
    <w:rsid w:val="261455E0"/>
    <w:rsid w:val="26146956"/>
    <w:rsid w:val="26151358"/>
    <w:rsid w:val="261513AF"/>
    <w:rsid w:val="26162C2E"/>
    <w:rsid w:val="26163F51"/>
    <w:rsid w:val="261750D0"/>
    <w:rsid w:val="26175410"/>
    <w:rsid w:val="26190E48"/>
    <w:rsid w:val="26192BF6"/>
    <w:rsid w:val="261A071C"/>
    <w:rsid w:val="261B6962"/>
    <w:rsid w:val="261C26E6"/>
    <w:rsid w:val="261C3D4E"/>
    <w:rsid w:val="261D1FBA"/>
    <w:rsid w:val="261F21D6"/>
    <w:rsid w:val="261F5D33"/>
    <w:rsid w:val="26211AAB"/>
    <w:rsid w:val="26213859"/>
    <w:rsid w:val="26217CFD"/>
    <w:rsid w:val="26233A75"/>
    <w:rsid w:val="26234D89"/>
    <w:rsid w:val="2624159B"/>
    <w:rsid w:val="262A3886"/>
    <w:rsid w:val="262A4E03"/>
    <w:rsid w:val="262B2929"/>
    <w:rsid w:val="262B46D7"/>
    <w:rsid w:val="262D044F"/>
    <w:rsid w:val="262D0D77"/>
    <w:rsid w:val="262D48F3"/>
    <w:rsid w:val="262D66A1"/>
    <w:rsid w:val="262E5F76"/>
    <w:rsid w:val="262F4B27"/>
    <w:rsid w:val="26301CEE"/>
    <w:rsid w:val="26307245"/>
    <w:rsid w:val="26313084"/>
    <w:rsid w:val="26314DE6"/>
    <w:rsid w:val="26321A4B"/>
    <w:rsid w:val="26327CD9"/>
    <w:rsid w:val="2634067E"/>
    <w:rsid w:val="263712CE"/>
    <w:rsid w:val="2637307C"/>
    <w:rsid w:val="263732B9"/>
    <w:rsid w:val="263907AA"/>
    <w:rsid w:val="26393298"/>
    <w:rsid w:val="26396DF4"/>
    <w:rsid w:val="263A2B6C"/>
    <w:rsid w:val="263B7010"/>
    <w:rsid w:val="263D712B"/>
    <w:rsid w:val="263F5861"/>
    <w:rsid w:val="263F7F19"/>
    <w:rsid w:val="26404627"/>
    <w:rsid w:val="26404C6A"/>
    <w:rsid w:val="26414594"/>
    <w:rsid w:val="26431A21"/>
    <w:rsid w:val="26432EAA"/>
    <w:rsid w:val="26432F9D"/>
    <w:rsid w:val="26437C73"/>
    <w:rsid w:val="264439EB"/>
    <w:rsid w:val="264458DF"/>
    <w:rsid w:val="26446FFE"/>
    <w:rsid w:val="2645048E"/>
    <w:rsid w:val="26451C3D"/>
    <w:rsid w:val="264659B5"/>
    <w:rsid w:val="26490DAB"/>
    <w:rsid w:val="264A7253"/>
    <w:rsid w:val="264B2FCC"/>
    <w:rsid w:val="264B32EF"/>
    <w:rsid w:val="264B52A0"/>
    <w:rsid w:val="264B6B28"/>
    <w:rsid w:val="264D0AF2"/>
    <w:rsid w:val="264D28A0"/>
    <w:rsid w:val="264D464E"/>
    <w:rsid w:val="264D6D44"/>
    <w:rsid w:val="264E01F4"/>
    <w:rsid w:val="264E03C6"/>
    <w:rsid w:val="264E7259"/>
    <w:rsid w:val="264F6618"/>
    <w:rsid w:val="265005E2"/>
    <w:rsid w:val="26502390"/>
    <w:rsid w:val="2650632F"/>
    <w:rsid w:val="26510172"/>
    <w:rsid w:val="26520633"/>
    <w:rsid w:val="2652435A"/>
    <w:rsid w:val="26526108"/>
    <w:rsid w:val="26571970"/>
    <w:rsid w:val="265A4FBD"/>
    <w:rsid w:val="265A6D6B"/>
    <w:rsid w:val="265B3C21"/>
    <w:rsid w:val="265B5E13"/>
    <w:rsid w:val="265C0D35"/>
    <w:rsid w:val="265C2AE3"/>
    <w:rsid w:val="265D00EF"/>
    <w:rsid w:val="265E4AAD"/>
    <w:rsid w:val="265F14A3"/>
    <w:rsid w:val="265F24C5"/>
    <w:rsid w:val="266320C3"/>
    <w:rsid w:val="26633E71"/>
    <w:rsid w:val="2663431E"/>
    <w:rsid w:val="26647BE9"/>
    <w:rsid w:val="2665408D"/>
    <w:rsid w:val="26662365"/>
    <w:rsid w:val="2666570F"/>
    <w:rsid w:val="26666271"/>
    <w:rsid w:val="26674BEA"/>
    <w:rsid w:val="26681488"/>
    <w:rsid w:val="2668592C"/>
    <w:rsid w:val="26695200"/>
    <w:rsid w:val="266A0D19"/>
    <w:rsid w:val="266A16A4"/>
    <w:rsid w:val="266A3452"/>
    <w:rsid w:val="266B541C"/>
    <w:rsid w:val="266C3EE1"/>
    <w:rsid w:val="266C4D7A"/>
    <w:rsid w:val="266D4CF0"/>
    <w:rsid w:val="266F6CBA"/>
    <w:rsid w:val="26710371"/>
    <w:rsid w:val="26720558"/>
    <w:rsid w:val="267219F0"/>
    <w:rsid w:val="2672207C"/>
    <w:rsid w:val="26722306"/>
    <w:rsid w:val="267267AA"/>
    <w:rsid w:val="26751DF6"/>
    <w:rsid w:val="26773DC1"/>
    <w:rsid w:val="26776901"/>
    <w:rsid w:val="2678331D"/>
    <w:rsid w:val="26793695"/>
    <w:rsid w:val="267947AD"/>
    <w:rsid w:val="26797B39"/>
    <w:rsid w:val="267A66BE"/>
    <w:rsid w:val="267C13D7"/>
    <w:rsid w:val="267C4F33"/>
    <w:rsid w:val="267E0CAB"/>
    <w:rsid w:val="267E6EFD"/>
    <w:rsid w:val="267F6705"/>
    <w:rsid w:val="268169ED"/>
    <w:rsid w:val="2685028B"/>
    <w:rsid w:val="2685203A"/>
    <w:rsid w:val="268564DD"/>
    <w:rsid w:val="26864004"/>
    <w:rsid w:val="268A3AF4"/>
    <w:rsid w:val="268B161A"/>
    <w:rsid w:val="268C261C"/>
    <w:rsid w:val="268D694A"/>
    <w:rsid w:val="268F15A4"/>
    <w:rsid w:val="268F4733"/>
    <w:rsid w:val="269009DE"/>
    <w:rsid w:val="26906C30"/>
    <w:rsid w:val="26911CD1"/>
    <w:rsid w:val="26920BFA"/>
    <w:rsid w:val="26926505"/>
    <w:rsid w:val="26937F25"/>
    <w:rsid w:val="2694227D"/>
    <w:rsid w:val="26947C40"/>
    <w:rsid w:val="26953CD5"/>
    <w:rsid w:val="26955FF5"/>
    <w:rsid w:val="269877F3"/>
    <w:rsid w:val="26993D37"/>
    <w:rsid w:val="26997893"/>
    <w:rsid w:val="269A66B7"/>
    <w:rsid w:val="269B7AAF"/>
    <w:rsid w:val="269C7383"/>
    <w:rsid w:val="269D2467"/>
    <w:rsid w:val="269E30FB"/>
    <w:rsid w:val="269E759F"/>
    <w:rsid w:val="269F64C8"/>
    <w:rsid w:val="26A00DE8"/>
    <w:rsid w:val="26A056CC"/>
    <w:rsid w:val="26A10E3D"/>
    <w:rsid w:val="26A2658A"/>
    <w:rsid w:val="26A27A1A"/>
    <w:rsid w:val="26A5092E"/>
    <w:rsid w:val="26A526DC"/>
    <w:rsid w:val="26A5448A"/>
    <w:rsid w:val="26A54C67"/>
    <w:rsid w:val="26A56238"/>
    <w:rsid w:val="26A763A4"/>
    <w:rsid w:val="26A821CC"/>
    <w:rsid w:val="26A83F7A"/>
    <w:rsid w:val="26AA02F7"/>
    <w:rsid w:val="26AA35DB"/>
    <w:rsid w:val="26AA5F44"/>
    <w:rsid w:val="26AA7CF2"/>
    <w:rsid w:val="26AB5818"/>
    <w:rsid w:val="26AB75C6"/>
    <w:rsid w:val="26AC3A6A"/>
    <w:rsid w:val="26AD77E2"/>
    <w:rsid w:val="26AE0482"/>
    <w:rsid w:val="26AF355A"/>
    <w:rsid w:val="26AF5308"/>
    <w:rsid w:val="26AF70B6"/>
    <w:rsid w:val="26B119D0"/>
    <w:rsid w:val="26B32EAE"/>
    <w:rsid w:val="26B41E2F"/>
    <w:rsid w:val="26B446CD"/>
    <w:rsid w:val="26B50445"/>
    <w:rsid w:val="26B54A78"/>
    <w:rsid w:val="26B6068C"/>
    <w:rsid w:val="26B648E9"/>
    <w:rsid w:val="26B75F6B"/>
    <w:rsid w:val="26B80661"/>
    <w:rsid w:val="26B807B0"/>
    <w:rsid w:val="26B83ABF"/>
    <w:rsid w:val="26B83AD1"/>
    <w:rsid w:val="26B91CE3"/>
    <w:rsid w:val="26BB3CAD"/>
    <w:rsid w:val="26BB6D51"/>
    <w:rsid w:val="26BE379D"/>
    <w:rsid w:val="26C03072"/>
    <w:rsid w:val="26C22583"/>
    <w:rsid w:val="26C2328E"/>
    <w:rsid w:val="26C26980"/>
    <w:rsid w:val="26C30DB4"/>
    <w:rsid w:val="26C32B62"/>
    <w:rsid w:val="26C50688"/>
    <w:rsid w:val="26C64400"/>
    <w:rsid w:val="26C64C1E"/>
    <w:rsid w:val="26C651BD"/>
    <w:rsid w:val="26C708A4"/>
    <w:rsid w:val="26C756D4"/>
    <w:rsid w:val="26C80178"/>
    <w:rsid w:val="26C8461C"/>
    <w:rsid w:val="26CA4055"/>
    <w:rsid w:val="26CB1A16"/>
    <w:rsid w:val="26CC7C68"/>
    <w:rsid w:val="26CD1C32"/>
    <w:rsid w:val="26CD39E1"/>
    <w:rsid w:val="26CF6A37"/>
    <w:rsid w:val="26D00413"/>
    <w:rsid w:val="26D0702D"/>
    <w:rsid w:val="26D134D1"/>
    <w:rsid w:val="26D1527F"/>
    <w:rsid w:val="26D20FF7"/>
    <w:rsid w:val="26D24169"/>
    <w:rsid w:val="26D27249"/>
    <w:rsid w:val="26D46B1D"/>
    <w:rsid w:val="26D60AE7"/>
    <w:rsid w:val="26D751C9"/>
    <w:rsid w:val="26DA2456"/>
    <w:rsid w:val="26DC3C24"/>
    <w:rsid w:val="26DD00C8"/>
    <w:rsid w:val="26DE5D97"/>
    <w:rsid w:val="26DE6C18"/>
    <w:rsid w:val="26DF76F3"/>
    <w:rsid w:val="26E01966"/>
    <w:rsid w:val="26E03714"/>
    <w:rsid w:val="26E060BA"/>
    <w:rsid w:val="26E16334"/>
    <w:rsid w:val="26E2748C"/>
    <w:rsid w:val="26E31456"/>
    <w:rsid w:val="26E320E4"/>
    <w:rsid w:val="26E33204"/>
    <w:rsid w:val="26E437BF"/>
    <w:rsid w:val="26E50D2A"/>
    <w:rsid w:val="26E52AD8"/>
    <w:rsid w:val="26E8081A"/>
    <w:rsid w:val="26E80E1A"/>
    <w:rsid w:val="26E86A6C"/>
    <w:rsid w:val="26EB1EFE"/>
    <w:rsid w:val="26EC00A8"/>
    <w:rsid w:val="26EC20B9"/>
    <w:rsid w:val="26ED5E31"/>
    <w:rsid w:val="26ED7BDF"/>
    <w:rsid w:val="26EE4083"/>
    <w:rsid w:val="26EF1BA9"/>
    <w:rsid w:val="26EF1E59"/>
    <w:rsid w:val="26F074B1"/>
    <w:rsid w:val="26F10941"/>
    <w:rsid w:val="26F176CF"/>
    <w:rsid w:val="26F21DD1"/>
    <w:rsid w:val="26F251F5"/>
    <w:rsid w:val="26F471BF"/>
    <w:rsid w:val="26F64CE5"/>
    <w:rsid w:val="26F74F62"/>
    <w:rsid w:val="26F947D6"/>
    <w:rsid w:val="26FB22FC"/>
    <w:rsid w:val="26FC4342"/>
    <w:rsid w:val="26FD42C6"/>
    <w:rsid w:val="26FE1DEC"/>
    <w:rsid w:val="27020185"/>
    <w:rsid w:val="270218C6"/>
    <w:rsid w:val="2705317A"/>
    <w:rsid w:val="27076EF2"/>
    <w:rsid w:val="27084A19"/>
    <w:rsid w:val="27086AFF"/>
    <w:rsid w:val="27091470"/>
    <w:rsid w:val="270A0791"/>
    <w:rsid w:val="270A7CE4"/>
    <w:rsid w:val="270B5A07"/>
    <w:rsid w:val="270C275B"/>
    <w:rsid w:val="270C4509"/>
    <w:rsid w:val="270C5549"/>
    <w:rsid w:val="270C62B7"/>
    <w:rsid w:val="270D0281"/>
    <w:rsid w:val="270D14C0"/>
    <w:rsid w:val="270E64D3"/>
    <w:rsid w:val="270F12F9"/>
    <w:rsid w:val="270F3FF9"/>
    <w:rsid w:val="270F5DA7"/>
    <w:rsid w:val="270F7B55"/>
    <w:rsid w:val="271138CD"/>
    <w:rsid w:val="27120774"/>
    <w:rsid w:val="27124FEB"/>
    <w:rsid w:val="27133AE9"/>
    <w:rsid w:val="27135897"/>
    <w:rsid w:val="2714160F"/>
    <w:rsid w:val="27166959"/>
    <w:rsid w:val="27167136"/>
    <w:rsid w:val="2717265C"/>
    <w:rsid w:val="27182EAE"/>
    <w:rsid w:val="271D04C4"/>
    <w:rsid w:val="271D6716"/>
    <w:rsid w:val="271E5FE8"/>
    <w:rsid w:val="27201D62"/>
    <w:rsid w:val="27207FB4"/>
    <w:rsid w:val="27230BFF"/>
    <w:rsid w:val="27231678"/>
    <w:rsid w:val="27233601"/>
    <w:rsid w:val="27247AA4"/>
    <w:rsid w:val="27271343"/>
    <w:rsid w:val="27277595"/>
    <w:rsid w:val="27291F80"/>
    <w:rsid w:val="2729330D"/>
    <w:rsid w:val="27297642"/>
    <w:rsid w:val="272A0AD1"/>
    <w:rsid w:val="272A3CF9"/>
    <w:rsid w:val="272A498F"/>
    <w:rsid w:val="272C056F"/>
    <w:rsid w:val="272C4BAB"/>
    <w:rsid w:val="272C537D"/>
    <w:rsid w:val="272C6959"/>
    <w:rsid w:val="272E26D1"/>
    <w:rsid w:val="272E7452"/>
    <w:rsid w:val="272F6449"/>
    <w:rsid w:val="27313F6F"/>
    <w:rsid w:val="27314692"/>
    <w:rsid w:val="27344754"/>
    <w:rsid w:val="2734580E"/>
    <w:rsid w:val="27351CB2"/>
    <w:rsid w:val="273566E0"/>
    <w:rsid w:val="27363334"/>
    <w:rsid w:val="27377C59"/>
    <w:rsid w:val="273830D5"/>
    <w:rsid w:val="27394E6C"/>
    <w:rsid w:val="273B094A"/>
    <w:rsid w:val="273B3040"/>
    <w:rsid w:val="273D0B66"/>
    <w:rsid w:val="273D46C2"/>
    <w:rsid w:val="273E5806"/>
    <w:rsid w:val="273E668C"/>
    <w:rsid w:val="273F083F"/>
    <w:rsid w:val="273F48DE"/>
    <w:rsid w:val="27400656"/>
    <w:rsid w:val="274176DD"/>
    <w:rsid w:val="27457A1B"/>
    <w:rsid w:val="27463F98"/>
    <w:rsid w:val="27466BCE"/>
    <w:rsid w:val="27473793"/>
    <w:rsid w:val="27475541"/>
    <w:rsid w:val="27477FF9"/>
    <w:rsid w:val="274801FF"/>
    <w:rsid w:val="27483067"/>
    <w:rsid w:val="27484E85"/>
    <w:rsid w:val="2749750B"/>
    <w:rsid w:val="274A5031"/>
    <w:rsid w:val="274C0DA9"/>
    <w:rsid w:val="274C29DB"/>
    <w:rsid w:val="274C5843"/>
    <w:rsid w:val="274E3443"/>
    <w:rsid w:val="274F135C"/>
    <w:rsid w:val="274F2647"/>
    <w:rsid w:val="274F678B"/>
    <w:rsid w:val="2751016E"/>
    <w:rsid w:val="2753038A"/>
    <w:rsid w:val="27532138"/>
    <w:rsid w:val="27545EB0"/>
    <w:rsid w:val="27556A40"/>
    <w:rsid w:val="27561C28"/>
    <w:rsid w:val="275639D6"/>
    <w:rsid w:val="27564F1D"/>
    <w:rsid w:val="27580F7E"/>
    <w:rsid w:val="275859A0"/>
    <w:rsid w:val="275A1C65"/>
    <w:rsid w:val="275C0D8F"/>
    <w:rsid w:val="275D4D64"/>
    <w:rsid w:val="275E288B"/>
    <w:rsid w:val="275E36AF"/>
    <w:rsid w:val="275F0ADD"/>
    <w:rsid w:val="275F6D2E"/>
    <w:rsid w:val="276205CD"/>
    <w:rsid w:val="27623B80"/>
    <w:rsid w:val="27637EA1"/>
    <w:rsid w:val="276500BD"/>
    <w:rsid w:val="27653C19"/>
    <w:rsid w:val="27664A12"/>
    <w:rsid w:val="2767173F"/>
    <w:rsid w:val="27675BE3"/>
    <w:rsid w:val="27677991"/>
    <w:rsid w:val="276854B7"/>
    <w:rsid w:val="27691F03"/>
    <w:rsid w:val="276B56D3"/>
    <w:rsid w:val="276B73F4"/>
    <w:rsid w:val="276C144B"/>
    <w:rsid w:val="276C31F9"/>
    <w:rsid w:val="276C6D8F"/>
    <w:rsid w:val="276E106B"/>
    <w:rsid w:val="276E2ACE"/>
    <w:rsid w:val="276E51C4"/>
    <w:rsid w:val="276F4A98"/>
    <w:rsid w:val="276F6846"/>
    <w:rsid w:val="277125BE"/>
    <w:rsid w:val="277327DA"/>
    <w:rsid w:val="27734588"/>
    <w:rsid w:val="277358E0"/>
    <w:rsid w:val="277420AE"/>
    <w:rsid w:val="27743E5C"/>
    <w:rsid w:val="27746A7E"/>
    <w:rsid w:val="27750300"/>
    <w:rsid w:val="27764507"/>
    <w:rsid w:val="27773922"/>
    <w:rsid w:val="27787DF0"/>
    <w:rsid w:val="2779092B"/>
    <w:rsid w:val="277B168E"/>
    <w:rsid w:val="277B343D"/>
    <w:rsid w:val="277B51EB"/>
    <w:rsid w:val="277B57A8"/>
    <w:rsid w:val="277C6C38"/>
    <w:rsid w:val="277E4B5A"/>
    <w:rsid w:val="277E6C7B"/>
    <w:rsid w:val="277F1219"/>
    <w:rsid w:val="277F2F2D"/>
    <w:rsid w:val="277F4CDB"/>
    <w:rsid w:val="27802801"/>
    <w:rsid w:val="27805F0E"/>
    <w:rsid w:val="2781719F"/>
    <w:rsid w:val="27822A1D"/>
    <w:rsid w:val="27826579"/>
    <w:rsid w:val="27856069"/>
    <w:rsid w:val="2786250D"/>
    <w:rsid w:val="27873B8F"/>
    <w:rsid w:val="27877EBC"/>
    <w:rsid w:val="27897907"/>
    <w:rsid w:val="278C389C"/>
    <w:rsid w:val="278C73F8"/>
    <w:rsid w:val="278E13C2"/>
    <w:rsid w:val="278E3170"/>
    <w:rsid w:val="278F0C96"/>
    <w:rsid w:val="27910EB2"/>
    <w:rsid w:val="27912C60"/>
    <w:rsid w:val="27932534"/>
    <w:rsid w:val="27934C2A"/>
    <w:rsid w:val="279377AD"/>
    <w:rsid w:val="27946C03"/>
    <w:rsid w:val="27951673"/>
    <w:rsid w:val="279544FE"/>
    <w:rsid w:val="279664C8"/>
    <w:rsid w:val="27982240"/>
    <w:rsid w:val="27983FEE"/>
    <w:rsid w:val="279938C3"/>
    <w:rsid w:val="279B3ADF"/>
    <w:rsid w:val="279D1605"/>
    <w:rsid w:val="279D7D68"/>
    <w:rsid w:val="279F3713"/>
    <w:rsid w:val="27A04BA3"/>
    <w:rsid w:val="27A110F5"/>
    <w:rsid w:val="27A209C9"/>
    <w:rsid w:val="27A20AE6"/>
    <w:rsid w:val="27A26C1B"/>
    <w:rsid w:val="27A40BE5"/>
    <w:rsid w:val="27A42993"/>
    <w:rsid w:val="27A44741"/>
    <w:rsid w:val="27A6670B"/>
    <w:rsid w:val="27A672D4"/>
    <w:rsid w:val="27A74A76"/>
    <w:rsid w:val="27A85F06"/>
    <w:rsid w:val="27A961FC"/>
    <w:rsid w:val="27AD45D6"/>
    <w:rsid w:val="27AD7087"/>
    <w:rsid w:val="27AE3812"/>
    <w:rsid w:val="27AE55C0"/>
    <w:rsid w:val="27AE736E"/>
    <w:rsid w:val="27AE789D"/>
    <w:rsid w:val="27AF3208"/>
    <w:rsid w:val="27B0758A"/>
    <w:rsid w:val="27B150B0"/>
    <w:rsid w:val="27B16FB8"/>
    <w:rsid w:val="27B20448"/>
    <w:rsid w:val="27B22553"/>
    <w:rsid w:val="27B30E28"/>
    <w:rsid w:val="27B34984"/>
    <w:rsid w:val="27B4482F"/>
    <w:rsid w:val="27B4707A"/>
    <w:rsid w:val="27B510B5"/>
    <w:rsid w:val="27B626C7"/>
    <w:rsid w:val="27B76782"/>
    <w:rsid w:val="27B8643F"/>
    <w:rsid w:val="27B93A5F"/>
    <w:rsid w:val="27BA031B"/>
    <w:rsid w:val="27BA21B7"/>
    <w:rsid w:val="27BA5D13"/>
    <w:rsid w:val="27BA6BDA"/>
    <w:rsid w:val="27BB1A8B"/>
    <w:rsid w:val="27BC580C"/>
    <w:rsid w:val="27BD06D2"/>
    <w:rsid w:val="27BD1CA7"/>
    <w:rsid w:val="27BD555B"/>
    <w:rsid w:val="27BD6D7E"/>
    <w:rsid w:val="27BF418D"/>
    <w:rsid w:val="27C052F3"/>
    <w:rsid w:val="27C070A1"/>
    <w:rsid w:val="27C2106B"/>
    <w:rsid w:val="27C272BD"/>
    <w:rsid w:val="27C27F3D"/>
    <w:rsid w:val="27C40159"/>
    <w:rsid w:val="27C546B8"/>
    <w:rsid w:val="27C70430"/>
    <w:rsid w:val="27C748D4"/>
    <w:rsid w:val="27C84C51"/>
    <w:rsid w:val="27C933D0"/>
    <w:rsid w:val="27C9373B"/>
    <w:rsid w:val="27CB43C4"/>
    <w:rsid w:val="27CB53D6"/>
    <w:rsid w:val="27CB6172"/>
    <w:rsid w:val="27CB7F20"/>
    <w:rsid w:val="27CC1EEA"/>
    <w:rsid w:val="27CD11D7"/>
    <w:rsid w:val="27CE3F6B"/>
    <w:rsid w:val="27CE5C62"/>
    <w:rsid w:val="27CF05B7"/>
    <w:rsid w:val="27D019DA"/>
    <w:rsid w:val="27D05536"/>
    <w:rsid w:val="27D139D1"/>
    <w:rsid w:val="27D25752"/>
    <w:rsid w:val="27D90203"/>
    <w:rsid w:val="27DB7654"/>
    <w:rsid w:val="27DC212D"/>
    <w:rsid w:val="27E02036"/>
    <w:rsid w:val="27E020BF"/>
    <w:rsid w:val="27E16097"/>
    <w:rsid w:val="27E20E2A"/>
    <w:rsid w:val="27E2170E"/>
    <w:rsid w:val="27E234BC"/>
    <w:rsid w:val="27E2526A"/>
    <w:rsid w:val="27E25DE6"/>
    <w:rsid w:val="27E33BB6"/>
    <w:rsid w:val="27E45486"/>
    <w:rsid w:val="27E63B1E"/>
    <w:rsid w:val="27E70AD2"/>
    <w:rsid w:val="27E770BC"/>
    <w:rsid w:val="27E823ED"/>
    <w:rsid w:val="27E879ED"/>
    <w:rsid w:val="27E9539F"/>
    <w:rsid w:val="27EB05C2"/>
    <w:rsid w:val="27EB2370"/>
    <w:rsid w:val="27EB411E"/>
    <w:rsid w:val="27EB432A"/>
    <w:rsid w:val="27EC60E8"/>
    <w:rsid w:val="27EC7E96"/>
    <w:rsid w:val="27EE00B2"/>
    <w:rsid w:val="27EE3C0E"/>
    <w:rsid w:val="27EE5ACA"/>
    <w:rsid w:val="27EF069B"/>
    <w:rsid w:val="27EF4604"/>
    <w:rsid w:val="27EF6884"/>
    <w:rsid w:val="27EF7742"/>
    <w:rsid w:val="27F136FF"/>
    <w:rsid w:val="27F258DB"/>
    <w:rsid w:val="27F31225"/>
    <w:rsid w:val="27F33914"/>
    <w:rsid w:val="27F36CE1"/>
    <w:rsid w:val="27F37477"/>
    <w:rsid w:val="27F531EF"/>
    <w:rsid w:val="27F84A8D"/>
    <w:rsid w:val="27F8683B"/>
    <w:rsid w:val="27FC27CF"/>
    <w:rsid w:val="27FC632B"/>
    <w:rsid w:val="27FD02F5"/>
    <w:rsid w:val="27FD412F"/>
    <w:rsid w:val="28002AB0"/>
    <w:rsid w:val="28003E66"/>
    <w:rsid w:val="28011B94"/>
    <w:rsid w:val="28013942"/>
    <w:rsid w:val="28016068"/>
    <w:rsid w:val="280276BA"/>
    <w:rsid w:val="28043432"/>
    <w:rsid w:val="28046D14"/>
    <w:rsid w:val="280478D6"/>
    <w:rsid w:val="28060F58"/>
    <w:rsid w:val="28072F22"/>
    <w:rsid w:val="28074CD0"/>
    <w:rsid w:val="28081174"/>
    <w:rsid w:val="280823A4"/>
    <w:rsid w:val="28094EEC"/>
    <w:rsid w:val="280A52A3"/>
    <w:rsid w:val="280B47C0"/>
    <w:rsid w:val="280B4FF2"/>
    <w:rsid w:val="280B7BC3"/>
    <w:rsid w:val="280D3C24"/>
    <w:rsid w:val="280D5B8F"/>
    <w:rsid w:val="280E2503"/>
    <w:rsid w:val="280E605F"/>
    <w:rsid w:val="280F0246"/>
    <w:rsid w:val="28100029"/>
    <w:rsid w:val="28101DD7"/>
    <w:rsid w:val="28103F90"/>
    <w:rsid w:val="28153891"/>
    <w:rsid w:val="28173165"/>
    <w:rsid w:val="28177609"/>
    <w:rsid w:val="2818112A"/>
    <w:rsid w:val="2818512F"/>
    <w:rsid w:val="2819686D"/>
    <w:rsid w:val="281A0EA7"/>
    <w:rsid w:val="281A2C55"/>
    <w:rsid w:val="281C077C"/>
    <w:rsid w:val="281C4C20"/>
    <w:rsid w:val="281D62A2"/>
    <w:rsid w:val="281E2746"/>
    <w:rsid w:val="281F026C"/>
    <w:rsid w:val="281F201A"/>
    <w:rsid w:val="28210B10"/>
    <w:rsid w:val="28210E7B"/>
    <w:rsid w:val="28212236"/>
    <w:rsid w:val="282249BA"/>
    <w:rsid w:val="28235FAE"/>
    <w:rsid w:val="28237D5C"/>
    <w:rsid w:val="28243AD4"/>
    <w:rsid w:val="28247630"/>
    <w:rsid w:val="2826333B"/>
    <w:rsid w:val="2826784C"/>
    <w:rsid w:val="28267B7B"/>
    <w:rsid w:val="28277120"/>
    <w:rsid w:val="2828082C"/>
    <w:rsid w:val="282835C4"/>
    <w:rsid w:val="28292E99"/>
    <w:rsid w:val="2829733C"/>
    <w:rsid w:val="282B02C6"/>
    <w:rsid w:val="282B09BF"/>
    <w:rsid w:val="282B4E63"/>
    <w:rsid w:val="282B5473"/>
    <w:rsid w:val="282B6C11"/>
    <w:rsid w:val="282D1ACD"/>
    <w:rsid w:val="282E6701"/>
    <w:rsid w:val="28302479"/>
    <w:rsid w:val="283118DE"/>
    <w:rsid w:val="28316D0D"/>
    <w:rsid w:val="28327EA4"/>
    <w:rsid w:val="28327F9F"/>
    <w:rsid w:val="28333D17"/>
    <w:rsid w:val="28341F69"/>
    <w:rsid w:val="28375750"/>
    <w:rsid w:val="283848D1"/>
    <w:rsid w:val="28394A0B"/>
    <w:rsid w:val="28397580"/>
    <w:rsid w:val="283A32F8"/>
    <w:rsid w:val="283B73C3"/>
    <w:rsid w:val="283C2BCC"/>
    <w:rsid w:val="283C7070"/>
    <w:rsid w:val="28412CB7"/>
    <w:rsid w:val="28414191"/>
    <w:rsid w:val="28425D08"/>
    <w:rsid w:val="284303FE"/>
    <w:rsid w:val="284321AC"/>
    <w:rsid w:val="28435434"/>
    <w:rsid w:val="2844755E"/>
    <w:rsid w:val="28447CD2"/>
    <w:rsid w:val="28461C9C"/>
    <w:rsid w:val="28462D48"/>
    <w:rsid w:val="28481571"/>
    <w:rsid w:val="284952E9"/>
    <w:rsid w:val="28497097"/>
    <w:rsid w:val="28497B65"/>
    <w:rsid w:val="284B2E0F"/>
    <w:rsid w:val="284D302B"/>
    <w:rsid w:val="284D6B87"/>
    <w:rsid w:val="284F6542"/>
    <w:rsid w:val="28506677"/>
    <w:rsid w:val="28520641"/>
    <w:rsid w:val="28544C78"/>
    <w:rsid w:val="28550131"/>
    <w:rsid w:val="28567598"/>
    <w:rsid w:val="285717B4"/>
    <w:rsid w:val="28574D2F"/>
    <w:rsid w:val="285846C4"/>
    <w:rsid w:val="285861CA"/>
    <w:rsid w:val="2859377E"/>
    <w:rsid w:val="285A12A4"/>
    <w:rsid w:val="285A5748"/>
    <w:rsid w:val="285C5FDB"/>
    <w:rsid w:val="285C6DCA"/>
    <w:rsid w:val="285F2D5E"/>
    <w:rsid w:val="28610884"/>
    <w:rsid w:val="28612632"/>
    <w:rsid w:val="28616AD6"/>
    <w:rsid w:val="28620159"/>
    <w:rsid w:val="286363AA"/>
    <w:rsid w:val="28643ED1"/>
    <w:rsid w:val="2864476D"/>
    <w:rsid w:val="28665E9B"/>
    <w:rsid w:val="28667C49"/>
    <w:rsid w:val="286839C1"/>
    <w:rsid w:val="28687E65"/>
    <w:rsid w:val="2869172C"/>
    <w:rsid w:val="286A1BF6"/>
    <w:rsid w:val="286B1703"/>
    <w:rsid w:val="286B3A4E"/>
    <w:rsid w:val="286B525F"/>
    <w:rsid w:val="286B6E3F"/>
    <w:rsid w:val="286D7229"/>
    <w:rsid w:val="286E4D4F"/>
    <w:rsid w:val="286F1880"/>
    <w:rsid w:val="286F2FA1"/>
    <w:rsid w:val="28700AC7"/>
    <w:rsid w:val="28702113"/>
    <w:rsid w:val="28702875"/>
    <w:rsid w:val="28726D71"/>
    <w:rsid w:val="287405B8"/>
    <w:rsid w:val="28745C63"/>
    <w:rsid w:val="2874680A"/>
    <w:rsid w:val="28754330"/>
    <w:rsid w:val="28757E8C"/>
    <w:rsid w:val="28760480"/>
    <w:rsid w:val="287700A8"/>
    <w:rsid w:val="28771E56"/>
    <w:rsid w:val="28773C04"/>
    <w:rsid w:val="28795503"/>
    <w:rsid w:val="287C121A"/>
    <w:rsid w:val="287E67A4"/>
    <w:rsid w:val="287E7EB4"/>
    <w:rsid w:val="287F0D0A"/>
    <w:rsid w:val="287F6F5C"/>
    <w:rsid w:val="28810F26"/>
    <w:rsid w:val="288129C2"/>
    <w:rsid w:val="28812CD5"/>
    <w:rsid w:val="28814A83"/>
    <w:rsid w:val="28820671"/>
    <w:rsid w:val="288325A9"/>
    <w:rsid w:val="28836A4D"/>
    <w:rsid w:val="28844573"/>
    <w:rsid w:val="28866D03"/>
    <w:rsid w:val="288726D8"/>
    <w:rsid w:val="28884063"/>
    <w:rsid w:val="28885E11"/>
    <w:rsid w:val="28887BBF"/>
    <w:rsid w:val="288A7DDB"/>
    <w:rsid w:val="288B5901"/>
    <w:rsid w:val="288C3979"/>
    <w:rsid w:val="288D1679"/>
    <w:rsid w:val="288E0F4E"/>
    <w:rsid w:val="288E12DB"/>
    <w:rsid w:val="288F53F1"/>
    <w:rsid w:val="288F719F"/>
    <w:rsid w:val="289022FA"/>
    <w:rsid w:val="2898365D"/>
    <w:rsid w:val="289A5B44"/>
    <w:rsid w:val="289A78F2"/>
    <w:rsid w:val="289B7D65"/>
    <w:rsid w:val="289C18BC"/>
    <w:rsid w:val="289E5635"/>
    <w:rsid w:val="289F095F"/>
    <w:rsid w:val="289F315B"/>
    <w:rsid w:val="28A01F9F"/>
    <w:rsid w:val="28A1448D"/>
    <w:rsid w:val="28A15125"/>
    <w:rsid w:val="28A203FA"/>
    <w:rsid w:val="28A32C4B"/>
    <w:rsid w:val="28A51127"/>
    <w:rsid w:val="28A54C15"/>
    <w:rsid w:val="28A6098D"/>
    <w:rsid w:val="28A644E9"/>
    <w:rsid w:val="28A8200F"/>
    <w:rsid w:val="28AA222B"/>
    <w:rsid w:val="28AA3FD9"/>
    <w:rsid w:val="28AB6F01"/>
    <w:rsid w:val="28AB7D51"/>
    <w:rsid w:val="28AD1D1C"/>
    <w:rsid w:val="28AD5878"/>
    <w:rsid w:val="28AF6D12"/>
    <w:rsid w:val="28B023F4"/>
    <w:rsid w:val="28B05368"/>
    <w:rsid w:val="28B056D9"/>
    <w:rsid w:val="28B135BA"/>
    <w:rsid w:val="28B22E8E"/>
    <w:rsid w:val="28B2422E"/>
    <w:rsid w:val="28B27332"/>
    <w:rsid w:val="28B409B4"/>
    <w:rsid w:val="28B430AA"/>
    <w:rsid w:val="28B44E58"/>
    <w:rsid w:val="28B74948"/>
    <w:rsid w:val="28B841B8"/>
    <w:rsid w:val="28B906C0"/>
    <w:rsid w:val="28B9246E"/>
    <w:rsid w:val="28B9421C"/>
    <w:rsid w:val="28BA4CD1"/>
    <w:rsid w:val="28BB385D"/>
    <w:rsid w:val="28BC5ABB"/>
    <w:rsid w:val="28BE1833"/>
    <w:rsid w:val="28BE27A6"/>
    <w:rsid w:val="28BE433A"/>
    <w:rsid w:val="28BE5CD7"/>
    <w:rsid w:val="28C0322D"/>
    <w:rsid w:val="28C11323"/>
    <w:rsid w:val="28C122CB"/>
    <w:rsid w:val="28C12868"/>
    <w:rsid w:val="28C130D1"/>
    <w:rsid w:val="28C17575"/>
    <w:rsid w:val="28C25188"/>
    <w:rsid w:val="28C26704"/>
    <w:rsid w:val="28C33A47"/>
    <w:rsid w:val="28C36E49"/>
    <w:rsid w:val="28C606E7"/>
    <w:rsid w:val="28C72DDD"/>
    <w:rsid w:val="28C77B6A"/>
    <w:rsid w:val="28C81D7A"/>
    <w:rsid w:val="28C8445F"/>
    <w:rsid w:val="28C9134F"/>
    <w:rsid w:val="28CA01D8"/>
    <w:rsid w:val="28CA467C"/>
    <w:rsid w:val="28CA642A"/>
    <w:rsid w:val="28CB3F50"/>
    <w:rsid w:val="28CC797B"/>
    <w:rsid w:val="28CD07A5"/>
    <w:rsid w:val="28CD1A76"/>
    <w:rsid w:val="28CD5F1A"/>
    <w:rsid w:val="28CF3A40"/>
    <w:rsid w:val="28D177B8"/>
    <w:rsid w:val="28D21782"/>
    <w:rsid w:val="28D23530"/>
    <w:rsid w:val="28D252DE"/>
    <w:rsid w:val="28D265E4"/>
    <w:rsid w:val="28D30EC9"/>
    <w:rsid w:val="28D42E04"/>
    <w:rsid w:val="28D472A8"/>
    <w:rsid w:val="28D64DCE"/>
    <w:rsid w:val="28D76C85"/>
    <w:rsid w:val="28D76D98"/>
    <w:rsid w:val="28D9424E"/>
    <w:rsid w:val="28DA340F"/>
    <w:rsid w:val="28DB5305"/>
    <w:rsid w:val="28DC77C1"/>
    <w:rsid w:val="28DD3F53"/>
    <w:rsid w:val="28DD71BF"/>
    <w:rsid w:val="28DE0127"/>
    <w:rsid w:val="28DE6E12"/>
    <w:rsid w:val="28DF17A9"/>
    <w:rsid w:val="28E03E9F"/>
    <w:rsid w:val="28E31299"/>
    <w:rsid w:val="28E34735"/>
    <w:rsid w:val="28E3573D"/>
    <w:rsid w:val="28E374EB"/>
    <w:rsid w:val="28E47092"/>
    <w:rsid w:val="28E678D4"/>
    <w:rsid w:val="28E76FDC"/>
    <w:rsid w:val="28EB2B7A"/>
    <w:rsid w:val="28EB4394"/>
    <w:rsid w:val="28EB63A0"/>
    <w:rsid w:val="28EC45F2"/>
    <w:rsid w:val="28EC557B"/>
    <w:rsid w:val="28ED2118"/>
    <w:rsid w:val="28ED3D5F"/>
    <w:rsid w:val="28ED3EC6"/>
    <w:rsid w:val="28EF40E2"/>
    <w:rsid w:val="28EF5E90"/>
    <w:rsid w:val="28F039B6"/>
    <w:rsid w:val="28F04484"/>
    <w:rsid w:val="28F11C08"/>
    <w:rsid w:val="28F25980"/>
    <w:rsid w:val="28F2659B"/>
    <w:rsid w:val="28F72F97"/>
    <w:rsid w:val="28F96D0F"/>
    <w:rsid w:val="28FA4916"/>
    <w:rsid w:val="28FC074E"/>
    <w:rsid w:val="28FC235B"/>
    <w:rsid w:val="28FC5481"/>
    <w:rsid w:val="28FE2577"/>
    <w:rsid w:val="28FE4325"/>
    <w:rsid w:val="28FE60D3"/>
    <w:rsid w:val="28FF2559"/>
    <w:rsid w:val="29003BF9"/>
    <w:rsid w:val="2902208A"/>
    <w:rsid w:val="29023E15"/>
    <w:rsid w:val="29037B8D"/>
    <w:rsid w:val="29051210"/>
    <w:rsid w:val="29053906"/>
    <w:rsid w:val="29057B0C"/>
    <w:rsid w:val="29072B7B"/>
    <w:rsid w:val="290851A4"/>
    <w:rsid w:val="290A0F1C"/>
    <w:rsid w:val="290A2050"/>
    <w:rsid w:val="290B259E"/>
    <w:rsid w:val="290C4C94"/>
    <w:rsid w:val="290C6A42"/>
    <w:rsid w:val="290D27BA"/>
    <w:rsid w:val="290F02E0"/>
    <w:rsid w:val="290F204E"/>
    <w:rsid w:val="29114058"/>
    <w:rsid w:val="29115E06"/>
    <w:rsid w:val="29122110"/>
    <w:rsid w:val="2912392D"/>
    <w:rsid w:val="291476A5"/>
    <w:rsid w:val="291624C7"/>
    <w:rsid w:val="29167EA5"/>
    <w:rsid w:val="29177195"/>
    <w:rsid w:val="29183639"/>
    <w:rsid w:val="2919115F"/>
    <w:rsid w:val="291B7489"/>
    <w:rsid w:val="291D0C4F"/>
    <w:rsid w:val="291D29FD"/>
    <w:rsid w:val="291D7223"/>
    <w:rsid w:val="291E49C7"/>
    <w:rsid w:val="291E5AE2"/>
    <w:rsid w:val="2920429C"/>
    <w:rsid w:val="29206982"/>
    <w:rsid w:val="29207F2A"/>
    <w:rsid w:val="29214463"/>
    <w:rsid w:val="2921546F"/>
    <w:rsid w:val="29226266"/>
    <w:rsid w:val="29227034"/>
    <w:rsid w:val="29244525"/>
    <w:rsid w:val="29253660"/>
    <w:rsid w:val="292559B5"/>
    <w:rsid w:val="29267F5D"/>
    <w:rsid w:val="29271A16"/>
    <w:rsid w:val="292813A2"/>
    <w:rsid w:val="29284336"/>
    <w:rsid w:val="2928682E"/>
    <w:rsid w:val="292875F4"/>
    <w:rsid w:val="29296634"/>
    <w:rsid w:val="292A0397"/>
    <w:rsid w:val="292D4147"/>
    <w:rsid w:val="292E4C0A"/>
    <w:rsid w:val="292F0982"/>
    <w:rsid w:val="292F2731"/>
    <w:rsid w:val="292F6A67"/>
    <w:rsid w:val="29312005"/>
    <w:rsid w:val="29315699"/>
    <w:rsid w:val="29345C93"/>
    <w:rsid w:val="2936586D"/>
    <w:rsid w:val="293935AF"/>
    <w:rsid w:val="293B2E83"/>
    <w:rsid w:val="293B3B94"/>
    <w:rsid w:val="293C27AC"/>
    <w:rsid w:val="293D24FB"/>
    <w:rsid w:val="293D309F"/>
    <w:rsid w:val="293D4E4D"/>
    <w:rsid w:val="293D6BFB"/>
    <w:rsid w:val="2940493E"/>
    <w:rsid w:val="29404C43"/>
    <w:rsid w:val="294066EC"/>
    <w:rsid w:val="29422464"/>
    <w:rsid w:val="29424914"/>
    <w:rsid w:val="29434B94"/>
    <w:rsid w:val="294361DC"/>
    <w:rsid w:val="29437F8A"/>
    <w:rsid w:val="29454F9F"/>
    <w:rsid w:val="29455AB0"/>
    <w:rsid w:val="2946266B"/>
    <w:rsid w:val="29464CEE"/>
    <w:rsid w:val="29483920"/>
    <w:rsid w:val="294855A0"/>
    <w:rsid w:val="29494DB0"/>
    <w:rsid w:val="294962C0"/>
    <w:rsid w:val="294A1318"/>
    <w:rsid w:val="294A30C6"/>
    <w:rsid w:val="294A4FF5"/>
    <w:rsid w:val="294A756A"/>
    <w:rsid w:val="294B2E13"/>
    <w:rsid w:val="294B31AA"/>
    <w:rsid w:val="294B5EC5"/>
    <w:rsid w:val="294C6E3F"/>
    <w:rsid w:val="294E3480"/>
    <w:rsid w:val="294E705B"/>
    <w:rsid w:val="294F2DD3"/>
    <w:rsid w:val="295020B2"/>
    <w:rsid w:val="2950368E"/>
    <w:rsid w:val="295108F9"/>
    <w:rsid w:val="295126A7"/>
    <w:rsid w:val="29514455"/>
    <w:rsid w:val="295201CD"/>
    <w:rsid w:val="29534671"/>
    <w:rsid w:val="29535E62"/>
    <w:rsid w:val="295403E9"/>
    <w:rsid w:val="295757E3"/>
    <w:rsid w:val="29575C73"/>
    <w:rsid w:val="295778BB"/>
    <w:rsid w:val="295A1DDB"/>
    <w:rsid w:val="295C2DFA"/>
    <w:rsid w:val="295D104C"/>
    <w:rsid w:val="295E5F46"/>
    <w:rsid w:val="29606D8E"/>
    <w:rsid w:val="29626662"/>
    <w:rsid w:val="29656152"/>
    <w:rsid w:val="29657F00"/>
    <w:rsid w:val="2967011C"/>
    <w:rsid w:val="29671ECA"/>
    <w:rsid w:val="296879F1"/>
    <w:rsid w:val="29690088"/>
    <w:rsid w:val="29693E94"/>
    <w:rsid w:val="29695C42"/>
    <w:rsid w:val="296A19BB"/>
    <w:rsid w:val="296A5517"/>
    <w:rsid w:val="296B6BBA"/>
    <w:rsid w:val="296C0453"/>
    <w:rsid w:val="296C128F"/>
    <w:rsid w:val="296C5733"/>
    <w:rsid w:val="296C74E1"/>
    <w:rsid w:val="296D0CD1"/>
    <w:rsid w:val="296D5007"/>
    <w:rsid w:val="296E3259"/>
    <w:rsid w:val="296E563B"/>
    <w:rsid w:val="296E7531"/>
    <w:rsid w:val="296F1A67"/>
    <w:rsid w:val="296F3EFA"/>
    <w:rsid w:val="296F6FD1"/>
    <w:rsid w:val="29713AED"/>
    <w:rsid w:val="29736AC1"/>
    <w:rsid w:val="2976210D"/>
    <w:rsid w:val="29762C7E"/>
    <w:rsid w:val="29763DCD"/>
    <w:rsid w:val="297665B1"/>
    <w:rsid w:val="297866ED"/>
    <w:rsid w:val="2979274E"/>
    <w:rsid w:val="297939AC"/>
    <w:rsid w:val="297A3BDE"/>
    <w:rsid w:val="297D7000"/>
    <w:rsid w:val="298011DE"/>
    <w:rsid w:val="29820015"/>
    <w:rsid w:val="29820AB2"/>
    <w:rsid w:val="29831926"/>
    <w:rsid w:val="29852351"/>
    <w:rsid w:val="298734E1"/>
    <w:rsid w:val="298760C9"/>
    <w:rsid w:val="29892243"/>
    <w:rsid w:val="298962E5"/>
    <w:rsid w:val="298A6197"/>
    <w:rsid w:val="298B44EB"/>
    <w:rsid w:val="298E38FB"/>
    <w:rsid w:val="29922846"/>
    <w:rsid w:val="29930F11"/>
    <w:rsid w:val="29942ABC"/>
    <w:rsid w:val="29946A38"/>
    <w:rsid w:val="2996455E"/>
    <w:rsid w:val="29973106"/>
    <w:rsid w:val="2997606E"/>
    <w:rsid w:val="29997253"/>
    <w:rsid w:val="2999739E"/>
    <w:rsid w:val="299B4734"/>
    <w:rsid w:val="299F1664"/>
    <w:rsid w:val="299F78B6"/>
    <w:rsid w:val="29A25550"/>
    <w:rsid w:val="29A30A29"/>
    <w:rsid w:val="29A44ECD"/>
    <w:rsid w:val="29A46C7B"/>
    <w:rsid w:val="29A50C45"/>
    <w:rsid w:val="29A51F1F"/>
    <w:rsid w:val="29A547A1"/>
    <w:rsid w:val="29A749BD"/>
    <w:rsid w:val="29A7676B"/>
    <w:rsid w:val="29A8408B"/>
    <w:rsid w:val="29A924E3"/>
    <w:rsid w:val="29A95143"/>
    <w:rsid w:val="29A96C5C"/>
    <w:rsid w:val="29AA1DB7"/>
    <w:rsid w:val="29AA5A34"/>
    <w:rsid w:val="29AB625B"/>
    <w:rsid w:val="29AC1FD3"/>
    <w:rsid w:val="29AE18A7"/>
    <w:rsid w:val="29AE1CA5"/>
    <w:rsid w:val="29AE2ACE"/>
    <w:rsid w:val="29AE780A"/>
    <w:rsid w:val="29AE7AF9"/>
    <w:rsid w:val="29AF0E04"/>
    <w:rsid w:val="29AF561F"/>
    <w:rsid w:val="29B13146"/>
    <w:rsid w:val="29B315E1"/>
    <w:rsid w:val="29B328DF"/>
    <w:rsid w:val="29B35110"/>
    <w:rsid w:val="29B449E4"/>
    <w:rsid w:val="29B50E88"/>
    <w:rsid w:val="29B669AE"/>
    <w:rsid w:val="29B727FF"/>
    <w:rsid w:val="29B735B0"/>
    <w:rsid w:val="29B80978"/>
    <w:rsid w:val="29B816E7"/>
    <w:rsid w:val="29B82726"/>
    <w:rsid w:val="29B84A22"/>
    <w:rsid w:val="29B9024C"/>
    <w:rsid w:val="29B97BE1"/>
    <w:rsid w:val="29BD299F"/>
    <w:rsid w:val="29BF5862"/>
    <w:rsid w:val="29C0782D"/>
    <w:rsid w:val="29C140CE"/>
    <w:rsid w:val="29C15A7E"/>
    <w:rsid w:val="29C25353"/>
    <w:rsid w:val="29C27803"/>
    <w:rsid w:val="29C323D4"/>
    <w:rsid w:val="29C42E79"/>
    <w:rsid w:val="29C54E43"/>
    <w:rsid w:val="29C56BF1"/>
    <w:rsid w:val="29C664FC"/>
    <w:rsid w:val="29C70BBB"/>
    <w:rsid w:val="29C72969"/>
    <w:rsid w:val="29C9048F"/>
    <w:rsid w:val="29C94933"/>
    <w:rsid w:val="29C94B05"/>
    <w:rsid w:val="29CA2459"/>
    <w:rsid w:val="29CA4159"/>
    <w:rsid w:val="29CC4423"/>
    <w:rsid w:val="29CC7F7F"/>
    <w:rsid w:val="29CD3AB3"/>
    <w:rsid w:val="29CE1F49"/>
    <w:rsid w:val="29CE5AA6"/>
    <w:rsid w:val="29CE74E7"/>
    <w:rsid w:val="29CF1E07"/>
    <w:rsid w:val="29D049D8"/>
    <w:rsid w:val="29D05CC2"/>
    <w:rsid w:val="29D07A70"/>
    <w:rsid w:val="29D532D8"/>
    <w:rsid w:val="29D62BAC"/>
    <w:rsid w:val="29D67050"/>
    <w:rsid w:val="29D70599"/>
    <w:rsid w:val="29D76728"/>
    <w:rsid w:val="29D84B76"/>
    <w:rsid w:val="29DA08EE"/>
    <w:rsid w:val="29DB01C2"/>
    <w:rsid w:val="29DB4666"/>
    <w:rsid w:val="29DF4157"/>
    <w:rsid w:val="29DF7CB3"/>
    <w:rsid w:val="29E03A2B"/>
    <w:rsid w:val="29E057D9"/>
    <w:rsid w:val="29E21551"/>
    <w:rsid w:val="29E277A3"/>
    <w:rsid w:val="29E4176D"/>
    <w:rsid w:val="29E452C9"/>
    <w:rsid w:val="29E63465"/>
    <w:rsid w:val="29E654E5"/>
    <w:rsid w:val="29E75C1B"/>
    <w:rsid w:val="29E8699D"/>
    <w:rsid w:val="29E93BB2"/>
    <w:rsid w:val="29E95751"/>
    <w:rsid w:val="29E96D83"/>
    <w:rsid w:val="29EA3E3E"/>
    <w:rsid w:val="29EB2AFB"/>
    <w:rsid w:val="29EB48A9"/>
    <w:rsid w:val="29EE6148"/>
    <w:rsid w:val="29F0007A"/>
    <w:rsid w:val="29F0497A"/>
    <w:rsid w:val="29F07481"/>
    <w:rsid w:val="29F14929"/>
    <w:rsid w:val="29F15C38"/>
    <w:rsid w:val="29F179E6"/>
    <w:rsid w:val="29F32C1A"/>
    <w:rsid w:val="29F3375E"/>
    <w:rsid w:val="29F37C02"/>
    <w:rsid w:val="29F44607"/>
    <w:rsid w:val="29F47AC1"/>
    <w:rsid w:val="29F51284"/>
    <w:rsid w:val="29F97883"/>
    <w:rsid w:val="29FA0F90"/>
    <w:rsid w:val="29FB0865"/>
    <w:rsid w:val="29FB2613"/>
    <w:rsid w:val="29FC6AB7"/>
    <w:rsid w:val="29FF0355"/>
    <w:rsid w:val="29FF2103"/>
    <w:rsid w:val="2A0120C5"/>
    <w:rsid w:val="2A0239A1"/>
    <w:rsid w:val="2A027E45"/>
    <w:rsid w:val="2A036EE1"/>
    <w:rsid w:val="2A047719"/>
    <w:rsid w:val="2A0616E3"/>
    <w:rsid w:val="2A063491"/>
    <w:rsid w:val="2A0721CE"/>
    <w:rsid w:val="2A075F37"/>
    <w:rsid w:val="2A077209"/>
    <w:rsid w:val="2A0B6CFA"/>
    <w:rsid w:val="2A0C2316"/>
    <w:rsid w:val="2A0C2A72"/>
    <w:rsid w:val="2A0C4820"/>
    <w:rsid w:val="2A0C585F"/>
    <w:rsid w:val="2A0D0CC4"/>
    <w:rsid w:val="2A0D1DA9"/>
    <w:rsid w:val="2A0E0598"/>
    <w:rsid w:val="2A0F5E0A"/>
    <w:rsid w:val="2A105E2A"/>
    <w:rsid w:val="2A110088"/>
    <w:rsid w:val="2A110159"/>
    <w:rsid w:val="2A111E36"/>
    <w:rsid w:val="2A115333"/>
    <w:rsid w:val="2A135BAE"/>
    <w:rsid w:val="2A136BA8"/>
    <w:rsid w:val="2A1536D4"/>
    <w:rsid w:val="2A16744D"/>
    <w:rsid w:val="2A181417"/>
    <w:rsid w:val="2A1831C5"/>
    <w:rsid w:val="2A1A0CEB"/>
    <w:rsid w:val="2A1A6F3D"/>
    <w:rsid w:val="2A1B43AD"/>
    <w:rsid w:val="2A1C6CCC"/>
    <w:rsid w:val="2A1D07DB"/>
    <w:rsid w:val="2A1F09F7"/>
    <w:rsid w:val="2A1F27A5"/>
    <w:rsid w:val="2A207082"/>
    <w:rsid w:val="2A23570F"/>
    <w:rsid w:val="2A24600D"/>
    <w:rsid w:val="2A247DBB"/>
    <w:rsid w:val="2A25002F"/>
    <w:rsid w:val="2A256F51"/>
    <w:rsid w:val="2A257690"/>
    <w:rsid w:val="2A260C0D"/>
    <w:rsid w:val="2A2618E6"/>
    <w:rsid w:val="2A263B34"/>
    <w:rsid w:val="2A2658E2"/>
    <w:rsid w:val="2A2953D2"/>
    <w:rsid w:val="2A2B09A2"/>
    <w:rsid w:val="2A2B2EF8"/>
    <w:rsid w:val="2A2B739C"/>
    <w:rsid w:val="2A2C7F02"/>
    <w:rsid w:val="2A2E29E8"/>
    <w:rsid w:val="2A30050E"/>
    <w:rsid w:val="2A3049B2"/>
    <w:rsid w:val="2A306760"/>
    <w:rsid w:val="2A3165D2"/>
    <w:rsid w:val="2A32072A"/>
    <w:rsid w:val="2A3224D8"/>
    <w:rsid w:val="2A336250"/>
    <w:rsid w:val="2A351FC9"/>
    <w:rsid w:val="2A355B25"/>
    <w:rsid w:val="2A37312B"/>
    <w:rsid w:val="2A383867"/>
    <w:rsid w:val="2A385615"/>
    <w:rsid w:val="2A3873C3"/>
    <w:rsid w:val="2A3A138D"/>
    <w:rsid w:val="2A3B2351"/>
    <w:rsid w:val="2A3C3357"/>
    <w:rsid w:val="2A3C6EB3"/>
    <w:rsid w:val="2A3E70CF"/>
    <w:rsid w:val="2A3F69A3"/>
    <w:rsid w:val="2A41096D"/>
    <w:rsid w:val="2A410FEB"/>
    <w:rsid w:val="2A465F84"/>
    <w:rsid w:val="2A473AAA"/>
    <w:rsid w:val="2A481CFC"/>
    <w:rsid w:val="2A48221F"/>
    <w:rsid w:val="2A491472"/>
    <w:rsid w:val="2A491993"/>
    <w:rsid w:val="2A495A74"/>
    <w:rsid w:val="2A497822"/>
    <w:rsid w:val="2A4A387B"/>
    <w:rsid w:val="2A4B17EC"/>
    <w:rsid w:val="2A4C2E6E"/>
    <w:rsid w:val="2A4C31DA"/>
    <w:rsid w:val="2A4D7312"/>
    <w:rsid w:val="2A4E308A"/>
    <w:rsid w:val="2A506E02"/>
    <w:rsid w:val="2A5078E5"/>
    <w:rsid w:val="2A51704C"/>
    <w:rsid w:val="2A522B7B"/>
    <w:rsid w:val="2A524929"/>
    <w:rsid w:val="2A5266D7"/>
    <w:rsid w:val="2A5306A1"/>
    <w:rsid w:val="2A54453D"/>
    <w:rsid w:val="2A550F10"/>
    <w:rsid w:val="2A554419"/>
    <w:rsid w:val="2A5644EE"/>
    <w:rsid w:val="2A56543D"/>
    <w:rsid w:val="2A573CED"/>
    <w:rsid w:val="2A585A8F"/>
    <w:rsid w:val="2A5A1A2F"/>
    <w:rsid w:val="2A5A558B"/>
    <w:rsid w:val="2A5C7555"/>
    <w:rsid w:val="2A5D507B"/>
    <w:rsid w:val="2A5E32CD"/>
    <w:rsid w:val="2A5F026D"/>
    <w:rsid w:val="2A5F03C3"/>
    <w:rsid w:val="2A5F0DF4"/>
    <w:rsid w:val="2A5F7045"/>
    <w:rsid w:val="2A6003EB"/>
    <w:rsid w:val="2A6068EF"/>
    <w:rsid w:val="2A6242BE"/>
    <w:rsid w:val="2A6404A2"/>
    <w:rsid w:val="2A6428AE"/>
    <w:rsid w:val="2A6428F1"/>
    <w:rsid w:val="2A6603D4"/>
    <w:rsid w:val="2A663F30"/>
    <w:rsid w:val="2A67266B"/>
    <w:rsid w:val="2A6808C0"/>
    <w:rsid w:val="2A693A20"/>
    <w:rsid w:val="2A6A7A09"/>
    <w:rsid w:val="2A6B1546"/>
    <w:rsid w:val="2A6B28AD"/>
    <w:rsid w:val="2A6B59EA"/>
    <w:rsid w:val="2A6B7798"/>
    <w:rsid w:val="2A6C52BE"/>
    <w:rsid w:val="2A6D1762"/>
    <w:rsid w:val="2A6D3510"/>
    <w:rsid w:val="2A6D50E4"/>
    <w:rsid w:val="2A6E1037"/>
    <w:rsid w:val="2A703001"/>
    <w:rsid w:val="2A704DAF"/>
    <w:rsid w:val="2A7056D4"/>
    <w:rsid w:val="2A720B27"/>
    <w:rsid w:val="2A726D79"/>
    <w:rsid w:val="2A7339F7"/>
    <w:rsid w:val="2A73489F"/>
    <w:rsid w:val="2A736539"/>
    <w:rsid w:val="2A737392"/>
    <w:rsid w:val="2A7423E6"/>
    <w:rsid w:val="2A74613C"/>
    <w:rsid w:val="2A750617"/>
    <w:rsid w:val="2A7523C5"/>
    <w:rsid w:val="2A7530F1"/>
    <w:rsid w:val="2A761D97"/>
    <w:rsid w:val="2A77613D"/>
    <w:rsid w:val="2A781EB5"/>
    <w:rsid w:val="2A783C63"/>
    <w:rsid w:val="2A7A0600"/>
    <w:rsid w:val="2A7B0970"/>
    <w:rsid w:val="2A7C5075"/>
    <w:rsid w:val="2A7E3970"/>
    <w:rsid w:val="2A7E571E"/>
    <w:rsid w:val="2A7F1496"/>
    <w:rsid w:val="2A7F27ED"/>
    <w:rsid w:val="2A7F4FF2"/>
    <w:rsid w:val="2A81612B"/>
    <w:rsid w:val="2A823E28"/>
    <w:rsid w:val="2A8249EA"/>
    <w:rsid w:val="2A830F86"/>
    <w:rsid w:val="2A832D34"/>
    <w:rsid w:val="2A843334"/>
    <w:rsid w:val="2A855B45"/>
    <w:rsid w:val="2A862824"/>
    <w:rsid w:val="2A8647FB"/>
    <w:rsid w:val="2A88034A"/>
    <w:rsid w:val="2A8820F8"/>
    <w:rsid w:val="2A8825D6"/>
    <w:rsid w:val="2A88659C"/>
    <w:rsid w:val="2A8940C2"/>
    <w:rsid w:val="2A8B1DAE"/>
    <w:rsid w:val="2A8C0071"/>
    <w:rsid w:val="2A8E7F05"/>
    <w:rsid w:val="2A900FAD"/>
    <w:rsid w:val="2A9045FA"/>
    <w:rsid w:val="2A9071FF"/>
    <w:rsid w:val="2A9144DF"/>
    <w:rsid w:val="2A914F3E"/>
    <w:rsid w:val="2A9211C9"/>
    <w:rsid w:val="2A9248F6"/>
    <w:rsid w:val="2A924D25"/>
    <w:rsid w:val="2A946CEF"/>
    <w:rsid w:val="2A950CB9"/>
    <w:rsid w:val="2A952A67"/>
    <w:rsid w:val="2A954815"/>
    <w:rsid w:val="2A9548BD"/>
    <w:rsid w:val="2A9642F0"/>
    <w:rsid w:val="2A970351"/>
    <w:rsid w:val="2A9767DF"/>
    <w:rsid w:val="2A9809AE"/>
    <w:rsid w:val="2A9860B3"/>
    <w:rsid w:val="2A992557"/>
    <w:rsid w:val="2A9F03A0"/>
    <w:rsid w:val="2A9F7442"/>
    <w:rsid w:val="2AA00C75"/>
    <w:rsid w:val="2AA1140C"/>
    <w:rsid w:val="2AA16F1D"/>
    <w:rsid w:val="2AA25896"/>
    <w:rsid w:val="2AA30035"/>
    <w:rsid w:val="2AA8279A"/>
    <w:rsid w:val="2AA84549"/>
    <w:rsid w:val="2AAA489B"/>
    <w:rsid w:val="2AAB228B"/>
    <w:rsid w:val="2AAB5DE7"/>
    <w:rsid w:val="2AAD417B"/>
    <w:rsid w:val="2AAE6CC6"/>
    <w:rsid w:val="2AAF138F"/>
    <w:rsid w:val="2AAF1545"/>
    <w:rsid w:val="2AAF1D7B"/>
    <w:rsid w:val="2AAF3B29"/>
    <w:rsid w:val="2AB00CB9"/>
    <w:rsid w:val="2AB0164F"/>
    <w:rsid w:val="2AB27175"/>
    <w:rsid w:val="2AB32EED"/>
    <w:rsid w:val="2AB4113F"/>
    <w:rsid w:val="2AB56C65"/>
    <w:rsid w:val="2AB729DE"/>
    <w:rsid w:val="2ABA24CE"/>
    <w:rsid w:val="2ABC6F80"/>
    <w:rsid w:val="2ABE0808"/>
    <w:rsid w:val="2ABE1FBE"/>
    <w:rsid w:val="2AC135BE"/>
    <w:rsid w:val="2AC1385C"/>
    <w:rsid w:val="2AC33130"/>
    <w:rsid w:val="2AC3330D"/>
    <w:rsid w:val="2AC375D4"/>
    <w:rsid w:val="2AC5334C"/>
    <w:rsid w:val="2AC62C21"/>
    <w:rsid w:val="2AC670C5"/>
    <w:rsid w:val="2AC808C0"/>
    <w:rsid w:val="2AC82E3D"/>
    <w:rsid w:val="2ACA0963"/>
    <w:rsid w:val="2ACB46DB"/>
    <w:rsid w:val="2ACB6489"/>
    <w:rsid w:val="2ACC06D1"/>
    <w:rsid w:val="2ACC5818"/>
    <w:rsid w:val="2ACD2201"/>
    <w:rsid w:val="2ACD5C73"/>
    <w:rsid w:val="2ACE1AD5"/>
    <w:rsid w:val="2ACF41CB"/>
    <w:rsid w:val="2ACF7D27"/>
    <w:rsid w:val="2AD01CF1"/>
    <w:rsid w:val="2AD03A9F"/>
    <w:rsid w:val="2AD17517"/>
    <w:rsid w:val="2AD27817"/>
    <w:rsid w:val="2AD410C5"/>
    <w:rsid w:val="2AD417E1"/>
    <w:rsid w:val="2AD43590"/>
    <w:rsid w:val="2AD4533E"/>
    <w:rsid w:val="2AD52E64"/>
    <w:rsid w:val="2AD96DF8"/>
    <w:rsid w:val="2ADA0B26"/>
    <w:rsid w:val="2ADB2B70"/>
    <w:rsid w:val="2ADC0696"/>
    <w:rsid w:val="2ADC2444"/>
    <w:rsid w:val="2ADC41F2"/>
    <w:rsid w:val="2ADD6A85"/>
    <w:rsid w:val="2ADE13A5"/>
    <w:rsid w:val="2ADE61BC"/>
    <w:rsid w:val="2ADE7F6A"/>
    <w:rsid w:val="2AE00186"/>
    <w:rsid w:val="2AE01F34"/>
    <w:rsid w:val="2AE228F7"/>
    <w:rsid w:val="2AE337D3"/>
    <w:rsid w:val="2AE35581"/>
    <w:rsid w:val="2AE5579D"/>
    <w:rsid w:val="2AE566A7"/>
    <w:rsid w:val="2AE5754B"/>
    <w:rsid w:val="2AE57DE8"/>
    <w:rsid w:val="2AE61278"/>
    <w:rsid w:val="2AE65F68"/>
    <w:rsid w:val="2AE82B97"/>
    <w:rsid w:val="2AEB08D9"/>
    <w:rsid w:val="2AEC657A"/>
    <w:rsid w:val="2AEC6B2B"/>
    <w:rsid w:val="2AED28A3"/>
    <w:rsid w:val="2AEE488E"/>
    <w:rsid w:val="2AF059EC"/>
    <w:rsid w:val="2AF05EF0"/>
    <w:rsid w:val="2AF21C68"/>
    <w:rsid w:val="2AF228E9"/>
    <w:rsid w:val="2AF23A16"/>
    <w:rsid w:val="2AF43C32"/>
    <w:rsid w:val="2AF459E0"/>
    <w:rsid w:val="2AF54505"/>
    <w:rsid w:val="2AF578DD"/>
    <w:rsid w:val="2AF7102C"/>
    <w:rsid w:val="2AF84B1D"/>
    <w:rsid w:val="2AF91248"/>
    <w:rsid w:val="2AF92FF6"/>
    <w:rsid w:val="2AF9465D"/>
    <w:rsid w:val="2AF9470D"/>
    <w:rsid w:val="2AF94DA4"/>
    <w:rsid w:val="2AFA113A"/>
    <w:rsid w:val="2AFA72B8"/>
    <w:rsid w:val="2AFB200E"/>
    <w:rsid w:val="2AFB4FC0"/>
    <w:rsid w:val="2AFC231F"/>
    <w:rsid w:val="2AFC2AE6"/>
    <w:rsid w:val="2AFC4894"/>
    <w:rsid w:val="2AFC6642"/>
    <w:rsid w:val="2AFE685E"/>
    <w:rsid w:val="2B004385"/>
    <w:rsid w:val="2B0049F0"/>
    <w:rsid w:val="2B006133"/>
    <w:rsid w:val="2B013C59"/>
    <w:rsid w:val="2B033371"/>
    <w:rsid w:val="2B033E75"/>
    <w:rsid w:val="2B05199B"/>
    <w:rsid w:val="2B053749"/>
    <w:rsid w:val="2B065713"/>
    <w:rsid w:val="2B073182"/>
    <w:rsid w:val="2B08148B"/>
    <w:rsid w:val="2B083239"/>
    <w:rsid w:val="2B0901FB"/>
    <w:rsid w:val="2B0A6FB1"/>
    <w:rsid w:val="2B0B2D29"/>
    <w:rsid w:val="2B0C0499"/>
    <w:rsid w:val="2B0C0F7B"/>
    <w:rsid w:val="2B0D4CF3"/>
    <w:rsid w:val="2B0D616E"/>
    <w:rsid w:val="2B0F1914"/>
    <w:rsid w:val="2B0F281A"/>
    <w:rsid w:val="2B110340"/>
    <w:rsid w:val="2B1240B8"/>
    <w:rsid w:val="2B132E66"/>
    <w:rsid w:val="2B136D58"/>
    <w:rsid w:val="2B146082"/>
    <w:rsid w:val="2B1512AC"/>
    <w:rsid w:val="2B155786"/>
    <w:rsid w:val="2B1716CE"/>
    <w:rsid w:val="2B177920"/>
    <w:rsid w:val="2B181536"/>
    <w:rsid w:val="2B195597"/>
    <w:rsid w:val="2B1B5F33"/>
    <w:rsid w:val="2B1C4F36"/>
    <w:rsid w:val="2B1E480B"/>
    <w:rsid w:val="2B2067D5"/>
    <w:rsid w:val="2B2257DB"/>
    <w:rsid w:val="2B227D8A"/>
    <w:rsid w:val="2B231E21"/>
    <w:rsid w:val="2B2362C5"/>
    <w:rsid w:val="2B240021"/>
    <w:rsid w:val="2B2426AA"/>
    <w:rsid w:val="2B243FAD"/>
    <w:rsid w:val="2B25203D"/>
    <w:rsid w:val="2B261911"/>
    <w:rsid w:val="2B2636BF"/>
    <w:rsid w:val="2B275DB5"/>
    <w:rsid w:val="2B2763CB"/>
    <w:rsid w:val="2B277B63"/>
    <w:rsid w:val="2B28102B"/>
    <w:rsid w:val="2B287437"/>
    <w:rsid w:val="2B29218E"/>
    <w:rsid w:val="2B2929E2"/>
    <w:rsid w:val="2B2A3838"/>
    <w:rsid w:val="2B2A7653"/>
    <w:rsid w:val="2B2C33CC"/>
    <w:rsid w:val="2B2D2CA0"/>
    <w:rsid w:val="2B2D4E9D"/>
    <w:rsid w:val="2B2E2FF3"/>
    <w:rsid w:val="2B30421D"/>
    <w:rsid w:val="2B304A27"/>
    <w:rsid w:val="2B32787F"/>
    <w:rsid w:val="2B3344AA"/>
    <w:rsid w:val="2B342280"/>
    <w:rsid w:val="2B34402E"/>
    <w:rsid w:val="2B345DDC"/>
    <w:rsid w:val="2B364ABF"/>
    <w:rsid w:val="2B365FF8"/>
    <w:rsid w:val="2B3758CC"/>
    <w:rsid w:val="2B381D70"/>
    <w:rsid w:val="2B395AE8"/>
    <w:rsid w:val="2B397896"/>
    <w:rsid w:val="2B3B0BC4"/>
    <w:rsid w:val="2B3B1D7A"/>
    <w:rsid w:val="2B3B53BD"/>
    <w:rsid w:val="2B3C1135"/>
    <w:rsid w:val="2B3C2EE3"/>
    <w:rsid w:val="2B3D7387"/>
    <w:rsid w:val="2B3E6C5B"/>
    <w:rsid w:val="2B3F09F3"/>
    <w:rsid w:val="2B40163B"/>
    <w:rsid w:val="2B4029D3"/>
    <w:rsid w:val="2B406E77"/>
    <w:rsid w:val="2B4104F9"/>
    <w:rsid w:val="2B45623B"/>
    <w:rsid w:val="2B473D61"/>
    <w:rsid w:val="2B485D2C"/>
    <w:rsid w:val="2B4868CA"/>
    <w:rsid w:val="2B487ADA"/>
    <w:rsid w:val="2B493C2D"/>
    <w:rsid w:val="2B4A1AA4"/>
    <w:rsid w:val="2B4D4B7C"/>
    <w:rsid w:val="2B4D6E9E"/>
    <w:rsid w:val="2B4E2615"/>
    <w:rsid w:val="2B4F2C16"/>
    <w:rsid w:val="2B4F503A"/>
    <w:rsid w:val="2B4F70BA"/>
    <w:rsid w:val="2B501978"/>
    <w:rsid w:val="2B512E32"/>
    <w:rsid w:val="2B51698E"/>
    <w:rsid w:val="2B520958"/>
    <w:rsid w:val="2B5244B4"/>
    <w:rsid w:val="2B535728"/>
    <w:rsid w:val="2B536BAA"/>
    <w:rsid w:val="2B536E66"/>
    <w:rsid w:val="2B541789"/>
    <w:rsid w:val="2B563FA5"/>
    <w:rsid w:val="2B575539"/>
    <w:rsid w:val="2B58159A"/>
    <w:rsid w:val="2B5841C1"/>
    <w:rsid w:val="2B592A2A"/>
    <w:rsid w:val="2B595843"/>
    <w:rsid w:val="2B597F39"/>
    <w:rsid w:val="2B5A38DD"/>
    <w:rsid w:val="2B5B15BB"/>
    <w:rsid w:val="2B5B534A"/>
    <w:rsid w:val="2B5B5A5F"/>
    <w:rsid w:val="2B5B6A8B"/>
    <w:rsid w:val="2B5B780D"/>
    <w:rsid w:val="2B5D17D7"/>
    <w:rsid w:val="2B5E72FD"/>
    <w:rsid w:val="2B5F689C"/>
    <w:rsid w:val="2B60270B"/>
    <w:rsid w:val="2B603075"/>
    <w:rsid w:val="2B65068C"/>
    <w:rsid w:val="2B65243A"/>
    <w:rsid w:val="2B674404"/>
    <w:rsid w:val="2B6761B2"/>
    <w:rsid w:val="2B681F2A"/>
    <w:rsid w:val="2B683CD8"/>
    <w:rsid w:val="2B69017C"/>
    <w:rsid w:val="2B6A5CA2"/>
    <w:rsid w:val="2B6A7A50"/>
    <w:rsid w:val="2B6C37C8"/>
    <w:rsid w:val="2B6C5576"/>
    <w:rsid w:val="2B6C7A10"/>
    <w:rsid w:val="2B6D12EE"/>
    <w:rsid w:val="2B6F150A"/>
    <w:rsid w:val="2B6F3193"/>
    <w:rsid w:val="2B710DDE"/>
    <w:rsid w:val="2B726905"/>
    <w:rsid w:val="2B7358C9"/>
    <w:rsid w:val="2B744A61"/>
    <w:rsid w:val="2B746B21"/>
    <w:rsid w:val="2B747632"/>
    <w:rsid w:val="2B764647"/>
    <w:rsid w:val="2B77216D"/>
    <w:rsid w:val="2B783D3F"/>
    <w:rsid w:val="2B786611"/>
    <w:rsid w:val="2B792697"/>
    <w:rsid w:val="2B795EE5"/>
    <w:rsid w:val="2B7A1D63"/>
    <w:rsid w:val="2B7A2D23"/>
    <w:rsid w:val="2B7B1C5D"/>
    <w:rsid w:val="2B7D1E25"/>
    <w:rsid w:val="2B7D59D5"/>
    <w:rsid w:val="2B7D7783"/>
    <w:rsid w:val="2B7E174D"/>
    <w:rsid w:val="2B7E34FB"/>
    <w:rsid w:val="2B7E692D"/>
    <w:rsid w:val="2B7E7912"/>
    <w:rsid w:val="2B7F799F"/>
    <w:rsid w:val="2B801021"/>
    <w:rsid w:val="2B805BD5"/>
    <w:rsid w:val="2B822FEC"/>
    <w:rsid w:val="2B830B12"/>
    <w:rsid w:val="2B852ADC"/>
    <w:rsid w:val="2B876854"/>
    <w:rsid w:val="2B8925CC"/>
    <w:rsid w:val="2B8943E8"/>
    <w:rsid w:val="2B8A00F2"/>
    <w:rsid w:val="2B8B31A4"/>
    <w:rsid w:val="2B8C3E6A"/>
    <w:rsid w:val="2B8D4947"/>
    <w:rsid w:val="2B8E0647"/>
    <w:rsid w:val="2B8F1669"/>
    <w:rsid w:val="2B8F395A"/>
    <w:rsid w:val="2B8F74B6"/>
    <w:rsid w:val="2B9043C9"/>
    <w:rsid w:val="2B91029B"/>
    <w:rsid w:val="2B911481"/>
    <w:rsid w:val="2B9176D3"/>
    <w:rsid w:val="2B920D55"/>
    <w:rsid w:val="2B9454DA"/>
    <w:rsid w:val="2B97636B"/>
    <w:rsid w:val="2B9845BD"/>
    <w:rsid w:val="2B990335"/>
    <w:rsid w:val="2B9920E3"/>
    <w:rsid w:val="2B996587"/>
    <w:rsid w:val="2B9B22FF"/>
    <w:rsid w:val="2B9B27CD"/>
    <w:rsid w:val="2B9B5E5B"/>
    <w:rsid w:val="2B9C3C6C"/>
    <w:rsid w:val="2B9D1BD3"/>
    <w:rsid w:val="2B9D6077"/>
    <w:rsid w:val="2B9E7CCD"/>
    <w:rsid w:val="2B9F3B9D"/>
    <w:rsid w:val="2BA03E1E"/>
    <w:rsid w:val="2BA07916"/>
    <w:rsid w:val="2BA32F62"/>
    <w:rsid w:val="2BA33B3F"/>
    <w:rsid w:val="2BA34CD4"/>
    <w:rsid w:val="2BA411B4"/>
    <w:rsid w:val="2BA50A88"/>
    <w:rsid w:val="2BA54F2C"/>
    <w:rsid w:val="2BA56CDA"/>
    <w:rsid w:val="2BA74800"/>
    <w:rsid w:val="2BA94A1C"/>
    <w:rsid w:val="2BAA2542"/>
    <w:rsid w:val="2BAA42F0"/>
    <w:rsid w:val="2BAA613D"/>
    <w:rsid w:val="2BAC1E16"/>
    <w:rsid w:val="2BAC62BA"/>
    <w:rsid w:val="2BAE3DE1"/>
    <w:rsid w:val="2BAF1907"/>
    <w:rsid w:val="2BAF7B59"/>
    <w:rsid w:val="2BB16143"/>
    <w:rsid w:val="2BB24484"/>
    <w:rsid w:val="2BB313F7"/>
    <w:rsid w:val="2BB331A5"/>
    <w:rsid w:val="2BB33634"/>
    <w:rsid w:val="2BB43D35"/>
    <w:rsid w:val="2BB533C1"/>
    <w:rsid w:val="2BB55BBD"/>
    <w:rsid w:val="2BB62C95"/>
    <w:rsid w:val="2BB807BB"/>
    <w:rsid w:val="2BB86A0D"/>
    <w:rsid w:val="2BB92785"/>
    <w:rsid w:val="2BB94533"/>
    <w:rsid w:val="2BB948D5"/>
    <w:rsid w:val="2BBA09D7"/>
    <w:rsid w:val="2BBB02AC"/>
    <w:rsid w:val="2BBB1DC6"/>
    <w:rsid w:val="2BBB474F"/>
    <w:rsid w:val="2BBD2276"/>
    <w:rsid w:val="2BBF5FEE"/>
    <w:rsid w:val="2BC03B14"/>
    <w:rsid w:val="2BC058C2"/>
    <w:rsid w:val="2BC25ADE"/>
    <w:rsid w:val="2BC30558"/>
    <w:rsid w:val="2BC33129"/>
    <w:rsid w:val="2BC37160"/>
    <w:rsid w:val="2BC453B2"/>
    <w:rsid w:val="2BC455B0"/>
    <w:rsid w:val="2BC5112A"/>
    <w:rsid w:val="2BC728D8"/>
    <w:rsid w:val="2BC929C8"/>
    <w:rsid w:val="2BC9585A"/>
    <w:rsid w:val="2BC96E6C"/>
    <w:rsid w:val="2BCA04EF"/>
    <w:rsid w:val="2BCA6741"/>
    <w:rsid w:val="2BCC070B"/>
    <w:rsid w:val="2BCC0DE3"/>
    <w:rsid w:val="2BCC4267"/>
    <w:rsid w:val="2BCC5987"/>
    <w:rsid w:val="2BCE023C"/>
    <w:rsid w:val="2BCE6231"/>
    <w:rsid w:val="2BCF1FA9"/>
    <w:rsid w:val="2BD02B5C"/>
    <w:rsid w:val="2BD10CEF"/>
    <w:rsid w:val="2BD27D8D"/>
    <w:rsid w:val="2BD33847"/>
    <w:rsid w:val="2BD54053"/>
    <w:rsid w:val="2BD575BF"/>
    <w:rsid w:val="2BD61589"/>
    <w:rsid w:val="2BD66E93"/>
    <w:rsid w:val="2BD70F3D"/>
    <w:rsid w:val="2BD80E5D"/>
    <w:rsid w:val="2BD870AF"/>
    <w:rsid w:val="2BDA4BD6"/>
    <w:rsid w:val="2BDA51C6"/>
    <w:rsid w:val="2BDB094E"/>
    <w:rsid w:val="2BDB6BA0"/>
    <w:rsid w:val="2BDD46C6"/>
    <w:rsid w:val="2BDD6474"/>
    <w:rsid w:val="2BDE1084"/>
    <w:rsid w:val="2BDE3F9A"/>
    <w:rsid w:val="2BE041B6"/>
    <w:rsid w:val="2BE07D12"/>
    <w:rsid w:val="2BE266B2"/>
    <w:rsid w:val="2BE27F2E"/>
    <w:rsid w:val="2BE315B0"/>
    <w:rsid w:val="2BE42462"/>
    <w:rsid w:val="2BE47802"/>
    <w:rsid w:val="2BE47891"/>
    <w:rsid w:val="2BE538F2"/>
    <w:rsid w:val="2BE55033"/>
    <w:rsid w:val="2BE55328"/>
    <w:rsid w:val="2BE617CC"/>
    <w:rsid w:val="2BE64D82"/>
    <w:rsid w:val="2BE772F2"/>
    <w:rsid w:val="2BE80DE3"/>
    <w:rsid w:val="2BE912BD"/>
    <w:rsid w:val="2BE9306B"/>
    <w:rsid w:val="2BE94E19"/>
    <w:rsid w:val="2BE94E44"/>
    <w:rsid w:val="2BEA0B91"/>
    <w:rsid w:val="2BEA293F"/>
    <w:rsid w:val="2BEB60AC"/>
    <w:rsid w:val="2BEB6DE3"/>
    <w:rsid w:val="2BEB7E79"/>
    <w:rsid w:val="2BEC2B5B"/>
    <w:rsid w:val="2BEC4909"/>
    <w:rsid w:val="2BEE0681"/>
    <w:rsid w:val="2BEE242F"/>
    <w:rsid w:val="2BEF4B91"/>
    <w:rsid w:val="2BEF7575"/>
    <w:rsid w:val="2BEF7F55"/>
    <w:rsid w:val="2BF0173C"/>
    <w:rsid w:val="2BF023AA"/>
    <w:rsid w:val="2BF11F1F"/>
    <w:rsid w:val="2BF135D6"/>
    <w:rsid w:val="2BF35C97"/>
    <w:rsid w:val="2BF41F57"/>
    <w:rsid w:val="2BF437BD"/>
    <w:rsid w:val="2BF47386"/>
    <w:rsid w:val="2BF51A0F"/>
    <w:rsid w:val="2BF533E7"/>
    <w:rsid w:val="2BF65788"/>
    <w:rsid w:val="2BF87A83"/>
    <w:rsid w:val="2BFA5278"/>
    <w:rsid w:val="2BFB2D9E"/>
    <w:rsid w:val="2BFB4B4C"/>
    <w:rsid w:val="2BFC72E5"/>
    <w:rsid w:val="2BFD1B79"/>
    <w:rsid w:val="2BFD32D8"/>
    <w:rsid w:val="2BFD788F"/>
    <w:rsid w:val="2BFE4851"/>
    <w:rsid w:val="2C0003B4"/>
    <w:rsid w:val="2C01198A"/>
    <w:rsid w:val="2C015FA1"/>
    <w:rsid w:val="2C016606"/>
    <w:rsid w:val="2C025EDA"/>
    <w:rsid w:val="2C027C88"/>
    <w:rsid w:val="2C037186"/>
    <w:rsid w:val="2C041A4C"/>
    <w:rsid w:val="2C041C52"/>
    <w:rsid w:val="2C0559CB"/>
    <w:rsid w:val="2C06436C"/>
    <w:rsid w:val="2C071743"/>
    <w:rsid w:val="2C097269"/>
    <w:rsid w:val="2C0A4A07"/>
    <w:rsid w:val="2C0A4D8F"/>
    <w:rsid w:val="2C0C01DE"/>
    <w:rsid w:val="2C0C162B"/>
    <w:rsid w:val="2C0C4FAB"/>
    <w:rsid w:val="2C0E2AD1"/>
    <w:rsid w:val="2C0E487F"/>
    <w:rsid w:val="2C1005F7"/>
    <w:rsid w:val="2C10541E"/>
    <w:rsid w:val="2C10566F"/>
    <w:rsid w:val="2C1300E8"/>
    <w:rsid w:val="2C131E96"/>
    <w:rsid w:val="2C136339"/>
    <w:rsid w:val="2C146970"/>
    <w:rsid w:val="2C161986"/>
    <w:rsid w:val="2C183950"/>
    <w:rsid w:val="2C1874AC"/>
    <w:rsid w:val="2C1A1476"/>
    <w:rsid w:val="2C1A3224"/>
    <w:rsid w:val="2C1B1B52"/>
    <w:rsid w:val="2C1B72C0"/>
    <w:rsid w:val="2C1C3440"/>
    <w:rsid w:val="2C1C51EE"/>
    <w:rsid w:val="2C1D0F66"/>
    <w:rsid w:val="2C1D2D14"/>
    <w:rsid w:val="2C1F083A"/>
    <w:rsid w:val="2C1F4CDE"/>
    <w:rsid w:val="2C1F5370"/>
    <w:rsid w:val="2C210A56"/>
    <w:rsid w:val="2C211BFA"/>
    <w:rsid w:val="2C22032B"/>
    <w:rsid w:val="2C2220D9"/>
    <w:rsid w:val="2C22657D"/>
    <w:rsid w:val="2C2422F5"/>
    <w:rsid w:val="2C245E51"/>
    <w:rsid w:val="2C26606D"/>
    <w:rsid w:val="2C2661CB"/>
    <w:rsid w:val="2C271DE5"/>
    <w:rsid w:val="2C275941"/>
    <w:rsid w:val="2C277A68"/>
    <w:rsid w:val="2C2900DE"/>
    <w:rsid w:val="2C2A0B96"/>
    <w:rsid w:val="2C2A611C"/>
    <w:rsid w:val="2C2A71DF"/>
    <w:rsid w:val="2C2D6BBA"/>
    <w:rsid w:val="2C2E0A7D"/>
    <w:rsid w:val="2C2E4F21"/>
    <w:rsid w:val="2C2E6CCF"/>
    <w:rsid w:val="2C2F340C"/>
    <w:rsid w:val="2C300C99"/>
    <w:rsid w:val="2C310A69"/>
    <w:rsid w:val="2C315B7B"/>
    <w:rsid w:val="2C317328"/>
    <w:rsid w:val="2C332538"/>
    <w:rsid w:val="2C363DD6"/>
    <w:rsid w:val="2C364F00"/>
    <w:rsid w:val="2C39284C"/>
    <w:rsid w:val="2C393A47"/>
    <w:rsid w:val="2C3A16C8"/>
    <w:rsid w:val="2C3A1B18"/>
    <w:rsid w:val="2C3A5674"/>
    <w:rsid w:val="2C3B13EC"/>
    <w:rsid w:val="2C3B319A"/>
    <w:rsid w:val="2C3D33B6"/>
    <w:rsid w:val="2C3D5164"/>
    <w:rsid w:val="2C3D6F12"/>
    <w:rsid w:val="2C3E3247"/>
    <w:rsid w:val="2C3F2C8B"/>
    <w:rsid w:val="2C414C55"/>
    <w:rsid w:val="2C416438"/>
    <w:rsid w:val="2C425EFD"/>
    <w:rsid w:val="2C4464F3"/>
    <w:rsid w:val="2C45036F"/>
    <w:rsid w:val="2C454196"/>
    <w:rsid w:val="2C45579E"/>
    <w:rsid w:val="2C464019"/>
    <w:rsid w:val="2C466C2E"/>
    <w:rsid w:val="2C471B3F"/>
    <w:rsid w:val="2C471F66"/>
    <w:rsid w:val="2C484235"/>
    <w:rsid w:val="2C491D5B"/>
    <w:rsid w:val="2C496CF0"/>
    <w:rsid w:val="2C4B162F"/>
    <w:rsid w:val="2C4B219E"/>
    <w:rsid w:val="2C4C35F9"/>
    <w:rsid w:val="2C4D184B"/>
    <w:rsid w:val="2C4E7372"/>
    <w:rsid w:val="2C5129BE"/>
    <w:rsid w:val="2C520C10"/>
    <w:rsid w:val="2C527DA2"/>
    <w:rsid w:val="2C534D62"/>
    <w:rsid w:val="2C536736"/>
    <w:rsid w:val="2C564365"/>
    <w:rsid w:val="2C572784"/>
    <w:rsid w:val="2C5755E1"/>
    <w:rsid w:val="2C584435"/>
    <w:rsid w:val="2C5A3268"/>
    <w:rsid w:val="2C5A5D16"/>
    <w:rsid w:val="2C5A7AC4"/>
    <w:rsid w:val="2C5C1A8E"/>
    <w:rsid w:val="2C5C383D"/>
    <w:rsid w:val="2C5D5807"/>
    <w:rsid w:val="2C5D75B5"/>
    <w:rsid w:val="2C5F3AE7"/>
    <w:rsid w:val="2C602C01"/>
    <w:rsid w:val="2C613836"/>
    <w:rsid w:val="2C616407"/>
    <w:rsid w:val="2C624BCB"/>
    <w:rsid w:val="2C630D27"/>
    <w:rsid w:val="2C646B95"/>
    <w:rsid w:val="2C646BB5"/>
    <w:rsid w:val="2C660DE9"/>
    <w:rsid w:val="2C66290D"/>
    <w:rsid w:val="2C666469"/>
    <w:rsid w:val="2C673F8F"/>
    <w:rsid w:val="2C680F76"/>
    <w:rsid w:val="2C6B3A80"/>
    <w:rsid w:val="2C6B74B9"/>
    <w:rsid w:val="2C6D5A4A"/>
    <w:rsid w:val="2C702EEC"/>
    <w:rsid w:val="2C752E69"/>
    <w:rsid w:val="2C7548FE"/>
    <w:rsid w:val="2C7566AC"/>
    <w:rsid w:val="2C774E6F"/>
    <w:rsid w:val="2C777F70"/>
    <w:rsid w:val="2C78044B"/>
    <w:rsid w:val="2C78619D"/>
    <w:rsid w:val="2C792640"/>
    <w:rsid w:val="2C7B1B7F"/>
    <w:rsid w:val="2C7C7A3B"/>
    <w:rsid w:val="2C7F01E4"/>
    <w:rsid w:val="2C7F1990"/>
    <w:rsid w:val="2C7F39CF"/>
    <w:rsid w:val="2C7F4C87"/>
    <w:rsid w:val="2C813EAA"/>
    <w:rsid w:val="2C8142B0"/>
    <w:rsid w:val="2C826E81"/>
    <w:rsid w:val="2C840FE5"/>
    <w:rsid w:val="2C852C31"/>
    <w:rsid w:val="2C854731"/>
    <w:rsid w:val="2C8608B9"/>
    <w:rsid w:val="2C862667"/>
    <w:rsid w:val="2C864D5D"/>
    <w:rsid w:val="2C891ED6"/>
    <w:rsid w:val="2C893E4F"/>
    <w:rsid w:val="2C8A3ED2"/>
    <w:rsid w:val="2C8B04C6"/>
    <w:rsid w:val="2C8B2374"/>
    <w:rsid w:val="2C8C4B8D"/>
    <w:rsid w:val="2C8D0211"/>
    <w:rsid w:val="2C8E3C12"/>
    <w:rsid w:val="2C8E5424"/>
    <w:rsid w:val="2C8F68B4"/>
    <w:rsid w:val="2C901738"/>
    <w:rsid w:val="2C902915"/>
    <w:rsid w:val="2C9034E6"/>
    <w:rsid w:val="2C90508D"/>
    <w:rsid w:val="2C90798A"/>
    <w:rsid w:val="2C913DA5"/>
    <w:rsid w:val="2C9315A9"/>
    <w:rsid w:val="2C934D84"/>
    <w:rsid w:val="2C972AC7"/>
    <w:rsid w:val="2C9859C5"/>
    <w:rsid w:val="2C994A91"/>
    <w:rsid w:val="2C995108"/>
    <w:rsid w:val="2C9A25B7"/>
    <w:rsid w:val="2C9A4365"/>
    <w:rsid w:val="2C9A6113"/>
    <w:rsid w:val="2C9B789C"/>
    <w:rsid w:val="2C9C00DD"/>
    <w:rsid w:val="2C9C1FAD"/>
    <w:rsid w:val="2C9C632F"/>
    <w:rsid w:val="2C9E20A7"/>
    <w:rsid w:val="2C9E4972"/>
    <w:rsid w:val="2C9F197B"/>
    <w:rsid w:val="2C9F5ABD"/>
    <w:rsid w:val="2C9F5E1F"/>
    <w:rsid w:val="2CA174A1"/>
    <w:rsid w:val="2CA23219"/>
    <w:rsid w:val="2CA43435"/>
    <w:rsid w:val="2CA451E4"/>
    <w:rsid w:val="2CA46F92"/>
    <w:rsid w:val="2CA626ED"/>
    <w:rsid w:val="2CA70830"/>
    <w:rsid w:val="2CA84CD4"/>
    <w:rsid w:val="2CA94C52"/>
    <w:rsid w:val="2CAA478A"/>
    <w:rsid w:val="2CAB0CFF"/>
    <w:rsid w:val="2CAB494C"/>
    <w:rsid w:val="2CAB6572"/>
    <w:rsid w:val="2CAC34BC"/>
    <w:rsid w:val="2CAE1BBE"/>
    <w:rsid w:val="2CB230DE"/>
    <w:rsid w:val="2CB2345D"/>
    <w:rsid w:val="2CB25B52"/>
    <w:rsid w:val="2CB422EC"/>
    <w:rsid w:val="2CB43679"/>
    <w:rsid w:val="2CB63A29"/>
    <w:rsid w:val="2CB73169"/>
    <w:rsid w:val="2CB847EB"/>
    <w:rsid w:val="2CB91B21"/>
    <w:rsid w:val="2CB96370"/>
    <w:rsid w:val="2CBA4A07"/>
    <w:rsid w:val="2CBC077F"/>
    <w:rsid w:val="2CBC252D"/>
    <w:rsid w:val="2CBD0053"/>
    <w:rsid w:val="2CBE482D"/>
    <w:rsid w:val="2CBE62A5"/>
    <w:rsid w:val="2CBF3DCB"/>
    <w:rsid w:val="2CBF5B79"/>
    <w:rsid w:val="2CC0362F"/>
    <w:rsid w:val="2CC15D95"/>
    <w:rsid w:val="2CC338BC"/>
    <w:rsid w:val="2CC3566A"/>
    <w:rsid w:val="2CC45DDB"/>
    <w:rsid w:val="2CC46C34"/>
    <w:rsid w:val="2CC61554"/>
    <w:rsid w:val="2CC633AC"/>
    <w:rsid w:val="2CC6515A"/>
    <w:rsid w:val="2CC66F08"/>
    <w:rsid w:val="2CC82C80"/>
    <w:rsid w:val="2CC8684C"/>
    <w:rsid w:val="2CC87124"/>
    <w:rsid w:val="2CC969F8"/>
    <w:rsid w:val="2CC9787F"/>
    <w:rsid w:val="2CC97DA0"/>
    <w:rsid w:val="2CCB09C2"/>
    <w:rsid w:val="2CCB2770"/>
    <w:rsid w:val="2CCB451E"/>
    <w:rsid w:val="2CCD64E8"/>
    <w:rsid w:val="2CCE400E"/>
    <w:rsid w:val="2CCE569A"/>
    <w:rsid w:val="2CD0422B"/>
    <w:rsid w:val="2CD05FD9"/>
    <w:rsid w:val="2CD226C8"/>
    <w:rsid w:val="2CD30EEF"/>
    <w:rsid w:val="2CD44FE8"/>
    <w:rsid w:val="2CD51841"/>
    <w:rsid w:val="2CD5539D"/>
    <w:rsid w:val="2CD63C1A"/>
    <w:rsid w:val="2CD72212"/>
    <w:rsid w:val="2CD750AA"/>
    <w:rsid w:val="2CD930DF"/>
    <w:rsid w:val="2CDA0C05"/>
    <w:rsid w:val="2CDA585C"/>
    <w:rsid w:val="2CDB4EBB"/>
    <w:rsid w:val="2CDC497D"/>
    <w:rsid w:val="2CDC672B"/>
    <w:rsid w:val="2CDD392A"/>
    <w:rsid w:val="2CDD4252"/>
    <w:rsid w:val="2CDE06F5"/>
    <w:rsid w:val="2CDE6947"/>
    <w:rsid w:val="2CDF2EDC"/>
    <w:rsid w:val="2CDF6992"/>
    <w:rsid w:val="2CDF7FCA"/>
    <w:rsid w:val="2CE03284"/>
    <w:rsid w:val="2CE13D42"/>
    <w:rsid w:val="2CE23C7B"/>
    <w:rsid w:val="2CE275EC"/>
    <w:rsid w:val="2CE61358"/>
    <w:rsid w:val="2CE657FC"/>
    <w:rsid w:val="2CE74B9F"/>
    <w:rsid w:val="2CE81574"/>
    <w:rsid w:val="2CE848EE"/>
    <w:rsid w:val="2CEA709A"/>
    <w:rsid w:val="2CEB4BC0"/>
    <w:rsid w:val="2CED0939"/>
    <w:rsid w:val="2CED26E7"/>
    <w:rsid w:val="2CED6B8B"/>
    <w:rsid w:val="2CF00429"/>
    <w:rsid w:val="2CF021D7"/>
    <w:rsid w:val="2CF2314A"/>
    <w:rsid w:val="2CF27CFD"/>
    <w:rsid w:val="2CF31A01"/>
    <w:rsid w:val="2CF33142"/>
    <w:rsid w:val="2CF33A75"/>
    <w:rsid w:val="2CF41CC7"/>
    <w:rsid w:val="2CF47F19"/>
    <w:rsid w:val="2CF5626A"/>
    <w:rsid w:val="2CF717B7"/>
    <w:rsid w:val="2CF94F11"/>
    <w:rsid w:val="2CFC0B7C"/>
    <w:rsid w:val="2CFF066C"/>
    <w:rsid w:val="2CFF241A"/>
    <w:rsid w:val="2D012636"/>
    <w:rsid w:val="2D0143E4"/>
    <w:rsid w:val="2D031F0A"/>
    <w:rsid w:val="2D045C82"/>
    <w:rsid w:val="2D053ED4"/>
    <w:rsid w:val="2D0637A8"/>
    <w:rsid w:val="2D0839C4"/>
    <w:rsid w:val="2D085772"/>
    <w:rsid w:val="2D0A14EA"/>
    <w:rsid w:val="2D0B0DBF"/>
    <w:rsid w:val="2D0B13C9"/>
    <w:rsid w:val="2D0B6A5D"/>
    <w:rsid w:val="2D0B7011"/>
    <w:rsid w:val="2D0D4413"/>
    <w:rsid w:val="2D0D4B37"/>
    <w:rsid w:val="2D0D68B9"/>
    <w:rsid w:val="2D0F08AF"/>
    <w:rsid w:val="2D102879"/>
    <w:rsid w:val="2D104627"/>
    <w:rsid w:val="2D10523A"/>
    <w:rsid w:val="2D1063D5"/>
    <w:rsid w:val="2D113A58"/>
    <w:rsid w:val="2D113E1B"/>
    <w:rsid w:val="2D12039F"/>
    <w:rsid w:val="2D126710"/>
    <w:rsid w:val="2D130FEA"/>
    <w:rsid w:val="2D145EC5"/>
    <w:rsid w:val="2D173C07"/>
    <w:rsid w:val="2D181465"/>
    <w:rsid w:val="2D183950"/>
    <w:rsid w:val="2D19172E"/>
    <w:rsid w:val="2D197980"/>
    <w:rsid w:val="2D1A162C"/>
    <w:rsid w:val="2D1A7254"/>
    <w:rsid w:val="2D1B2086"/>
    <w:rsid w:val="2D1B54A6"/>
    <w:rsid w:val="2D1C121E"/>
    <w:rsid w:val="2D1C37DD"/>
    <w:rsid w:val="2D1C4D7A"/>
    <w:rsid w:val="2D1D6334"/>
    <w:rsid w:val="2D1E0AF2"/>
    <w:rsid w:val="2D1E6D44"/>
    <w:rsid w:val="2D1E783E"/>
    <w:rsid w:val="2D200D0E"/>
    <w:rsid w:val="2D23435A"/>
    <w:rsid w:val="2D2554EB"/>
    <w:rsid w:val="2D256324"/>
    <w:rsid w:val="2D263E4A"/>
    <w:rsid w:val="2D287BC3"/>
    <w:rsid w:val="2D297497"/>
    <w:rsid w:val="2D2A56E9"/>
    <w:rsid w:val="2D2B1461"/>
    <w:rsid w:val="2D2D6F87"/>
    <w:rsid w:val="2D2E3032"/>
    <w:rsid w:val="2D2F0F51"/>
    <w:rsid w:val="2D314CC9"/>
    <w:rsid w:val="2D320A41"/>
    <w:rsid w:val="2D350E15"/>
    <w:rsid w:val="2D352EAC"/>
    <w:rsid w:val="2D35408E"/>
    <w:rsid w:val="2D360531"/>
    <w:rsid w:val="2D3622E0"/>
    <w:rsid w:val="2D3661E8"/>
    <w:rsid w:val="2D371BB4"/>
    <w:rsid w:val="2D39592C"/>
    <w:rsid w:val="2D3B5B48"/>
    <w:rsid w:val="2D3B78F6"/>
    <w:rsid w:val="2D3D572C"/>
    <w:rsid w:val="2D3E18A3"/>
    <w:rsid w:val="2D3E2F42"/>
    <w:rsid w:val="2D400007"/>
    <w:rsid w:val="2D401748"/>
    <w:rsid w:val="2D404F0C"/>
    <w:rsid w:val="2D406CBA"/>
    <w:rsid w:val="2D411497"/>
    <w:rsid w:val="2D426ED6"/>
    <w:rsid w:val="2D430559"/>
    <w:rsid w:val="2D4367AA"/>
    <w:rsid w:val="2D4428C5"/>
    <w:rsid w:val="2D4542D1"/>
    <w:rsid w:val="2D4744ED"/>
    <w:rsid w:val="2D485B6F"/>
    <w:rsid w:val="2D4B38B1"/>
    <w:rsid w:val="2D4C1B03"/>
    <w:rsid w:val="2D4D260B"/>
    <w:rsid w:val="2D4D3D4C"/>
    <w:rsid w:val="2D4F15F3"/>
    <w:rsid w:val="2D4F514F"/>
    <w:rsid w:val="2D502C75"/>
    <w:rsid w:val="2D522E91"/>
    <w:rsid w:val="2D542766"/>
    <w:rsid w:val="2D5503F3"/>
    <w:rsid w:val="2D564730"/>
    <w:rsid w:val="2D5664DE"/>
    <w:rsid w:val="2D5870A1"/>
    <w:rsid w:val="2D59250F"/>
    <w:rsid w:val="2D594989"/>
    <w:rsid w:val="2D5A23E9"/>
    <w:rsid w:val="2D5B1D46"/>
    <w:rsid w:val="2D5C161A"/>
    <w:rsid w:val="2D5C1F75"/>
    <w:rsid w:val="2D5E35E4"/>
    <w:rsid w:val="2D5E5392"/>
    <w:rsid w:val="2D60110A"/>
    <w:rsid w:val="2D607CBE"/>
    <w:rsid w:val="2D610A81"/>
    <w:rsid w:val="2D621327"/>
    <w:rsid w:val="2D6230D5"/>
    <w:rsid w:val="2D636E4D"/>
    <w:rsid w:val="2D650892"/>
    <w:rsid w:val="2D656721"/>
    <w:rsid w:val="2D6706EB"/>
    <w:rsid w:val="2D681C32"/>
    <w:rsid w:val="2D686211"/>
    <w:rsid w:val="2D687FBF"/>
    <w:rsid w:val="2D690CCF"/>
    <w:rsid w:val="2D6A1F89"/>
    <w:rsid w:val="2D6B72D5"/>
    <w:rsid w:val="2D6C5B94"/>
    <w:rsid w:val="2D6D1BF5"/>
    <w:rsid w:val="2D6D3827"/>
    <w:rsid w:val="2D6F57F1"/>
    <w:rsid w:val="2D7026EA"/>
    <w:rsid w:val="2D7050C6"/>
    <w:rsid w:val="2D720E3E"/>
    <w:rsid w:val="2D723232"/>
    <w:rsid w:val="2D732A6D"/>
    <w:rsid w:val="2D7352E2"/>
    <w:rsid w:val="2D74105A"/>
    <w:rsid w:val="2D742E08"/>
    <w:rsid w:val="2D746964"/>
    <w:rsid w:val="2D746EF7"/>
    <w:rsid w:val="2D766B80"/>
    <w:rsid w:val="2D767281"/>
    <w:rsid w:val="2D7746A6"/>
    <w:rsid w:val="2D776454"/>
    <w:rsid w:val="2D780D15"/>
    <w:rsid w:val="2D7828F8"/>
    <w:rsid w:val="2D782F8C"/>
    <w:rsid w:val="2D7921CC"/>
    <w:rsid w:val="2D796670"/>
    <w:rsid w:val="2D7A57B4"/>
    <w:rsid w:val="2D7B23E8"/>
    <w:rsid w:val="2D7B41F9"/>
    <w:rsid w:val="2D7C1CBC"/>
    <w:rsid w:val="2D7C3A6A"/>
    <w:rsid w:val="2D7C5689"/>
    <w:rsid w:val="2D7D7F0E"/>
    <w:rsid w:val="2D7E3C87"/>
    <w:rsid w:val="2D7E5A35"/>
    <w:rsid w:val="2D80355B"/>
    <w:rsid w:val="2D806BDB"/>
    <w:rsid w:val="2D8079FF"/>
    <w:rsid w:val="2D81006B"/>
    <w:rsid w:val="2D8172D3"/>
    <w:rsid w:val="2D825525"/>
    <w:rsid w:val="2D833278"/>
    <w:rsid w:val="2D834DF9"/>
    <w:rsid w:val="2D847D9B"/>
    <w:rsid w:val="2D850B71"/>
    <w:rsid w:val="2D85500D"/>
    <w:rsid w:val="2D8711E8"/>
    <w:rsid w:val="2D872B3B"/>
    <w:rsid w:val="2D8748E9"/>
    <w:rsid w:val="2D874EDD"/>
    <w:rsid w:val="2D880661"/>
    <w:rsid w:val="2D88240F"/>
    <w:rsid w:val="2D885DEC"/>
    <w:rsid w:val="2D8A111D"/>
    <w:rsid w:val="2D8A262B"/>
    <w:rsid w:val="2D8A6187"/>
    <w:rsid w:val="2D8C1F00"/>
    <w:rsid w:val="2D8D0BF1"/>
    <w:rsid w:val="2D8D3046"/>
    <w:rsid w:val="2D8D4EED"/>
    <w:rsid w:val="2D8E211C"/>
    <w:rsid w:val="2D8F19F0"/>
    <w:rsid w:val="2D8F379E"/>
    <w:rsid w:val="2D8F7C42"/>
    <w:rsid w:val="2D915768"/>
    <w:rsid w:val="2D9214E0"/>
    <w:rsid w:val="2D92328E"/>
    <w:rsid w:val="2D940DB4"/>
    <w:rsid w:val="2D957987"/>
    <w:rsid w:val="2D990AC0"/>
    <w:rsid w:val="2D99286E"/>
    <w:rsid w:val="2D9B0395"/>
    <w:rsid w:val="2D9B2143"/>
    <w:rsid w:val="2D9B65E7"/>
    <w:rsid w:val="2D9C6103"/>
    <w:rsid w:val="2D9E1C33"/>
    <w:rsid w:val="2DA01E4F"/>
    <w:rsid w:val="2DA21723"/>
    <w:rsid w:val="2DA27975"/>
    <w:rsid w:val="2DA32DF9"/>
    <w:rsid w:val="2DA336ED"/>
    <w:rsid w:val="2DA3549B"/>
    <w:rsid w:val="2DA62123"/>
    <w:rsid w:val="2DA7653E"/>
    <w:rsid w:val="2DA82AB1"/>
    <w:rsid w:val="2DA90D03"/>
    <w:rsid w:val="2DA94F2F"/>
    <w:rsid w:val="2DAA05D8"/>
    <w:rsid w:val="2DAA4A7C"/>
    <w:rsid w:val="2DAC07F4"/>
    <w:rsid w:val="2DAC25A2"/>
    <w:rsid w:val="2DAD463C"/>
    <w:rsid w:val="2DAE631A"/>
    <w:rsid w:val="2DAE6EC1"/>
    <w:rsid w:val="2DAF2092"/>
    <w:rsid w:val="2DAF5BEE"/>
    <w:rsid w:val="2DB11C92"/>
    <w:rsid w:val="2DB22C9D"/>
    <w:rsid w:val="2DB256DE"/>
    <w:rsid w:val="2DB27DF1"/>
    <w:rsid w:val="2DB31B82"/>
    <w:rsid w:val="2DB322FF"/>
    <w:rsid w:val="2DB476A8"/>
    <w:rsid w:val="2DB540BA"/>
    <w:rsid w:val="2DB54A70"/>
    <w:rsid w:val="2DB63CC7"/>
    <w:rsid w:val="2DB651CE"/>
    <w:rsid w:val="2DBB0A37"/>
    <w:rsid w:val="2DBB27E5"/>
    <w:rsid w:val="2DBB4C44"/>
    <w:rsid w:val="2DBB7F4B"/>
    <w:rsid w:val="2DBD47AF"/>
    <w:rsid w:val="2DBE4083"/>
    <w:rsid w:val="2DBF0527"/>
    <w:rsid w:val="2DBF23F9"/>
    <w:rsid w:val="2DC057E4"/>
    <w:rsid w:val="2DC0604D"/>
    <w:rsid w:val="2DC21DC5"/>
    <w:rsid w:val="2DC518B5"/>
    <w:rsid w:val="2DC53BCE"/>
    <w:rsid w:val="2DC55411"/>
    <w:rsid w:val="2DC7118A"/>
    <w:rsid w:val="2DC84F02"/>
    <w:rsid w:val="2DC86CB0"/>
    <w:rsid w:val="2DC9254F"/>
    <w:rsid w:val="2DC9314A"/>
    <w:rsid w:val="2DCA2A28"/>
    <w:rsid w:val="2DCA68F9"/>
    <w:rsid w:val="2DCC054E"/>
    <w:rsid w:val="2DCC2C44"/>
    <w:rsid w:val="2DCC67A0"/>
    <w:rsid w:val="2DCD2FD2"/>
    <w:rsid w:val="2DCE076A"/>
    <w:rsid w:val="2DCE23DB"/>
    <w:rsid w:val="2DCF003E"/>
    <w:rsid w:val="2DCF6290"/>
    <w:rsid w:val="2DD1025A"/>
    <w:rsid w:val="2DD12008"/>
    <w:rsid w:val="2DD13DB6"/>
    <w:rsid w:val="2DD35D80"/>
    <w:rsid w:val="2DD438A6"/>
    <w:rsid w:val="2DD6761F"/>
    <w:rsid w:val="2DD815E9"/>
    <w:rsid w:val="2DD92C6B"/>
    <w:rsid w:val="2DDA07CA"/>
    <w:rsid w:val="2DDA23E8"/>
    <w:rsid w:val="2DDA25AC"/>
    <w:rsid w:val="2DDA60A5"/>
    <w:rsid w:val="2DDB5965"/>
    <w:rsid w:val="2DDB7535"/>
    <w:rsid w:val="2DDC5444"/>
    <w:rsid w:val="2DDC7D02"/>
    <w:rsid w:val="2DDE64D3"/>
    <w:rsid w:val="2DDF4725"/>
    <w:rsid w:val="2DE0049D"/>
    <w:rsid w:val="2DE03FF9"/>
    <w:rsid w:val="2DE24215"/>
    <w:rsid w:val="2DE33AEA"/>
    <w:rsid w:val="2DE7182C"/>
    <w:rsid w:val="2DE75388"/>
    <w:rsid w:val="2DE77219"/>
    <w:rsid w:val="2DE955A4"/>
    <w:rsid w:val="2DEA30CA"/>
    <w:rsid w:val="2DEC04BA"/>
    <w:rsid w:val="2DEC299E"/>
    <w:rsid w:val="2DEC308B"/>
    <w:rsid w:val="2DEC6E42"/>
    <w:rsid w:val="2DED6716"/>
    <w:rsid w:val="2DEE4968"/>
    <w:rsid w:val="2DEF06E0"/>
    <w:rsid w:val="2DF06932"/>
    <w:rsid w:val="2DF14458"/>
    <w:rsid w:val="2DF16206"/>
    <w:rsid w:val="2DF42825"/>
    <w:rsid w:val="2DF45CF7"/>
    <w:rsid w:val="2DF6381D"/>
    <w:rsid w:val="2DF67CC1"/>
    <w:rsid w:val="2DF83A39"/>
    <w:rsid w:val="2DF857E7"/>
    <w:rsid w:val="2DFD104F"/>
    <w:rsid w:val="2DFE28CF"/>
    <w:rsid w:val="2E00469C"/>
    <w:rsid w:val="2E020414"/>
    <w:rsid w:val="2E023E21"/>
    <w:rsid w:val="2E027B47"/>
    <w:rsid w:val="2E051CB2"/>
    <w:rsid w:val="2E053A60"/>
    <w:rsid w:val="2E057F04"/>
    <w:rsid w:val="2E0624F1"/>
    <w:rsid w:val="2E0629C2"/>
    <w:rsid w:val="2E073C7C"/>
    <w:rsid w:val="2E081123"/>
    <w:rsid w:val="2E083FE4"/>
    <w:rsid w:val="2E0929AB"/>
    <w:rsid w:val="2E093550"/>
    <w:rsid w:val="2E0B376C"/>
    <w:rsid w:val="2E0C1292"/>
    <w:rsid w:val="2E0E4BF6"/>
    <w:rsid w:val="2E0E500A"/>
    <w:rsid w:val="2E0F1AF1"/>
    <w:rsid w:val="2E0F1FB3"/>
    <w:rsid w:val="2E100D83"/>
    <w:rsid w:val="2E1078B5"/>
    <w:rsid w:val="2E110657"/>
    <w:rsid w:val="2E113916"/>
    <w:rsid w:val="2E114AFB"/>
    <w:rsid w:val="2E1343CF"/>
    <w:rsid w:val="2E150147"/>
    <w:rsid w:val="2E162111"/>
    <w:rsid w:val="2E165C6D"/>
    <w:rsid w:val="2E173476"/>
    <w:rsid w:val="2E1754F4"/>
    <w:rsid w:val="2E1819E5"/>
    <w:rsid w:val="2E183793"/>
    <w:rsid w:val="2E1B14D5"/>
    <w:rsid w:val="2E1D6FFC"/>
    <w:rsid w:val="2E1E446E"/>
    <w:rsid w:val="2E1F47D9"/>
    <w:rsid w:val="2E204D3E"/>
    <w:rsid w:val="2E220AB6"/>
    <w:rsid w:val="2E224612"/>
    <w:rsid w:val="2E232138"/>
    <w:rsid w:val="2E24038A"/>
    <w:rsid w:val="2E255EB0"/>
    <w:rsid w:val="2E277E7A"/>
    <w:rsid w:val="2E285B3C"/>
    <w:rsid w:val="2E291E44"/>
    <w:rsid w:val="2E293BF2"/>
    <w:rsid w:val="2E2A546B"/>
    <w:rsid w:val="2E2C36E3"/>
    <w:rsid w:val="2E2E1209"/>
    <w:rsid w:val="2E2F6D2F"/>
    <w:rsid w:val="2E30169A"/>
    <w:rsid w:val="2E3031D3"/>
    <w:rsid w:val="2E304F81"/>
    <w:rsid w:val="2E305D56"/>
    <w:rsid w:val="2E310CF9"/>
    <w:rsid w:val="2E314855"/>
    <w:rsid w:val="2E3217BF"/>
    <w:rsid w:val="2E3507E9"/>
    <w:rsid w:val="2E352597"/>
    <w:rsid w:val="2E374561"/>
    <w:rsid w:val="2E383E35"/>
    <w:rsid w:val="2E3A195C"/>
    <w:rsid w:val="2E3A5DFF"/>
    <w:rsid w:val="2E3B2451"/>
    <w:rsid w:val="2E3B3926"/>
    <w:rsid w:val="2E3B56D4"/>
    <w:rsid w:val="2E3C3D01"/>
    <w:rsid w:val="2E3D31FA"/>
    <w:rsid w:val="2E3D462D"/>
    <w:rsid w:val="2E3D58F0"/>
    <w:rsid w:val="2E3F11F2"/>
    <w:rsid w:val="2E3F3416"/>
    <w:rsid w:val="2E400F3C"/>
    <w:rsid w:val="2E41718E"/>
    <w:rsid w:val="2E424CB4"/>
    <w:rsid w:val="2E424FF6"/>
    <w:rsid w:val="2E440A2C"/>
    <w:rsid w:val="2E4427DA"/>
    <w:rsid w:val="2E4647A4"/>
    <w:rsid w:val="2E47051C"/>
    <w:rsid w:val="2E4865B6"/>
    <w:rsid w:val="2E492C55"/>
    <w:rsid w:val="2E494294"/>
    <w:rsid w:val="2E497DF1"/>
    <w:rsid w:val="2E4A5917"/>
    <w:rsid w:val="2E4D76FE"/>
    <w:rsid w:val="2E4E155E"/>
    <w:rsid w:val="2E4E18AB"/>
    <w:rsid w:val="2E4F0C77"/>
    <w:rsid w:val="2E4F2F2D"/>
    <w:rsid w:val="2E4F6CC3"/>
    <w:rsid w:val="2E50117F"/>
    <w:rsid w:val="2E505623"/>
    <w:rsid w:val="2E527668"/>
    <w:rsid w:val="2E532A1D"/>
    <w:rsid w:val="2E536EC1"/>
    <w:rsid w:val="2E5642BC"/>
    <w:rsid w:val="2E567479"/>
    <w:rsid w:val="2E586286"/>
    <w:rsid w:val="2E5A3DAC"/>
    <w:rsid w:val="2E5A728A"/>
    <w:rsid w:val="2E5C3FC8"/>
    <w:rsid w:val="2E5D1AEE"/>
    <w:rsid w:val="2E5F13C2"/>
    <w:rsid w:val="2E5F7614"/>
    <w:rsid w:val="2E6115DE"/>
    <w:rsid w:val="2E6266D9"/>
    <w:rsid w:val="2E627104"/>
    <w:rsid w:val="2E627F72"/>
    <w:rsid w:val="2E642E7C"/>
    <w:rsid w:val="2E6435C2"/>
    <w:rsid w:val="2E644C2A"/>
    <w:rsid w:val="2E6469D8"/>
    <w:rsid w:val="2E646D5B"/>
    <w:rsid w:val="2E660AA3"/>
    <w:rsid w:val="2E660EFE"/>
    <w:rsid w:val="2E662F1C"/>
    <w:rsid w:val="2E666BF4"/>
    <w:rsid w:val="2E67471B"/>
    <w:rsid w:val="2E694025"/>
    <w:rsid w:val="2E6966E5"/>
    <w:rsid w:val="2E6A7D67"/>
    <w:rsid w:val="2E6B420B"/>
    <w:rsid w:val="2E6C1D31"/>
    <w:rsid w:val="2E6C206A"/>
    <w:rsid w:val="2E6C3ADF"/>
    <w:rsid w:val="2E6E76B6"/>
    <w:rsid w:val="2E70537D"/>
    <w:rsid w:val="2E725599"/>
    <w:rsid w:val="2E732B82"/>
    <w:rsid w:val="2E756E38"/>
    <w:rsid w:val="2E76495E"/>
    <w:rsid w:val="2E772BB0"/>
    <w:rsid w:val="2E786928"/>
    <w:rsid w:val="2E7A444E"/>
    <w:rsid w:val="2E7B1F74"/>
    <w:rsid w:val="2E7B72D6"/>
    <w:rsid w:val="2E7D5CEC"/>
    <w:rsid w:val="2E7D7A9A"/>
    <w:rsid w:val="2E7E7DC6"/>
    <w:rsid w:val="2E8026E6"/>
    <w:rsid w:val="2E823302"/>
    <w:rsid w:val="2E8250B1"/>
    <w:rsid w:val="2E8452CD"/>
    <w:rsid w:val="2E864BA1"/>
    <w:rsid w:val="2E870919"/>
    <w:rsid w:val="2E8762A6"/>
    <w:rsid w:val="2E884DBD"/>
    <w:rsid w:val="2E8928E3"/>
    <w:rsid w:val="2E89643F"/>
    <w:rsid w:val="2E8A1071"/>
    <w:rsid w:val="2E8A6368"/>
    <w:rsid w:val="2E8B3A37"/>
    <w:rsid w:val="2E8C5F2F"/>
    <w:rsid w:val="2E8D23D3"/>
    <w:rsid w:val="2E8D3859"/>
    <w:rsid w:val="2E8F37DA"/>
    <w:rsid w:val="2E9021DA"/>
    <w:rsid w:val="2E903C71"/>
    <w:rsid w:val="2E905A1F"/>
    <w:rsid w:val="2E9077CD"/>
    <w:rsid w:val="2E921798"/>
    <w:rsid w:val="2E9279E9"/>
    <w:rsid w:val="2E933762"/>
    <w:rsid w:val="2E947751"/>
    <w:rsid w:val="2E951288"/>
    <w:rsid w:val="2E960B5C"/>
    <w:rsid w:val="2E96604C"/>
    <w:rsid w:val="2E975000"/>
    <w:rsid w:val="2E9848D4"/>
    <w:rsid w:val="2E9A064C"/>
    <w:rsid w:val="2E9A1EAA"/>
    <w:rsid w:val="2E9A4AF0"/>
    <w:rsid w:val="2E9B1469"/>
    <w:rsid w:val="2E9B6172"/>
    <w:rsid w:val="2E9C077D"/>
    <w:rsid w:val="2E9D1EEA"/>
    <w:rsid w:val="2E9D638E"/>
    <w:rsid w:val="2E9E47DE"/>
    <w:rsid w:val="2E9F5C62"/>
    <w:rsid w:val="2EA15E7F"/>
    <w:rsid w:val="2EA25753"/>
    <w:rsid w:val="2EA30912"/>
    <w:rsid w:val="2EA339A5"/>
    <w:rsid w:val="2EA35A7F"/>
    <w:rsid w:val="2EA43223"/>
    <w:rsid w:val="2EA43279"/>
    <w:rsid w:val="2EA471C7"/>
    <w:rsid w:val="2EA4771D"/>
    <w:rsid w:val="2EA64400"/>
    <w:rsid w:val="2EA72D69"/>
    <w:rsid w:val="2EA80FBB"/>
    <w:rsid w:val="2EA8720D"/>
    <w:rsid w:val="2EAB2859"/>
    <w:rsid w:val="2EAB4607"/>
    <w:rsid w:val="2EAC0272"/>
    <w:rsid w:val="2EAC037F"/>
    <w:rsid w:val="2EAE691B"/>
    <w:rsid w:val="2EAF6BF3"/>
    <w:rsid w:val="2EB00083"/>
    <w:rsid w:val="2EB15996"/>
    <w:rsid w:val="2EB3170E"/>
    <w:rsid w:val="2EB536D8"/>
    <w:rsid w:val="2EB72FAC"/>
    <w:rsid w:val="2EB77450"/>
    <w:rsid w:val="2EB80D98"/>
    <w:rsid w:val="2EB86D24"/>
    <w:rsid w:val="2EB931C8"/>
    <w:rsid w:val="2EBA484A"/>
    <w:rsid w:val="2EBA6F40"/>
    <w:rsid w:val="2EBB4691"/>
    <w:rsid w:val="2EBF6305"/>
    <w:rsid w:val="2EC1207D"/>
    <w:rsid w:val="2EC15BD9"/>
    <w:rsid w:val="2EC33928"/>
    <w:rsid w:val="2EC4391B"/>
    <w:rsid w:val="2EC44136"/>
    <w:rsid w:val="2EC456C9"/>
    <w:rsid w:val="2EC50E19"/>
    <w:rsid w:val="2EC60DB5"/>
    <w:rsid w:val="2EC639EA"/>
    <w:rsid w:val="2EC658E5"/>
    <w:rsid w:val="2EC67693"/>
    <w:rsid w:val="2EC762BC"/>
    <w:rsid w:val="2EC76F67"/>
    <w:rsid w:val="2EC81296"/>
    <w:rsid w:val="2EC8340B"/>
    <w:rsid w:val="2ECA65D4"/>
    <w:rsid w:val="2ECB2EFB"/>
    <w:rsid w:val="2ECB4CA9"/>
    <w:rsid w:val="2ECB6A58"/>
    <w:rsid w:val="2ECD5F69"/>
    <w:rsid w:val="2ECE6548"/>
    <w:rsid w:val="2ED173BC"/>
    <w:rsid w:val="2ED24708"/>
    <w:rsid w:val="2ED31DB0"/>
    <w:rsid w:val="2ED3341D"/>
    <w:rsid w:val="2ED33B5E"/>
    <w:rsid w:val="2ED51684"/>
    <w:rsid w:val="2ED578D6"/>
    <w:rsid w:val="2ED7364E"/>
    <w:rsid w:val="2ED753FC"/>
    <w:rsid w:val="2ED81418"/>
    <w:rsid w:val="2ED9179D"/>
    <w:rsid w:val="2ED973C6"/>
    <w:rsid w:val="2EDA6C9B"/>
    <w:rsid w:val="2EDB3503"/>
    <w:rsid w:val="2EDB4D37"/>
    <w:rsid w:val="2EDC6EB7"/>
    <w:rsid w:val="2EDE49DD"/>
    <w:rsid w:val="2EDF2503"/>
    <w:rsid w:val="2EE00F13"/>
    <w:rsid w:val="2EE144CD"/>
    <w:rsid w:val="2EE21A82"/>
    <w:rsid w:val="2EE26B1C"/>
    <w:rsid w:val="2EE30245"/>
    <w:rsid w:val="2EE326EF"/>
    <w:rsid w:val="2EE41633"/>
    <w:rsid w:val="2EE61AE3"/>
    <w:rsid w:val="2EE6563F"/>
    <w:rsid w:val="2EE851A8"/>
    <w:rsid w:val="2EE858F4"/>
    <w:rsid w:val="2EEB0EA8"/>
    <w:rsid w:val="2EEB58C4"/>
    <w:rsid w:val="2EEC1454"/>
    <w:rsid w:val="2EEC5705"/>
    <w:rsid w:val="2EEC7A71"/>
    <w:rsid w:val="2EED2E72"/>
    <w:rsid w:val="2EED69CE"/>
    <w:rsid w:val="2EF02962"/>
    <w:rsid w:val="2EF05516"/>
    <w:rsid w:val="2EF064BE"/>
    <w:rsid w:val="2EF11958"/>
    <w:rsid w:val="2EF22236"/>
    <w:rsid w:val="2EF266DA"/>
    <w:rsid w:val="2EF27B0B"/>
    <w:rsid w:val="2EF37D5C"/>
    <w:rsid w:val="2EF51F3D"/>
    <w:rsid w:val="2EF53AD4"/>
    <w:rsid w:val="2EF637C3"/>
    <w:rsid w:val="2EF9054A"/>
    <w:rsid w:val="2EF91817"/>
    <w:rsid w:val="2EF97A69"/>
    <w:rsid w:val="2EFA0179"/>
    <w:rsid w:val="2EFA10EB"/>
    <w:rsid w:val="2EFA4957"/>
    <w:rsid w:val="2EFA558F"/>
    <w:rsid w:val="2EFC1307"/>
    <w:rsid w:val="2EFC3AB9"/>
    <w:rsid w:val="2EFC4E63"/>
    <w:rsid w:val="2EFD15C4"/>
    <w:rsid w:val="2EFE0BDB"/>
    <w:rsid w:val="2EFE108B"/>
    <w:rsid w:val="2EFE507F"/>
    <w:rsid w:val="2EFE6E2D"/>
    <w:rsid w:val="2EFF2BA5"/>
    <w:rsid w:val="2EFF376B"/>
    <w:rsid w:val="2EFF4953"/>
    <w:rsid w:val="2EFF6701"/>
    <w:rsid w:val="2F000DF7"/>
    <w:rsid w:val="2F0026A8"/>
    <w:rsid w:val="2F002809"/>
    <w:rsid w:val="2F012479"/>
    <w:rsid w:val="2F01691D"/>
    <w:rsid w:val="2F034443"/>
    <w:rsid w:val="2F0361F1"/>
    <w:rsid w:val="2F0401BB"/>
    <w:rsid w:val="2F044E1C"/>
    <w:rsid w:val="2F087A83"/>
    <w:rsid w:val="2F087CAC"/>
    <w:rsid w:val="2F0957D2"/>
    <w:rsid w:val="2F097580"/>
    <w:rsid w:val="2F0B154A"/>
    <w:rsid w:val="2F0B779C"/>
    <w:rsid w:val="2F0C687D"/>
    <w:rsid w:val="2F0C6B65"/>
    <w:rsid w:val="2F0D7070"/>
    <w:rsid w:val="2F0E4B96"/>
    <w:rsid w:val="2F0E519C"/>
    <w:rsid w:val="2F0F0341"/>
    <w:rsid w:val="2F0F2DE8"/>
    <w:rsid w:val="2F0F64BF"/>
    <w:rsid w:val="2F10090E"/>
    <w:rsid w:val="2F1139A0"/>
    <w:rsid w:val="2F120B2A"/>
    <w:rsid w:val="2F1226E5"/>
    <w:rsid w:val="2F1228BB"/>
    <w:rsid w:val="2F1228D8"/>
    <w:rsid w:val="2F124686"/>
    <w:rsid w:val="2F127420"/>
    <w:rsid w:val="2F1321AD"/>
    <w:rsid w:val="2F141663"/>
    <w:rsid w:val="2F146650"/>
    <w:rsid w:val="2F155DA1"/>
    <w:rsid w:val="2F171C9D"/>
    <w:rsid w:val="2F176141"/>
    <w:rsid w:val="2F177DDC"/>
    <w:rsid w:val="2F191EB9"/>
    <w:rsid w:val="2F192FE1"/>
    <w:rsid w:val="2F197E9D"/>
    <w:rsid w:val="2F1A79DF"/>
    <w:rsid w:val="2F1E302B"/>
    <w:rsid w:val="2F1E74CF"/>
    <w:rsid w:val="2F1F4E46"/>
    <w:rsid w:val="2F1F5930"/>
    <w:rsid w:val="2F212B1B"/>
    <w:rsid w:val="2F230642"/>
    <w:rsid w:val="2F2332A6"/>
    <w:rsid w:val="2F234AE5"/>
    <w:rsid w:val="2F25085E"/>
    <w:rsid w:val="2F252CC5"/>
    <w:rsid w:val="2F285C58"/>
    <w:rsid w:val="2F292AD6"/>
    <w:rsid w:val="2F2B5748"/>
    <w:rsid w:val="2F2B74F6"/>
    <w:rsid w:val="2F2D14C0"/>
    <w:rsid w:val="2F2D326E"/>
    <w:rsid w:val="2F2D7712"/>
    <w:rsid w:val="2F2E25E2"/>
    <w:rsid w:val="2F300FB0"/>
    <w:rsid w:val="2F302D5E"/>
    <w:rsid w:val="2F324D29"/>
    <w:rsid w:val="2F326AD7"/>
    <w:rsid w:val="2F34284F"/>
    <w:rsid w:val="2F350375"/>
    <w:rsid w:val="2F3621B9"/>
    <w:rsid w:val="2F38113B"/>
    <w:rsid w:val="2F391C13"/>
    <w:rsid w:val="2F397E65"/>
    <w:rsid w:val="2F3A3BDD"/>
    <w:rsid w:val="2F3A7B8C"/>
    <w:rsid w:val="2F3C1703"/>
    <w:rsid w:val="2F3C7955"/>
    <w:rsid w:val="2F3E36CD"/>
    <w:rsid w:val="2F407445"/>
    <w:rsid w:val="2F414F6C"/>
    <w:rsid w:val="2F43624E"/>
    <w:rsid w:val="2F436F36"/>
    <w:rsid w:val="2F4405B8"/>
    <w:rsid w:val="2F454525"/>
    <w:rsid w:val="2F454A5C"/>
    <w:rsid w:val="2F45680A"/>
    <w:rsid w:val="2F4800A8"/>
    <w:rsid w:val="2F48454C"/>
    <w:rsid w:val="2F486BEF"/>
    <w:rsid w:val="2F4A02C4"/>
    <w:rsid w:val="2F4A2072"/>
    <w:rsid w:val="2F4A5401"/>
    <w:rsid w:val="2F4B1946"/>
    <w:rsid w:val="2F4B7B98"/>
    <w:rsid w:val="2F4C34E4"/>
    <w:rsid w:val="2F4C51A0"/>
    <w:rsid w:val="2F4D108E"/>
    <w:rsid w:val="2F4D56BE"/>
    <w:rsid w:val="2F4F1437"/>
    <w:rsid w:val="2F4F47F1"/>
    <w:rsid w:val="2F4F7689"/>
    <w:rsid w:val="2F503401"/>
    <w:rsid w:val="2F516105"/>
    <w:rsid w:val="2F520F27"/>
    <w:rsid w:val="2F522CD5"/>
    <w:rsid w:val="2F523172"/>
    <w:rsid w:val="2F560A17"/>
    <w:rsid w:val="2F561AF3"/>
    <w:rsid w:val="2F566C69"/>
    <w:rsid w:val="2F5702EB"/>
    <w:rsid w:val="2F570B40"/>
    <w:rsid w:val="2F571061"/>
    <w:rsid w:val="2F580725"/>
    <w:rsid w:val="2F590507"/>
    <w:rsid w:val="2F5922B5"/>
    <w:rsid w:val="2F5A7DDB"/>
    <w:rsid w:val="2F5B427F"/>
    <w:rsid w:val="2F5C3B54"/>
    <w:rsid w:val="2F5D7FC0"/>
    <w:rsid w:val="2F5E2E56"/>
    <w:rsid w:val="2F5E5B1E"/>
    <w:rsid w:val="2F5E78CC"/>
    <w:rsid w:val="2F5F42E6"/>
    <w:rsid w:val="2F5F53F2"/>
    <w:rsid w:val="2F600347"/>
    <w:rsid w:val="2F6173BC"/>
    <w:rsid w:val="2F634EE2"/>
    <w:rsid w:val="2F635B17"/>
    <w:rsid w:val="2F642A08"/>
    <w:rsid w:val="2F650C5A"/>
    <w:rsid w:val="2F653D5F"/>
    <w:rsid w:val="2F6572F3"/>
    <w:rsid w:val="2F6615E8"/>
    <w:rsid w:val="2F662C24"/>
    <w:rsid w:val="2F6641B9"/>
    <w:rsid w:val="2F6649D2"/>
    <w:rsid w:val="2F6704D8"/>
    <w:rsid w:val="2F671B2F"/>
    <w:rsid w:val="2F6916BD"/>
    <w:rsid w:val="2F6A001E"/>
    <w:rsid w:val="2F6A13F9"/>
    <w:rsid w:val="2F6A44C2"/>
    <w:rsid w:val="2F6B43D6"/>
    <w:rsid w:val="2F6D3FB3"/>
    <w:rsid w:val="2F6D5D61"/>
    <w:rsid w:val="2F6F3DDB"/>
    <w:rsid w:val="2F7013AD"/>
    <w:rsid w:val="2F7056E3"/>
    <w:rsid w:val="2F7074B2"/>
    <w:rsid w:val="2F7215C9"/>
    <w:rsid w:val="2F727962"/>
    <w:rsid w:val="2F7531D8"/>
    <w:rsid w:val="2F754C15"/>
    <w:rsid w:val="2F764D09"/>
    <w:rsid w:val="2F783455"/>
    <w:rsid w:val="2F78368C"/>
    <w:rsid w:val="2F794705"/>
    <w:rsid w:val="2F7964B4"/>
    <w:rsid w:val="2F7A0EEE"/>
    <w:rsid w:val="2F7B237E"/>
    <w:rsid w:val="2F7C41F6"/>
    <w:rsid w:val="2F7D0FB0"/>
    <w:rsid w:val="2F7D1E55"/>
    <w:rsid w:val="2F7E1D1C"/>
    <w:rsid w:val="2F7E2440"/>
    <w:rsid w:val="2F7E3ACA"/>
    <w:rsid w:val="2F805A94"/>
    <w:rsid w:val="2F8310E0"/>
    <w:rsid w:val="2F8336E1"/>
    <w:rsid w:val="2F8337D6"/>
    <w:rsid w:val="2F837332"/>
    <w:rsid w:val="2F8512FC"/>
    <w:rsid w:val="2F860BD0"/>
    <w:rsid w:val="2F8734F2"/>
    <w:rsid w:val="2F880DEC"/>
    <w:rsid w:val="2F882B9B"/>
    <w:rsid w:val="2F8912CB"/>
    <w:rsid w:val="2F89665E"/>
    <w:rsid w:val="2F8A246F"/>
    <w:rsid w:val="2F8B146B"/>
    <w:rsid w:val="2F8B61E7"/>
    <w:rsid w:val="2F8C4439"/>
    <w:rsid w:val="2F8E0434"/>
    <w:rsid w:val="2F8F1EDE"/>
    <w:rsid w:val="2F8F217B"/>
    <w:rsid w:val="2F8F60FD"/>
    <w:rsid w:val="2F902AB5"/>
    <w:rsid w:val="2F90318B"/>
    <w:rsid w:val="2F911B52"/>
    <w:rsid w:val="2F920605"/>
    <w:rsid w:val="2F9217E7"/>
    <w:rsid w:val="2F923A19"/>
    <w:rsid w:val="2F94153F"/>
    <w:rsid w:val="2F963509"/>
    <w:rsid w:val="2F965588"/>
    <w:rsid w:val="2F967065"/>
    <w:rsid w:val="2F971030"/>
    <w:rsid w:val="2F990904"/>
    <w:rsid w:val="2F99355C"/>
    <w:rsid w:val="2F994DA8"/>
    <w:rsid w:val="2F9B467C"/>
    <w:rsid w:val="2F9C03F4"/>
    <w:rsid w:val="2F9C21A2"/>
    <w:rsid w:val="2F9D06EC"/>
    <w:rsid w:val="2F9D5718"/>
    <w:rsid w:val="2F9E02E9"/>
    <w:rsid w:val="2F9E416C"/>
    <w:rsid w:val="2F9E5F1A"/>
    <w:rsid w:val="2FA01C92"/>
    <w:rsid w:val="2FA07EE4"/>
    <w:rsid w:val="2FA21EAE"/>
    <w:rsid w:val="2FA23C5C"/>
    <w:rsid w:val="2FA32702"/>
    <w:rsid w:val="2FA33530"/>
    <w:rsid w:val="2FA4415B"/>
    <w:rsid w:val="2FA80336"/>
    <w:rsid w:val="2FA83F6C"/>
    <w:rsid w:val="2FA86D99"/>
    <w:rsid w:val="2FAA2B11"/>
    <w:rsid w:val="2FAC4ADB"/>
    <w:rsid w:val="2FAD0853"/>
    <w:rsid w:val="2FAD2601"/>
    <w:rsid w:val="2FAF45CB"/>
    <w:rsid w:val="2FB026FE"/>
    <w:rsid w:val="2FB03F14"/>
    <w:rsid w:val="2FB052CF"/>
    <w:rsid w:val="2FB132E1"/>
    <w:rsid w:val="2FB15C4D"/>
    <w:rsid w:val="2FB41BE1"/>
    <w:rsid w:val="2FB4573E"/>
    <w:rsid w:val="2FB63264"/>
    <w:rsid w:val="2FB83480"/>
    <w:rsid w:val="2FB84EFF"/>
    <w:rsid w:val="2FB92D54"/>
    <w:rsid w:val="2FBB2F70"/>
    <w:rsid w:val="2FBB4D1E"/>
    <w:rsid w:val="2FBC4F11"/>
    <w:rsid w:val="2FBC62A5"/>
    <w:rsid w:val="2FBD5AB0"/>
    <w:rsid w:val="2FBE036A"/>
    <w:rsid w:val="2FBE7790"/>
    <w:rsid w:val="2FBF2095"/>
    <w:rsid w:val="2FBF7622"/>
    <w:rsid w:val="2FC00586"/>
    <w:rsid w:val="2FC11C09"/>
    <w:rsid w:val="2FC17E5A"/>
    <w:rsid w:val="2FC242FE"/>
    <w:rsid w:val="2FC279D2"/>
    <w:rsid w:val="2FC30DF7"/>
    <w:rsid w:val="2FC31E25"/>
    <w:rsid w:val="2FC33BD3"/>
    <w:rsid w:val="2FC342C5"/>
    <w:rsid w:val="2FC357E2"/>
    <w:rsid w:val="2FC37FC9"/>
    <w:rsid w:val="2FC53C32"/>
    <w:rsid w:val="2FC71915"/>
    <w:rsid w:val="2FC82F97"/>
    <w:rsid w:val="2FC85D49"/>
    <w:rsid w:val="2FCA6D0F"/>
    <w:rsid w:val="2FCC0796"/>
    <w:rsid w:val="2FCC083B"/>
    <w:rsid w:val="2FCC6F2B"/>
    <w:rsid w:val="2FCD4A51"/>
    <w:rsid w:val="2FCD67FF"/>
    <w:rsid w:val="2FCE2CA3"/>
    <w:rsid w:val="2FCE5C87"/>
    <w:rsid w:val="2FCF07C9"/>
    <w:rsid w:val="2FCF2577"/>
    <w:rsid w:val="2FCF4325"/>
    <w:rsid w:val="2FD12F51"/>
    <w:rsid w:val="2FD14541"/>
    <w:rsid w:val="2FD23E16"/>
    <w:rsid w:val="2FD44032"/>
    <w:rsid w:val="2FD45DE0"/>
    <w:rsid w:val="2FD47B8E"/>
    <w:rsid w:val="2FD61B58"/>
    <w:rsid w:val="2FD63906"/>
    <w:rsid w:val="2FD7047A"/>
    <w:rsid w:val="2FD858D0"/>
    <w:rsid w:val="2FD951A4"/>
    <w:rsid w:val="2FDA596B"/>
    <w:rsid w:val="2FDA5BCD"/>
    <w:rsid w:val="2FDC6A42"/>
    <w:rsid w:val="2FDD2EE6"/>
    <w:rsid w:val="2FDE27BA"/>
    <w:rsid w:val="2FE343F7"/>
    <w:rsid w:val="2FE36A1D"/>
    <w:rsid w:val="2FE37DD1"/>
    <w:rsid w:val="2FE57FED"/>
    <w:rsid w:val="2FE63DAE"/>
    <w:rsid w:val="2FE64E2F"/>
    <w:rsid w:val="2FE75B13"/>
    <w:rsid w:val="2FE844EF"/>
    <w:rsid w:val="2FEA50DD"/>
    <w:rsid w:val="2FEA5603"/>
    <w:rsid w:val="2FEC137B"/>
    <w:rsid w:val="2FEC4ED7"/>
    <w:rsid w:val="2FEC68B9"/>
    <w:rsid w:val="2FED0C50"/>
    <w:rsid w:val="2FEE50F3"/>
    <w:rsid w:val="2FEE5C1B"/>
    <w:rsid w:val="2FEE6EA1"/>
    <w:rsid w:val="2FEF2C1A"/>
    <w:rsid w:val="2FEF6701"/>
    <w:rsid w:val="2FF26266"/>
    <w:rsid w:val="2FF3270A"/>
    <w:rsid w:val="2FF60852"/>
    <w:rsid w:val="2FF63FA8"/>
    <w:rsid w:val="2FF6401F"/>
    <w:rsid w:val="2FF71C25"/>
    <w:rsid w:val="2FF8610C"/>
    <w:rsid w:val="2FFA3A98"/>
    <w:rsid w:val="2FFB15BE"/>
    <w:rsid w:val="2FFB511A"/>
    <w:rsid w:val="2FFD4E80"/>
    <w:rsid w:val="2FFD5337"/>
    <w:rsid w:val="2FFD70E5"/>
    <w:rsid w:val="2FFE2E5D"/>
    <w:rsid w:val="2FFF10AF"/>
    <w:rsid w:val="30000983"/>
    <w:rsid w:val="30004E27"/>
    <w:rsid w:val="3002294D"/>
    <w:rsid w:val="300246FB"/>
    <w:rsid w:val="300264A9"/>
    <w:rsid w:val="30041C4E"/>
    <w:rsid w:val="300466C5"/>
    <w:rsid w:val="3005243D"/>
    <w:rsid w:val="30054E44"/>
    <w:rsid w:val="3005551A"/>
    <w:rsid w:val="30071D11"/>
    <w:rsid w:val="30073ABF"/>
    <w:rsid w:val="300A2EB5"/>
    <w:rsid w:val="300A35B0"/>
    <w:rsid w:val="300D4E4E"/>
    <w:rsid w:val="300E12F2"/>
    <w:rsid w:val="300E3119"/>
    <w:rsid w:val="300F0BC6"/>
    <w:rsid w:val="300F5CEA"/>
    <w:rsid w:val="3011493E"/>
    <w:rsid w:val="3013584E"/>
    <w:rsid w:val="30135AFB"/>
    <w:rsid w:val="30137621"/>
    <w:rsid w:val="301466BF"/>
    <w:rsid w:val="301618AB"/>
    <w:rsid w:val="30161F54"/>
    <w:rsid w:val="30180DCD"/>
    <w:rsid w:val="30183F1E"/>
    <w:rsid w:val="3019196D"/>
    <w:rsid w:val="301A5EE8"/>
    <w:rsid w:val="301B2870"/>
    <w:rsid w:val="301B3E65"/>
    <w:rsid w:val="301B756B"/>
    <w:rsid w:val="301D1535"/>
    <w:rsid w:val="301D32E3"/>
    <w:rsid w:val="301E28E0"/>
    <w:rsid w:val="301E37BE"/>
    <w:rsid w:val="301E705B"/>
    <w:rsid w:val="301F4AF4"/>
    <w:rsid w:val="301F52AD"/>
    <w:rsid w:val="301F73D2"/>
    <w:rsid w:val="30204B81"/>
    <w:rsid w:val="302307FD"/>
    <w:rsid w:val="3023122B"/>
    <w:rsid w:val="302355F0"/>
    <w:rsid w:val="302428C3"/>
    <w:rsid w:val="302503E9"/>
    <w:rsid w:val="3025663B"/>
    <w:rsid w:val="30275F10"/>
    <w:rsid w:val="30281C88"/>
    <w:rsid w:val="30286891"/>
    <w:rsid w:val="302A1EA4"/>
    <w:rsid w:val="302C4E44"/>
    <w:rsid w:val="302C7D96"/>
    <w:rsid w:val="302F1268"/>
    <w:rsid w:val="302F3016"/>
    <w:rsid w:val="302F3B93"/>
    <w:rsid w:val="302F70CA"/>
    <w:rsid w:val="30304270"/>
    <w:rsid w:val="303074BA"/>
    <w:rsid w:val="30313232"/>
    <w:rsid w:val="30313B99"/>
    <w:rsid w:val="30314FE0"/>
    <w:rsid w:val="30316D8E"/>
    <w:rsid w:val="30322514"/>
    <w:rsid w:val="30330D58"/>
    <w:rsid w:val="30332040"/>
    <w:rsid w:val="3034687E"/>
    <w:rsid w:val="303845C1"/>
    <w:rsid w:val="30395C43"/>
    <w:rsid w:val="303A20E7"/>
    <w:rsid w:val="303B1AE7"/>
    <w:rsid w:val="303D1BD7"/>
    <w:rsid w:val="303E0C8C"/>
    <w:rsid w:val="303F76FD"/>
    <w:rsid w:val="30403475"/>
    <w:rsid w:val="30406FD1"/>
    <w:rsid w:val="304070FC"/>
    <w:rsid w:val="30407D93"/>
    <w:rsid w:val="30416508"/>
    <w:rsid w:val="304271ED"/>
    <w:rsid w:val="30430644"/>
    <w:rsid w:val="30442F65"/>
    <w:rsid w:val="304545E8"/>
    <w:rsid w:val="304765B2"/>
    <w:rsid w:val="3049232A"/>
    <w:rsid w:val="30492F30"/>
    <w:rsid w:val="304A705A"/>
    <w:rsid w:val="304C3BC8"/>
    <w:rsid w:val="304E05AC"/>
    <w:rsid w:val="304E0AA2"/>
    <w:rsid w:val="304E16EE"/>
    <w:rsid w:val="304E5B92"/>
    <w:rsid w:val="304F1A3C"/>
    <w:rsid w:val="304F5466"/>
    <w:rsid w:val="30502ECC"/>
    <w:rsid w:val="3053184D"/>
    <w:rsid w:val="305331A8"/>
    <w:rsid w:val="30542A7D"/>
    <w:rsid w:val="30562C99"/>
    <w:rsid w:val="30564A47"/>
    <w:rsid w:val="305A4537"/>
    <w:rsid w:val="305A686B"/>
    <w:rsid w:val="305A6B4F"/>
    <w:rsid w:val="305B205D"/>
    <w:rsid w:val="305B3E0B"/>
    <w:rsid w:val="305D4027"/>
    <w:rsid w:val="305D4040"/>
    <w:rsid w:val="305D5DD5"/>
    <w:rsid w:val="305E00A1"/>
    <w:rsid w:val="305E54D0"/>
    <w:rsid w:val="305F38FB"/>
    <w:rsid w:val="306058C5"/>
    <w:rsid w:val="30631342"/>
    <w:rsid w:val="306453B6"/>
    <w:rsid w:val="30654C8A"/>
    <w:rsid w:val="30670A02"/>
    <w:rsid w:val="306727B0"/>
    <w:rsid w:val="30672894"/>
    <w:rsid w:val="306D74E0"/>
    <w:rsid w:val="306F78B6"/>
    <w:rsid w:val="30717AD3"/>
    <w:rsid w:val="307355F9"/>
    <w:rsid w:val="30744ECD"/>
    <w:rsid w:val="30754AC4"/>
    <w:rsid w:val="30760C45"/>
    <w:rsid w:val="307750E9"/>
    <w:rsid w:val="30776BDB"/>
    <w:rsid w:val="307777B8"/>
    <w:rsid w:val="3078676B"/>
    <w:rsid w:val="3078777A"/>
    <w:rsid w:val="30793568"/>
    <w:rsid w:val="307976F4"/>
    <w:rsid w:val="307A6139"/>
    <w:rsid w:val="307A6987"/>
    <w:rsid w:val="307B44AD"/>
    <w:rsid w:val="307C219A"/>
    <w:rsid w:val="307C26FF"/>
    <w:rsid w:val="307D1FD3"/>
    <w:rsid w:val="307D6477"/>
    <w:rsid w:val="30817D16"/>
    <w:rsid w:val="30823A8E"/>
    <w:rsid w:val="3082583C"/>
    <w:rsid w:val="308275EA"/>
    <w:rsid w:val="30832323"/>
    <w:rsid w:val="308415B4"/>
    <w:rsid w:val="30843362"/>
    <w:rsid w:val="30850E88"/>
    <w:rsid w:val="30872E52"/>
    <w:rsid w:val="3088073D"/>
    <w:rsid w:val="30890F6E"/>
    <w:rsid w:val="3089580A"/>
    <w:rsid w:val="30896BCA"/>
    <w:rsid w:val="308B0B94"/>
    <w:rsid w:val="308C0468"/>
    <w:rsid w:val="308C66BA"/>
    <w:rsid w:val="308E41E1"/>
    <w:rsid w:val="308E5F8F"/>
    <w:rsid w:val="309153B0"/>
    <w:rsid w:val="309317F7"/>
    <w:rsid w:val="30937A49"/>
    <w:rsid w:val="30941E12"/>
    <w:rsid w:val="309537C1"/>
    <w:rsid w:val="3095556F"/>
    <w:rsid w:val="309612E7"/>
    <w:rsid w:val="30977539"/>
    <w:rsid w:val="30980BBB"/>
    <w:rsid w:val="309827E9"/>
    <w:rsid w:val="30982D0A"/>
    <w:rsid w:val="309A0DD7"/>
    <w:rsid w:val="309A110F"/>
    <w:rsid w:val="309B06AC"/>
    <w:rsid w:val="309B5472"/>
    <w:rsid w:val="309D2676"/>
    <w:rsid w:val="309E535B"/>
    <w:rsid w:val="309F1F4A"/>
    <w:rsid w:val="30A12166"/>
    <w:rsid w:val="30A21A3A"/>
    <w:rsid w:val="30A25345"/>
    <w:rsid w:val="30A27C8C"/>
    <w:rsid w:val="30A3243A"/>
    <w:rsid w:val="30A457B2"/>
    <w:rsid w:val="30A47B90"/>
    <w:rsid w:val="30A63CC6"/>
    <w:rsid w:val="30A65BBD"/>
    <w:rsid w:val="30A734F4"/>
    <w:rsid w:val="30A9101A"/>
    <w:rsid w:val="30AB4F67"/>
    <w:rsid w:val="30AB5D08"/>
    <w:rsid w:val="30AC28B9"/>
    <w:rsid w:val="30AD0B0B"/>
    <w:rsid w:val="30AD0FC8"/>
    <w:rsid w:val="30AE16E4"/>
    <w:rsid w:val="30AE4883"/>
    <w:rsid w:val="30B023A9"/>
    <w:rsid w:val="30B04157"/>
    <w:rsid w:val="30B11C7D"/>
    <w:rsid w:val="30B1566D"/>
    <w:rsid w:val="30B26121"/>
    <w:rsid w:val="30B31E99"/>
    <w:rsid w:val="30B336F9"/>
    <w:rsid w:val="30B33C47"/>
    <w:rsid w:val="30B362CA"/>
    <w:rsid w:val="30B402B6"/>
    <w:rsid w:val="30B40786"/>
    <w:rsid w:val="30B47E7A"/>
    <w:rsid w:val="30B5176D"/>
    <w:rsid w:val="30B579BF"/>
    <w:rsid w:val="30B654E5"/>
    <w:rsid w:val="30B67293"/>
    <w:rsid w:val="30B755D1"/>
    <w:rsid w:val="30B75796"/>
    <w:rsid w:val="30B96D0F"/>
    <w:rsid w:val="30BA4FD6"/>
    <w:rsid w:val="30BB1126"/>
    <w:rsid w:val="30BB2AFC"/>
    <w:rsid w:val="30BB4A5C"/>
    <w:rsid w:val="30BD4AC6"/>
    <w:rsid w:val="30BE33DD"/>
    <w:rsid w:val="30C10112"/>
    <w:rsid w:val="30C108CE"/>
    <w:rsid w:val="30C145B6"/>
    <w:rsid w:val="30C16364"/>
    <w:rsid w:val="30C21D5E"/>
    <w:rsid w:val="30C25BF4"/>
    <w:rsid w:val="30C418AA"/>
    <w:rsid w:val="30C41A60"/>
    <w:rsid w:val="30C4467E"/>
    <w:rsid w:val="30C61B6F"/>
    <w:rsid w:val="30C776F3"/>
    <w:rsid w:val="30C85944"/>
    <w:rsid w:val="30C916BD"/>
    <w:rsid w:val="30C96FC7"/>
    <w:rsid w:val="30CB0F91"/>
    <w:rsid w:val="30CB2D3F"/>
    <w:rsid w:val="30CB71E3"/>
    <w:rsid w:val="30CD6E71"/>
    <w:rsid w:val="30CE282F"/>
    <w:rsid w:val="30CE6CD3"/>
    <w:rsid w:val="30CF1791"/>
    <w:rsid w:val="30D05F4C"/>
    <w:rsid w:val="30D342E9"/>
    <w:rsid w:val="30D36097"/>
    <w:rsid w:val="30D51E0F"/>
    <w:rsid w:val="30D53BBD"/>
    <w:rsid w:val="30D7574D"/>
    <w:rsid w:val="30D75B88"/>
    <w:rsid w:val="30DA11D4"/>
    <w:rsid w:val="30DB7602"/>
    <w:rsid w:val="30DC13F0"/>
    <w:rsid w:val="30DD0CC4"/>
    <w:rsid w:val="30DE2CCD"/>
    <w:rsid w:val="30DF243B"/>
    <w:rsid w:val="30DF67EA"/>
    <w:rsid w:val="30DF7B32"/>
    <w:rsid w:val="30E070F0"/>
    <w:rsid w:val="30E16A06"/>
    <w:rsid w:val="30E20088"/>
    <w:rsid w:val="30E262DA"/>
    <w:rsid w:val="30E3277E"/>
    <w:rsid w:val="30E33C68"/>
    <w:rsid w:val="30E450F8"/>
    <w:rsid w:val="30E55530"/>
    <w:rsid w:val="30E67B79"/>
    <w:rsid w:val="30E81DDA"/>
    <w:rsid w:val="30E87D95"/>
    <w:rsid w:val="30E958BB"/>
    <w:rsid w:val="30EA6399"/>
    <w:rsid w:val="30EB1633"/>
    <w:rsid w:val="30EC4FCB"/>
    <w:rsid w:val="30ED645B"/>
    <w:rsid w:val="30EE4C7F"/>
    <w:rsid w:val="30EF220B"/>
    <w:rsid w:val="30EF394C"/>
    <w:rsid w:val="30EF505A"/>
    <w:rsid w:val="30F10AFB"/>
    <w:rsid w:val="30F2476F"/>
    <w:rsid w:val="30F304E8"/>
    <w:rsid w:val="30F46739"/>
    <w:rsid w:val="30F54260"/>
    <w:rsid w:val="30F5600E"/>
    <w:rsid w:val="30F63FC7"/>
    <w:rsid w:val="30F71D86"/>
    <w:rsid w:val="30F73B34"/>
    <w:rsid w:val="30F8356E"/>
    <w:rsid w:val="30F93D50"/>
    <w:rsid w:val="30F97E28"/>
    <w:rsid w:val="30FA44BB"/>
    <w:rsid w:val="30FA6C7D"/>
    <w:rsid w:val="30FA7AC8"/>
    <w:rsid w:val="30FC4416"/>
    <w:rsid w:val="30FC55EE"/>
    <w:rsid w:val="30FC739C"/>
    <w:rsid w:val="30FD34B3"/>
    <w:rsid w:val="30FE0870"/>
    <w:rsid w:val="30FE5C9F"/>
    <w:rsid w:val="30FF0C3A"/>
    <w:rsid w:val="3100742C"/>
    <w:rsid w:val="31007B69"/>
    <w:rsid w:val="31010E56"/>
    <w:rsid w:val="3102072B"/>
    <w:rsid w:val="310224D9"/>
    <w:rsid w:val="3103697D"/>
    <w:rsid w:val="310426F5"/>
    <w:rsid w:val="310444A3"/>
    <w:rsid w:val="310446E2"/>
    <w:rsid w:val="31046251"/>
    <w:rsid w:val="31061FC9"/>
    <w:rsid w:val="310821E5"/>
    <w:rsid w:val="31091487"/>
    <w:rsid w:val="31091AB9"/>
    <w:rsid w:val="31093867"/>
    <w:rsid w:val="310944F3"/>
    <w:rsid w:val="31097D0B"/>
    <w:rsid w:val="310A799F"/>
    <w:rsid w:val="310B3A83"/>
    <w:rsid w:val="310C5FFB"/>
    <w:rsid w:val="310D6A5F"/>
    <w:rsid w:val="310E0E7D"/>
    <w:rsid w:val="310E5794"/>
    <w:rsid w:val="310E70CF"/>
    <w:rsid w:val="31104BF6"/>
    <w:rsid w:val="31106B49"/>
    <w:rsid w:val="3110753A"/>
    <w:rsid w:val="31114115"/>
    <w:rsid w:val="3112096E"/>
    <w:rsid w:val="31130176"/>
    <w:rsid w:val="31140B8A"/>
    <w:rsid w:val="3115045E"/>
    <w:rsid w:val="3115220C"/>
    <w:rsid w:val="3116120C"/>
    <w:rsid w:val="31172428"/>
    <w:rsid w:val="3119173B"/>
    <w:rsid w:val="31191AA6"/>
    <w:rsid w:val="31191AC7"/>
    <w:rsid w:val="311928A7"/>
    <w:rsid w:val="311A1F18"/>
    <w:rsid w:val="311A3CC6"/>
    <w:rsid w:val="311A5A74"/>
    <w:rsid w:val="311A63BA"/>
    <w:rsid w:val="311B76C1"/>
    <w:rsid w:val="311B7D98"/>
    <w:rsid w:val="311C0372"/>
    <w:rsid w:val="311C359A"/>
    <w:rsid w:val="311C7A3E"/>
    <w:rsid w:val="311E37B6"/>
    <w:rsid w:val="311E5564"/>
    <w:rsid w:val="311F12DD"/>
    <w:rsid w:val="311F12EA"/>
    <w:rsid w:val="311F752F"/>
    <w:rsid w:val="312059BA"/>
    <w:rsid w:val="312132A7"/>
    <w:rsid w:val="31215055"/>
    <w:rsid w:val="31216E03"/>
    <w:rsid w:val="312220E2"/>
    <w:rsid w:val="31235140"/>
    <w:rsid w:val="312406A1"/>
    <w:rsid w:val="312468F3"/>
    <w:rsid w:val="3126266B"/>
    <w:rsid w:val="31280191"/>
    <w:rsid w:val="3128368C"/>
    <w:rsid w:val="31293F09"/>
    <w:rsid w:val="312A215B"/>
    <w:rsid w:val="312B5ED3"/>
    <w:rsid w:val="312B7C81"/>
    <w:rsid w:val="312C0D1D"/>
    <w:rsid w:val="312F7772"/>
    <w:rsid w:val="3130226F"/>
    <w:rsid w:val="31305298"/>
    <w:rsid w:val="313136FF"/>
    <w:rsid w:val="31321010"/>
    <w:rsid w:val="31327262"/>
    <w:rsid w:val="31336B36"/>
    <w:rsid w:val="31347E6C"/>
    <w:rsid w:val="31353510"/>
    <w:rsid w:val="313735A1"/>
    <w:rsid w:val="31377571"/>
    <w:rsid w:val="3138414C"/>
    <w:rsid w:val="313872C0"/>
    <w:rsid w:val="31391E91"/>
    <w:rsid w:val="31394A62"/>
    <w:rsid w:val="31395838"/>
    <w:rsid w:val="313A6116"/>
    <w:rsid w:val="313A6212"/>
    <w:rsid w:val="313A7EC4"/>
    <w:rsid w:val="313B2B55"/>
    <w:rsid w:val="313B47B1"/>
    <w:rsid w:val="313C3C3D"/>
    <w:rsid w:val="313D33E3"/>
    <w:rsid w:val="313F54DB"/>
    <w:rsid w:val="31411253"/>
    <w:rsid w:val="31411FEA"/>
    <w:rsid w:val="31413001"/>
    <w:rsid w:val="31436D79"/>
    <w:rsid w:val="31440939"/>
    <w:rsid w:val="31440ED2"/>
    <w:rsid w:val="31441DE5"/>
    <w:rsid w:val="31472109"/>
    <w:rsid w:val="314765CC"/>
    <w:rsid w:val="31480833"/>
    <w:rsid w:val="31493B93"/>
    <w:rsid w:val="314B0324"/>
    <w:rsid w:val="314B3E80"/>
    <w:rsid w:val="314D7BF8"/>
    <w:rsid w:val="314F40B7"/>
    <w:rsid w:val="314F5391"/>
    <w:rsid w:val="314F750B"/>
    <w:rsid w:val="31501496"/>
    <w:rsid w:val="315216B2"/>
    <w:rsid w:val="31523460"/>
    <w:rsid w:val="3152520E"/>
    <w:rsid w:val="31532D34"/>
    <w:rsid w:val="31556AAC"/>
    <w:rsid w:val="31562849"/>
    <w:rsid w:val="31570A76"/>
    <w:rsid w:val="31572824"/>
    <w:rsid w:val="3157541A"/>
    <w:rsid w:val="315947EF"/>
    <w:rsid w:val="3159659D"/>
    <w:rsid w:val="315A0567"/>
    <w:rsid w:val="315A11CA"/>
    <w:rsid w:val="315A2315"/>
    <w:rsid w:val="315A40C3"/>
    <w:rsid w:val="315C42DF"/>
    <w:rsid w:val="315C66BB"/>
    <w:rsid w:val="315E0057"/>
    <w:rsid w:val="315E1E05"/>
    <w:rsid w:val="315F16D9"/>
    <w:rsid w:val="316038C9"/>
    <w:rsid w:val="3160503C"/>
    <w:rsid w:val="31611CE4"/>
    <w:rsid w:val="316136A3"/>
    <w:rsid w:val="31615451"/>
    <w:rsid w:val="316311C9"/>
    <w:rsid w:val="31633586"/>
    <w:rsid w:val="3163741B"/>
    <w:rsid w:val="31644F41"/>
    <w:rsid w:val="316513E5"/>
    <w:rsid w:val="31660CB9"/>
    <w:rsid w:val="316621CE"/>
    <w:rsid w:val="3166233E"/>
    <w:rsid w:val="3166515D"/>
    <w:rsid w:val="31674F0F"/>
    <w:rsid w:val="31677002"/>
    <w:rsid w:val="31682C84"/>
    <w:rsid w:val="316867E0"/>
    <w:rsid w:val="316A07AA"/>
    <w:rsid w:val="316A3890"/>
    <w:rsid w:val="316A69FC"/>
    <w:rsid w:val="316B4D20"/>
    <w:rsid w:val="316B62D0"/>
    <w:rsid w:val="316D029A"/>
    <w:rsid w:val="316E7B6E"/>
    <w:rsid w:val="316F477E"/>
    <w:rsid w:val="317038E6"/>
    <w:rsid w:val="317059AA"/>
    <w:rsid w:val="317170E8"/>
    <w:rsid w:val="31717D8A"/>
    <w:rsid w:val="317334B2"/>
    <w:rsid w:val="31741628"/>
    <w:rsid w:val="31744942"/>
    <w:rsid w:val="31750EFD"/>
    <w:rsid w:val="31755EAA"/>
    <w:rsid w:val="31771F10"/>
    <w:rsid w:val="3178338B"/>
    <w:rsid w:val="31794E91"/>
    <w:rsid w:val="31797323"/>
    <w:rsid w:val="317A4765"/>
    <w:rsid w:val="317A4C90"/>
    <w:rsid w:val="317B29B7"/>
    <w:rsid w:val="317C04DD"/>
    <w:rsid w:val="317E24A7"/>
    <w:rsid w:val="317F1A54"/>
    <w:rsid w:val="317F1D7B"/>
    <w:rsid w:val="317F3B29"/>
    <w:rsid w:val="318006F6"/>
    <w:rsid w:val="31810686"/>
    <w:rsid w:val="31813D45"/>
    <w:rsid w:val="318178A1"/>
    <w:rsid w:val="3183186B"/>
    <w:rsid w:val="31832FA6"/>
    <w:rsid w:val="31837ABD"/>
    <w:rsid w:val="31857392"/>
    <w:rsid w:val="3186135C"/>
    <w:rsid w:val="31880C30"/>
    <w:rsid w:val="318850D4"/>
    <w:rsid w:val="31885988"/>
    <w:rsid w:val="31886E82"/>
    <w:rsid w:val="318A1295"/>
    <w:rsid w:val="318C30D2"/>
    <w:rsid w:val="318C5799"/>
    <w:rsid w:val="318F29B2"/>
    <w:rsid w:val="318F6462"/>
    <w:rsid w:val="318F784A"/>
    <w:rsid w:val="319055AA"/>
    <w:rsid w:val="31921AAF"/>
    <w:rsid w:val="3192385D"/>
    <w:rsid w:val="31932FA4"/>
    <w:rsid w:val="3195334D"/>
    <w:rsid w:val="31963EAA"/>
    <w:rsid w:val="31975317"/>
    <w:rsid w:val="319770C5"/>
    <w:rsid w:val="31992E3D"/>
    <w:rsid w:val="31994BEB"/>
    <w:rsid w:val="319B4E07"/>
    <w:rsid w:val="319C292D"/>
    <w:rsid w:val="319D4FDD"/>
    <w:rsid w:val="319E0453"/>
    <w:rsid w:val="319F5F79"/>
    <w:rsid w:val="31A11CF2"/>
    <w:rsid w:val="31A17F44"/>
    <w:rsid w:val="31A30FDD"/>
    <w:rsid w:val="31A31F0E"/>
    <w:rsid w:val="31A33CBC"/>
    <w:rsid w:val="31A35A6A"/>
    <w:rsid w:val="31A43590"/>
    <w:rsid w:val="31A56340"/>
    <w:rsid w:val="31A57A34"/>
    <w:rsid w:val="31A737AC"/>
    <w:rsid w:val="31A87524"/>
    <w:rsid w:val="31A970F2"/>
    <w:rsid w:val="31AA504A"/>
    <w:rsid w:val="31AA728A"/>
    <w:rsid w:val="31AB2B70"/>
    <w:rsid w:val="31AB75E1"/>
    <w:rsid w:val="31AD0696"/>
    <w:rsid w:val="31AD2FE7"/>
    <w:rsid w:val="31AD4B3A"/>
    <w:rsid w:val="31AF08B2"/>
    <w:rsid w:val="31AF2660"/>
    <w:rsid w:val="31AF440F"/>
    <w:rsid w:val="31B00187"/>
    <w:rsid w:val="31B1462B"/>
    <w:rsid w:val="31B61C41"/>
    <w:rsid w:val="31B672C5"/>
    <w:rsid w:val="31B77767"/>
    <w:rsid w:val="31B9528D"/>
    <w:rsid w:val="31B9703B"/>
    <w:rsid w:val="31BB7257"/>
    <w:rsid w:val="31BC19F6"/>
    <w:rsid w:val="31BC6B2B"/>
    <w:rsid w:val="31BD2FCF"/>
    <w:rsid w:val="31BD45C7"/>
    <w:rsid w:val="31BE1181"/>
    <w:rsid w:val="31C003CA"/>
    <w:rsid w:val="31C0195E"/>
    <w:rsid w:val="31C0661C"/>
    <w:rsid w:val="31C3435E"/>
    <w:rsid w:val="31C3610C"/>
    <w:rsid w:val="31C37EBA"/>
    <w:rsid w:val="31C559E0"/>
    <w:rsid w:val="31C600A2"/>
    <w:rsid w:val="31C61758"/>
    <w:rsid w:val="31C81974"/>
    <w:rsid w:val="31C82E1B"/>
    <w:rsid w:val="31C83B36"/>
    <w:rsid w:val="31C854D0"/>
    <w:rsid w:val="31C94250"/>
    <w:rsid w:val="31CA1248"/>
    <w:rsid w:val="31CB6D6E"/>
    <w:rsid w:val="31CC14EB"/>
    <w:rsid w:val="31CC1DA3"/>
    <w:rsid w:val="31CC3212"/>
    <w:rsid w:val="31CC4FC0"/>
    <w:rsid w:val="31CD6F8B"/>
    <w:rsid w:val="31CF4AB1"/>
    <w:rsid w:val="31CF6638"/>
    <w:rsid w:val="31D027FF"/>
    <w:rsid w:val="31D16A7B"/>
    <w:rsid w:val="31D21A3A"/>
    <w:rsid w:val="31D245A1"/>
    <w:rsid w:val="31D57F25"/>
    <w:rsid w:val="31D64091"/>
    <w:rsid w:val="31D67BED"/>
    <w:rsid w:val="31D71BB7"/>
    <w:rsid w:val="31D73965"/>
    <w:rsid w:val="31D7650C"/>
    <w:rsid w:val="31D846C2"/>
    <w:rsid w:val="31D9148B"/>
    <w:rsid w:val="31D9592F"/>
    <w:rsid w:val="31DB16A7"/>
    <w:rsid w:val="31DB3455"/>
    <w:rsid w:val="31DC0F7C"/>
    <w:rsid w:val="31DD5420"/>
    <w:rsid w:val="31DD71CE"/>
    <w:rsid w:val="31DE2F46"/>
    <w:rsid w:val="31E1549C"/>
    <w:rsid w:val="31E22A36"/>
    <w:rsid w:val="31E24E52"/>
    <w:rsid w:val="31E362E2"/>
    <w:rsid w:val="31E367AE"/>
    <w:rsid w:val="31E53BD8"/>
    <w:rsid w:val="31E56082"/>
    <w:rsid w:val="31E64C63"/>
    <w:rsid w:val="31E711FE"/>
    <w:rsid w:val="31E87920"/>
    <w:rsid w:val="31EA35E4"/>
    <w:rsid w:val="31EA5447"/>
    <w:rsid w:val="31EC5663"/>
    <w:rsid w:val="31ED1D5A"/>
    <w:rsid w:val="31ED4F37"/>
    <w:rsid w:val="31EF0CAF"/>
    <w:rsid w:val="31F22BF3"/>
    <w:rsid w:val="31F34794"/>
    <w:rsid w:val="31F462C5"/>
    <w:rsid w:val="31F476C7"/>
    <w:rsid w:val="31F664E1"/>
    <w:rsid w:val="31F84007"/>
    <w:rsid w:val="31F91B2E"/>
    <w:rsid w:val="31F938AE"/>
    <w:rsid w:val="31F938DC"/>
    <w:rsid w:val="31FB58A6"/>
    <w:rsid w:val="31FC33CC"/>
    <w:rsid w:val="31FC4E6F"/>
    <w:rsid w:val="31FC59F9"/>
    <w:rsid w:val="31FD161E"/>
    <w:rsid w:val="31FE7144"/>
    <w:rsid w:val="31FF5ABB"/>
    <w:rsid w:val="32006F4B"/>
    <w:rsid w:val="320147F2"/>
    <w:rsid w:val="320209E2"/>
    <w:rsid w:val="32021A78"/>
    <w:rsid w:val="32026530"/>
    <w:rsid w:val="320329AC"/>
    <w:rsid w:val="32036508"/>
    <w:rsid w:val="320449D6"/>
    <w:rsid w:val="320504D2"/>
    <w:rsid w:val="32052DBD"/>
    <w:rsid w:val="32056724"/>
    <w:rsid w:val="3207424B"/>
    <w:rsid w:val="32075FF9"/>
    <w:rsid w:val="32086B6D"/>
    <w:rsid w:val="320A2BCE"/>
    <w:rsid w:val="320A5AE9"/>
    <w:rsid w:val="320A7897"/>
    <w:rsid w:val="320C48BF"/>
    <w:rsid w:val="320C7AB3"/>
    <w:rsid w:val="320F1351"/>
    <w:rsid w:val="320F4EAD"/>
    <w:rsid w:val="321006B4"/>
    <w:rsid w:val="32110C25"/>
    <w:rsid w:val="32116E77"/>
    <w:rsid w:val="32130E41"/>
    <w:rsid w:val="32136105"/>
    <w:rsid w:val="32136CF0"/>
    <w:rsid w:val="32140715"/>
    <w:rsid w:val="32145110"/>
    <w:rsid w:val="32146967"/>
    <w:rsid w:val="32157CE1"/>
    <w:rsid w:val="321626E0"/>
    <w:rsid w:val="32173A91"/>
    <w:rsid w:val="32180206"/>
    <w:rsid w:val="321921D0"/>
    <w:rsid w:val="32195D2C"/>
    <w:rsid w:val="321B1AA4"/>
    <w:rsid w:val="321B38AD"/>
    <w:rsid w:val="321C2A95"/>
    <w:rsid w:val="321E3342"/>
    <w:rsid w:val="321E3AEA"/>
    <w:rsid w:val="321F4C5F"/>
    <w:rsid w:val="32216284"/>
    <w:rsid w:val="32221084"/>
    <w:rsid w:val="322272D6"/>
    <w:rsid w:val="32230959"/>
    <w:rsid w:val="32233775"/>
    <w:rsid w:val="32250B75"/>
    <w:rsid w:val="32252923"/>
    <w:rsid w:val="32260C66"/>
    <w:rsid w:val="3227669B"/>
    <w:rsid w:val="322841C1"/>
    <w:rsid w:val="32284A16"/>
    <w:rsid w:val="32286157"/>
    <w:rsid w:val="32291836"/>
    <w:rsid w:val="32292413"/>
    <w:rsid w:val="322C1F03"/>
    <w:rsid w:val="322D024D"/>
    <w:rsid w:val="322D12EF"/>
    <w:rsid w:val="322D17D7"/>
    <w:rsid w:val="322E50D0"/>
    <w:rsid w:val="322E7A29"/>
    <w:rsid w:val="322F554F"/>
    <w:rsid w:val="32301FF4"/>
    <w:rsid w:val="323046A1"/>
    <w:rsid w:val="32313FA5"/>
    <w:rsid w:val="32317519"/>
    <w:rsid w:val="32340DB8"/>
    <w:rsid w:val="32342B66"/>
    <w:rsid w:val="323552B9"/>
    <w:rsid w:val="3236081D"/>
    <w:rsid w:val="323668DE"/>
    <w:rsid w:val="32375845"/>
    <w:rsid w:val="32382656"/>
    <w:rsid w:val="323922EC"/>
    <w:rsid w:val="323A4620"/>
    <w:rsid w:val="323B2146"/>
    <w:rsid w:val="323B3EF4"/>
    <w:rsid w:val="323B5CA2"/>
    <w:rsid w:val="323C2E8C"/>
    <w:rsid w:val="323D5EBE"/>
    <w:rsid w:val="323D694A"/>
    <w:rsid w:val="323E39E4"/>
    <w:rsid w:val="3240150B"/>
    <w:rsid w:val="32425283"/>
    <w:rsid w:val="32430FFB"/>
    <w:rsid w:val="32432D5F"/>
    <w:rsid w:val="3244724D"/>
    <w:rsid w:val="32454D73"/>
    <w:rsid w:val="32456B21"/>
    <w:rsid w:val="32466B0F"/>
    <w:rsid w:val="324803BF"/>
    <w:rsid w:val="32485077"/>
    <w:rsid w:val="32491237"/>
    <w:rsid w:val="32496611"/>
    <w:rsid w:val="32496BD1"/>
    <w:rsid w:val="324977B2"/>
    <w:rsid w:val="324A6920"/>
    <w:rsid w:val="324A7697"/>
    <w:rsid w:val="324B7DB0"/>
    <w:rsid w:val="324C037B"/>
    <w:rsid w:val="324C4353"/>
    <w:rsid w:val="324C7EAF"/>
    <w:rsid w:val="324D1453"/>
    <w:rsid w:val="324E00CB"/>
    <w:rsid w:val="324E1E79"/>
    <w:rsid w:val="324E3C27"/>
    <w:rsid w:val="324E5916"/>
    <w:rsid w:val="324F79A0"/>
    <w:rsid w:val="3253123E"/>
    <w:rsid w:val="32543208"/>
    <w:rsid w:val="32544FB6"/>
    <w:rsid w:val="32546D64"/>
    <w:rsid w:val="3255145A"/>
    <w:rsid w:val="32560077"/>
    <w:rsid w:val="325829EC"/>
    <w:rsid w:val="32582CF8"/>
    <w:rsid w:val="325850EB"/>
    <w:rsid w:val="32591540"/>
    <w:rsid w:val="325925CC"/>
    <w:rsid w:val="32593FDB"/>
    <w:rsid w:val="325A081E"/>
    <w:rsid w:val="325A3079"/>
    <w:rsid w:val="325B6344"/>
    <w:rsid w:val="325D030E"/>
    <w:rsid w:val="325D3E6B"/>
    <w:rsid w:val="325D4D96"/>
    <w:rsid w:val="325D6EB5"/>
    <w:rsid w:val="325E7BE3"/>
    <w:rsid w:val="325F0DF7"/>
    <w:rsid w:val="325F5E35"/>
    <w:rsid w:val="32607DFF"/>
    <w:rsid w:val="32621481"/>
    <w:rsid w:val="32625925"/>
    <w:rsid w:val="326356E5"/>
    <w:rsid w:val="3264344B"/>
    <w:rsid w:val="32650F71"/>
    <w:rsid w:val="326571C3"/>
    <w:rsid w:val="3267118D"/>
    <w:rsid w:val="32674CE9"/>
    <w:rsid w:val="3268280F"/>
    <w:rsid w:val="32686C99"/>
    <w:rsid w:val="32696CB3"/>
    <w:rsid w:val="326A2A2B"/>
    <w:rsid w:val="326A47D9"/>
    <w:rsid w:val="326C33FB"/>
    <w:rsid w:val="326E06BF"/>
    <w:rsid w:val="326E42CA"/>
    <w:rsid w:val="326E7E26"/>
    <w:rsid w:val="326F1BCF"/>
    <w:rsid w:val="327018CD"/>
    <w:rsid w:val="32713DBA"/>
    <w:rsid w:val="327318E0"/>
    <w:rsid w:val="3273206B"/>
    <w:rsid w:val="327411B4"/>
    <w:rsid w:val="32755658"/>
    <w:rsid w:val="327613D0"/>
    <w:rsid w:val="3276317E"/>
    <w:rsid w:val="32764F2C"/>
    <w:rsid w:val="32786EF6"/>
    <w:rsid w:val="3279456F"/>
    <w:rsid w:val="327A0EC0"/>
    <w:rsid w:val="327B0795"/>
    <w:rsid w:val="327B2543"/>
    <w:rsid w:val="327D275F"/>
    <w:rsid w:val="327D518A"/>
    <w:rsid w:val="327F0285"/>
    <w:rsid w:val="327F2033"/>
    <w:rsid w:val="32800DDF"/>
    <w:rsid w:val="32805DAB"/>
    <w:rsid w:val="32807B59"/>
    <w:rsid w:val="3281224F"/>
    <w:rsid w:val="32813850"/>
    <w:rsid w:val="32825621"/>
    <w:rsid w:val="32843AED"/>
    <w:rsid w:val="3284589B"/>
    <w:rsid w:val="32851613"/>
    <w:rsid w:val="328529C5"/>
    <w:rsid w:val="32855129"/>
    <w:rsid w:val="3286265A"/>
    <w:rsid w:val="328714F2"/>
    <w:rsid w:val="3287538B"/>
    <w:rsid w:val="328B4E7C"/>
    <w:rsid w:val="328C0BF4"/>
    <w:rsid w:val="328E04C8"/>
    <w:rsid w:val="328E2276"/>
    <w:rsid w:val="328E3BC4"/>
    <w:rsid w:val="328F46F9"/>
    <w:rsid w:val="32902492"/>
    <w:rsid w:val="32907C25"/>
    <w:rsid w:val="32914C73"/>
    <w:rsid w:val="32933D30"/>
    <w:rsid w:val="3293788C"/>
    <w:rsid w:val="32943604"/>
    <w:rsid w:val="3294550E"/>
    <w:rsid w:val="32957AA8"/>
    <w:rsid w:val="32963A97"/>
    <w:rsid w:val="3296737C"/>
    <w:rsid w:val="32987598"/>
    <w:rsid w:val="32990C1B"/>
    <w:rsid w:val="329970CE"/>
    <w:rsid w:val="329B09F7"/>
    <w:rsid w:val="329B0E37"/>
    <w:rsid w:val="329C2BEC"/>
    <w:rsid w:val="329C7909"/>
    <w:rsid w:val="329D070B"/>
    <w:rsid w:val="329D695D"/>
    <w:rsid w:val="329F0927"/>
    <w:rsid w:val="329F4452"/>
    <w:rsid w:val="329F4483"/>
    <w:rsid w:val="32A058A2"/>
    <w:rsid w:val="32A0644D"/>
    <w:rsid w:val="32A25D21"/>
    <w:rsid w:val="32A31061"/>
    <w:rsid w:val="32A41A99"/>
    <w:rsid w:val="32A45F3D"/>
    <w:rsid w:val="32A55811"/>
    <w:rsid w:val="32A61C6A"/>
    <w:rsid w:val="32A73338"/>
    <w:rsid w:val="32A777DC"/>
    <w:rsid w:val="32A8304A"/>
    <w:rsid w:val="32A8733C"/>
    <w:rsid w:val="32A970B0"/>
    <w:rsid w:val="32A970D8"/>
    <w:rsid w:val="32AB107A"/>
    <w:rsid w:val="32AB72CC"/>
    <w:rsid w:val="32AC4DF2"/>
    <w:rsid w:val="32AC6BA0"/>
    <w:rsid w:val="32AE19E1"/>
    <w:rsid w:val="32AF3B2E"/>
    <w:rsid w:val="32AF59E7"/>
    <w:rsid w:val="32B310BD"/>
    <w:rsid w:val="32B31CDC"/>
    <w:rsid w:val="32B36180"/>
    <w:rsid w:val="32B53CA7"/>
    <w:rsid w:val="32B55A55"/>
    <w:rsid w:val="32B75C71"/>
    <w:rsid w:val="32B819E9"/>
    <w:rsid w:val="32B85545"/>
    <w:rsid w:val="32BB1E2A"/>
    <w:rsid w:val="32BB4322"/>
    <w:rsid w:val="32BB6DE3"/>
    <w:rsid w:val="32BC0383"/>
    <w:rsid w:val="32BD0DAD"/>
    <w:rsid w:val="32BD1813"/>
    <w:rsid w:val="32BD6FFF"/>
    <w:rsid w:val="32BF0681"/>
    <w:rsid w:val="32BF68D3"/>
    <w:rsid w:val="32C0264B"/>
    <w:rsid w:val="32C043F9"/>
    <w:rsid w:val="32C055C3"/>
    <w:rsid w:val="32C10194"/>
    <w:rsid w:val="32C1314B"/>
    <w:rsid w:val="32C20171"/>
    <w:rsid w:val="32C24615"/>
    <w:rsid w:val="32C739DA"/>
    <w:rsid w:val="32C83D55"/>
    <w:rsid w:val="32C93BA1"/>
    <w:rsid w:val="32CA2987"/>
    <w:rsid w:val="32CC0FF0"/>
    <w:rsid w:val="32CC2D9E"/>
    <w:rsid w:val="32CC52A7"/>
    <w:rsid w:val="32CD7BC7"/>
    <w:rsid w:val="32CE1184"/>
    <w:rsid w:val="32CE4D68"/>
    <w:rsid w:val="32CE6B16"/>
    <w:rsid w:val="32CF509C"/>
    <w:rsid w:val="32CF5C94"/>
    <w:rsid w:val="32CF7C0B"/>
    <w:rsid w:val="32D0288E"/>
    <w:rsid w:val="32D103B5"/>
    <w:rsid w:val="32D12FE8"/>
    <w:rsid w:val="32D16548"/>
    <w:rsid w:val="32D22AAA"/>
    <w:rsid w:val="32D3237F"/>
    <w:rsid w:val="32D3412D"/>
    <w:rsid w:val="32D54349"/>
    <w:rsid w:val="32D57EA5"/>
    <w:rsid w:val="32D61E6F"/>
    <w:rsid w:val="32D7389F"/>
    <w:rsid w:val="32D85BE7"/>
    <w:rsid w:val="32D87995"/>
    <w:rsid w:val="32DA370D"/>
    <w:rsid w:val="32DC13D3"/>
    <w:rsid w:val="32DD3890"/>
    <w:rsid w:val="32DE3658"/>
    <w:rsid w:val="32DE7A2F"/>
    <w:rsid w:val="32DF0D23"/>
    <w:rsid w:val="32DF2AD1"/>
    <w:rsid w:val="32DF78C4"/>
    <w:rsid w:val="32E12CEE"/>
    <w:rsid w:val="32E14A9C"/>
    <w:rsid w:val="32E225C2"/>
    <w:rsid w:val="32E427DE"/>
    <w:rsid w:val="32E4633A"/>
    <w:rsid w:val="32E620B2"/>
    <w:rsid w:val="32E77BD8"/>
    <w:rsid w:val="32EB1476"/>
    <w:rsid w:val="32EB591A"/>
    <w:rsid w:val="32EC220C"/>
    <w:rsid w:val="32ED17CB"/>
    <w:rsid w:val="32F01183"/>
    <w:rsid w:val="32F147D8"/>
    <w:rsid w:val="32F318E1"/>
    <w:rsid w:val="32F32A21"/>
    <w:rsid w:val="32F522F5"/>
    <w:rsid w:val="32F56799"/>
    <w:rsid w:val="32F72511"/>
    <w:rsid w:val="32F72E33"/>
    <w:rsid w:val="32F81DE5"/>
    <w:rsid w:val="32F83B93"/>
    <w:rsid w:val="32F8674E"/>
    <w:rsid w:val="32F868AE"/>
    <w:rsid w:val="32FA3DAF"/>
    <w:rsid w:val="32FA790B"/>
    <w:rsid w:val="32FB0073"/>
    <w:rsid w:val="32FB4313"/>
    <w:rsid w:val="32FC18D5"/>
    <w:rsid w:val="32FC5B42"/>
    <w:rsid w:val="32FD11AA"/>
    <w:rsid w:val="32FE731E"/>
    <w:rsid w:val="3303652C"/>
    <w:rsid w:val="33042AB2"/>
    <w:rsid w:val="33062754"/>
    <w:rsid w:val="33064502"/>
    <w:rsid w:val="330662B0"/>
    <w:rsid w:val="33066611"/>
    <w:rsid w:val="33083DB8"/>
    <w:rsid w:val="33090A05"/>
    <w:rsid w:val="330B38C7"/>
    <w:rsid w:val="330C2739"/>
    <w:rsid w:val="330C763F"/>
    <w:rsid w:val="330D3AE3"/>
    <w:rsid w:val="330D3BC9"/>
    <w:rsid w:val="330E33B7"/>
    <w:rsid w:val="330F10BA"/>
    <w:rsid w:val="330F7364"/>
    <w:rsid w:val="331035D3"/>
    <w:rsid w:val="33105381"/>
    <w:rsid w:val="33127A3B"/>
    <w:rsid w:val="331704BD"/>
    <w:rsid w:val="3319635D"/>
    <w:rsid w:val="331C5AD4"/>
    <w:rsid w:val="331D35FA"/>
    <w:rsid w:val="331D7A9E"/>
    <w:rsid w:val="331E5FDE"/>
    <w:rsid w:val="332008FE"/>
    <w:rsid w:val="3321133C"/>
    <w:rsid w:val="332130EA"/>
    <w:rsid w:val="3321758E"/>
    <w:rsid w:val="33226E62"/>
    <w:rsid w:val="332350B4"/>
    <w:rsid w:val="33235DEF"/>
    <w:rsid w:val="33244988"/>
    <w:rsid w:val="33256C2B"/>
    <w:rsid w:val="33260700"/>
    <w:rsid w:val="3326268C"/>
    <w:rsid w:val="33265EB1"/>
    <w:rsid w:val="33272299"/>
    <w:rsid w:val="33274478"/>
    <w:rsid w:val="332826CA"/>
    <w:rsid w:val="332901F1"/>
    <w:rsid w:val="33294832"/>
    <w:rsid w:val="33296443"/>
    <w:rsid w:val="332B21BB"/>
    <w:rsid w:val="332D0BC6"/>
    <w:rsid w:val="332E5807"/>
    <w:rsid w:val="332F1946"/>
    <w:rsid w:val="3330157F"/>
    <w:rsid w:val="3330332D"/>
    <w:rsid w:val="33312FC4"/>
    <w:rsid w:val="33316C94"/>
    <w:rsid w:val="33332E1D"/>
    <w:rsid w:val="33354DE7"/>
    <w:rsid w:val="33355846"/>
    <w:rsid w:val="33356B95"/>
    <w:rsid w:val="33380434"/>
    <w:rsid w:val="33381756"/>
    <w:rsid w:val="33381808"/>
    <w:rsid w:val="33381DFF"/>
    <w:rsid w:val="33386686"/>
    <w:rsid w:val="33392BE6"/>
    <w:rsid w:val="333A0151"/>
    <w:rsid w:val="333A0650"/>
    <w:rsid w:val="333A23FE"/>
    <w:rsid w:val="333A41AC"/>
    <w:rsid w:val="333A57B7"/>
    <w:rsid w:val="333C0154"/>
    <w:rsid w:val="333C7F24"/>
    <w:rsid w:val="333D3C9C"/>
    <w:rsid w:val="333F3E87"/>
    <w:rsid w:val="33412AB9"/>
    <w:rsid w:val="3341553A"/>
    <w:rsid w:val="334212B2"/>
    <w:rsid w:val="33423060"/>
    <w:rsid w:val="33435756"/>
    <w:rsid w:val="33460DA3"/>
    <w:rsid w:val="334751EA"/>
    <w:rsid w:val="3348124B"/>
    <w:rsid w:val="33490893"/>
    <w:rsid w:val="33492641"/>
    <w:rsid w:val="334A0F9A"/>
    <w:rsid w:val="334B0167"/>
    <w:rsid w:val="334B460B"/>
    <w:rsid w:val="334B63B9"/>
    <w:rsid w:val="334D2131"/>
    <w:rsid w:val="334D3EDF"/>
    <w:rsid w:val="334E5EA9"/>
    <w:rsid w:val="334F40FB"/>
    <w:rsid w:val="33501C21"/>
    <w:rsid w:val="335039CF"/>
    <w:rsid w:val="335214F5"/>
    <w:rsid w:val="335252EE"/>
    <w:rsid w:val="33527747"/>
    <w:rsid w:val="33541711"/>
    <w:rsid w:val="3355548A"/>
    <w:rsid w:val="33557238"/>
    <w:rsid w:val="3356210E"/>
    <w:rsid w:val="33564A45"/>
    <w:rsid w:val="33572FB0"/>
    <w:rsid w:val="33574D5E"/>
    <w:rsid w:val="33590AD6"/>
    <w:rsid w:val="33596D28"/>
    <w:rsid w:val="335A484E"/>
    <w:rsid w:val="335C4122"/>
    <w:rsid w:val="335C6818"/>
    <w:rsid w:val="335D7077"/>
    <w:rsid w:val="335F3C12"/>
    <w:rsid w:val="335F4901"/>
    <w:rsid w:val="335F67CB"/>
    <w:rsid w:val="33613E2E"/>
    <w:rsid w:val="336254B1"/>
    <w:rsid w:val="33631954"/>
    <w:rsid w:val="33641229"/>
    <w:rsid w:val="336472E3"/>
    <w:rsid w:val="33661445"/>
    <w:rsid w:val="33661C03"/>
    <w:rsid w:val="336631F3"/>
    <w:rsid w:val="33680D19"/>
    <w:rsid w:val="33684D64"/>
    <w:rsid w:val="336A2CE3"/>
    <w:rsid w:val="336C6619"/>
    <w:rsid w:val="336D0A88"/>
    <w:rsid w:val="336D1AD6"/>
    <w:rsid w:val="336E7970"/>
    <w:rsid w:val="336F1825"/>
    <w:rsid w:val="336F654B"/>
    <w:rsid w:val="336F7299"/>
    <w:rsid w:val="33704071"/>
    <w:rsid w:val="33706779"/>
    <w:rsid w:val="33706D00"/>
    <w:rsid w:val="33707BCD"/>
    <w:rsid w:val="33740CD3"/>
    <w:rsid w:val="33743B62"/>
    <w:rsid w:val="33745697"/>
    <w:rsid w:val="33770F5C"/>
    <w:rsid w:val="33774058"/>
    <w:rsid w:val="33775400"/>
    <w:rsid w:val="33784CD4"/>
    <w:rsid w:val="33791178"/>
    <w:rsid w:val="33792F26"/>
    <w:rsid w:val="337A0A4C"/>
    <w:rsid w:val="337B4EF0"/>
    <w:rsid w:val="337C2A16"/>
    <w:rsid w:val="337C47C4"/>
    <w:rsid w:val="337C556A"/>
    <w:rsid w:val="337E22EA"/>
    <w:rsid w:val="337E678E"/>
    <w:rsid w:val="33802506"/>
    <w:rsid w:val="3381627F"/>
    <w:rsid w:val="338361A4"/>
    <w:rsid w:val="338418CB"/>
    <w:rsid w:val="33843679"/>
    <w:rsid w:val="338673F1"/>
    <w:rsid w:val="33883169"/>
    <w:rsid w:val="33883B0D"/>
    <w:rsid w:val="33884F17"/>
    <w:rsid w:val="338A355B"/>
    <w:rsid w:val="338A5133"/>
    <w:rsid w:val="338B0EAB"/>
    <w:rsid w:val="338B2C59"/>
    <w:rsid w:val="338D077F"/>
    <w:rsid w:val="338D313B"/>
    <w:rsid w:val="338D4C23"/>
    <w:rsid w:val="338D69D1"/>
    <w:rsid w:val="338E62A6"/>
    <w:rsid w:val="338F229F"/>
    <w:rsid w:val="338F39E0"/>
    <w:rsid w:val="3390201E"/>
    <w:rsid w:val="33904E70"/>
    <w:rsid w:val="33955886"/>
    <w:rsid w:val="33957634"/>
    <w:rsid w:val="33977850"/>
    <w:rsid w:val="339935C8"/>
    <w:rsid w:val="33997993"/>
    <w:rsid w:val="339A68C0"/>
    <w:rsid w:val="339B7340"/>
    <w:rsid w:val="339C4E66"/>
    <w:rsid w:val="339C6CC6"/>
    <w:rsid w:val="339D48A3"/>
    <w:rsid w:val="339E0BDF"/>
    <w:rsid w:val="339E298D"/>
    <w:rsid w:val="339E2F95"/>
    <w:rsid w:val="339E473B"/>
    <w:rsid w:val="33A15FD9"/>
    <w:rsid w:val="33A27285"/>
    <w:rsid w:val="33A45AC9"/>
    <w:rsid w:val="33A61841"/>
    <w:rsid w:val="33A65CE5"/>
    <w:rsid w:val="33A8380B"/>
    <w:rsid w:val="33A930DF"/>
    <w:rsid w:val="33AA05E8"/>
    <w:rsid w:val="33AB50A9"/>
    <w:rsid w:val="33AD2BD0"/>
    <w:rsid w:val="33AD6F69"/>
    <w:rsid w:val="33AE48CC"/>
    <w:rsid w:val="33AE5828"/>
    <w:rsid w:val="33B0446E"/>
    <w:rsid w:val="33B07C43"/>
    <w:rsid w:val="33B10912"/>
    <w:rsid w:val="33B2468A"/>
    <w:rsid w:val="33B421B0"/>
    <w:rsid w:val="33B45D12"/>
    <w:rsid w:val="33B51A84"/>
    <w:rsid w:val="33B52B2A"/>
    <w:rsid w:val="33B556FB"/>
    <w:rsid w:val="33B57CD6"/>
    <w:rsid w:val="33B64277"/>
    <w:rsid w:val="33B65F28"/>
    <w:rsid w:val="33B757FC"/>
    <w:rsid w:val="33B82BEC"/>
    <w:rsid w:val="33B91574"/>
    <w:rsid w:val="33BA699C"/>
    <w:rsid w:val="33BA709B"/>
    <w:rsid w:val="33BC1065"/>
    <w:rsid w:val="33BC2E13"/>
    <w:rsid w:val="33BD31B5"/>
    <w:rsid w:val="33C06DA7"/>
    <w:rsid w:val="33C13F8B"/>
    <w:rsid w:val="33C1667B"/>
    <w:rsid w:val="33C2512E"/>
    <w:rsid w:val="33C323F3"/>
    <w:rsid w:val="33C543BD"/>
    <w:rsid w:val="33C54FC4"/>
    <w:rsid w:val="33C57F19"/>
    <w:rsid w:val="33C63C91"/>
    <w:rsid w:val="33C65A4A"/>
    <w:rsid w:val="33C70135"/>
    <w:rsid w:val="33C817B8"/>
    <w:rsid w:val="33C95001"/>
    <w:rsid w:val="33CB2BB7"/>
    <w:rsid w:val="33CB74FA"/>
    <w:rsid w:val="33CC574C"/>
    <w:rsid w:val="33CD5020"/>
    <w:rsid w:val="33CD6DCE"/>
    <w:rsid w:val="33CE105B"/>
    <w:rsid w:val="33CE49E3"/>
    <w:rsid w:val="33CE7CEA"/>
    <w:rsid w:val="33CF2B46"/>
    <w:rsid w:val="33CF6FEA"/>
    <w:rsid w:val="33D00BC2"/>
    <w:rsid w:val="33D068BE"/>
    <w:rsid w:val="33D12D62"/>
    <w:rsid w:val="33D15C38"/>
    <w:rsid w:val="33D212F8"/>
    <w:rsid w:val="33D3298D"/>
    <w:rsid w:val="33D4015C"/>
    <w:rsid w:val="33D416F9"/>
    <w:rsid w:val="33D41F2E"/>
    <w:rsid w:val="33D463AE"/>
    <w:rsid w:val="33D535A4"/>
    <w:rsid w:val="33D53ED4"/>
    <w:rsid w:val="33D740F0"/>
    <w:rsid w:val="33D75676"/>
    <w:rsid w:val="33D97E69"/>
    <w:rsid w:val="33DA5F86"/>
    <w:rsid w:val="33DB4845"/>
    <w:rsid w:val="33DC34B5"/>
    <w:rsid w:val="33DE0FDB"/>
    <w:rsid w:val="33DE31C6"/>
    <w:rsid w:val="33DE547F"/>
    <w:rsid w:val="33DF6B01"/>
    <w:rsid w:val="33DF6FF7"/>
    <w:rsid w:val="33E02FA5"/>
    <w:rsid w:val="33E10ACB"/>
    <w:rsid w:val="33E16D1D"/>
    <w:rsid w:val="33E24B9B"/>
    <w:rsid w:val="33E32A95"/>
    <w:rsid w:val="33E41628"/>
    <w:rsid w:val="33E52369"/>
    <w:rsid w:val="33E660E2"/>
    <w:rsid w:val="33EB3D8F"/>
    <w:rsid w:val="33ED56C2"/>
    <w:rsid w:val="33EF143A"/>
    <w:rsid w:val="33EF4F96"/>
    <w:rsid w:val="33F1163C"/>
    <w:rsid w:val="33F151B2"/>
    <w:rsid w:val="33F16F60"/>
    <w:rsid w:val="33F20F2A"/>
    <w:rsid w:val="33F46A50"/>
    <w:rsid w:val="33F56325"/>
    <w:rsid w:val="33F6144D"/>
    <w:rsid w:val="33F702EF"/>
    <w:rsid w:val="33F7209D"/>
    <w:rsid w:val="33F86541"/>
    <w:rsid w:val="33F94067"/>
    <w:rsid w:val="33F97BC3"/>
    <w:rsid w:val="33FB1B8D"/>
    <w:rsid w:val="33FB4AD5"/>
    <w:rsid w:val="33FC76B3"/>
    <w:rsid w:val="33FD3B57"/>
    <w:rsid w:val="33FE27B0"/>
    <w:rsid w:val="33FF3C40"/>
    <w:rsid w:val="33FF6811"/>
    <w:rsid w:val="34000F51"/>
    <w:rsid w:val="340053F5"/>
    <w:rsid w:val="340071A3"/>
    <w:rsid w:val="34014CC9"/>
    <w:rsid w:val="34015AC0"/>
    <w:rsid w:val="34016560"/>
    <w:rsid w:val="3402116D"/>
    <w:rsid w:val="34036C94"/>
    <w:rsid w:val="34050C5E"/>
    <w:rsid w:val="34050F42"/>
    <w:rsid w:val="34051085"/>
    <w:rsid w:val="34095F58"/>
    <w:rsid w:val="340A1DD0"/>
    <w:rsid w:val="340A6274"/>
    <w:rsid w:val="340B78F6"/>
    <w:rsid w:val="340B7957"/>
    <w:rsid w:val="340D18C0"/>
    <w:rsid w:val="340F388A"/>
    <w:rsid w:val="3410405F"/>
    <w:rsid w:val="34104BC5"/>
    <w:rsid w:val="341174E5"/>
    <w:rsid w:val="34117602"/>
    <w:rsid w:val="34133546"/>
    <w:rsid w:val="341344FC"/>
    <w:rsid w:val="3413690A"/>
    <w:rsid w:val="34140EA1"/>
    <w:rsid w:val="34142C4F"/>
    <w:rsid w:val="341669C7"/>
    <w:rsid w:val="34171537"/>
    <w:rsid w:val="3417273F"/>
    <w:rsid w:val="34192013"/>
    <w:rsid w:val="341973B8"/>
    <w:rsid w:val="341A36D8"/>
    <w:rsid w:val="341B222F"/>
    <w:rsid w:val="341B58E1"/>
    <w:rsid w:val="341B5D8B"/>
    <w:rsid w:val="341C1B03"/>
    <w:rsid w:val="341C3168"/>
    <w:rsid w:val="341D7D55"/>
    <w:rsid w:val="341E1D1F"/>
    <w:rsid w:val="341E3ACD"/>
    <w:rsid w:val="341E587B"/>
    <w:rsid w:val="341F1823"/>
    <w:rsid w:val="342033A2"/>
    <w:rsid w:val="34256C0A"/>
    <w:rsid w:val="34272982"/>
    <w:rsid w:val="342804A8"/>
    <w:rsid w:val="342858C4"/>
    <w:rsid w:val="34290B77"/>
    <w:rsid w:val="342A06C4"/>
    <w:rsid w:val="342A7568"/>
    <w:rsid w:val="342B17CD"/>
    <w:rsid w:val="342D3D10"/>
    <w:rsid w:val="342D5ABF"/>
    <w:rsid w:val="342F5CDB"/>
    <w:rsid w:val="34302A6E"/>
    <w:rsid w:val="34311A53"/>
    <w:rsid w:val="34313C5A"/>
    <w:rsid w:val="3431735D"/>
    <w:rsid w:val="34346E4D"/>
    <w:rsid w:val="34351D28"/>
    <w:rsid w:val="34362BC5"/>
    <w:rsid w:val="34390907"/>
    <w:rsid w:val="343926B5"/>
    <w:rsid w:val="3439693A"/>
    <w:rsid w:val="343A66F1"/>
    <w:rsid w:val="343B01DB"/>
    <w:rsid w:val="343B467F"/>
    <w:rsid w:val="343C3F54"/>
    <w:rsid w:val="343D21A6"/>
    <w:rsid w:val="343E5F1E"/>
    <w:rsid w:val="343E7CCC"/>
    <w:rsid w:val="34401C96"/>
    <w:rsid w:val="34402563"/>
    <w:rsid w:val="344076FA"/>
    <w:rsid w:val="3442156A"/>
    <w:rsid w:val="34424FD1"/>
    <w:rsid w:val="344277BC"/>
    <w:rsid w:val="34432625"/>
    <w:rsid w:val="344572AC"/>
    <w:rsid w:val="34476B80"/>
    <w:rsid w:val="344A041F"/>
    <w:rsid w:val="344A2B14"/>
    <w:rsid w:val="344A6670"/>
    <w:rsid w:val="344C063B"/>
    <w:rsid w:val="344C23E9"/>
    <w:rsid w:val="344D3628"/>
    <w:rsid w:val="344D6161"/>
    <w:rsid w:val="344E43B3"/>
    <w:rsid w:val="344F1ED9"/>
    <w:rsid w:val="34505AFA"/>
    <w:rsid w:val="345117AD"/>
    <w:rsid w:val="34525525"/>
    <w:rsid w:val="345474EF"/>
    <w:rsid w:val="345614B9"/>
    <w:rsid w:val="34563267"/>
    <w:rsid w:val="34565D06"/>
    <w:rsid w:val="3456735A"/>
    <w:rsid w:val="34570776"/>
    <w:rsid w:val="3458094E"/>
    <w:rsid w:val="34580D8D"/>
    <w:rsid w:val="34592D57"/>
    <w:rsid w:val="345968B4"/>
    <w:rsid w:val="345A1F52"/>
    <w:rsid w:val="345B087E"/>
    <w:rsid w:val="345B49C2"/>
    <w:rsid w:val="345B6AD0"/>
    <w:rsid w:val="345B7A07"/>
    <w:rsid w:val="345D2848"/>
    <w:rsid w:val="345E036E"/>
    <w:rsid w:val="345E211C"/>
    <w:rsid w:val="346040E6"/>
    <w:rsid w:val="34605E94"/>
    <w:rsid w:val="3460797A"/>
    <w:rsid w:val="3462703E"/>
    <w:rsid w:val="34627E5E"/>
    <w:rsid w:val="34637732"/>
    <w:rsid w:val="34640730"/>
    <w:rsid w:val="3464452F"/>
    <w:rsid w:val="34645984"/>
    <w:rsid w:val="346534AA"/>
    <w:rsid w:val="34655258"/>
    <w:rsid w:val="34670FD0"/>
    <w:rsid w:val="34675E29"/>
    <w:rsid w:val="346911EC"/>
    <w:rsid w:val="34692F9B"/>
    <w:rsid w:val="346B4741"/>
    <w:rsid w:val="346C2A8B"/>
    <w:rsid w:val="346C4839"/>
    <w:rsid w:val="346C65E7"/>
    <w:rsid w:val="346E05B1"/>
    <w:rsid w:val="346E6803"/>
    <w:rsid w:val="3471000B"/>
    <w:rsid w:val="34711E4F"/>
    <w:rsid w:val="34713BFD"/>
    <w:rsid w:val="34727975"/>
    <w:rsid w:val="34735BC7"/>
    <w:rsid w:val="3474193F"/>
    <w:rsid w:val="347656B7"/>
    <w:rsid w:val="347656DA"/>
    <w:rsid w:val="34776692"/>
    <w:rsid w:val="34777DD3"/>
    <w:rsid w:val="347831DE"/>
    <w:rsid w:val="34784F8C"/>
    <w:rsid w:val="34790D04"/>
    <w:rsid w:val="347926F3"/>
    <w:rsid w:val="347A51A8"/>
    <w:rsid w:val="347A69B9"/>
    <w:rsid w:val="347B5013"/>
    <w:rsid w:val="347D25A2"/>
    <w:rsid w:val="347D6A46"/>
    <w:rsid w:val="347E3994"/>
    <w:rsid w:val="347F27BE"/>
    <w:rsid w:val="34806536"/>
    <w:rsid w:val="34814A5D"/>
    <w:rsid w:val="348203CC"/>
    <w:rsid w:val="34822315"/>
    <w:rsid w:val="34831B82"/>
    <w:rsid w:val="34833F4F"/>
    <w:rsid w:val="34847DD4"/>
    <w:rsid w:val="348558FB"/>
    <w:rsid w:val="34872B38"/>
    <w:rsid w:val="34880F47"/>
    <w:rsid w:val="34897199"/>
    <w:rsid w:val="348B49DE"/>
    <w:rsid w:val="348C4EDB"/>
    <w:rsid w:val="348E0C53"/>
    <w:rsid w:val="348E47AF"/>
    <w:rsid w:val="348F0527"/>
    <w:rsid w:val="348F6779"/>
    <w:rsid w:val="3491097A"/>
    <w:rsid w:val="34943D90"/>
    <w:rsid w:val="349618B6"/>
    <w:rsid w:val="34963664"/>
    <w:rsid w:val="34983880"/>
    <w:rsid w:val="349963DC"/>
    <w:rsid w:val="349A13A6"/>
    <w:rsid w:val="349A75F8"/>
    <w:rsid w:val="349B511E"/>
    <w:rsid w:val="349B6ECC"/>
    <w:rsid w:val="349E28F5"/>
    <w:rsid w:val="349E2F7E"/>
    <w:rsid w:val="349F69BC"/>
    <w:rsid w:val="34A0046F"/>
    <w:rsid w:val="34A00986"/>
    <w:rsid w:val="34A10734"/>
    <w:rsid w:val="34A2025B"/>
    <w:rsid w:val="34A22D8F"/>
    <w:rsid w:val="34A244D0"/>
    <w:rsid w:val="34A3421F"/>
    <w:rsid w:val="34A35D81"/>
    <w:rsid w:val="34A37132"/>
    <w:rsid w:val="34A40D5D"/>
    <w:rsid w:val="34A51AF9"/>
    <w:rsid w:val="34A9783B"/>
    <w:rsid w:val="34AA5361"/>
    <w:rsid w:val="34AA710F"/>
    <w:rsid w:val="34AC2E87"/>
    <w:rsid w:val="34AE2A73"/>
    <w:rsid w:val="34AE30A3"/>
    <w:rsid w:val="34AE4E51"/>
    <w:rsid w:val="34AF257B"/>
    <w:rsid w:val="34AF6AD4"/>
    <w:rsid w:val="34B1049E"/>
    <w:rsid w:val="34B14942"/>
    <w:rsid w:val="34B22884"/>
    <w:rsid w:val="34B240E3"/>
    <w:rsid w:val="34B306BA"/>
    <w:rsid w:val="34B32468"/>
    <w:rsid w:val="34B538C5"/>
    <w:rsid w:val="34B561E0"/>
    <w:rsid w:val="34B61205"/>
    <w:rsid w:val="34B63D06"/>
    <w:rsid w:val="34B65AB4"/>
    <w:rsid w:val="34B73B25"/>
    <w:rsid w:val="34B8182C"/>
    <w:rsid w:val="34B85CD0"/>
    <w:rsid w:val="34B87A7E"/>
    <w:rsid w:val="34B955A4"/>
    <w:rsid w:val="34BA1A48"/>
    <w:rsid w:val="34BA37F6"/>
    <w:rsid w:val="34BB1FF4"/>
    <w:rsid w:val="34BB3BE7"/>
    <w:rsid w:val="34BB5077"/>
    <w:rsid w:val="34BB756E"/>
    <w:rsid w:val="34BD32E6"/>
    <w:rsid w:val="34BE77B9"/>
    <w:rsid w:val="34BF705E"/>
    <w:rsid w:val="34C16BFD"/>
    <w:rsid w:val="34C208FD"/>
    <w:rsid w:val="34C22379"/>
    <w:rsid w:val="34C277A8"/>
    <w:rsid w:val="34C401D1"/>
    <w:rsid w:val="34C53F49"/>
    <w:rsid w:val="34C603ED"/>
    <w:rsid w:val="34C62452"/>
    <w:rsid w:val="34C70C72"/>
    <w:rsid w:val="34C71A6F"/>
    <w:rsid w:val="34C74D5B"/>
    <w:rsid w:val="34C77CC1"/>
    <w:rsid w:val="34C957E7"/>
    <w:rsid w:val="34CA0B0B"/>
    <w:rsid w:val="34CB5A03"/>
    <w:rsid w:val="34CD748C"/>
    <w:rsid w:val="34CE1050"/>
    <w:rsid w:val="34CE2DFE"/>
    <w:rsid w:val="34CE72A2"/>
    <w:rsid w:val="34CF1DAC"/>
    <w:rsid w:val="34CF6B76"/>
    <w:rsid w:val="34D01B4D"/>
    <w:rsid w:val="34D0301A"/>
    <w:rsid w:val="34D15E0D"/>
    <w:rsid w:val="34D16D92"/>
    <w:rsid w:val="34D32B0A"/>
    <w:rsid w:val="34D36666"/>
    <w:rsid w:val="34D4418C"/>
    <w:rsid w:val="34D523DE"/>
    <w:rsid w:val="34D7306B"/>
    <w:rsid w:val="34D7691B"/>
    <w:rsid w:val="34D95A2F"/>
    <w:rsid w:val="34DA79F4"/>
    <w:rsid w:val="34DB19BE"/>
    <w:rsid w:val="34DB4661"/>
    <w:rsid w:val="34DB551B"/>
    <w:rsid w:val="34DF14AF"/>
    <w:rsid w:val="34DF500B"/>
    <w:rsid w:val="34E00D83"/>
    <w:rsid w:val="34E141C1"/>
    <w:rsid w:val="34E15227"/>
    <w:rsid w:val="34E20222"/>
    <w:rsid w:val="34E22D4D"/>
    <w:rsid w:val="34E40873"/>
    <w:rsid w:val="34E46AC5"/>
    <w:rsid w:val="34E56399"/>
    <w:rsid w:val="34E61774"/>
    <w:rsid w:val="34E6283D"/>
    <w:rsid w:val="34E645EB"/>
    <w:rsid w:val="34E97C37"/>
    <w:rsid w:val="34EA2EB6"/>
    <w:rsid w:val="34EA39B0"/>
    <w:rsid w:val="34EC597A"/>
    <w:rsid w:val="34EC7728"/>
    <w:rsid w:val="34ED1C61"/>
    <w:rsid w:val="34EE34A0"/>
    <w:rsid w:val="34EE524E"/>
    <w:rsid w:val="34EF0FC6"/>
    <w:rsid w:val="34F00667"/>
    <w:rsid w:val="34F03F67"/>
    <w:rsid w:val="34F211E2"/>
    <w:rsid w:val="34F25146"/>
    <w:rsid w:val="34F34F5A"/>
    <w:rsid w:val="34F43D78"/>
    <w:rsid w:val="34F53AC7"/>
    <w:rsid w:val="34F565DC"/>
    <w:rsid w:val="34F767F8"/>
    <w:rsid w:val="34F83B89"/>
    <w:rsid w:val="34F860CC"/>
    <w:rsid w:val="34FA62E8"/>
    <w:rsid w:val="34FB7939"/>
    <w:rsid w:val="34FC3E0F"/>
    <w:rsid w:val="34FD7B87"/>
    <w:rsid w:val="34FF0629"/>
    <w:rsid w:val="34FF38FF"/>
    <w:rsid w:val="34FF407A"/>
    <w:rsid w:val="3500231B"/>
    <w:rsid w:val="35004F81"/>
    <w:rsid w:val="35026F4B"/>
    <w:rsid w:val="3502780C"/>
    <w:rsid w:val="3504385C"/>
    <w:rsid w:val="3505555B"/>
    <w:rsid w:val="350727B3"/>
    <w:rsid w:val="35077B05"/>
    <w:rsid w:val="35093AFE"/>
    <w:rsid w:val="3509652C"/>
    <w:rsid w:val="350B22A4"/>
    <w:rsid w:val="350B4052"/>
    <w:rsid w:val="350B5E00"/>
    <w:rsid w:val="350B742E"/>
    <w:rsid w:val="350C5C16"/>
    <w:rsid w:val="350E58F0"/>
    <w:rsid w:val="350E769E"/>
    <w:rsid w:val="35101668"/>
    <w:rsid w:val="351110E2"/>
    <w:rsid w:val="351153E0"/>
    <w:rsid w:val="3511718E"/>
    <w:rsid w:val="35124730"/>
    <w:rsid w:val="35131158"/>
    <w:rsid w:val="351333BE"/>
    <w:rsid w:val="3518676F"/>
    <w:rsid w:val="35187948"/>
    <w:rsid w:val="351A4295"/>
    <w:rsid w:val="351A5A93"/>
    <w:rsid w:val="351B1DBB"/>
    <w:rsid w:val="351C000D"/>
    <w:rsid w:val="351C625F"/>
    <w:rsid w:val="351C6F68"/>
    <w:rsid w:val="351F3659"/>
    <w:rsid w:val="351F6353"/>
    <w:rsid w:val="351F7AFD"/>
    <w:rsid w:val="35213875"/>
    <w:rsid w:val="35214225"/>
    <w:rsid w:val="35223149"/>
    <w:rsid w:val="352275D1"/>
    <w:rsid w:val="352275ED"/>
    <w:rsid w:val="35236B45"/>
    <w:rsid w:val="35245113"/>
    <w:rsid w:val="352670DE"/>
    <w:rsid w:val="35270760"/>
    <w:rsid w:val="352769B2"/>
    <w:rsid w:val="35281527"/>
    <w:rsid w:val="35281E46"/>
    <w:rsid w:val="3529272A"/>
    <w:rsid w:val="35297043"/>
    <w:rsid w:val="352B0250"/>
    <w:rsid w:val="352B64A2"/>
    <w:rsid w:val="352E3C58"/>
    <w:rsid w:val="352F492C"/>
    <w:rsid w:val="352F6829"/>
    <w:rsid w:val="35301D0A"/>
    <w:rsid w:val="353115DE"/>
    <w:rsid w:val="35317973"/>
    <w:rsid w:val="35317FB6"/>
    <w:rsid w:val="353225D9"/>
    <w:rsid w:val="35325A82"/>
    <w:rsid w:val="35331AB7"/>
    <w:rsid w:val="353335A8"/>
    <w:rsid w:val="35350F5A"/>
    <w:rsid w:val="35352E7D"/>
    <w:rsid w:val="35373099"/>
    <w:rsid w:val="35384DBC"/>
    <w:rsid w:val="353A0493"/>
    <w:rsid w:val="353A4937"/>
    <w:rsid w:val="353A55E3"/>
    <w:rsid w:val="353A66E5"/>
    <w:rsid w:val="353C0E2D"/>
    <w:rsid w:val="353C420B"/>
    <w:rsid w:val="353D7F83"/>
    <w:rsid w:val="353F2D47"/>
    <w:rsid w:val="353F3CFB"/>
    <w:rsid w:val="353F4BDD"/>
    <w:rsid w:val="35401DE5"/>
    <w:rsid w:val="354077AE"/>
    <w:rsid w:val="354237EC"/>
    <w:rsid w:val="3543355E"/>
    <w:rsid w:val="35441312"/>
    <w:rsid w:val="35443A20"/>
    <w:rsid w:val="35466E38"/>
    <w:rsid w:val="35470E02"/>
    <w:rsid w:val="35494B7A"/>
    <w:rsid w:val="35496928"/>
    <w:rsid w:val="354B444E"/>
    <w:rsid w:val="354C3625"/>
    <w:rsid w:val="354E3F3E"/>
    <w:rsid w:val="354F3660"/>
    <w:rsid w:val="35505B62"/>
    <w:rsid w:val="35505F08"/>
    <w:rsid w:val="35521C81"/>
    <w:rsid w:val="35531555"/>
    <w:rsid w:val="35533053"/>
    <w:rsid w:val="355344E3"/>
    <w:rsid w:val="35551771"/>
    <w:rsid w:val="3555351F"/>
    <w:rsid w:val="355552CD"/>
    <w:rsid w:val="35577297"/>
    <w:rsid w:val="3558300F"/>
    <w:rsid w:val="35584DBD"/>
    <w:rsid w:val="35586B6B"/>
    <w:rsid w:val="355A0B35"/>
    <w:rsid w:val="355A28E3"/>
    <w:rsid w:val="355A7397"/>
    <w:rsid w:val="355C2AFF"/>
    <w:rsid w:val="355D14AF"/>
    <w:rsid w:val="355D23D3"/>
    <w:rsid w:val="355E55DD"/>
    <w:rsid w:val="355F458E"/>
    <w:rsid w:val="355F614C"/>
    <w:rsid w:val="355F659D"/>
    <w:rsid w:val="35611EC4"/>
    <w:rsid w:val="356279EA"/>
    <w:rsid w:val="35633E8E"/>
    <w:rsid w:val="356419B4"/>
    <w:rsid w:val="3564627D"/>
    <w:rsid w:val="35647C06"/>
    <w:rsid w:val="35653EA9"/>
    <w:rsid w:val="35661288"/>
    <w:rsid w:val="356674DA"/>
    <w:rsid w:val="35670F33"/>
    <w:rsid w:val="35675000"/>
    <w:rsid w:val="35683DE9"/>
    <w:rsid w:val="356B157C"/>
    <w:rsid w:val="356B2D42"/>
    <w:rsid w:val="356C2617"/>
    <w:rsid w:val="356E10EB"/>
    <w:rsid w:val="356E638F"/>
    <w:rsid w:val="356F3CBC"/>
    <w:rsid w:val="3570424C"/>
    <w:rsid w:val="35725E7F"/>
    <w:rsid w:val="35727C2D"/>
    <w:rsid w:val="35731D6B"/>
    <w:rsid w:val="357339A5"/>
    <w:rsid w:val="35763E83"/>
    <w:rsid w:val="35773495"/>
    <w:rsid w:val="3577501F"/>
    <w:rsid w:val="35775243"/>
    <w:rsid w:val="35780FBB"/>
    <w:rsid w:val="357866F1"/>
    <w:rsid w:val="3579545F"/>
    <w:rsid w:val="35795F9A"/>
    <w:rsid w:val="357A2F85"/>
    <w:rsid w:val="357C0AAC"/>
    <w:rsid w:val="357D41D5"/>
    <w:rsid w:val="357D65D2"/>
    <w:rsid w:val="357E2A76"/>
    <w:rsid w:val="357F6000"/>
    <w:rsid w:val="358160C2"/>
    <w:rsid w:val="358160D1"/>
    <w:rsid w:val="35831E3A"/>
    <w:rsid w:val="358362DE"/>
    <w:rsid w:val="35845BB2"/>
    <w:rsid w:val="358636D8"/>
    <w:rsid w:val="35870802"/>
    <w:rsid w:val="35876A57"/>
    <w:rsid w:val="358838F4"/>
    <w:rsid w:val="35887450"/>
    <w:rsid w:val="358931C8"/>
    <w:rsid w:val="35894D48"/>
    <w:rsid w:val="358A6B3D"/>
    <w:rsid w:val="358B1D54"/>
    <w:rsid w:val="358B6F41"/>
    <w:rsid w:val="358D0F0B"/>
    <w:rsid w:val="358D4A67"/>
    <w:rsid w:val="358E5002"/>
    <w:rsid w:val="358E6A31"/>
    <w:rsid w:val="358E71DB"/>
    <w:rsid w:val="358F4C83"/>
    <w:rsid w:val="358F5BF0"/>
    <w:rsid w:val="359009FB"/>
    <w:rsid w:val="35902FF5"/>
    <w:rsid w:val="35926521"/>
    <w:rsid w:val="359330B7"/>
    <w:rsid w:val="359607F3"/>
    <w:rsid w:val="35977693"/>
    <w:rsid w:val="3599165E"/>
    <w:rsid w:val="359A53D6"/>
    <w:rsid w:val="359A7184"/>
    <w:rsid w:val="359C2EFC"/>
    <w:rsid w:val="359C73A0"/>
    <w:rsid w:val="359E55F9"/>
    <w:rsid w:val="359E6C74"/>
    <w:rsid w:val="359F29EC"/>
    <w:rsid w:val="359F479A"/>
    <w:rsid w:val="35A10512"/>
    <w:rsid w:val="35A2540A"/>
    <w:rsid w:val="35A460C4"/>
    <w:rsid w:val="35A46254"/>
    <w:rsid w:val="35A63D7A"/>
    <w:rsid w:val="35A65B28"/>
    <w:rsid w:val="35A70F55"/>
    <w:rsid w:val="35A729BD"/>
    <w:rsid w:val="35A87AF3"/>
    <w:rsid w:val="35A952DD"/>
    <w:rsid w:val="35A973C7"/>
    <w:rsid w:val="35AA386B"/>
    <w:rsid w:val="35AB1391"/>
    <w:rsid w:val="35AB313F"/>
    <w:rsid w:val="35AC108D"/>
    <w:rsid w:val="35AD6EB7"/>
    <w:rsid w:val="35AE701E"/>
    <w:rsid w:val="35AF70D3"/>
    <w:rsid w:val="35B04BF9"/>
    <w:rsid w:val="35B13A6F"/>
    <w:rsid w:val="35B27D87"/>
    <w:rsid w:val="35B30245"/>
    <w:rsid w:val="35B5220F"/>
    <w:rsid w:val="35B5357D"/>
    <w:rsid w:val="35B64D10"/>
    <w:rsid w:val="35B71AE4"/>
    <w:rsid w:val="35B83942"/>
    <w:rsid w:val="35B95678"/>
    <w:rsid w:val="35BA15D4"/>
    <w:rsid w:val="35BA1682"/>
    <w:rsid w:val="35BC0B82"/>
    <w:rsid w:val="35BC17F0"/>
    <w:rsid w:val="35BC228E"/>
    <w:rsid w:val="35BC5564"/>
    <w:rsid w:val="35BC70FA"/>
    <w:rsid w:val="35BE10C4"/>
    <w:rsid w:val="35BE7316"/>
    <w:rsid w:val="35C00993"/>
    <w:rsid w:val="35C0308E"/>
    <w:rsid w:val="35C05806"/>
    <w:rsid w:val="35C16E06"/>
    <w:rsid w:val="35C27027"/>
    <w:rsid w:val="35C27548"/>
    <w:rsid w:val="35C30488"/>
    <w:rsid w:val="35C36441"/>
    <w:rsid w:val="35C44201"/>
    <w:rsid w:val="35C53375"/>
    <w:rsid w:val="35C661CB"/>
    <w:rsid w:val="35C6748A"/>
    <w:rsid w:val="35C80195"/>
    <w:rsid w:val="35C81F43"/>
    <w:rsid w:val="35C97A69"/>
    <w:rsid w:val="35CB37E1"/>
    <w:rsid w:val="35CB5B6B"/>
    <w:rsid w:val="35CC0D9D"/>
    <w:rsid w:val="35CC715F"/>
    <w:rsid w:val="35CD1307"/>
    <w:rsid w:val="35CD57AB"/>
    <w:rsid w:val="35CD7559"/>
    <w:rsid w:val="35CE2F97"/>
    <w:rsid w:val="35CE5B68"/>
    <w:rsid w:val="35CE6E2D"/>
    <w:rsid w:val="35CF03E6"/>
    <w:rsid w:val="35D00DF7"/>
    <w:rsid w:val="35D02BA5"/>
    <w:rsid w:val="35D07049"/>
    <w:rsid w:val="35D168E8"/>
    <w:rsid w:val="35D3054A"/>
    <w:rsid w:val="35D42696"/>
    <w:rsid w:val="35D501BC"/>
    <w:rsid w:val="35D54660"/>
    <w:rsid w:val="35D703D8"/>
    <w:rsid w:val="35D92E38"/>
    <w:rsid w:val="35D94150"/>
    <w:rsid w:val="35D94948"/>
    <w:rsid w:val="35D95EFE"/>
    <w:rsid w:val="35D97CAC"/>
    <w:rsid w:val="35DA1C76"/>
    <w:rsid w:val="35DC154A"/>
    <w:rsid w:val="35DC30E7"/>
    <w:rsid w:val="35DE019D"/>
    <w:rsid w:val="35DE1766"/>
    <w:rsid w:val="35DE2A8C"/>
    <w:rsid w:val="35DE3514"/>
    <w:rsid w:val="35DF103A"/>
    <w:rsid w:val="35DF6AED"/>
    <w:rsid w:val="35E0728C"/>
    <w:rsid w:val="35E11256"/>
    <w:rsid w:val="35E13004"/>
    <w:rsid w:val="35E14DB3"/>
    <w:rsid w:val="35E30B2B"/>
    <w:rsid w:val="35E328D9"/>
    <w:rsid w:val="35E3546D"/>
    <w:rsid w:val="35E414CE"/>
    <w:rsid w:val="35E5642D"/>
    <w:rsid w:val="35E63317"/>
    <w:rsid w:val="35E72858"/>
    <w:rsid w:val="35E90B55"/>
    <w:rsid w:val="35E93C67"/>
    <w:rsid w:val="35EA010B"/>
    <w:rsid w:val="35EA3895"/>
    <w:rsid w:val="35EA584A"/>
    <w:rsid w:val="35EB3E83"/>
    <w:rsid w:val="35EB79DF"/>
    <w:rsid w:val="35EF127D"/>
    <w:rsid w:val="35EF533C"/>
    <w:rsid w:val="35F04FF6"/>
    <w:rsid w:val="35F07A71"/>
    <w:rsid w:val="35F24F62"/>
    <w:rsid w:val="35F26FC0"/>
    <w:rsid w:val="35F40F8A"/>
    <w:rsid w:val="35F42D38"/>
    <w:rsid w:val="35F47882"/>
    <w:rsid w:val="35F53950"/>
    <w:rsid w:val="35F66AB0"/>
    <w:rsid w:val="35F72828"/>
    <w:rsid w:val="35F86203"/>
    <w:rsid w:val="35F965A0"/>
    <w:rsid w:val="35FB40C6"/>
    <w:rsid w:val="35FC0DE6"/>
    <w:rsid w:val="35FC1151"/>
    <w:rsid w:val="35FC1BEC"/>
    <w:rsid w:val="35FC7E3E"/>
    <w:rsid w:val="35FD0BE5"/>
    <w:rsid w:val="35FD7CCE"/>
    <w:rsid w:val="35FE2075"/>
    <w:rsid w:val="35FE3505"/>
    <w:rsid w:val="35FE3BB6"/>
    <w:rsid w:val="35FE5964"/>
    <w:rsid w:val="360016DD"/>
    <w:rsid w:val="36005E25"/>
    <w:rsid w:val="36007566"/>
    <w:rsid w:val="360311CD"/>
    <w:rsid w:val="36054F45"/>
    <w:rsid w:val="36071979"/>
    <w:rsid w:val="36073127"/>
    <w:rsid w:val="3608233F"/>
    <w:rsid w:val="360867E3"/>
    <w:rsid w:val="36097CCC"/>
    <w:rsid w:val="360A255B"/>
    <w:rsid w:val="360A4309"/>
    <w:rsid w:val="360A60B7"/>
    <w:rsid w:val="360B1E2F"/>
    <w:rsid w:val="360B67E0"/>
    <w:rsid w:val="3611037B"/>
    <w:rsid w:val="361138EA"/>
    <w:rsid w:val="36127662"/>
    <w:rsid w:val="3613710F"/>
    <w:rsid w:val="36140CE4"/>
    <w:rsid w:val="361433DA"/>
    <w:rsid w:val="36145188"/>
    <w:rsid w:val="36160F00"/>
    <w:rsid w:val="361613EB"/>
    <w:rsid w:val="36162CAE"/>
    <w:rsid w:val="36172991"/>
    <w:rsid w:val="36172C1C"/>
    <w:rsid w:val="36183502"/>
    <w:rsid w:val="36193EDC"/>
    <w:rsid w:val="361A4C88"/>
    <w:rsid w:val="361A51A9"/>
    <w:rsid w:val="361B3D26"/>
    <w:rsid w:val="361B6516"/>
    <w:rsid w:val="361C5B5C"/>
    <w:rsid w:val="3620283E"/>
    <w:rsid w:val="36211653"/>
    <w:rsid w:val="362178A5"/>
    <w:rsid w:val="36246F52"/>
    <w:rsid w:val="36251143"/>
    <w:rsid w:val="36252EF1"/>
    <w:rsid w:val="3627310D"/>
    <w:rsid w:val="36274EBB"/>
    <w:rsid w:val="36280C33"/>
    <w:rsid w:val="362A1092"/>
    <w:rsid w:val="362A49AB"/>
    <w:rsid w:val="362C24D2"/>
    <w:rsid w:val="362D624A"/>
    <w:rsid w:val="362F1FC2"/>
    <w:rsid w:val="362F5B1E"/>
    <w:rsid w:val="36321AB2"/>
    <w:rsid w:val="36326390"/>
    <w:rsid w:val="36356EAC"/>
    <w:rsid w:val="36370E76"/>
    <w:rsid w:val="36372206"/>
    <w:rsid w:val="36380454"/>
    <w:rsid w:val="363870C8"/>
    <w:rsid w:val="36387908"/>
    <w:rsid w:val="36392E40"/>
    <w:rsid w:val="3639699D"/>
    <w:rsid w:val="363A0B87"/>
    <w:rsid w:val="363B355D"/>
    <w:rsid w:val="363D46DF"/>
    <w:rsid w:val="363E2205"/>
    <w:rsid w:val="363E3FB3"/>
    <w:rsid w:val="363E7508"/>
    <w:rsid w:val="36401AD9"/>
    <w:rsid w:val="364041CF"/>
    <w:rsid w:val="36405F7D"/>
    <w:rsid w:val="3645324E"/>
    <w:rsid w:val="36483084"/>
    <w:rsid w:val="364A2958"/>
    <w:rsid w:val="364A5AAB"/>
    <w:rsid w:val="364B0521"/>
    <w:rsid w:val="364F4412"/>
    <w:rsid w:val="364F61C0"/>
    <w:rsid w:val="36502DAD"/>
    <w:rsid w:val="36511F38"/>
    <w:rsid w:val="36525BB9"/>
    <w:rsid w:val="36525CB0"/>
    <w:rsid w:val="36527A5E"/>
    <w:rsid w:val="36541A28"/>
    <w:rsid w:val="36545584"/>
    <w:rsid w:val="3655404E"/>
    <w:rsid w:val="36557C1C"/>
    <w:rsid w:val="365657A0"/>
    <w:rsid w:val="365732C7"/>
    <w:rsid w:val="36575075"/>
    <w:rsid w:val="3658153F"/>
    <w:rsid w:val="365919D9"/>
    <w:rsid w:val="365B4B65"/>
    <w:rsid w:val="365D08DD"/>
    <w:rsid w:val="365D6B2F"/>
    <w:rsid w:val="365E4655"/>
    <w:rsid w:val="365F1412"/>
    <w:rsid w:val="36603F29"/>
    <w:rsid w:val="36614814"/>
    <w:rsid w:val="36624145"/>
    <w:rsid w:val="36625EF3"/>
    <w:rsid w:val="36632192"/>
    <w:rsid w:val="36633A19"/>
    <w:rsid w:val="36653C36"/>
    <w:rsid w:val="366559E4"/>
    <w:rsid w:val="36657792"/>
    <w:rsid w:val="366652B8"/>
    <w:rsid w:val="36671609"/>
    <w:rsid w:val="36687282"/>
    <w:rsid w:val="366A124C"/>
    <w:rsid w:val="366A2FFA"/>
    <w:rsid w:val="366A3954"/>
    <w:rsid w:val="366A4DA8"/>
    <w:rsid w:val="366B16F7"/>
    <w:rsid w:val="366B28CE"/>
    <w:rsid w:val="366C2586"/>
    <w:rsid w:val="366C4FC4"/>
    <w:rsid w:val="366C5D54"/>
    <w:rsid w:val="366C6D72"/>
    <w:rsid w:val="366D3A16"/>
    <w:rsid w:val="366E2AEA"/>
    <w:rsid w:val="366E4D55"/>
    <w:rsid w:val="366F01F9"/>
    <w:rsid w:val="366F0610"/>
    <w:rsid w:val="366F0F07"/>
    <w:rsid w:val="366F23BE"/>
    <w:rsid w:val="367125DA"/>
    <w:rsid w:val="36714388"/>
    <w:rsid w:val="36730100"/>
    <w:rsid w:val="36743E79"/>
    <w:rsid w:val="36756A90"/>
    <w:rsid w:val="3676199F"/>
    <w:rsid w:val="36767BF1"/>
    <w:rsid w:val="367739B4"/>
    <w:rsid w:val="367774C5"/>
    <w:rsid w:val="367841B9"/>
    <w:rsid w:val="36791FB9"/>
    <w:rsid w:val="3679323D"/>
    <w:rsid w:val="367A5B68"/>
    <w:rsid w:val="367B6FB5"/>
    <w:rsid w:val="367D0F7F"/>
    <w:rsid w:val="367E2601"/>
    <w:rsid w:val="367E66FF"/>
    <w:rsid w:val="367F4CF7"/>
    <w:rsid w:val="3680281D"/>
    <w:rsid w:val="368045CB"/>
    <w:rsid w:val="368050C6"/>
    <w:rsid w:val="36806379"/>
    <w:rsid w:val="36811BDB"/>
    <w:rsid w:val="3681431A"/>
    <w:rsid w:val="368247AC"/>
    <w:rsid w:val="36840C98"/>
    <w:rsid w:val="3684230E"/>
    <w:rsid w:val="3685055C"/>
    <w:rsid w:val="368816D2"/>
    <w:rsid w:val="3688302B"/>
    <w:rsid w:val="368A369C"/>
    <w:rsid w:val="368A544A"/>
    <w:rsid w:val="368A5B0F"/>
    <w:rsid w:val="368C4D1E"/>
    <w:rsid w:val="368D0A96"/>
    <w:rsid w:val="368D0EDC"/>
    <w:rsid w:val="368D6CE8"/>
    <w:rsid w:val="368E5920"/>
    <w:rsid w:val="368F480F"/>
    <w:rsid w:val="369031AC"/>
    <w:rsid w:val="3690626B"/>
    <w:rsid w:val="36914A2B"/>
    <w:rsid w:val="369167D9"/>
    <w:rsid w:val="36941E25"/>
    <w:rsid w:val="36945B6D"/>
    <w:rsid w:val="369462C9"/>
    <w:rsid w:val="369736C3"/>
    <w:rsid w:val="36975542"/>
    <w:rsid w:val="36981915"/>
    <w:rsid w:val="36985DB9"/>
    <w:rsid w:val="36987B67"/>
    <w:rsid w:val="369B29A0"/>
    <w:rsid w:val="369B31B3"/>
    <w:rsid w:val="369B334E"/>
    <w:rsid w:val="369C3F7E"/>
    <w:rsid w:val="369D33CF"/>
    <w:rsid w:val="369D4B1D"/>
    <w:rsid w:val="369D6F2B"/>
    <w:rsid w:val="369E4A52"/>
    <w:rsid w:val="36A007CA"/>
    <w:rsid w:val="36A04C6E"/>
    <w:rsid w:val="36A06A1C"/>
    <w:rsid w:val="36A07D35"/>
    <w:rsid w:val="36A209E6"/>
    <w:rsid w:val="36A22655"/>
    <w:rsid w:val="36A22794"/>
    <w:rsid w:val="36A24542"/>
    <w:rsid w:val="36A261F0"/>
    <w:rsid w:val="36A302BA"/>
    <w:rsid w:val="36A4475E"/>
    <w:rsid w:val="36A4650C"/>
    <w:rsid w:val="36A50FD6"/>
    <w:rsid w:val="36A52284"/>
    <w:rsid w:val="36A56174"/>
    <w:rsid w:val="36A64C82"/>
    <w:rsid w:val="36A71B58"/>
    <w:rsid w:val="36A84F7B"/>
    <w:rsid w:val="36A92528"/>
    <w:rsid w:val="36AA0DE7"/>
    <w:rsid w:val="36AA5455"/>
    <w:rsid w:val="36AA5AEC"/>
    <w:rsid w:val="36AA6330"/>
    <w:rsid w:val="36AB46A8"/>
    <w:rsid w:val="36AD2EE7"/>
    <w:rsid w:val="36AF3103"/>
    <w:rsid w:val="36AF37C9"/>
    <w:rsid w:val="36AF4EB1"/>
    <w:rsid w:val="36AF6C5F"/>
    <w:rsid w:val="36B14785"/>
    <w:rsid w:val="36B33641"/>
    <w:rsid w:val="36B461AB"/>
    <w:rsid w:val="36B55EFA"/>
    <w:rsid w:val="36B6623F"/>
    <w:rsid w:val="36B77D07"/>
    <w:rsid w:val="36B8487B"/>
    <w:rsid w:val="36BA08DC"/>
    <w:rsid w:val="36BA2093"/>
    <w:rsid w:val="36BA5F23"/>
    <w:rsid w:val="36BC50FA"/>
    <w:rsid w:val="36BC5F59"/>
    <w:rsid w:val="36BD137C"/>
    <w:rsid w:val="36BD312A"/>
    <w:rsid w:val="36BD5820"/>
    <w:rsid w:val="36BD75CE"/>
    <w:rsid w:val="36BE1FE4"/>
    <w:rsid w:val="36BE6EA2"/>
    <w:rsid w:val="36BF3346"/>
    <w:rsid w:val="36C02C1A"/>
    <w:rsid w:val="36C107AF"/>
    <w:rsid w:val="36C143AD"/>
    <w:rsid w:val="36C21C3F"/>
    <w:rsid w:val="36C505C0"/>
    <w:rsid w:val="36C546D4"/>
    <w:rsid w:val="36C56482"/>
    <w:rsid w:val="36C73FA8"/>
    <w:rsid w:val="36C80C21"/>
    <w:rsid w:val="36C81608"/>
    <w:rsid w:val="36C941C4"/>
    <w:rsid w:val="36C95F72"/>
    <w:rsid w:val="36C962C2"/>
    <w:rsid w:val="36C97D20"/>
    <w:rsid w:val="36CB1861"/>
    <w:rsid w:val="36CC1BEA"/>
    <w:rsid w:val="36CC2EF7"/>
    <w:rsid w:val="36CC4CAC"/>
    <w:rsid w:val="36CC5A63"/>
    <w:rsid w:val="36CE17DB"/>
    <w:rsid w:val="36CE6443"/>
    <w:rsid w:val="36CF10AF"/>
    <w:rsid w:val="36CF7301"/>
    <w:rsid w:val="36D02B02"/>
    <w:rsid w:val="36D053B1"/>
    <w:rsid w:val="36D3294D"/>
    <w:rsid w:val="36D32BC4"/>
    <w:rsid w:val="36D36DF1"/>
    <w:rsid w:val="36D466C5"/>
    <w:rsid w:val="36D52B69"/>
    <w:rsid w:val="36D6068F"/>
    <w:rsid w:val="36D6243D"/>
    <w:rsid w:val="36D668E1"/>
    <w:rsid w:val="36D772E4"/>
    <w:rsid w:val="36D77E83"/>
    <w:rsid w:val="36D84407"/>
    <w:rsid w:val="36D952F5"/>
    <w:rsid w:val="36DA1E12"/>
    <w:rsid w:val="36DA1F2E"/>
    <w:rsid w:val="36DB54A7"/>
    <w:rsid w:val="36E0506A"/>
    <w:rsid w:val="36E20DE2"/>
    <w:rsid w:val="36E27034"/>
    <w:rsid w:val="36E302E1"/>
    <w:rsid w:val="36E321B8"/>
    <w:rsid w:val="36E36908"/>
    <w:rsid w:val="36E42408"/>
    <w:rsid w:val="36E44B5A"/>
    <w:rsid w:val="36E52680"/>
    <w:rsid w:val="36E56B24"/>
    <w:rsid w:val="36E64C78"/>
    <w:rsid w:val="36E724CA"/>
    <w:rsid w:val="36E7289C"/>
    <w:rsid w:val="36E8395A"/>
    <w:rsid w:val="36E83F1F"/>
    <w:rsid w:val="36EA5EE9"/>
    <w:rsid w:val="36EA7C97"/>
    <w:rsid w:val="36EB413B"/>
    <w:rsid w:val="36EC1C61"/>
    <w:rsid w:val="36F01751"/>
    <w:rsid w:val="36F079A3"/>
    <w:rsid w:val="36F17277"/>
    <w:rsid w:val="36F30FAF"/>
    <w:rsid w:val="36F36CDE"/>
    <w:rsid w:val="36F53F4C"/>
    <w:rsid w:val="36F56D67"/>
    <w:rsid w:val="36F62AE0"/>
    <w:rsid w:val="36F6488E"/>
    <w:rsid w:val="36F823B4"/>
    <w:rsid w:val="36F86858"/>
    <w:rsid w:val="36FA0530"/>
    <w:rsid w:val="36FA25D0"/>
    <w:rsid w:val="36FB00F6"/>
    <w:rsid w:val="36FC6348"/>
    <w:rsid w:val="36FD79CA"/>
    <w:rsid w:val="36FE5B80"/>
    <w:rsid w:val="36FE72C1"/>
    <w:rsid w:val="36FF1994"/>
    <w:rsid w:val="36FF7BE6"/>
    <w:rsid w:val="3700570C"/>
    <w:rsid w:val="37014501"/>
    <w:rsid w:val="370224BF"/>
    <w:rsid w:val="370419F2"/>
    <w:rsid w:val="370451FC"/>
    <w:rsid w:val="37046FAB"/>
    <w:rsid w:val="370621EB"/>
    <w:rsid w:val="37074CED"/>
    <w:rsid w:val="37076A9B"/>
    <w:rsid w:val="370A0339"/>
    <w:rsid w:val="370A20E7"/>
    <w:rsid w:val="370A5864"/>
    <w:rsid w:val="370B658B"/>
    <w:rsid w:val="370C1614"/>
    <w:rsid w:val="370C641A"/>
    <w:rsid w:val="370D6DF5"/>
    <w:rsid w:val="37113475"/>
    <w:rsid w:val="37114931"/>
    <w:rsid w:val="37117919"/>
    <w:rsid w:val="371239CE"/>
    <w:rsid w:val="37133692"/>
    <w:rsid w:val="37135440"/>
    <w:rsid w:val="37136525"/>
    <w:rsid w:val="37144D14"/>
    <w:rsid w:val="37147DA6"/>
    <w:rsid w:val="37160A8C"/>
    <w:rsid w:val="37164F30"/>
    <w:rsid w:val="37180CA8"/>
    <w:rsid w:val="371A67CE"/>
    <w:rsid w:val="371B2546"/>
    <w:rsid w:val="371B42F4"/>
    <w:rsid w:val="371B60A2"/>
    <w:rsid w:val="371B7C79"/>
    <w:rsid w:val="371D1E1A"/>
    <w:rsid w:val="371D3482"/>
    <w:rsid w:val="371F2036"/>
    <w:rsid w:val="371F3DE4"/>
    <w:rsid w:val="371F5B92"/>
    <w:rsid w:val="371F710E"/>
    <w:rsid w:val="3720190B"/>
    <w:rsid w:val="37215DAE"/>
    <w:rsid w:val="372238D5"/>
    <w:rsid w:val="37226214"/>
    <w:rsid w:val="37226CD7"/>
    <w:rsid w:val="37227431"/>
    <w:rsid w:val="372413FB"/>
    <w:rsid w:val="372431A9"/>
    <w:rsid w:val="3724764D"/>
    <w:rsid w:val="372633C5"/>
    <w:rsid w:val="3727795D"/>
    <w:rsid w:val="37280DED"/>
    <w:rsid w:val="372876AC"/>
    <w:rsid w:val="37294C63"/>
    <w:rsid w:val="37296A11"/>
    <w:rsid w:val="372A41F7"/>
    <w:rsid w:val="372D0182"/>
    <w:rsid w:val="372D208E"/>
    <w:rsid w:val="372D67EE"/>
    <w:rsid w:val="372E7CA5"/>
    <w:rsid w:val="372F49AE"/>
    <w:rsid w:val="37307DA0"/>
    <w:rsid w:val="3733163E"/>
    <w:rsid w:val="37353608"/>
    <w:rsid w:val="37357164"/>
    <w:rsid w:val="37375C91"/>
    <w:rsid w:val="373830F8"/>
    <w:rsid w:val="37384EA6"/>
    <w:rsid w:val="37386C54"/>
    <w:rsid w:val="373871A1"/>
    <w:rsid w:val="373A0C1E"/>
    <w:rsid w:val="373A29CC"/>
    <w:rsid w:val="373A6E70"/>
    <w:rsid w:val="373B6744"/>
    <w:rsid w:val="373D426B"/>
    <w:rsid w:val="373F6235"/>
    <w:rsid w:val="37405B09"/>
    <w:rsid w:val="374101FF"/>
    <w:rsid w:val="37411FAD"/>
    <w:rsid w:val="37421881"/>
    <w:rsid w:val="37425D25"/>
    <w:rsid w:val="37427AD3"/>
    <w:rsid w:val="37446E85"/>
    <w:rsid w:val="37452EE6"/>
    <w:rsid w:val="37453A22"/>
    <w:rsid w:val="374548D7"/>
    <w:rsid w:val="37461371"/>
    <w:rsid w:val="3746291B"/>
    <w:rsid w:val="374675C3"/>
    <w:rsid w:val="3747333B"/>
    <w:rsid w:val="37474D43"/>
    <w:rsid w:val="3748158D"/>
    <w:rsid w:val="37482601"/>
    <w:rsid w:val="374970B3"/>
    <w:rsid w:val="374A15B6"/>
    <w:rsid w:val="374B6987"/>
    <w:rsid w:val="374C2700"/>
    <w:rsid w:val="374E46CA"/>
    <w:rsid w:val="374E6478"/>
    <w:rsid w:val="374F3F98"/>
    <w:rsid w:val="374F4C68"/>
    <w:rsid w:val="37503F9E"/>
    <w:rsid w:val="37537F32"/>
    <w:rsid w:val="3754697A"/>
    <w:rsid w:val="37557806"/>
    <w:rsid w:val="3757357E"/>
    <w:rsid w:val="375810A4"/>
    <w:rsid w:val="3759048B"/>
    <w:rsid w:val="375A12C0"/>
    <w:rsid w:val="375A306E"/>
    <w:rsid w:val="375A6581"/>
    <w:rsid w:val="375A6BCB"/>
    <w:rsid w:val="375B510B"/>
    <w:rsid w:val="375C149E"/>
    <w:rsid w:val="375D0761"/>
    <w:rsid w:val="375D2B5F"/>
    <w:rsid w:val="375D3187"/>
    <w:rsid w:val="375D7A2B"/>
    <w:rsid w:val="375F0685"/>
    <w:rsid w:val="375F33F1"/>
    <w:rsid w:val="37620175"/>
    <w:rsid w:val="37643EED"/>
    <w:rsid w:val="37647A49"/>
    <w:rsid w:val="376501BF"/>
    <w:rsid w:val="37667C65"/>
    <w:rsid w:val="376712E7"/>
    <w:rsid w:val="37674F59"/>
    <w:rsid w:val="3768627F"/>
    <w:rsid w:val="37695060"/>
    <w:rsid w:val="376B0DD8"/>
    <w:rsid w:val="376B527C"/>
    <w:rsid w:val="376C1009"/>
    <w:rsid w:val="376D35A6"/>
    <w:rsid w:val="376E08C8"/>
    <w:rsid w:val="376E2676"/>
    <w:rsid w:val="376E6B1A"/>
    <w:rsid w:val="37702892"/>
    <w:rsid w:val="377063EE"/>
    <w:rsid w:val="37712166"/>
    <w:rsid w:val="3772660A"/>
    <w:rsid w:val="37727331"/>
    <w:rsid w:val="37732A15"/>
    <w:rsid w:val="37733392"/>
    <w:rsid w:val="37737C8C"/>
    <w:rsid w:val="37744822"/>
    <w:rsid w:val="37751C56"/>
    <w:rsid w:val="37753A04"/>
    <w:rsid w:val="37754F2F"/>
    <w:rsid w:val="37755CB2"/>
    <w:rsid w:val="37757EA8"/>
    <w:rsid w:val="377602AB"/>
    <w:rsid w:val="37760883"/>
    <w:rsid w:val="377650DA"/>
    <w:rsid w:val="37781747"/>
    <w:rsid w:val="37785D74"/>
    <w:rsid w:val="37797999"/>
    <w:rsid w:val="377A101B"/>
    <w:rsid w:val="377A60AD"/>
    <w:rsid w:val="377B46F5"/>
    <w:rsid w:val="377C2FE5"/>
    <w:rsid w:val="377C5B85"/>
    <w:rsid w:val="377D0B0B"/>
    <w:rsid w:val="377F4883"/>
    <w:rsid w:val="37802DC5"/>
    <w:rsid w:val="378105FB"/>
    <w:rsid w:val="378123A9"/>
    <w:rsid w:val="378177FA"/>
    <w:rsid w:val="37826121"/>
    <w:rsid w:val="37831746"/>
    <w:rsid w:val="37843CA1"/>
    <w:rsid w:val="37856902"/>
    <w:rsid w:val="37856E75"/>
    <w:rsid w:val="378601B5"/>
    <w:rsid w:val="378620B5"/>
    <w:rsid w:val="37864214"/>
    <w:rsid w:val="37866C37"/>
    <w:rsid w:val="378679C0"/>
    <w:rsid w:val="3787198A"/>
    <w:rsid w:val="37873738"/>
    <w:rsid w:val="37893954"/>
    <w:rsid w:val="37895702"/>
    <w:rsid w:val="378B1619"/>
    <w:rsid w:val="378B1654"/>
    <w:rsid w:val="378B181A"/>
    <w:rsid w:val="378C2AA9"/>
    <w:rsid w:val="378D6FA0"/>
    <w:rsid w:val="378E2D18"/>
    <w:rsid w:val="378E4AC6"/>
    <w:rsid w:val="378F11F8"/>
    <w:rsid w:val="3790083E"/>
    <w:rsid w:val="37904CE2"/>
    <w:rsid w:val="3790548B"/>
    <w:rsid w:val="37906A90"/>
    <w:rsid w:val="37920A5A"/>
    <w:rsid w:val="379245B6"/>
    <w:rsid w:val="379320DC"/>
    <w:rsid w:val="3793297C"/>
    <w:rsid w:val="37941132"/>
    <w:rsid w:val="37943E0C"/>
    <w:rsid w:val="3795529C"/>
    <w:rsid w:val="37955E55"/>
    <w:rsid w:val="37961162"/>
    <w:rsid w:val="37965B9A"/>
    <w:rsid w:val="37971BCD"/>
    <w:rsid w:val="37977E1F"/>
    <w:rsid w:val="37980D58"/>
    <w:rsid w:val="379876F3"/>
    <w:rsid w:val="37991DE9"/>
    <w:rsid w:val="379A16BD"/>
    <w:rsid w:val="379A790F"/>
    <w:rsid w:val="379C259E"/>
    <w:rsid w:val="379C71E3"/>
    <w:rsid w:val="379E2803"/>
    <w:rsid w:val="379F0A81"/>
    <w:rsid w:val="379F24CF"/>
    <w:rsid w:val="379F2B4A"/>
    <w:rsid w:val="379F4F25"/>
    <w:rsid w:val="37A147F9"/>
    <w:rsid w:val="37A34A15"/>
    <w:rsid w:val="37A367C3"/>
    <w:rsid w:val="37A4078E"/>
    <w:rsid w:val="37A41849"/>
    <w:rsid w:val="37A54D91"/>
    <w:rsid w:val="37A662B4"/>
    <w:rsid w:val="37A97B52"/>
    <w:rsid w:val="37AB2093"/>
    <w:rsid w:val="37AC319E"/>
    <w:rsid w:val="37AD7642"/>
    <w:rsid w:val="37B07132"/>
    <w:rsid w:val="37B13334"/>
    <w:rsid w:val="37B179ED"/>
    <w:rsid w:val="37B21B67"/>
    <w:rsid w:val="37B24AB3"/>
    <w:rsid w:val="37B24C58"/>
    <w:rsid w:val="37B502A5"/>
    <w:rsid w:val="37B54749"/>
    <w:rsid w:val="37B704C1"/>
    <w:rsid w:val="37B7226F"/>
    <w:rsid w:val="37B7401D"/>
    <w:rsid w:val="37B87D95"/>
    <w:rsid w:val="37B92F56"/>
    <w:rsid w:val="37BB6FB7"/>
    <w:rsid w:val="37BC3018"/>
    <w:rsid w:val="37BC4C77"/>
    <w:rsid w:val="37BC7885"/>
    <w:rsid w:val="37BD44A8"/>
    <w:rsid w:val="37BE184F"/>
    <w:rsid w:val="37BF1123"/>
    <w:rsid w:val="37BF223E"/>
    <w:rsid w:val="37BF2ED1"/>
    <w:rsid w:val="37BF7375"/>
    <w:rsid w:val="37C130EE"/>
    <w:rsid w:val="37C1407A"/>
    <w:rsid w:val="37C329C2"/>
    <w:rsid w:val="37C36E66"/>
    <w:rsid w:val="37C404E8"/>
    <w:rsid w:val="37C4498C"/>
    <w:rsid w:val="37C4673A"/>
    <w:rsid w:val="37C512C3"/>
    <w:rsid w:val="37C52BDE"/>
    <w:rsid w:val="37C53146"/>
    <w:rsid w:val="37C64260"/>
    <w:rsid w:val="37C8622A"/>
    <w:rsid w:val="37C869EA"/>
    <w:rsid w:val="37C86D9B"/>
    <w:rsid w:val="37C87FD8"/>
    <w:rsid w:val="37C93D50"/>
    <w:rsid w:val="37CB536B"/>
    <w:rsid w:val="37CB5D1A"/>
    <w:rsid w:val="37CD3840"/>
    <w:rsid w:val="37CD55EE"/>
    <w:rsid w:val="37CE1367"/>
    <w:rsid w:val="37CE2664"/>
    <w:rsid w:val="37CE4F1C"/>
    <w:rsid w:val="37CF68BD"/>
    <w:rsid w:val="37D03331"/>
    <w:rsid w:val="37D0642B"/>
    <w:rsid w:val="37D310E2"/>
    <w:rsid w:val="37D366CE"/>
    <w:rsid w:val="37D42971"/>
    <w:rsid w:val="37D42E21"/>
    <w:rsid w:val="37D44BCF"/>
    <w:rsid w:val="37D526F5"/>
    <w:rsid w:val="37D90437"/>
    <w:rsid w:val="37DA5F5D"/>
    <w:rsid w:val="37DD09A7"/>
    <w:rsid w:val="37DD0B1D"/>
    <w:rsid w:val="37DD15AA"/>
    <w:rsid w:val="37DF17C6"/>
    <w:rsid w:val="37DF20DE"/>
    <w:rsid w:val="37DF3574"/>
    <w:rsid w:val="37DF5322"/>
    <w:rsid w:val="37DF63B2"/>
    <w:rsid w:val="37E13657"/>
    <w:rsid w:val="37E241F6"/>
    <w:rsid w:val="37E33064"/>
    <w:rsid w:val="37E33E7C"/>
    <w:rsid w:val="37E82428"/>
    <w:rsid w:val="37E961A0"/>
    <w:rsid w:val="37EA34C5"/>
    <w:rsid w:val="37EB1F18"/>
    <w:rsid w:val="37EB7469"/>
    <w:rsid w:val="37EC6D92"/>
    <w:rsid w:val="37ED3EE3"/>
    <w:rsid w:val="37ED5C91"/>
    <w:rsid w:val="37EF1A09"/>
    <w:rsid w:val="37F039D3"/>
    <w:rsid w:val="37F0752F"/>
    <w:rsid w:val="37F45271"/>
    <w:rsid w:val="37F52D97"/>
    <w:rsid w:val="37F54B45"/>
    <w:rsid w:val="37F61A68"/>
    <w:rsid w:val="37F708BD"/>
    <w:rsid w:val="37F7266B"/>
    <w:rsid w:val="37F91B2A"/>
    <w:rsid w:val="37F94635"/>
    <w:rsid w:val="37F9570C"/>
    <w:rsid w:val="37F963E3"/>
    <w:rsid w:val="37FA215C"/>
    <w:rsid w:val="37FC2378"/>
    <w:rsid w:val="37FC4126"/>
    <w:rsid w:val="37FD39F4"/>
    <w:rsid w:val="37FE1C4C"/>
    <w:rsid w:val="37FE39FA"/>
    <w:rsid w:val="37FF7BCE"/>
    <w:rsid w:val="380056EB"/>
    <w:rsid w:val="38016B7B"/>
    <w:rsid w:val="380309E4"/>
    <w:rsid w:val="38033706"/>
    <w:rsid w:val="380354B4"/>
    <w:rsid w:val="380357AD"/>
    <w:rsid w:val="3805122C"/>
    <w:rsid w:val="3805581C"/>
    <w:rsid w:val="3806412E"/>
    <w:rsid w:val="3808375E"/>
    <w:rsid w:val="380845D9"/>
    <w:rsid w:val="38084878"/>
    <w:rsid w:val="380A05F1"/>
    <w:rsid w:val="380A4A95"/>
    <w:rsid w:val="380B130E"/>
    <w:rsid w:val="380B26AD"/>
    <w:rsid w:val="380B6117"/>
    <w:rsid w:val="380C0A55"/>
    <w:rsid w:val="380D00E1"/>
    <w:rsid w:val="380D1E8F"/>
    <w:rsid w:val="380F20AB"/>
    <w:rsid w:val="380F3E59"/>
    <w:rsid w:val="3810372D"/>
    <w:rsid w:val="38111241"/>
    <w:rsid w:val="381256F7"/>
    <w:rsid w:val="381274A5"/>
    <w:rsid w:val="38130F90"/>
    <w:rsid w:val="3814146F"/>
    <w:rsid w:val="3814321D"/>
    <w:rsid w:val="38144FF1"/>
    <w:rsid w:val="38156F95"/>
    <w:rsid w:val="38170F5F"/>
    <w:rsid w:val="38173168"/>
    <w:rsid w:val="38184D3B"/>
    <w:rsid w:val="381855C7"/>
    <w:rsid w:val="381A354D"/>
    <w:rsid w:val="381A45AC"/>
    <w:rsid w:val="381B0A50"/>
    <w:rsid w:val="381B27FE"/>
    <w:rsid w:val="381B3A34"/>
    <w:rsid w:val="381C6576"/>
    <w:rsid w:val="381D4C13"/>
    <w:rsid w:val="381D77E4"/>
    <w:rsid w:val="381E22EE"/>
    <w:rsid w:val="381E409C"/>
    <w:rsid w:val="381F0AD4"/>
    <w:rsid w:val="381F3845"/>
    <w:rsid w:val="381F3ECB"/>
    <w:rsid w:val="38206066"/>
    <w:rsid w:val="38211DDE"/>
    <w:rsid w:val="38211E89"/>
    <w:rsid w:val="38213B8C"/>
    <w:rsid w:val="38233460"/>
    <w:rsid w:val="382471D8"/>
    <w:rsid w:val="3825367C"/>
    <w:rsid w:val="38255F76"/>
    <w:rsid w:val="38267406"/>
    <w:rsid w:val="38267A39"/>
    <w:rsid w:val="38283467"/>
    <w:rsid w:val="382947EF"/>
    <w:rsid w:val="38295D87"/>
    <w:rsid w:val="382B0567"/>
    <w:rsid w:val="382D0783"/>
    <w:rsid w:val="38303DCF"/>
    <w:rsid w:val="38325D99"/>
    <w:rsid w:val="38327B47"/>
    <w:rsid w:val="38341B11"/>
    <w:rsid w:val="3834566E"/>
    <w:rsid w:val="383513E6"/>
    <w:rsid w:val="38376F9D"/>
    <w:rsid w:val="38397128"/>
    <w:rsid w:val="383A044D"/>
    <w:rsid w:val="383A0B03"/>
    <w:rsid w:val="383B019C"/>
    <w:rsid w:val="383B18DD"/>
    <w:rsid w:val="383B4C4E"/>
    <w:rsid w:val="383C2774"/>
    <w:rsid w:val="383C31A4"/>
    <w:rsid w:val="383C5DD6"/>
    <w:rsid w:val="383C5F9A"/>
    <w:rsid w:val="383D3012"/>
    <w:rsid w:val="383E473E"/>
    <w:rsid w:val="3842422E"/>
    <w:rsid w:val="38431D54"/>
    <w:rsid w:val="3843357E"/>
    <w:rsid w:val="38433B03"/>
    <w:rsid w:val="3844298F"/>
    <w:rsid w:val="3844411C"/>
    <w:rsid w:val="384546EC"/>
    <w:rsid w:val="38454AF6"/>
    <w:rsid w:val="38455ACD"/>
    <w:rsid w:val="3845787B"/>
    <w:rsid w:val="38481119"/>
    <w:rsid w:val="384855BD"/>
    <w:rsid w:val="38485EC8"/>
    <w:rsid w:val="38495371"/>
    <w:rsid w:val="384A30E3"/>
    <w:rsid w:val="384A6801"/>
    <w:rsid w:val="384A6C3F"/>
    <w:rsid w:val="384C1121"/>
    <w:rsid w:val="384C6E5B"/>
    <w:rsid w:val="384D2BD3"/>
    <w:rsid w:val="384E5182"/>
    <w:rsid w:val="38507FCD"/>
    <w:rsid w:val="38514471"/>
    <w:rsid w:val="385208D7"/>
    <w:rsid w:val="38521E38"/>
    <w:rsid w:val="38523D46"/>
    <w:rsid w:val="38530EB2"/>
    <w:rsid w:val="38543F62"/>
    <w:rsid w:val="385555E4"/>
    <w:rsid w:val="3856697A"/>
    <w:rsid w:val="3857135C"/>
    <w:rsid w:val="38575800"/>
    <w:rsid w:val="38577975"/>
    <w:rsid w:val="385839D6"/>
    <w:rsid w:val="38591578"/>
    <w:rsid w:val="38593326"/>
    <w:rsid w:val="385950D4"/>
    <w:rsid w:val="385A41F2"/>
    <w:rsid w:val="385A49D9"/>
    <w:rsid w:val="385B709E"/>
    <w:rsid w:val="385C2E16"/>
    <w:rsid w:val="385C6972"/>
    <w:rsid w:val="385E26EA"/>
    <w:rsid w:val="385E6B8E"/>
    <w:rsid w:val="385F2C7B"/>
    <w:rsid w:val="38602906"/>
    <w:rsid w:val="386046B4"/>
    <w:rsid w:val="386121DB"/>
    <w:rsid w:val="3862042D"/>
    <w:rsid w:val="38637D01"/>
    <w:rsid w:val="38641B56"/>
    <w:rsid w:val="386677F1"/>
    <w:rsid w:val="38673C95"/>
    <w:rsid w:val="3867746A"/>
    <w:rsid w:val="38683569"/>
    <w:rsid w:val="38685331"/>
    <w:rsid w:val="38693A3A"/>
    <w:rsid w:val="3869495B"/>
    <w:rsid w:val="386A5DEB"/>
    <w:rsid w:val="386C32DC"/>
    <w:rsid w:val="386D5023"/>
    <w:rsid w:val="386F2D08"/>
    <w:rsid w:val="386F5455"/>
    <w:rsid w:val="386F66A6"/>
    <w:rsid w:val="387243E8"/>
    <w:rsid w:val="387463B2"/>
    <w:rsid w:val="38746E9D"/>
    <w:rsid w:val="38763474"/>
    <w:rsid w:val="38763ED8"/>
    <w:rsid w:val="387719FE"/>
    <w:rsid w:val="387939C8"/>
    <w:rsid w:val="387B14EE"/>
    <w:rsid w:val="387B7705"/>
    <w:rsid w:val="387C7014"/>
    <w:rsid w:val="387C71F4"/>
    <w:rsid w:val="387D5266"/>
    <w:rsid w:val="388008B3"/>
    <w:rsid w:val="38806B05"/>
    <w:rsid w:val="388109FB"/>
    <w:rsid w:val="38820F96"/>
    <w:rsid w:val="38824A1A"/>
    <w:rsid w:val="38836992"/>
    <w:rsid w:val="388512B2"/>
    <w:rsid w:val="3885236D"/>
    <w:rsid w:val="3885411B"/>
    <w:rsid w:val="388572C9"/>
    <w:rsid w:val="38860B35"/>
    <w:rsid w:val="388760E5"/>
    <w:rsid w:val="38883C0B"/>
    <w:rsid w:val="388859B9"/>
    <w:rsid w:val="388861A3"/>
    <w:rsid w:val="388D1222"/>
    <w:rsid w:val="388D6683"/>
    <w:rsid w:val="38907B06"/>
    <w:rsid w:val="38912AC0"/>
    <w:rsid w:val="3891486E"/>
    <w:rsid w:val="389205E6"/>
    <w:rsid w:val="389425B0"/>
    <w:rsid w:val="3894610C"/>
    <w:rsid w:val="38957D3E"/>
    <w:rsid w:val="389600D6"/>
    <w:rsid w:val="38961E84"/>
    <w:rsid w:val="38974E08"/>
    <w:rsid w:val="38993E43"/>
    <w:rsid w:val="38995E18"/>
    <w:rsid w:val="389B56ED"/>
    <w:rsid w:val="389B749B"/>
    <w:rsid w:val="389C3213"/>
    <w:rsid w:val="389C39B4"/>
    <w:rsid w:val="389D1465"/>
    <w:rsid w:val="389E342F"/>
    <w:rsid w:val="389F32C9"/>
    <w:rsid w:val="38A00F55"/>
    <w:rsid w:val="38A04AB1"/>
    <w:rsid w:val="38A07EE1"/>
    <w:rsid w:val="38A26A7B"/>
    <w:rsid w:val="38A30A45"/>
    <w:rsid w:val="38A369D4"/>
    <w:rsid w:val="38A3783B"/>
    <w:rsid w:val="38A4483B"/>
    <w:rsid w:val="38A5656B"/>
    <w:rsid w:val="38A6346D"/>
    <w:rsid w:val="38A722E3"/>
    <w:rsid w:val="38A748FD"/>
    <w:rsid w:val="38A74DA6"/>
    <w:rsid w:val="38A81BB8"/>
    <w:rsid w:val="38A856BD"/>
    <w:rsid w:val="38A85780"/>
    <w:rsid w:val="38A87E0A"/>
    <w:rsid w:val="38AA1DD4"/>
    <w:rsid w:val="38AA3B82"/>
    <w:rsid w:val="38AA5930"/>
    <w:rsid w:val="38AB7C7A"/>
    <w:rsid w:val="38AC0272"/>
    <w:rsid w:val="38AC5B4C"/>
    <w:rsid w:val="38AD5420"/>
    <w:rsid w:val="38AE063B"/>
    <w:rsid w:val="38AF1198"/>
    <w:rsid w:val="38B13162"/>
    <w:rsid w:val="38B16CBE"/>
    <w:rsid w:val="38B21A10"/>
    <w:rsid w:val="38B22A36"/>
    <w:rsid w:val="38B247E4"/>
    <w:rsid w:val="38B30C88"/>
    <w:rsid w:val="38B467AE"/>
    <w:rsid w:val="38B60778"/>
    <w:rsid w:val="38B62526"/>
    <w:rsid w:val="38B844F1"/>
    <w:rsid w:val="38B85882"/>
    <w:rsid w:val="38B86862"/>
    <w:rsid w:val="38B90269"/>
    <w:rsid w:val="38B92017"/>
    <w:rsid w:val="38B95B73"/>
    <w:rsid w:val="38BA1632"/>
    <w:rsid w:val="38BB18EB"/>
    <w:rsid w:val="38BB4203"/>
    <w:rsid w:val="38BB5D8F"/>
    <w:rsid w:val="38BC6856"/>
    <w:rsid w:val="38BD38B5"/>
    <w:rsid w:val="38BD6B23"/>
    <w:rsid w:val="38BE7FB3"/>
    <w:rsid w:val="38BF4014"/>
    <w:rsid w:val="38C028D3"/>
    <w:rsid w:val="38C033A5"/>
    <w:rsid w:val="38C05153"/>
    <w:rsid w:val="38C06F01"/>
    <w:rsid w:val="38C20ECB"/>
    <w:rsid w:val="38C369F1"/>
    <w:rsid w:val="38C42E95"/>
    <w:rsid w:val="38C5276A"/>
    <w:rsid w:val="38C70290"/>
    <w:rsid w:val="38C764E2"/>
    <w:rsid w:val="38C8225A"/>
    <w:rsid w:val="38C84008"/>
    <w:rsid w:val="38C87A65"/>
    <w:rsid w:val="38C904AC"/>
    <w:rsid w:val="38C962D6"/>
    <w:rsid w:val="38C97C97"/>
    <w:rsid w:val="38CA5FD2"/>
    <w:rsid w:val="38CA7D80"/>
    <w:rsid w:val="38CC1D4A"/>
    <w:rsid w:val="38CC5188"/>
    <w:rsid w:val="38CC58A6"/>
    <w:rsid w:val="38CD7870"/>
    <w:rsid w:val="38CF35E8"/>
    <w:rsid w:val="38CF3B09"/>
    <w:rsid w:val="38CF489E"/>
    <w:rsid w:val="38CF5396"/>
    <w:rsid w:val="38D04F99"/>
    <w:rsid w:val="38D1110E"/>
    <w:rsid w:val="38D155B2"/>
    <w:rsid w:val="38D26C34"/>
    <w:rsid w:val="38D330D8"/>
    <w:rsid w:val="38D34E86"/>
    <w:rsid w:val="38D429AD"/>
    <w:rsid w:val="38D43EF2"/>
    <w:rsid w:val="38D77666"/>
    <w:rsid w:val="38D806EF"/>
    <w:rsid w:val="38D94467"/>
    <w:rsid w:val="38D94BBA"/>
    <w:rsid w:val="38D96215"/>
    <w:rsid w:val="38D97FC3"/>
    <w:rsid w:val="38DB3179"/>
    <w:rsid w:val="38DB3D3B"/>
    <w:rsid w:val="38DD7AB3"/>
    <w:rsid w:val="38DE1A7D"/>
    <w:rsid w:val="38DE382B"/>
    <w:rsid w:val="38DE5D2A"/>
    <w:rsid w:val="38DF7CCF"/>
    <w:rsid w:val="38E01351"/>
    <w:rsid w:val="38E057F5"/>
    <w:rsid w:val="38E15113"/>
    <w:rsid w:val="38E2156D"/>
    <w:rsid w:val="38E27F47"/>
    <w:rsid w:val="38E30E42"/>
    <w:rsid w:val="38E314C0"/>
    <w:rsid w:val="38E5105E"/>
    <w:rsid w:val="38E76B84"/>
    <w:rsid w:val="38E86458"/>
    <w:rsid w:val="38EA21D0"/>
    <w:rsid w:val="38EA6674"/>
    <w:rsid w:val="38EB6E2C"/>
    <w:rsid w:val="38EC419A"/>
    <w:rsid w:val="38ED3A6E"/>
    <w:rsid w:val="38EE0521"/>
    <w:rsid w:val="38EF3C8A"/>
    <w:rsid w:val="38EF5A38"/>
    <w:rsid w:val="38EF77E6"/>
    <w:rsid w:val="38F117B0"/>
    <w:rsid w:val="38F202B5"/>
    <w:rsid w:val="38F31085"/>
    <w:rsid w:val="38F372D7"/>
    <w:rsid w:val="38F4304F"/>
    <w:rsid w:val="38F44DFD"/>
    <w:rsid w:val="38F55823"/>
    <w:rsid w:val="38F60B75"/>
    <w:rsid w:val="38F65019"/>
    <w:rsid w:val="38F80D91"/>
    <w:rsid w:val="38F82B3F"/>
    <w:rsid w:val="38F90665"/>
    <w:rsid w:val="38FB262F"/>
    <w:rsid w:val="38FB3361"/>
    <w:rsid w:val="38FD0155"/>
    <w:rsid w:val="38FD1F03"/>
    <w:rsid w:val="38FD3FB5"/>
    <w:rsid w:val="38FE3030"/>
    <w:rsid w:val="38FE5445"/>
    <w:rsid w:val="390019F4"/>
    <w:rsid w:val="390239BE"/>
    <w:rsid w:val="39026997"/>
    <w:rsid w:val="3903338C"/>
    <w:rsid w:val="390414E4"/>
    <w:rsid w:val="39050DB8"/>
    <w:rsid w:val="3905700A"/>
    <w:rsid w:val="39070FD4"/>
    <w:rsid w:val="39072D82"/>
    <w:rsid w:val="39074B30"/>
    <w:rsid w:val="39081A34"/>
    <w:rsid w:val="39087EA7"/>
    <w:rsid w:val="390908A8"/>
    <w:rsid w:val="390928D6"/>
    <w:rsid w:val="39094D4C"/>
    <w:rsid w:val="390C65EA"/>
    <w:rsid w:val="390D035C"/>
    <w:rsid w:val="390D6C13"/>
    <w:rsid w:val="390E0D37"/>
    <w:rsid w:val="390F1C37"/>
    <w:rsid w:val="391060DB"/>
    <w:rsid w:val="39113C01"/>
    <w:rsid w:val="3911775D"/>
    <w:rsid w:val="391334D5"/>
    <w:rsid w:val="39137979"/>
    <w:rsid w:val="3914549F"/>
    <w:rsid w:val="3914724D"/>
    <w:rsid w:val="39154DEE"/>
    <w:rsid w:val="39161217"/>
    <w:rsid w:val="39184F8F"/>
    <w:rsid w:val="39186D3D"/>
    <w:rsid w:val="391A0D07"/>
    <w:rsid w:val="391B05DB"/>
    <w:rsid w:val="391D07F7"/>
    <w:rsid w:val="391D18FB"/>
    <w:rsid w:val="391D25A6"/>
    <w:rsid w:val="391D7376"/>
    <w:rsid w:val="391F5588"/>
    <w:rsid w:val="392007DF"/>
    <w:rsid w:val="39203E44"/>
    <w:rsid w:val="3922196A"/>
    <w:rsid w:val="39237490"/>
    <w:rsid w:val="39247160"/>
    <w:rsid w:val="392505F0"/>
    <w:rsid w:val="3925145A"/>
    <w:rsid w:val="39264651"/>
    <w:rsid w:val="39275624"/>
    <w:rsid w:val="39276F80"/>
    <w:rsid w:val="3929068B"/>
    <w:rsid w:val="39294E48"/>
    <w:rsid w:val="392A6A70"/>
    <w:rsid w:val="392B4462"/>
    <w:rsid w:val="392C27E9"/>
    <w:rsid w:val="392D4A3A"/>
    <w:rsid w:val="392E030F"/>
    <w:rsid w:val="392E47B3"/>
    <w:rsid w:val="392E6561"/>
    <w:rsid w:val="393022D9"/>
    <w:rsid w:val="39304C93"/>
    <w:rsid w:val="39305703"/>
    <w:rsid w:val="39317DFF"/>
    <w:rsid w:val="39331DC9"/>
    <w:rsid w:val="39335925"/>
    <w:rsid w:val="3934169D"/>
    <w:rsid w:val="39355B41"/>
    <w:rsid w:val="393618B9"/>
    <w:rsid w:val="39363667"/>
    <w:rsid w:val="3938118D"/>
    <w:rsid w:val="39382F3B"/>
    <w:rsid w:val="39395B1F"/>
    <w:rsid w:val="39396CB4"/>
    <w:rsid w:val="393A2AC7"/>
    <w:rsid w:val="393A417B"/>
    <w:rsid w:val="393A4F06"/>
    <w:rsid w:val="393B0C7E"/>
    <w:rsid w:val="393D0552"/>
    <w:rsid w:val="393F251C"/>
    <w:rsid w:val="393F3D68"/>
    <w:rsid w:val="39400042"/>
    <w:rsid w:val="39411259"/>
    <w:rsid w:val="3942025E"/>
    <w:rsid w:val="3945106A"/>
    <w:rsid w:val="394713D0"/>
    <w:rsid w:val="3949007F"/>
    <w:rsid w:val="394915ED"/>
    <w:rsid w:val="39495149"/>
    <w:rsid w:val="39496958"/>
    <w:rsid w:val="394A0EC1"/>
    <w:rsid w:val="394B7113"/>
    <w:rsid w:val="394C4C39"/>
    <w:rsid w:val="394C69E7"/>
    <w:rsid w:val="394D0F3D"/>
    <w:rsid w:val="394E0C8C"/>
    <w:rsid w:val="39504729"/>
    <w:rsid w:val="395064D7"/>
    <w:rsid w:val="39513FFD"/>
    <w:rsid w:val="39534219"/>
    <w:rsid w:val="39550B5F"/>
    <w:rsid w:val="39551D3F"/>
    <w:rsid w:val="39557F91"/>
    <w:rsid w:val="39567866"/>
    <w:rsid w:val="395835DE"/>
    <w:rsid w:val="395A0970"/>
    <w:rsid w:val="395A7472"/>
    <w:rsid w:val="395C1320"/>
    <w:rsid w:val="395C3290"/>
    <w:rsid w:val="395C4A66"/>
    <w:rsid w:val="395C70D1"/>
    <w:rsid w:val="395E1A51"/>
    <w:rsid w:val="395F1C11"/>
    <w:rsid w:val="395F496C"/>
    <w:rsid w:val="395F671A"/>
    <w:rsid w:val="396054F7"/>
    <w:rsid w:val="39610447"/>
    <w:rsid w:val="396106E4"/>
    <w:rsid w:val="396401D4"/>
    <w:rsid w:val="39641F82"/>
    <w:rsid w:val="39654509"/>
    <w:rsid w:val="39663F4D"/>
    <w:rsid w:val="39691347"/>
    <w:rsid w:val="396957EB"/>
    <w:rsid w:val="396B1563"/>
    <w:rsid w:val="396C52DB"/>
    <w:rsid w:val="396D6D0A"/>
    <w:rsid w:val="396E2E01"/>
    <w:rsid w:val="396F2E47"/>
    <w:rsid w:val="396F339B"/>
    <w:rsid w:val="39716BF7"/>
    <w:rsid w:val="39722422"/>
    <w:rsid w:val="39730417"/>
    <w:rsid w:val="39732398"/>
    <w:rsid w:val="39732C58"/>
    <w:rsid w:val="39777F08"/>
    <w:rsid w:val="39796ACA"/>
    <w:rsid w:val="397A3554"/>
    <w:rsid w:val="397A6819"/>
    <w:rsid w:val="397B107A"/>
    <w:rsid w:val="397C3770"/>
    <w:rsid w:val="397D4DF2"/>
    <w:rsid w:val="397D78AE"/>
    <w:rsid w:val="397F500E"/>
    <w:rsid w:val="39842625"/>
    <w:rsid w:val="39843BDD"/>
    <w:rsid w:val="39846181"/>
    <w:rsid w:val="398565E4"/>
    <w:rsid w:val="398664FD"/>
    <w:rsid w:val="39873EC3"/>
    <w:rsid w:val="39875C71"/>
    <w:rsid w:val="398A0EDF"/>
    <w:rsid w:val="398B39B3"/>
    <w:rsid w:val="398C14D9"/>
    <w:rsid w:val="3991089E"/>
    <w:rsid w:val="39912B0C"/>
    <w:rsid w:val="39914AA0"/>
    <w:rsid w:val="399161E1"/>
    <w:rsid w:val="39930ABA"/>
    <w:rsid w:val="39932868"/>
    <w:rsid w:val="39972358"/>
    <w:rsid w:val="39972687"/>
    <w:rsid w:val="39994973"/>
    <w:rsid w:val="399A3BF6"/>
    <w:rsid w:val="399C171C"/>
    <w:rsid w:val="399C32F4"/>
    <w:rsid w:val="399C466A"/>
    <w:rsid w:val="399D7242"/>
    <w:rsid w:val="399E5C14"/>
    <w:rsid w:val="399F120C"/>
    <w:rsid w:val="399F2FBB"/>
    <w:rsid w:val="399F745E"/>
    <w:rsid w:val="39A04ADA"/>
    <w:rsid w:val="39A16D33"/>
    <w:rsid w:val="39A22AAB"/>
    <w:rsid w:val="39A24859"/>
    <w:rsid w:val="39A27166"/>
    <w:rsid w:val="39A607ED"/>
    <w:rsid w:val="39A700C1"/>
    <w:rsid w:val="39A84565"/>
    <w:rsid w:val="39A86313"/>
    <w:rsid w:val="39A901EC"/>
    <w:rsid w:val="39A93E39"/>
    <w:rsid w:val="39A95BE7"/>
    <w:rsid w:val="39AA4401"/>
    <w:rsid w:val="39AB7BB1"/>
    <w:rsid w:val="39AC56D7"/>
    <w:rsid w:val="39AD1B7B"/>
    <w:rsid w:val="39AE1450"/>
    <w:rsid w:val="39AF6A2B"/>
    <w:rsid w:val="39B0341A"/>
    <w:rsid w:val="39B114B9"/>
    <w:rsid w:val="39B12CEE"/>
    <w:rsid w:val="39B20F40"/>
    <w:rsid w:val="39B300EB"/>
    <w:rsid w:val="39B36A66"/>
    <w:rsid w:val="39B47E3A"/>
    <w:rsid w:val="39B5458C"/>
    <w:rsid w:val="39B60304"/>
    <w:rsid w:val="39B747A8"/>
    <w:rsid w:val="39B867BB"/>
    <w:rsid w:val="39B90520"/>
    <w:rsid w:val="39BA3CAC"/>
    <w:rsid w:val="39BA4298"/>
    <w:rsid w:val="39BA6046"/>
    <w:rsid w:val="39BC3B6C"/>
    <w:rsid w:val="39BD11EE"/>
    <w:rsid w:val="39BD1D96"/>
    <w:rsid w:val="39BD3D6E"/>
    <w:rsid w:val="39BE5B37"/>
    <w:rsid w:val="39BF18AF"/>
    <w:rsid w:val="39BF540B"/>
    <w:rsid w:val="39C26CA9"/>
    <w:rsid w:val="39C3314D"/>
    <w:rsid w:val="39C63990"/>
    <w:rsid w:val="39C66799"/>
    <w:rsid w:val="39C70AAE"/>
    <w:rsid w:val="39C74D65"/>
    <w:rsid w:val="39C80763"/>
    <w:rsid w:val="39C944DB"/>
    <w:rsid w:val="39CB3DB0"/>
    <w:rsid w:val="39CC2DEE"/>
    <w:rsid w:val="39CD3FCC"/>
    <w:rsid w:val="39CE0565"/>
    <w:rsid w:val="39CE1AF2"/>
    <w:rsid w:val="39CE38A0"/>
    <w:rsid w:val="39CE564E"/>
    <w:rsid w:val="39D013C6"/>
    <w:rsid w:val="39D07618"/>
    <w:rsid w:val="39D215E2"/>
    <w:rsid w:val="39D30EB6"/>
    <w:rsid w:val="39D30F90"/>
    <w:rsid w:val="39D36C95"/>
    <w:rsid w:val="39D37108"/>
    <w:rsid w:val="39D569DC"/>
    <w:rsid w:val="39D709A6"/>
    <w:rsid w:val="39D72754"/>
    <w:rsid w:val="39D76BF8"/>
    <w:rsid w:val="39D84378"/>
    <w:rsid w:val="39D8471E"/>
    <w:rsid w:val="39D906C5"/>
    <w:rsid w:val="39D92970"/>
    <w:rsid w:val="39DA0497"/>
    <w:rsid w:val="39DA1941"/>
    <w:rsid w:val="39DA2245"/>
    <w:rsid w:val="39DA51E2"/>
    <w:rsid w:val="39DC420F"/>
    <w:rsid w:val="39DC5FBD"/>
    <w:rsid w:val="39DE0A3C"/>
    <w:rsid w:val="39DF4537"/>
    <w:rsid w:val="39DF5AAD"/>
    <w:rsid w:val="39E07108"/>
    <w:rsid w:val="39E15381"/>
    <w:rsid w:val="39E3559D"/>
    <w:rsid w:val="39E66E3B"/>
    <w:rsid w:val="39E752B1"/>
    <w:rsid w:val="39E84962"/>
    <w:rsid w:val="39E906DA"/>
    <w:rsid w:val="39E92530"/>
    <w:rsid w:val="39E9692C"/>
    <w:rsid w:val="39E97F5D"/>
    <w:rsid w:val="39EB26A4"/>
    <w:rsid w:val="39EB6200"/>
    <w:rsid w:val="39EC3D26"/>
    <w:rsid w:val="39ED01CA"/>
    <w:rsid w:val="39ED1F78"/>
    <w:rsid w:val="39EE26D0"/>
    <w:rsid w:val="39EE5391"/>
    <w:rsid w:val="39EE7A9E"/>
    <w:rsid w:val="39EF402C"/>
    <w:rsid w:val="39F01A68"/>
    <w:rsid w:val="39F07CBA"/>
    <w:rsid w:val="39F204E9"/>
    <w:rsid w:val="39F23A32"/>
    <w:rsid w:val="39F33E3D"/>
    <w:rsid w:val="39F350B4"/>
    <w:rsid w:val="39F40D3E"/>
    <w:rsid w:val="39F452CD"/>
    <w:rsid w:val="39F50E2C"/>
    <w:rsid w:val="39F5707E"/>
    <w:rsid w:val="39F6132E"/>
    <w:rsid w:val="39F71049"/>
    <w:rsid w:val="39F71C31"/>
    <w:rsid w:val="39F72DF7"/>
    <w:rsid w:val="39F94DC1"/>
    <w:rsid w:val="39FA113F"/>
    <w:rsid w:val="39FA28E7"/>
    <w:rsid w:val="39FB3B47"/>
    <w:rsid w:val="39FC21BB"/>
    <w:rsid w:val="39FC665F"/>
    <w:rsid w:val="39FD1201"/>
    <w:rsid w:val="39FD39FD"/>
    <w:rsid w:val="39FE0F50"/>
    <w:rsid w:val="39FE23D7"/>
    <w:rsid w:val="39FF1CAB"/>
    <w:rsid w:val="3A013C75"/>
    <w:rsid w:val="3A024B77"/>
    <w:rsid w:val="3A044DC2"/>
    <w:rsid w:val="3A0472C2"/>
    <w:rsid w:val="3A053765"/>
    <w:rsid w:val="3A0722B3"/>
    <w:rsid w:val="3A073047"/>
    <w:rsid w:val="3A080B60"/>
    <w:rsid w:val="3A086314"/>
    <w:rsid w:val="3A0948D8"/>
    <w:rsid w:val="3A0A0D7C"/>
    <w:rsid w:val="3A0A215A"/>
    <w:rsid w:val="3A0B4AF4"/>
    <w:rsid w:val="3A0B68A2"/>
    <w:rsid w:val="3A0D43C8"/>
    <w:rsid w:val="3A0D6176"/>
    <w:rsid w:val="3A0D75B5"/>
    <w:rsid w:val="3A0E0140"/>
    <w:rsid w:val="3A0E1EEE"/>
    <w:rsid w:val="3A0F6392"/>
    <w:rsid w:val="3A10210A"/>
    <w:rsid w:val="3A121F97"/>
    <w:rsid w:val="3A12378C"/>
    <w:rsid w:val="3A125E82"/>
    <w:rsid w:val="3A137505"/>
    <w:rsid w:val="3A145757"/>
    <w:rsid w:val="3A14701E"/>
    <w:rsid w:val="3A1514CF"/>
    <w:rsid w:val="3A15327D"/>
    <w:rsid w:val="3A156AFE"/>
    <w:rsid w:val="3A17449C"/>
    <w:rsid w:val="3A176FF5"/>
    <w:rsid w:val="3A192D6D"/>
    <w:rsid w:val="3A1A6AE5"/>
    <w:rsid w:val="3A1B478A"/>
    <w:rsid w:val="3A1C285D"/>
    <w:rsid w:val="3A1C5C1A"/>
    <w:rsid w:val="3A1E65D5"/>
    <w:rsid w:val="3A1F5EA9"/>
    <w:rsid w:val="3A217E73"/>
    <w:rsid w:val="3A22229F"/>
    <w:rsid w:val="3A223F73"/>
    <w:rsid w:val="3A2319B1"/>
    <w:rsid w:val="3A231E3E"/>
    <w:rsid w:val="3A232F1C"/>
    <w:rsid w:val="3A233BEC"/>
    <w:rsid w:val="3A255BB6"/>
    <w:rsid w:val="3A2636DC"/>
    <w:rsid w:val="3A282FB0"/>
    <w:rsid w:val="3A287454"/>
    <w:rsid w:val="3A2A4F7A"/>
    <w:rsid w:val="3A2B2AA0"/>
    <w:rsid w:val="3A2B484E"/>
    <w:rsid w:val="3A2D450E"/>
    <w:rsid w:val="3A2D6818"/>
    <w:rsid w:val="3A2D6B9F"/>
    <w:rsid w:val="3A2E433E"/>
    <w:rsid w:val="3A2E59CB"/>
    <w:rsid w:val="3A2F07E2"/>
    <w:rsid w:val="3A2F2590"/>
    <w:rsid w:val="3A2F4508"/>
    <w:rsid w:val="3A2F6786"/>
    <w:rsid w:val="3A2F6D7D"/>
    <w:rsid w:val="3A30455A"/>
    <w:rsid w:val="3A306308"/>
    <w:rsid w:val="3A323E2F"/>
    <w:rsid w:val="3A342760"/>
    <w:rsid w:val="3A3431C3"/>
    <w:rsid w:val="3A345DF9"/>
    <w:rsid w:val="3A35391F"/>
    <w:rsid w:val="3A3758E9"/>
    <w:rsid w:val="3A376A34"/>
    <w:rsid w:val="3A383CAD"/>
    <w:rsid w:val="3A3917C7"/>
    <w:rsid w:val="3A392571"/>
    <w:rsid w:val="3A3A2CE3"/>
    <w:rsid w:val="3A3C6A5B"/>
    <w:rsid w:val="3A3E27D3"/>
    <w:rsid w:val="3A3E6C77"/>
    <w:rsid w:val="3A3E7B24"/>
    <w:rsid w:val="3A3F02FA"/>
    <w:rsid w:val="3A40479E"/>
    <w:rsid w:val="3A4060DF"/>
    <w:rsid w:val="3A40644A"/>
    <w:rsid w:val="3A414072"/>
    <w:rsid w:val="3A43562D"/>
    <w:rsid w:val="3A437DEA"/>
    <w:rsid w:val="3A451DB4"/>
    <w:rsid w:val="3A465B2C"/>
    <w:rsid w:val="3A4662B6"/>
    <w:rsid w:val="3A482066"/>
    <w:rsid w:val="3A483652"/>
    <w:rsid w:val="3A4934F6"/>
    <w:rsid w:val="3A4A1178"/>
    <w:rsid w:val="3A4A561C"/>
    <w:rsid w:val="3A4B3142"/>
    <w:rsid w:val="3A4B7DB8"/>
    <w:rsid w:val="3A4C09E6"/>
    <w:rsid w:val="3A4D0C68"/>
    <w:rsid w:val="3A4D6EBA"/>
    <w:rsid w:val="3A4E43A5"/>
    <w:rsid w:val="3A4F2C33"/>
    <w:rsid w:val="3A4F49E1"/>
    <w:rsid w:val="3A500759"/>
    <w:rsid w:val="3A511615"/>
    <w:rsid w:val="3A5160A9"/>
    <w:rsid w:val="3A523067"/>
    <w:rsid w:val="3A5244D1"/>
    <w:rsid w:val="3A524858"/>
    <w:rsid w:val="3A52627F"/>
    <w:rsid w:val="3A531A5D"/>
    <w:rsid w:val="3A534E68"/>
    <w:rsid w:val="3A541D49"/>
    <w:rsid w:val="3A545295"/>
    <w:rsid w:val="3A550FAE"/>
    <w:rsid w:val="3A555D6F"/>
    <w:rsid w:val="3A575643"/>
    <w:rsid w:val="3A575D3F"/>
    <w:rsid w:val="3A577D39"/>
    <w:rsid w:val="3A5A447A"/>
    <w:rsid w:val="3A5B2B4D"/>
    <w:rsid w:val="3A5C0EAC"/>
    <w:rsid w:val="3A5C3FFC"/>
    <w:rsid w:val="3A5C534F"/>
    <w:rsid w:val="3A5C70FE"/>
    <w:rsid w:val="3A5E2DFB"/>
    <w:rsid w:val="3A5E2E76"/>
    <w:rsid w:val="3A5F274A"/>
    <w:rsid w:val="3A606BEE"/>
    <w:rsid w:val="3A612966"/>
    <w:rsid w:val="3A636C6D"/>
    <w:rsid w:val="3A655FB2"/>
    <w:rsid w:val="3A667F7C"/>
    <w:rsid w:val="3A685AA2"/>
    <w:rsid w:val="3A686A7E"/>
    <w:rsid w:val="3A695377"/>
    <w:rsid w:val="3A6A181A"/>
    <w:rsid w:val="3A6A7A6C"/>
    <w:rsid w:val="3A6B10EF"/>
    <w:rsid w:val="3A6B51A0"/>
    <w:rsid w:val="3A6C5593"/>
    <w:rsid w:val="3A6D130B"/>
    <w:rsid w:val="3A6F00EE"/>
    <w:rsid w:val="3A6F5083"/>
    <w:rsid w:val="3A6F7451"/>
    <w:rsid w:val="3A704D37"/>
    <w:rsid w:val="3A704DDE"/>
    <w:rsid w:val="3A7129B2"/>
    <w:rsid w:val="3A72247D"/>
    <w:rsid w:val="3A7252D2"/>
    <w:rsid w:val="3A744447"/>
    <w:rsid w:val="3A7601BF"/>
    <w:rsid w:val="3A766411"/>
    <w:rsid w:val="3A773F37"/>
    <w:rsid w:val="3A777CB4"/>
    <w:rsid w:val="3A791A5E"/>
    <w:rsid w:val="3A7A01BB"/>
    <w:rsid w:val="3A7B3A28"/>
    <w:rsid w:val="3A7B57D6"/>
    <w:rsid w:val="3A7D77A0"/>
    <w:rsid w:val="3A80103E"/>
    <w:rsid w:val="3A802DEC"/>
    <w:rsid w:val="3A804B9A"/>
    <w:rsid w:val="3A810912"/>
    <w:rsid w:val="3A824DB6"/>
    <w:rsid w:val="3A830B2E"/>
    <w:rsid w:val="3A8328DC"/>
    <w:rsid w:val="3A83468A"/>
    <w:rsid w:val="3A836438"/>
    <w:rsid w:val="3A850B77"/>
    <w:rsid w:val="3A86417A"/>
    <w:rsid w:val="3A8723CC"/>
    <w:rsid w:val="3A881CA1"/>
    <w:rsid w:val="3A886B6C"/>
    <w:rsid w:val="3A89770A"/>
    <w:rsid w:val="3A8A5A19"/>
    <w:rsid w:val="3A8A77C7"/>
    <w:rsid w:val="3A8B1791"/>
    <w:rsid w:val="3A8C79E3"/>
    <w:rsid w:val="3A8D375B"/>
    <w:rsid w:val="3A8D72B7"/>
    <w:rsid w:val="3A8F302F"/>
    <w:rsid w:val="3A8F5F3B"/>
    <w:rsid w:val="3A8F74D3"/>
    <w:rsid w:val="3A916DA7"/>
    <w:rsid w:val="3A922B1F"/>
    <w:rsid w:val="3A9248CD"/>
    <w:rsid w:val="3A935B51"/>
    <w:rsid w:val="3A944AE9"/>
    <w:rsid w:val="3A95616C"/>
    <w:rsid w:val="3A960861"/>
    <w:rsid w:val="3A96260F"/>
    <w:rsid w:val="3A9643BE"/>
    <w:rsid w:val="3A971EE4"/>
    <w:rsid w:val="3A9B7C26"/>
    <w:rsid w:val="3A9C053F"/>
    <w:rsid w:val="3A9C4027"/>
    <w:rsid w:val="3A9C574C"/>
    <w:rsid w:val="3A9C74FA"/>
    <w:rsid w:val="3A9E14C4"/>
    <w:rsid w:val="3AA0523C"/>
    <w:rsid w:val="3AA30888"/>
    <w:rsid w:val="3AA348DA"/>
    <w:rsid w:val="3AA4022C"/>
    <w:rsid w:val="3AA52853"/>
    <w:rsid w:val="3AA54601"/>
    <w:rsid w:val="3AA5552E"/>
    <w:rsid w:val="3AA64A0C"/>
    <w:rsid w:val="3AA70C32"/>
    <w:rsid w:val="3AA73B8F"/>
    <w:rsid w:val="3AA7481D"/>
    <w:rsid w:val="3AA765CB"/>
    <w:rsid w:val="3AA840F1"/>
    <w:rsid w:val="3AAA1C17"/>
    <w:rsid w:val="3AAA2B43"/>
    <w:rsid w:val="3AAA7E69"/>
    <w:rsid w:val="3AAB3FD3"/>
    <w:rsid w:val="3AAB57B9"/>
    <w:rsid w:val="3AAB598F"/>
    <w:rsid w:val="3AAC1E33"/>
    <w:rsid w:val="3AAD1707"/>
    <w:rsid w:val="3AAF26A3"/>
    <w:rsid w:val="3AAF547F"/>
    <w:rsid w:val="3AAF722D"/>
    <w:rsid w:val="3AB17449"/>
    <w:rsid w:val="3AB26D1E"/>
    <w:rsid w:val="3AB4121B"/>
    <w:rsid w:val="3AB46F3A"/>
    <w:rsid w:val="3AB64A60"/>
    <w:rsid w:val="3AB900AC"/>
    <w:rsid w:val="3ABA0EF7"/>
    <w:rsid w:val="3ABB02C8"/>
    <w:rsid w:val="3ABB2076"/>
    <w:rsid w:val="3ABC194A"/>
    <w:rsid w:val="3ABD4C0B"/>
    <w:rsid w:val="3ABF278B"/>
    <w:rsid w:val="3AC0143A"/>
    <w:rsid w:val="3AC23405"/>
    <w:rsid w:val="3AC27689"/>
    <w:rsid w:val="3AC33322"/>
    <w:rsid w:val="3AC54CA3"/>
    <w:rsid w:val="3AC5600A"/>
    <w:rsid w:val="3AC56A51"/>
    <w:rsid w:val="3AC76C6D"/>
    <w:rsid w:val="3AC802EF"/>
    <w:rsid w:val="3AC95E1B"/>
    <w:rsid w:val="3ACA4067"/>
    <w:rsid w:val="3ACD479C"/>
    <w:rsid w:val="3ACD67FD"/>
    <w:rsid w:val="3ACE7FFB"/>
    <w:rsid w:val="3AD13648"/>
    <w:rsid w:val="3AD24B9C"/>
    <w:rsid w:val="3AD273C0"/>
    <w:rsid w:val="3AD4138A"/>
    <w:rsid w:val="3AD42F2E"/>
    <w:rsid w:val="3AD43138"/>
    <w:rsid w:val="3AD47F56"/>
    <w:rsid w:val="3AD82C28"/>
    <w:rsid w:val="3AD9074E"/>
    <w:rsid w:val="3AD9278E"/>
    <w:rsid w:val="3ADB0022"/>
    <w:rsid w:val="3ADB6274"/>
    <w:rsid w:val="3ADB70F5"/>
    <w:rsid w:val="3ADC5C77"/>
    <w:rsid w:val="3ADC662D"/>
    <w:rsid w:val="3ADD023E"/>
    <w:rsid w:val="3AE0388B"/>
    <w:rsid w:val="3AE0789A"/>
    <w:rsid w:val="3AE07F36"/>
    <w:rsid w:val="3AE140A2"/>
    <w:rsid w:val="3AE16AEE"/>
    <w:rsid w:val="3AE16E49"/>
    <w:rsid w:val="3AE26C73"/>
    <w:rsid w:val="3AE400AD"/>
    <w:rsid w:val="3AE55345"/>
    <w:rsid w:val="3AE710BD"/>
    <w:rsid w:val="3AE74B3F"/>
    <w:rsid w:val="3AE74C19"/>
    <w:rsid w:val="3AE8273F"/>
    <w:rsid w:val="3AE91244"/>
    <w:rsid w:val="3AE92834"/>
    <w:rsid w:val="3AEB7D25"/>
    <w:rsid w:val="3AEC222F"/>
    <w:rsid w:val="3AEC38DD"/>
    <w:rsid w:val="3AEC66D3"/>
    <w:rsid w:val="3AED5FA8"/>
    <w:rsid w:val="3AEE11EC"/>
    <w:rsid w:val="3AEE1EC2"/>
    <w:rsid w:val="3AEE41FA"/>
    <w:rsid w:val="3AEF2E86"/>
    <w:rsid w:val="3AEF3ACE"/>
    <w:rsid w:val="3AEF7F72"/>
    <w:rsid w:val="3AF235BE"/>
    <w:rsid w:val="3AF31810"/>
    <w:rsid w:val="3AF37A62"/>
    <w:rsid w:val="3AF47336"/>
    <w:rsid w:val="3AF502D7"/>
    <w:rsid w:val="3AF61300"/>
    <w:rsid w:val="3AF86E26"/>
    <w:rsid w:val="3AF9017E"/>
    <w:rsid w:val="3AF937F9"/>
    <w:rsid w:val="3AFA0359"/>
    <w:rsid w:val="3AFA37B9"/>
    <w:rsid w:val="3AFC310C"/>
    <w:rsid w:val="3AFD213A"/>
    <w:rsid w:val="3AFD443D"/>
    <w:rsid w:val="3B003F2D"/>
    <w:rsid w:val="3B005924"/>
    <w:rsid w:val="3B030B7D"/>
    <w:rsid w:val="3B051543"/>
    <w:rsid w:val="3B0543F6"/>
    <w:rsid w:val="3B064762"/>
    <w:rsid w:val="3B07411C"/>
    <w:rsid w:val="3B082DE1"/>
    <w:rsid w:val="3B091033"/>
    <w:rsid w:val="3B0A3A01"/>
    <w:rsid w:val="3B0A6B5A"/>
    <w:rsid w:val="3B0C4680"/>
    <w:rsid w:val="3B0C643A"/>
    <w:rsid w:val="3B0C65F0"/>
    <w:rsid w:val="3B0E5C90"/>
    <w:rsid w:val="3B0E664A"/>
    <w:rsid w:val="3B0F75B5"/>
    <w:rsid w:val="3B1050DC"/>
    <w:rsid w:val="3B11613A"/>
    <w:rsid w:val="3B131EB2"/>
    <w:rsid w:val="3B152F92"/>
    <w:rsid w:val="3B1672AC"/>
    <w:rsid w:val="3B1B0D67"/>
    <w:rsid w:val="3B1D063B"/>
    <w:rsid w:val="3B1D4650"/>
    <w:rsid w:val="3B1D4ADF"/>
    <w:rsid w:val="3B1D688D"/>
    <w:rsid w:val="3B1E2BB4"/>
    <w:rsid w:val="3B1F0857"/>
    <w:rsid w:val="3B20012B"/>
    <w:rsid w:val="3B220A43"/>
    <w:rsid w:val="3B224106"/>
    <w:rsid w:val="3B225C51"/>
    <w:rsid w:val="3B2319C9"/>
    <w:rsid w:val="3B250143"/>
    <w:rsid w:val="3B251BE5"/>
    <w:rsid w:val="3B253993"/>
    <w:rsid w:val="3B273268"/>
    <w:rsid w:val="3B2740D4"/>
    <w:rsid w:val="3B286FE0"/>
    <w:rsid w:val="3B2A2D58"/>
    <w:rsid w:val="3B2A3D28"/>
    <w:rsid w:val="3B2A4F9E"/>
    <w:rsid w:val="3B2A6911"/>
    <w:rsid w:val="3B2A71FC"/>
    <w:rsid w:val="3B2B51B8"/>
    <w:rsid w:val="3B2B730C"/>
    <w:rsid w:val="3B2B74FF"/>
    <w:rsid w:val="3B2C087E"/>
    <w:rsid w:val="3B2C6AD0"/>
    <w:rsid w:val="3B2C6B6E"/>
    <w:rsid w:val="3B2E0CDD"/>
    <w:rsid w:val="3B2E2848"/>
    <w:rsid w:val="3B2E527A"/>
    <w:rsid w:val="3B2F036E"/>
    <w:rsid w:val="3B304812"/>
    <w:rsid w:val="3B3360B0"/>
    <w:rsid w:val="3B345984"/>
    <w:rsid w:val="3B3616FD"/>
    <w:rsid w:val="3B365BA1"/>
    <w:rsid w:val="3B374E9C"/>
    <w:rsid w:val="3B3836C7"/>
    <w:rsid w:val="3B392F9B"/>
    <w:rsid w:val="3B3B26B4"/>
    <w:rsid w:val="3B3E536A"/>
    <w:rsid w:val="3B3F2CA7"/>
    <w:rsid w:val="3B3F4A55"/>
    <w:rsid w:val="3B3F4ABE"/>
    <w:rsid w:val="3B40257B"/>
    <w:rsid w:val="3B404329"/>
    <w:rsid w:val="3B4200A1"/>
    <w:rsid w:val="3B4419E7"/>
    <w:rsid w:val="3B450DF0"/>
    <w:rsid w:val="3B450FA6"/>
    <w:rsid w:val="3B455DE4"/>
    <w:rsid w:val="3B457B92"/>
    <w:rsid w:val="3B471B5C"/>
    <w:rsid w:val="3B47390A"/>
    <w:rsid w:val="3B485E21"/>
    <w:rsid w:val="3B4958D4"/>
    <w:rsid w:val="3B4972B1"/>
    <w:rsid w:val="3B497682"/>
    <w:rsid w:val="3B4A2727"/>
    <w:rsid w:val="3B4A2F98"/>
    <w:rsid w:val="3B4C2CCE"/>
    <w:rsid w:val="3B4E2EEA"/>
    <w:rsid w:val="3B510614"/>
    <w:rsid w:val="3B516615"/>
    <w:rsid w:val="3B547DD5"/>
    <w:rsid w:val="3B550425"/>
    <w:rsid w:val="3B551DDF"/>
    <w:rsid w:val="3B561D9F"/>
    <w:rsid w:val="3B5645CF"/>
    <w:rsid w:val="3B581673"/>
    <w:rsid w:val="3B585916"/>
    <w:rsid w:val="3B5866F6"/>
    <w:rsid w:val="3B596DA6"/>
    <w:rsid w:val="3B5A188F"/>
    <w:rsid w:val="3B5B1163"/>
    <w:rsid w:val="3B5B5607"/>
    <w:rsid w:val="3B5C5727"/>
    <w:rsid w:val="3B5D3DA9"/>
    <w:rsid w:val="3B5D4EDB"/>
    <w:rsid w:val="3B5E2A01"/>
    <w:rsid w:val="3B5E2C18"/>
    <w:rsid w:val="3B5F50F7"/>
    <w:rsid w:val="3B5F6EA5"/>
    <w:rsid w:val="3B6049CB"/>
    <w:rsid w:val="3B6224F2"/>
    <w:rsid w:val="3B626996"/>
    <w:rsid w:val="3B6312E8"/>
    <w:rsid w:val="3B64270E"/>
    <w:rsid w:val="3B643EB9"/>
    <w:rsid w:val="3B651FE2"/>
    <w:rsid w:val="3B653D90"/>
    <w:rsid w:val="3B671461"/>
    <w:rsid w:val="3B697D24"/>
    <w:rsid w:val="3B6A75F8"/>
    <w:rsid w:val="3B6C15C2"/>
    <w:rsid w:val="3B6E533A"/>
    <w:rsid w:val="3B6F4C0F"/>
    <w:rsid w:val="3B7019AF"/>
    <w:rsid w:val="3B712735"/>
    <w:rsid w:val="3B714E2B"/>
    <w:rsid w:val="3B726A2E"/>
    <w:rsid w:val="3B732951"/>
    <w:rsid w:val="3B7346FF"/>
    <w:rsid w:val="3B742225"/>
    <w:rsid w:val="3B744E3E"/>
    <w:rsid w:val="3B750477"/>
    <w:rsid w:val="3B7566C9"/>
    <w:rsid w:val="3B762441"/>
    <w:rsid w:val="3B76775E"/>
    <w:rsid w:val="3B770BEE"/>
    <w:rsid w:val="3B787187"/>
    <w:rsid w:val="3B7A0CB0"/>
    <w:rsid w:val="3B7A10AA"/>
    <w:rsid w:val="3B7A60DF"/>
    <w:rsid w:val="3B7A783B"/>
    <w:rsid w:val="3B7B35B3"/>
    <w:rsid w:val="3B7C7A57"/>
    <w:rsid w:val="3B7D732B"/>
    <w:rsid w:val="3B7E5EF0"/>
    <w:rsid w:val="3B7E7631"/>
    <w:rsid w:val="3B7F12F6"/>
    <w:rsid w:val="3B800BCA"/>
    <w:rsid w:val="3B820DE6"/>
    <w:rsid w:val="3B842468"/>
    <w:rsid w:val="3B853535"/>
    <w:rsid w:val="3B854432"/>
    <w:rsid w:val="3B8701AA"/>
    <w:rsid w:val="3B8710E5"/>
    <w:rsid w:val="3B895CD0"/>
    <w:rsid w:val="3B8A07A5"/>
    <w:rsid w:val="3B8B04F4"/>
    <w:rsid w:val="3B8B1C35"/>
    <w:rsid w:val="3B8B7C9A"/>
    <w:rsid w:val="3B8C3A12"/>
    <w:rsid w:val="3B8C57C0"/>
    <w:rsid w:val="3B8C756F"/>
    <w:rsid w:val="3B8E318D"/>
    <w:rsid w:val="3B8E3B9E"/>
    <w:rsid w:val="3B8E59E5"/>
    <w:rsid w:val="3B8E778B"/>
    <w:rsid w:val="3B912DD7"/>
    <w:rsid w:val="3B9308FD"/>
    <w:rsid w:val="3B934DA1"/>
    <w:rsid w:val="3B950B19"/>
    <w:rsid w:val="3B9528C7"/>
    <w:rsid w:val="3B964177"/>
    <w:rsid w:val="3B974891"/>
    <w:rsid w:val="3B985F13"/>
    <w:rsid w:val="3B993444"/>
    <w:rsid w:val="3B9A1C8B"/>
    <w:rsid w:val="3B9B5A04"/>
    <w:rsid w:val="3B9D5C20"/>
    <w:rsid w:val="3B9D79CE"/>
    <w:rsid w:val="3B9E12C3"/>
    <w:rsid w:val="3B9F54F4"/>
    <w:rsid w:val="3B9F696A"/>
    <w:rsid w:val="3BA029CB"/>
    <w:rsid w:val="3BA0368D"/>
    <w:rsid w:val="3BA07DFA"/>
    <w:rsid w:val="3BA112D8"/>
    <w:rsid w:val="3BA174BE"/>
    <w:rsid w:val="3BA50630"/>
    <w:rsid w:val="3BA64AD4"/>
    <w:rsid w:val="3BA725FA"/>
    <w:rsid w:val="3BA743A8"/>
    <w:rsid w:val="3BA90120"/>
    <w:rsid w:val="3BA945C4"/>
    <w:rsid w:val="3BAA1E25"/>
    <w:rsid w:val="3BAC7C11"/>
    <w:rsid w:val="3BAE3989"/>
    <w:rsid w:val="3BB0325D"/>
    <w:rsid w:val="3BB13950"/>
    <w:rsid w:val="3BB16FD5"/>
    <w:rsid w:val="3BB32D4D"/>
    <w:rsid w:val="3BB52F69"/>
    <w:rsid w:val="3BB5459C"/>
    <w:rsid w:val="3BB54D17"/>
    <w:rsid w:val="3BB80364"/>
    <w:rsid w:val="3BB83F2C"/>
    <w:rsid w:val="3BBA2A0C"/>
    <w:rsid w:val="3BBA2C5F"/>
    <w:rsid w:val="3BBB1EB2"/>
    <w:rsid w:val="3BBD1E1E"/>
    <w:rsid w:val="3BBF5F54"/>
    <w:rsid w:val="3BBF7944"/>
    <w:rsid w:val="3BC01FB5"/>
    <w:rsid w:val="3BC073E4"/>
    <w:rsid w:val="3BC136BC"/>
    <w:rsid w:val="3BC23194"/>
    <w:rsid w:val="3BC27434"/>
    <w:rsid w:val="3BC35686"/>
    <w:rsid w:val="3BC44F5A"/>
    <w:rsid w:val="3BC87005"/>
    <w:rsid w:val="3BC907C3"/>
    <w:rsid w:val="3BC96A15"/>
    <w:rsid w:val="3BCA3066"/>
    <w:rsid w:val="3BCB62E9"/>
    <w:rsid w:val="3BCC3E0F"/>
    <w:rsid w:val="3BCD02B3"/>
    <w:rsid w:val="3BCE45B8"/>
    <w:rsid w:val="3BCE5DD9"/>
    <w:rsid w:val="3BCE7B87"/>
    <w:rsid w:val="3BD00DFA"/>
    <w:rsid w:val="3BD038FF"/>
    <w:rsid w:val="3BD11425"/>
    <w:rsid w:val="3BD31641"/>
    <w:rsid w:val="3BD3519D"/>
    <w:rsid w:val="3BD418BA"/>
    <w:rsid w:val="3BD42E4E"/>
    <w:rsid w:val="3BD827B4"/>
    <w:rsid w:val="3BD835E1"/>
    <w:rsid w:val="3BD86C58"/>
    <w:rsid w:val="3BDA652C"/>
    <w:rsid w:val="3BDB4052"/>
    <w:rsid w:val="3BDB6B10"/>
    <w:rsid w:val="3BDC22A4"/>
    <w:rsid w:val="3BDC3E99"/>
    <w:rsid w:val="3BDC6748"/>
    <w:rsid w:val="3BDD426E"/>
    <w:rsid w:val="3BDD601C"/>
    <w:rsid w:val="3BDD7D9B"/>
    <w:rsid w:val="3BDF3B42"/>
    <w:rsid w:val="3BE112ED"/>
    <w:rsid w:val="3BE13D5E"/>
    <w:rsid w:val="3BE178BA"/>
    <w:rsid w:val="3BE21884"/>
    <w:rsid w:val="3BE23632"/>
    <w:rsid w:val="3BE253E0"/>
    <w:rsid w:val="3BE26178"/>
    <w:rsid w:val="3BE41159"/>
    <w:rsid w:val="3BE4509D"/>
    <w:rsid w:val="3BE455FD"/>
    <w:rsid w:val="3BE524B4"/>
    <w:rsid w:val="3BE60890"/>
    <w:rsid w:val="3BE61375"/>
    <w:rsid w:val="3BE70C49"/>
    <w:rsid w:val="3BE8173A"/>
    <w:rsid w:val="3BE92C13"/>
    <w:rsid w:val="3BEC625F"/>
    <w:rsid w:val="3BED44B1"/>
    <w:rsid w:val="3BEE0229"/>
    <w:rsid w:val="3BEE1FD7"/>
    <w:rsid w:val="3BEF6622"/>
    <w:rsid w:val="3BF03FA1"/>
    <w:rsid w:val="3BF04D81"/>
    <w:rsid w:val="3BF07AFD"/>
    <w:rsid w:val="3BF13876"/>
    <w:rsid w:val="3BF34A1D"/>
    <w:rsid w:val="3BF35840"/>
    <w:rsid w:val="3BF55114"/>
    <w:rsid w:val="3BF56022"/>
    <w:rsid w:val="3BF770DE"/>
    <w:rsid w:val="3BFD221A"/>
    <w:rsid w:val="3BFE66BE"/>
    <w:rsid w:val="3BFF2436"/>
    <w:rsid w:val="3BFF28DE"/>
    <w:rsid w:val="3BFF41E4"/>
    <w:rsid w:val="3C011D0B"/>
    <w:rsid w:val="3C015E80"/>
    <w:rsid w:val="3C0161AE"/>
    <w:rsid w:val="3C025A83"/>
    <w:rsid w:val="3C026603"/>
    <w:rsid w:val="3C026CDA"/>
    <w:rsid w:val="3C033CD5"/>
    <w:rsid w:val="3C0417FB"/>
    <w:rsid w:val="3C047A4D"/>
    <w:rsid w:val="3C053D98"/>
    <w:rsid w:val="3C067321"/>
    <w:rsid w:val="3C072537"/>
    <w:rsid w:val="3C0748C2"/>
    <w:rsid w:val="3C084351"/>
    <w:rsid w:val="3C090BBF"/>
    <w:rsid w:val="3C095063"/>
    <w:rsid w:val="3C0B2B89"/>
    <w:rsid w:val="3C0D6901"/>
    <w:rsid w:val="3C0D6E7A"/>
    <w:rsid w:val="3C0E61D6"/>
    <w:rsid w:val="3C0F79EE"/>
    <w:rsid w:val="3C1001A0"/>
    <w:rsid w:val="3C10772C"/>
    <w:rsid w:val="3C116C8B"/>
    <w:rsid w:val="3C12216A"/>
    <w:rsid w:val="3C123F18"/>
    <w:rsid w:val="3C1254FE"/>
    <w:rsid w:val="3C125CC6"/>
    <w:rsid w:val="3C131A3E"/>
    <w:rsid w:val="3C137C90"/>
    <w:rsid w:val="3C1416EF"/>
    <w:rsid w:val="3C144F11"/>
    <w:rsid w:val="3C145EE2"/>
    <w:rsid w:val="3C1557B6"/>
    <w:rsid w:val="3C16395B"/>
    <w:rsid w:val="3C17152E"/>
    <w:rsid w:val="3C1732DC"/>
    <w:rsid w:val="3C177780"/>
    <w:rsid w:val="3C187054"/>
    <w:rsid w:val="3C1A7270"/>
    <w:rsid w:val="3C1D466B"/>
    <w:rsid w:val="3C1D696F"/>
    <w:rsid w:val="3C1D7CBB"/>
    <w:rsid w:val="3C211C1A"/>
    <w:rsid w:val="3C2123AD"/>
    <w:rsid w:val="3C215F09"/>
    <w:rsid w:val="3C236125"/>
    <w:rsid w:val="3C241E9D"/>
    <w:rsid w:val="3C2422A7"/>
    <w:rsid w:val="3C243C4B"/>
    <w:rsid w:val="3C261771"/>
    <w:rsid w:val="3C2623D0"/>
    <w:rsid w:val="3C275C95"/>
    <w:rsid w:val="3C2854E9"/>
    <w:rsid w:val="3C2943A6"/>
    <w:rsid w:val="3C2B322B"/>
    <w:rsid w:val="3C2D6B47"/>
    <w:rsid w:val="3C2D6FA3"/>
    <w:rsid w:val="3C2E0626"/>
    <w:rsid w:val="3C2F4ACA"/>
    <w:rsid w:val="3C300842"/>
    <w:rsid w:val="3C3012FF"/>
    <w:rsid w:val="3C302214"/>
    <w:rsid w:val="3C320116"/>
    <w:rsid w:val="3C3245BA"/>
    <w:rsid w:val="3C327705"/>
    <w:rsid w:val="3C3367DF"/>
    <w:rsid w:val="3C3420E0"/>
    <w:rsid w:val="3C3519B4"/>
    <w:rsid w:val="3C355E58"/>
    <w:rsid w:val="3C357C06"/>
    <w:rsid w:val="3C370BA9"/>
    <w:rsid w:val="3C37397E"/>
    <w:rsid w:val="3C37572C"/>
    <w:rsid w:val="3C387915"/>
    <w:rsid w:val="3C3B116F"/>
    <w:rsid w:val="3C3B1EF8"/>
    <w:rsid w:val="3C3B53EC"/>
    <w:rsid w:val="3C3C0A98"/>
    <w:rsid w:val="3C3C3388"/>
    <w:rsid w:val="3C3C7B42"/>
    <w:rsid w:val="3C3D7615"/>
    <w:rsid w:val="3C3E2F5F"/>
    <w:rsid w:val="3C3E2FDB"/>
    <w:rsid w:val="3C3F0A85"/>
    <w:rsid w:val="3C3F2DF6"/>
    <w:rsid w:val="3C406CD7"/>
    <w:rsid w:val="3C410359"/>
    <w:rsid w:val="3C4165AB"/>
    <w:rsid w:val="3C432323"/>
    <w:rsid w:val="3C4340D1"/>
    <w:rsid w:val="3C434910"/>
    <w:rsid w:val="3C445EFD"/>
    <w:rsid w:val="3C447E49"/>
    <w:rsid w:val="3C455B7B"/>
    <w:rsid w:val="3C4605F3"/>
    <w:rsid w:val="3C461E13"/>
    <w:rsid w:val="3C47049B"/>
    <w:rsid w:val="3C48011B"/>
    <w:rsid w:val="3C4815FC"/>
    <w:rsid w:val="3C4816E7"/>
    <w:rsid w:val="3C487939"/>
    <w:rsid w:val="3C4B2A92"/>
    <w:rsid w:val="3C4C173C"/>
    <w:rsid w:val="3C4D31A2"/>
    <w:rsid w:val="3C4E2A76"/>
    <w:rsid w:val="3C4F6F1A"/>
    <w:rsid w:val="3C5024B7"/>
    <w:rsid w:val="3C502C8E"/>
    <w:rsid w:val="3C504A40"/>
    <w:rsid w:val="3C51411E"/>
    <w:rsid w:val="3C53008C"/>
    <w:rsid w:val="3C544530"/>
    <w:rsid w:val="3C5502A8"/>
    <w:rsid w:val="3C553E04"/>
    <w:rsid w:val="3C575DCE"/>
    <w:rsid w:val="3C577B7C"/>
    <w:rsid w:val="3C592E81"/>
    <w:rsid w:val="3C5938F5"/>
    <w:rsid w:val="3C59537C"/>
    <w:rsid w:val="3C597D99"/>
    <w:rsid w:val="3C5A141B"/>
    <w:rsid w:val="3C5A766D"/>
    <w:rsid w:val="3C5B51D0"/>
    <w:rsid w:val="3C5C0DD3"/>
    <w:rsid w:val="3C5C50CF"/>
    <w:rsid w:val="3C5D19C1"/>
    <w:rsid w:val="3C5D7AF9"/>
    <w:rsid w:val="3C5E0378"/>
    <w:rsid w:val="3C5E0F0B"/>
    <w:rsid w:val="3C5E53AF"/>
    <w:rsid w:val="3C5F2ED5"/>
    <w:rsid w:val="3C5F6722"/>
    <w:rsid w:val="3C5F68AB"/>
    <w:rsid w:val="3C602F4D"/>
    <w:rsid w:val="3C6127A9"/>
    <w:rsid w:val="3C616C4D"/>
    <w:rsid w:val="3C626204"/>
    <w:rsid w:val="3C6479C3"/>
    <w:rsid w:val="3C6504EB"/>
    <w:rsid w:val="3C663D5D"/>
    <w:rsid w:val="3C6817B3"/>
    <w:rsid w:val="3C681D8A"/>
    <w:rsid w:val="3C683B38"/>
    <w:rsid w:val="3C687FDC"/>
    <w:rsid w:val="3C695929"/>
    <w:rsid w:val="3C6961B5"/>
    <w:rsid w:val="3C696521"/>
    <w:rsid w:val="3C6B187A"/>
    <w:rsid w:val="3C6C2C0E"/>
    <w:rsid w:val="3C6D114E"/>
    <w:rsid w:val="3C6D55F2"/>
    <w:rsid w:val="3C706E90"/>
    <w:rsid w:val="3C73439F"/>
    <w:rsid w:val="3C74072E"/>
    <w:rsid w:val="3C746980"/>
    <w:rsid w:val="3C761AAA"/>
    <w:rsid w:val="3C7626F9"/>
    <w:rsid w:val="3C7649A9"/>
    <w:rsid w:val="3C776471"/>
    <w:rsid w:val="3C7807E7"/>
    <w:rsid w:val="3C795D45"/>
    <w:rsid w:val="3C797AF3"/>
    <w:rsid w:val="3C7A4DFC"/>
    <w:rsid w:val="3C7B47BA"/>
    <w:rsid w:val="3C7B5B5E"/>
    <w:rsid w:val="3C7B738B"/>
    <w:rsid w:val="3C7B7D0F"/>
    <w:rsid w:val="3C7C3A87"/>
    <w:rsid w:val="3C7C5835"/>
    <w:rsid w:val="3C7C75E3"/>
    <w:rsid w:val="3C7E067B"/>
    <w:rsid w:val="3C7E335B"/>
    <w:rsid w:val="3C7E5011"/>
    <w:rsid w:val="3C805325"/>
    <w:rsid w:val="3C80719C"/>
    <w:rsid w:val="3C814BF9"/>
    <w:rsid w:val="3C822F4C"/>
    <w:rsid w:val="3C850B8E"/>
    <w:rsid w:val="3C853D67"/>
    <w:rsid w:val="3C862578"/>
    <w:rsid w:val="3C8666B4"/>
    <w:rsid w:val="3C87737D"/>
    <w:rsid w:val="3C88242C"/>
    <w:rsid w:val="3C8A19F0"/>
    <w:rsid w:val="3C8A1D00"/>
    <w:rsid w:val="3C8B267B"/>
    <w:rsid w:val="3C8B5A78"/>
    <w:rsid w:val="3C8D0366"/>
    <w:rsid w:val="3C8D359E"/>
    <w:rsid w:val="3C8D7021"/>
    <w:rsid w:val="3C8D7A42"/>
    <w:rsid w:val="3C8F37BA"/>
    <w:rsid w:val="3C905550"/>
    <w:rsid w:val="3C9056B7"/>
    <w:rsid w:val="3C906C91"/>
    <w:rsid w:val="3C917532"/>
    <w:rsid w:val="3C926DF4"/>
    <w:rsid w:val="3C940DD1"/>
    <w:rsid w:val="3C9506A5"/>
    <w:rsid w:val="3C950F0C"/>
    <w:rsid w:val="3C9568F7"/>
    <w:rsid w:val="3C964B49"/>
    <w:rsid w:val="3C9708C1"/>
    <w:rsid w:val="3C97266F"/>
    <w:rsid w:val="3C97441D"/>
    <w:rsid w:val="3C975423"/>
    <w:rsid w:val="3C9812D8"/>
    <w:rsid w:val="3C9A5CBB"/>
    <w:rsid w:val="3C9B215F"/>
    <w:rsid w:val="3C9C1A33"/>
    <w:rsid w:val="3C9C66C4"/>
    <w:rsid w:val="3C9E39FD"/>
    <w:rsid w:val="3C9E6CF2"/>
    <w:rsid w:val="3CA179B8"/>
    <w:rsid w:val="3CA32DC2"/>
    <w:rsid w:val="3CA43E5C"/>
    <w:rsid w:val="3CA52FDE"/>
    <w:rsid w:val="3CA57A27"/>
    <w:rsid w:val="3CA73FF3"/>
    <w:rsid w:val="3CA82FD6"/>
    <w:rsid w:val="3CA84C67"/>
    <w:rsid w:val="3CA8662A"/>
    <w:rsid w:val="3CAB3642"/>
    <w:rsid w:val="3CAB3899"/>
    <w:rsid w:val="3CAB7EC8"/>
    <w:rsid w:val="3CAC611A"/>
    <w:rsid w:val="3CAD3C40"/>
    <w:rsid w:val="3CAD7649"/>
    <w:rsid w:val="3CAF5C0A"/>
    <w:rsid w:val="3CB11983"/>
    <w:rsid w:val="3CB22CCB"/>
    <w:rsid w:val="3CB23005"/>
    <w:rsid w:val="3CB37786"/>
    <w:rsid w:val="3CB43221"/>
    <w:rsid w:val="3CB46D7D"/>
    <w:rsid w:val="3CB66F99"/>
    <w:rsid w:val="3CB74ABF"/>
    <w:rsid w:val="3CB90837"/>
    <w:rsid w:val="3CB925E5"/>
    <w:rsid w:val="3CB94393"/>
    <w:rsid w:val="3CBB45AF"/>
    <w:rsid w:val="3CBB4F2E"/>
    <w:rsid w:val="3CBC3E83"/>
    <w:rsid w:val="3CBC5ACD"/>
    <w:rsid w:val="3CBD0327"/>
    <w:rsid w:val="3CBD50BF"/>
    <w:rsid w:val="3CBE7BFC"/>
    <w:rsid w:val="3CC05722"/>
    <w:rsid w:val="3CC33464"/>
    <w:rsid w:val="3CC504A1"/>
    <w:rsid w:val="3CC52D38"/>
    <w:rsid w:val="3CC55219"/>
    <w:rsid w:val="3CC571DC"/>
    <w:rsid w:val="3CC66AB0"/>
    <w:rsid w:val="3CC66D60"/>
    <w:rsid w:val="3CC80A7A"/>
    <w:rsid w:val="3CC82828"/>
    <w:rsid w:val="3CC97668"/>
    <w:rsid w:val="3CCA2A44"/>
    <w:rsid w:val="3CCA47F2"/>
    <w:rsid w:val="3CCB1742"/>
    <w:rsid w:val="3CCC056A"/>
    <w:rsid w:val="3CCC57A3"/>
    <w:rsid w:val="3CCD6091"/>
    <w:rsid w:val="3CCD7E3F"/>
    <w:rsid w:val="3CCE6982"/>
    <w:rsid w:val="3CCF3BB7"/>
    <w:rsid w:val="3CD016DD"/>
    <w:rsid w:val="3CD13DD3"/>
    <w:rsid w:val="3CD15B81"/>
    <w:rsid w:val="3CD1792F"/>
    <w:rsid w:val="3CD218F9"/>
    <w:rsid w:val="3CD25303"/>
    <w:rsid w:val="3CD36D63"/>
    <w:rsid w:val="3CD411CD"/>
    <w:rsid w:val="3CD43F35"/>
    <w:rsid w:val="3CD47D4C"/>
    <w:rsid w:val="3CD613E9"/>
    <w:rsid w:val="3CD63197"/>
    <w:rsid w:val="3CD71A19"/>
    <w:rsid w:val="3CD92605"/>
    <w:rsid w:val="3CD92C87"/>
    <w:rsid w:val="3CDA5477"/>
    <w:rsid w:val="3CDA7DA7"/>
    <w:rsid w:val="3CDB07AE"/>
    <w:rsid w:val="3CDD0C1B"/>
    <w:rsid w:val="3CDE029E"/>
    <w:rsid w:val="3CDE3DFA"/>
    <w:rsid w:val="3CDF7D60"/>
    <w:rsid w:val="3CE21B3C"/>
    <w:rsid w:val="3CE32812"/>
    <w:rsid w:val="3CE37662"/>
    <w:rsid w:val="3CE53779"/>
    <w:rsid w:val="3CE55282"/>
    <w:rsid w:val="3CE6634A"/>
    <w:rsid w:val="3CE84C78"/>
    <w:rsid w:val="3CEA09F1"/>
    <w:rsid w:val="3CEA279F"/>
    <w:rsid w:val="3CEB09D4"/>
    <w:rsid w:val="3CEB2A01"/>
    <w:rsid w:val="3CEB6517"/>
    <w:rsid w:val="3CEC4769"/>
    <w:rsid w:val="3CED04E1"/>
    <w:rsid w:val="3CED6733"/>
    <w:rsid w:val="3CED798A"/>
    <w:rsid w:val="3CF03B2D"/>
    <w:rsid w:val="3CF11D7F"/>
    <w:rsid w:val="3CF148C9"/>
    <w:rsid w:val="3CF278A5"/>
    <w:rsid w:val="3CF3094E"/>
    <w:rsid w:val="3CF36340"/>
    <w:rsid w:val="3CF4361D"/>
    <w:rsid w:val="3CF47AC1"/>
    <w:rsid w:val="3CF61143"/>
    <w:rsid w:val="3CF655E7"/>
    <w:rsid w:val="3CF7075F"/>
    <w:rsid w:val="3CF7310E"/>
    <w:rsid w:val="3CF75B8E"/>
    <w:rsid w:val="3CF90C34"/>
    <w:rsid w:val="3CF950D8"/>
    <w:rsid w:val="3CFA3924"/>
    <w:rsid w:val="3CFA586A"/>
    <w:rsid w:val="3CFB0E50"/>
    <w:rsid w:val="3CFB44C3"/>
    <w:rsid w:val="3CFD45D1"/>
    <w:rsid w:val="3CFD4BC8"/>
    <w:rsid w:val="3CFE624A"/>
    <w:rsid w:val="3D001FC2"/>
    <w:rsid w:val="3D0106F2"/>
    <w:rsid w:val="3D017F7A"/>
    <w:rsid w:val="3D0221DE"/>
    <w:rsid w:val="3D036D02"/>
    <w:rsid w:val="3D0372C3"/>
    <w:rsid w:val="3D037D04"/>
    <w:rsid w:val="3D045203"/>
    <w:rsid w:val="3D057D8B"/>
    <w:rsid w:val="3D0641F3"/>
    <w:rsid w:val="3D070FA9"/>
    <w:rsid w:val="3D0715A3"/>
    <w:rsid w:val="3D0777F5"/>
    <w:rsid w:val="3D0801FD"/>
    <w:rsid w:val="3D0803B2"/>
    <w:rsid w:val="3D09356D"/>
    <w:rsid w:val="3D096A38"/>
    <w:rsid w:val="3D0970E5"/>
    <w:rsid w:val="3D0C1D59"/>
    <w:rsid w:val="3D0C4E0B"/>
    <w:rsid w:val="3D0C6BB9"/>
    <w:rsid w:val="3D0D2931"/>
    <w:rsid w:val="3D0D46DF"/>
    <w:rsid w:val="3D0E0B83"/>
    <w:rsid w:val="3D0E2985"/>
    <w:rsid w:val="3D0F0457"/>
    <w:rsid w:val="3D0F48FB"/>
    <w:rsid w:val="3D111052"/>
    <w:rsid w:val="3D112421"/>
    <w:rsid w:val="3D1141CF"/>
    <w:rsid w:val="3D115F7D"/>
    <w:rsid w:val="3D121CF5"/>
    <w:rsid w:val="3D136199"/>
    <w:rsid w:val="3D1362F8"/>
    <w:rsid w:val="3D141F11"/>
    <w:rsid w:val="3D146E96"/>
    <w:rsid w:val="3D163594"/>
    <w:rsid w:val="3D167A38"/>
    <w:rsid w:val="3D17730C"/>
    <w:rsid w:val="3D18170C"/>
    <w:rsid w:val="3D1837B0"/>
    <w:rsid w:val="3D18555E"/>
    <w:rsid w:val="3D1912D6"/>
    <w:rsid w:val="3D193084"/>
    <w:rsid w:val="3D1A6530"/>
    <w:rsid w:val="3D1B32A0"/>
    <w:rsid w:val="3D1B4C46"/>
    <w:rsid w:val="3D1C4922"/>
    <w:rsid w:val="3D1D2B74"/>
    <w:rsid w:val="3D200449"/>
    <w:rsid w:val="3D2008B6"/>
    <w:rsid w:val="3D204412"/>
    <w:rsid w:val="3D210DFB"/>
    <w:rsid w:val="3D211F38"/>
    <w:rsid w:val="3D2139CC"/>
    <w:rsid w:val="3D2263DC"/>
    <w:rsid w:val="3D23052A"/>
    <w:rsid w:val="3D251A29"/>
    <w:rsid w:val="3D255001"/>
    <w:rsid w:val="3D263EE9"/>
    <w:rsid w:val="3D271C45"/>
    <w:rsid w:val="3D2739F3"/>
    <w:rsid w:val="3D276170"/>
    <w:rsid w:val="3D281519"/>
    <w:rsid w:val="3D29361A"/>
    <w:rsid w:val="3D29776B"/>
    <w:rsid w:val="3D2A703F"/>
    <w:rsid w:val="3D2C2DB7"/>
    <w:rsid w:val="3D2C346A"/>
    <w:rsid w:val="3D2C725B"/>
    <w:rsid w:val="3D2D6B2F"/>
    <w:rsid w:val="3D2E2FD3"/>
    <w:rsid w:val="3D2F28A7"/>
    <w:rsid w:val="3D305D1F"/>
    <w:rsid w:val="3D3103CE"/>
    <w:rsid w:val="3D31661F"/>
    <w:rsid w:val="3D3305EA"/>
    <w:rsid w:val="3D332398"/>
    <w:rsid w:val="3D346110"/>
    <w:rsid w:val="3D346F52"/>
    <w:rsid w:val="3D361E88"/>
    <w:rsid w:val="3D363C36"/>
    <w:rsid w:val="3D37175C"/>
    <w:rsid w:val="3D373021"/>
    <w:rsid w:val="3D385C00"/>
    <w:rsid w:val="3D3954D4"/>
    <w:rsid w:val="3D3A1978"/>
    <w:rsid w:val="3D3B052F"/>
    <w:rsid w:val="3D3B2FFA"/>
    <w:rsid w:val="3D3B56F0"/>
    <w:rsid w:val="3D3C29A9"/>
    <w:rsid w:val="3D3D3216"/>
    <w:rsid w:val="3D3D4FC4"/>
    <w:rsid w:val="3D3E7E89"/>
    <w:rsid w:val="3D3F6F8E"/>
    <w:rsid w:val="3D404AB5"/>
    <w:rsid w:val="3D412F1E"/>
    <w:rsid w:val="3D4225DB"/>
    <w:rsid w:val="3D430101"/>
    <w:rsid w:val="3D431059"/>
    <w:rsid w:val="3D4358D5"/>
    <w:rsid w:val="3D4501F5"/>
    <w:rsid w:val="3D45031D"/>
    <w:rsid w:val="3D4520CB"/>
    <w:rsid w:val="3D474095"/>
    <w:rsid w:val="3D475E43"/>
    <w:rsid w:val="3D483969"/>
    <w:rsid w:val="3D486B76"/>
    <w:rsid w:val="3D4A1496"/>
    <w:rsid w:val="3D4A5933"/>
    <w:rsid w:val="3D4C3459"/>
    <w:rsid w:val="3D4C4AF6"/>
    <w:rsid w:val="3D4D2D2E"/>
    <w:rsid w:val="3D4E0F7F"/>
    <w:rsid w:val="3D4F2F4A"/>
    <w:rsid w:val="3D50442D"/>
    <w:rsid w:val="3D516CC2"/>
    <w:rsid w:val="3D521369"/>
    <w:rsid w:val="3D522DF4"/>
    <w:rsid w:val="3D525AB7"/>
    <w:rsid w:val="3D530A23"/>
    <w:rsid w:val="3D5347E8"/>
    <w:rsid w:val="3D540560"/>
    <w:rsid w:val="3D54230E"/>
    <w:rsid w:val="3D5440BC"/>
    <w:rsid w:val="3D545119"/>
    <w:rsid w:val="3D54685A"/>
    <w:rsid w:val="3D557970"/>
    <w:rsid w:val="3D58666B"/>
    <w:rsid w:val="3D594F2A"/>
    <w:rsid w:val="3D597924"/>
    <w:rsid w:val="3D5F13DF"/>
    <w:rsid w:val="3D5F318D"/>
    <w:rsid w:val="3D6036BC"/>
    <w:rsid w:val="3D6066C5"/>
    <w:rsid w:val="3D606F05"/>
    <w:rsid w:val="3D6222EE"/>
    <w:rsid w:val="3D622C7D"/>
    <w:rsid w:val="3D624A2B"/>
    <w:rsid w:val="3D627C3E"/>
    <w:rsid w:val="3D63377E"/>
    <w:rsid w:val="3D6407A3"/>
    <w:rsid w:val="3D65276D"/>
    <w:rsid w:val="3D65451B"/>
    <w:rsid w:val="3D6562C9"/>
    <w:rsid w:val="3D672041"/>
    <w:rsid w:val="3D6764E5"/>
    <w:rsid w:val="3D677C80"/>
    <w:rsid w:val="3D687B67"/>
    <w:rsid w:val="3D6A0A80"/>
    <w:rsid w:val="3D6A38DF"/>
    <w:rsid w:val="3D6C7658"/>
    <w:rsid w:val="3D6D2C1B"/>
    <w:rsid w:val="3D6D2CF7"/>
    <w:rsid w:val="3D6D327F"/>
    <w:rsid w:val="3D6E0485"/>
    <w:rsid w:val="3D6E1622"/>
    <w:rsid w:val="3D714C6E"/>
    <w:rsid w:val="3D721F78"/>
    <w:rsid w:val="3D7309E6"/>
    <w:rsid w:val="3D734E8A"/>
    <w:rsid w:val="3D741F5D"/>
    <w:rsid w:val="3D7529B0"/>
    <w:rsid w:val="3D7604D6"/>
    <w:rsid w:val="3D766728"/>
    <w:rsid w:val="3D781943"/>
    <w:rsid w:val="3D78424E"/>
    <w:rsid w:val="3D785FFC"/>
    <w:rsid w:val="3D7A6218"/>
    <w:rsid w:val="3D7B2612"/>
    <w:rsid w:val="3D7B7613"/>
    <w:rsid w:val="3D7B789B"/>
    <w:rsid w:val="3D7C2FCD"/>
    <w:rsid w:val="3D7D1865"/>
    <w:rsid w:val="3D7D23D6"/>
    <w:rsid w:val="3D7D7AB7"/>
    <w:rsid w:val="3D7E4A37"/>
    <w:rsid w:val="3D7F6C45"/>
    <w:rsid w:val="3D804EB1"/>
    <w:rsid w:val="3D8250CD"/>
    <w:rsid w:val="3D826D07"/>
    <w:rsid w:val="3D840E45"/>
    <w:rsid w:val="3D84116E"/>
    <w:rsid w:val="3D8441F8"/>
    <w:rsid w:val="3D850719"/>
    <w:rsid w:val="3D853F47"/>
    <w:rsid w:val="3D85696B"/>
    <w:rsid w:val="3D8726E3"/>
    <w:rsid w:val="3D874491"/>
    <w:rsid w:val="3D87623F"/>
    <w:rsid w:val="3D877909"/>
    <w:rsid w:val="3D89020A"/>
    <w:rsid w:val="3D8A3F82"/>
    <w:rsid w:val="3D8A4BA3"/>
    <w:rsid w:val="3D8B102C"/>
    <w:rsid w:val="3D8B7DB9"/>
    <w:rsid w:val="3D8C1249"/>
    <w:rsid w:val="3D8C1AA8"/>
    <w:rsid w:val="3D8C7CFA"/>
    <w:rsid w:val="3D8E3A72"/>
    <w:rsid w:val="3D8E5820"/>
    <w:rsid w:val="3D8F3346"/>
    <w:rsid w:val="3D9170BE"/>
    <w:rsid w:val="3D931088"/>
    <w:rsid w:val="3D93111C"/>
    <w:rsid w:val="3D933161"/>
    <w:rsid w:val="3D934BE4"/>
    <w:rsid w:val="3D954E00"/>
    <w:rsid w:val="3D9571ED"/>
    <w:rsid w:val="3D960B78"/>
    <w:rsid w:val="3D962926"/>
    <w:rsid w:val="3D983AFE"/>
    <w:rsid w:val="3D9848F1"/>
    <w:rsid w:val="3D99367E"/>
    <w:rsid w:val="3D9A2417"/>
    <w:rsid w:val="3D9B23BD"/>
    <w:rsid w:val="3D9C2FA3"/>
    <w:rsid w:val="3D9D5A63"/>
    <w:rsid w:val="3D9D6786"/>
    <w:rsid w:val="3D9E399C"/>
    <w:rsid w:val="3D9E7BE0"/>
    <w:rsid w:val="3D9F17DB"/>
    <w:rsid w:val="3DA00B4F"/>
    <w:rsid w:val="3DA07301"/>
    <w:rsid w:val="3DA167F8"/>
    <w:rsid w:val="3DA176E8"/>
    <w:rsid w:val="3DA474D0"/>
    <w:rsid w:val="3DA54918"/>
    <w:rsid w:val="3DA74B34"/>
    <w:rsid w:val="3DA75E51"/>
    <w:rsid w:val="3DA82244"/>
    <w:rsid w:val="3DA908AC"/>
    <w:rsid w:val="3DA9112C"/>
    <w:rsid w:val="3DAC3EF8"/>
    <w:rsid w:val="3DAD0D40"/>
    <w:rsid w:val="3DAD4894"/>
    <w:rsid w:val="3DAE1A1E"/>
    <w:rsid w:val="3DAE5D24"/>
    <w:rsid w:val="3DAE7C70"/>
    <w:rsid w:val="3DAF5796"/>
    <w:rsid w:val="3DB35286"/>
    <w:rsid w:val="3DB37034"/>
    <w:rsid w:val="3DB40673"/>
    <w:rsid w:val="3DB42DAD"/>
    <w:rsid w:val="3DB50FFF"/>
    <w:rsid w:val="3DB646B6"/>
    <w:rsid w:val="3DB64D77"/>
    <w:rsid w:val="3DB8289D"/>
    <w:rsid w:val="3DB90BD8"/>
    <w:rsid w:val="3DBB6E98"/>
    <w:rsid w:val="3DBC05DF"/>
    <w:rsid w:val="3DBD375B"/>
    <w:rsid w:val="3DBE32B1"/>
    <w:rsid w:val="3DBF1E7D"/>
    <w:rsid w:val="3DBF3C2B"/>
    <w:rsid w:val="3DC00139"/>
    <w:rsid w:val="3DC01751"/>
    <w:rsid w:val="3DC15BF5"/>
    <w:rsid w:val="3DC207FD"/>
    <w:rsid w:val="3DC2371B"/>
    <w:rsid w:val="3DC254CA"/>
    <w:rsid w:val="3DC362E6"/>
    <w:rsid w:val="3DC37D1E"/>
    <w:rsid w:val="3DC54FBA"/>
    <w:rsid w:val="3DC6320C"/>
    <w:rsid w:val="3DC65BC5"/>
    <w:rsid w:val="3DC70D32"/>
    <w:rsid w:val="3DC76F84"/>
    <w:rsid w:val="3DC92CFC"/>
    <w:rsid w:val="3DC94AAA"/>
    <w:rsid w:val="3DC96858"/>
    <w:rsid w:val="3DCB6A74"/>
    <w:rsid w:val="3DCC459A"/>
    <w:rsid w:val="3DCC66DC"/>
    <w:rsid w:val="3DCE0312"/>
    <w:rsid w:val="3DCE20C0"/>
    <w:rsid w:val="3DD05246"/>
    <w:rsid w:val="3DD05E38"/>
    <w:rsid w:val="3DD11700"/>
    <w:rsid w:val="3DD11BB1"/>
    <w:rsid w:val="3DD220B1"/>
    <w:rsid w:val="3DD22E3D"/>
    <w:rsid w:val="3DD376D7"/>
    <w:rsid w:val="3DD403A2"/>
    <w:rsid w:val="3DD40A79"/>
    <w:rsid w:val="3DD40DE4"/>
    <w:rsid w:val="3DD57E81"/>
    <w:rsid w:val="3DD82F3F"/>
    <w:rsid w:val="3DDA2813"/>
    <w:rsid w:val="3DDA50D4"/>
    <w:rsid w:val="3DDB0950"/>
    <w:rsid w:val="3DDC47DD"/>
    <w:rsid w:val="3DDD0555"/>
    <w:rsid w:val="3DDD2303"/>
    <w:rsid w:val="3DDF7E2A"/>
    <w:rsid w:val="3DE03BA2"/>
    <w:rsid w:val="3DE0464F"/>
    <w:rsid w:val="3DE11DF4"/>
    <w:rsid w:val="3DE141B8"/>
    <w:rsid w:val="3DE22043"/>
    <w:rsid w:val="3DE235C1"/>
    <w:rsid w:val="3DE24C14"/>
    <w:rsid w:val="3DE25B6C"/>
    <w:rsid w:val="3DE2791A"/>
    <w:rsid w:val="3DE47EA4"/>
    <w:rsid w:val="3DE511B8"/>
    <w:rsid w:val="3DE6740A"/>
    <w:rsid w:val="3DEA07D5"/>
    <w:rsid w:val="3DEA33A6"/>
    <w:rsid w:val="3DEB0EC4"/>
    <w:rsid w:val="3DEB4A20"/>
    <w:rsid w:val="3DEC0798"/>
    <w:rsid w:val="3DEC2546"/>
    <w:rsid w:val="3DEC5CC6"/>
    <w:rsid w:val="3DED69EA"/>
    <w:rsid w:val="3DEE2762"/>
    <w:rsid w:val="3DEE62BF"/>
    <w:rsid w:val="3DF02037"/>
    <w:rsid w:val="3DF064DB"/>
    <w:rsid w:val="3DF14FF1"/>
    <w:rsid w:val="3DF156C8"/>
    <w:rsid w:val="3DF17B5D"/>
    <w:rsid w:val="3DF31B27"/>
    <w:rsid w:val="3DF338D5"/>
    <w:rsid w:val="3DF5589F"/>
    <w:rsid w:val="3DF61949"/>
    <w:rsid w:val="3DF71617"/>
    <w:rsid w:val="3DF766AC"/>
    <w:rsid w:val="3DF80EEB"/>
    <w:rsid w:val="3DF8713D"/>
    <w:rsid w:val="3DF96E3A"/>
    <w:rsid w:val="3DFB09DB"/>
    <w:rsid w:val="3DFB1312"/>
    <w:rsid w:val="3DFB2C73"/>
    <w:rsid w:val="3DFC4E7F"/>
    <w:rsid w:val="3DFC6C2D"/>
    <w:rsid w:val="3DFD29A6"/>
    <w:rsid w:val="3DFD4754"/>
    <w:rsid w:val="3DFF04CC"/>
    <w:rsid w:val="3DFF227A"/>
    <w:rsid w:val="3DFF671E"/>
    <w:rsid w:val="3E005316"/>
    <w:rsid w:val="3E012496"/>
    <w:rsid w:val="3E015FF2"/>
    <w:rsid w:val="3E027EEC"/>
    <w:rsid w:val="3E03620E"/>
    <w:rsid w:val="3E043F4D"/>
    <w:rsid w:val="3E045AE2"/>
    <w:rsid w:val="3E05686D"/>
    <w:rsid w:val="3E06185A"/>
    <w:rsid w:val="3E067CFD"/>
    <w:rsid w:val="3E081DAF"/>
    <w:rsid w:val="3E083824"/>
    <w:rsid w:val="3E0930F8"/>
    <w:rsid w:val="3E0B0C1F"/>
    <w:rsid w:val="3E0B50C2"/>
    <w:rsid w:val="3E0C3B6F"/>
    <w:rsid w:val="3E0D4FFF"/>
    <w:rsid w:val="3E0E6961"/>
    <w:rsid w:val="3E0F1049"/>
    <w:rsid w:val="3E0F6F5B"/>
    <w:rsid w:val="3E10092B"/>
    <w:rsid w:val="3E135D25"/>
    <w:rsid w:val="3E151A9D"/>
    <w:rsid w:val="3E155F41"/>
    <w:rsid w:val="3E157CEF"/>
    <w:rsid w:val="3E167563"/>
    <w:rsid w:val="3E170D7D"/>
    <w:rsid w:val="3E1723C3"/>
    <w:rsid w:val="3E175815"/>
    <w:rsid w:val="3E192DA2"/>
    <w:rsid w:val="3E1A5306"/>
    <w:rsid w:val="3E1B1B0E"/>
    <w:rsid w:val="3E1B21D4"/>
    <w:rsid w:val="3E1B7603"/>
    <w:rsid w:val="3E1B7C8C"/>
    <w:rsid w:val="3E1C26FC"/>
    <w:rsid w:val="3E1F0B6E"/>
    <w:rsid w:val="3E1F291C"/>
    <w:rsid w:val="3E216694"/>
    <w:rsid w:val="3E23065E"/>
    <w:rsid w:val="3E240530"/>
    <w:rsid w:val="3E241CE0"/>
    <w:rsid w:val="3E264182"/>
    <w:rsid w:val="3E270777"/>
    <w:rsid w:val="3E281B36"/>
    <w:rsid w:val="3E29379B"/>
    <w:rsid w:val="3E2B12C1"/>
    <w:rsid w:val="3E2B7513"/>
    <w:rsid w:val="3E2D328B"/>
    <w:rsid w:val="3E2E2B5F"/>
    <w:rsid w:val="3E2E5F95"/>
    <w:rsid w:val="3E2E7003"/>
    <w:rsid w:val="3E304B29"/>
    <w:rsid w:val="3E3076D3"/>
    <w:rsid w:val="3E3143FD"/>
    <w:rsid w:val="3E32264F"/>
    <w:rsid w:val="3E3363C7"/>
    <w:rsid w:val="3E344619"/>
    <w:rsid w:val="3E350391"/>
    <w:rsid w:val="3E371A14"/>
    <w:rsid w:val="3E375EB7"/>
    <w:rsid w:val="3E38578C"/>
    <w:rsid w:val="3E391AAE"/>
    <w:rsid w:val="3E3A59A8"/>
    <w:rsid w:val="3E3A6BED"/>
    <w:rsid w:val="3E3C1720"/>
    <w:rsid w:val="3E3C386B"/>
    <w:rsid w:val="3E3C527C"/>
    <w:rsid w:val="3E3D0EE5"/>
    <w:rsid w:val="3E3D0FF4"/>
    <w:rsid w:val="3E3D2E1E"/>
    <w:rsid w:val="3E3E013F"/>
    <w:rsid w:val="3E3E7246"/>
    <w:rsid w:val="3E4203B8"/>
    <w:rsid w:val="3E4405D4"/>
    <w:rsid w:val="3E4413E0"/>
    <w:rsid w:val="3E442382"/>
    <w:rsid w:val="3E444130"/>
    <w:rsid w:val="3E4668D1"/>
    <w:rsid w:val="3E466B4F"/>
    <w:rsid w:val="3E467EA9"/>
    <w:rsid w:val="3E474961"/>
    <w:rsid w:val="3E4800C5"/>
    <w:rsid w:val="3E495BEB"/>
    <w:rsid w:val="3E497999"/>
    <w:rsid w:val="3E4A28BC"/>
    <w:rsid w:val="3E4C4366"/>
    <w:rsid w:val="3E4E3201"/>
    <w:rsid w:val="3E4E4FAF"/>
    <w:rsid w:val="3E4F64F3"/>
    <w:rsid w:val="3E500D27"/>
    <w:rsid w:val="3E506F79"/>
    <w:rsid w:val="3E540005"/>
    <w:rsid w:val="3E546A69"/>
    <w:rsid w:val="3E5500EC"/>
    <w:rsid w:val="3E554590"/>
    <w:rsid w:val="3E55633E"/>
    <w:rsid w:val="3E570308"/>
    <w:rsid w:val="3E5A1BA6"/>
    <w:rsid w:val="3E5A3606"/>
    <w:rsid w:val="3E5B1D8E"/>
    <w:rsid w:val="3E5C147A"/>
    <w:rsid w:val="3E5C591E"/>
    <w:rsid w:val="3E5D36C8"/>
    <w:rsid w:val="3E5E3444"/>
    <w:rsid w:val="3E5F540E"/>
    <w:rsid w:val="3E5F5FE8"/>
    <w:rsid w:val="3E602049"/>
    <w:rsid w:val="3E602FB4"/>
    <w:rsid w:val="3E611186"/>
    <w:rsid w:val="3E612F34"/>
    <w:rsid w:val="3E636CAD"/>
    <w:rsid w:val="3E642A25"/>
    <w:rsid w:val="3E6447D3"/>
    <w:rsid w:val="3E646581"/>
    <w:rsid w:val="3E6622F9"/>
    <w:rsid w:val="3E677D82"/>
    <w:rsid w:val="3E6842C3"/>
    <w:rsid w:val="3E691DE9"/>
    <w:rsid w:val="3E693B97"/>
    <w:rsid w:val="3E6A003B"/>
    <w:rsid w:val="3E6A79D4"/>
    <w:rsid w:val="3E6B3DB3"/>
    <w:rsid w:val="3E6C6EAB"/>
    <w:rsid w:val="3E6D18D9"/>
    <w:rsid w:val="3E6D3687"/>
    <w:rsid w:val="3E6F5651"/>
    <w:rsid w:val="3E7013C9"/>
    <w:rsid w:val="3E703177"/>
    <w:rsid w:val="3E727235"/>
    <w:rsid w:val="3E734A16"/>
    <w:rsid w:val="3E740EBA"/>
    <w:rsid w:val="3E75078E"/>
    <w:rsid w:val="3E75253C"/>
    <w:rsid w:val="3E762CD2"/>
    <w:rsid w:val="3E772758"/>
    <w:rsid w:val="3E774506"/>
    <w:rsid w:val="3E781495"/>
    <w:rsid w:val="3E78202C"/>
    <w:rsid w:val="3E786B8F"/>
    <w:rsid w:val="3E7A2248"/>
    <w:rsid w:val="3E7A2BF0"/>
    <w:rsid w:val="3E7A3FF6"/>
    <w:rsid w:val="3E7B70C5"/>
    <w:rsid w:val="3E7C1B1C"/>
    <w:rsid w:val="3E7C69A0"/>
    <w:rsid w:val="3E7D1571"/>
    <w:rsid w:val="3E7E3AE6"/>
    <w:rsid w:val="3E7E5894"/>
    <w:rsid w:val="3E7E7642"/>
    <w:rsid w:val="3E7F33BB"/>
    <w:rsid w:val="3E80785E"/>
    <w:rsid w:val="3E810EE1"/>
    <w:rsid w:val="3E8135D7"/>
    <w:rsid w:val="3E822812"/>
    <w:rsid w:val="3E825452"/>
    <w:rsid w:val="3E832EAB"/>
    <w:rsid w:val="3E834C59"/>
    <w:rsid w:val="3E8409D1"/>
    <w:rsid w:val="3E846873"/>
    <w:rsid w:val="3E8751F4"/>
    <w:rsid w:val="3E876A24"/>
    <w:rsid w:val="3E877EFE"/>
    <w:rsid w:val="3E8804C1"/>
    <w:rsid w:val="3E8811DA"/>
    <w:rsid w:val="3E88226F"/>
    <w:rsid w:val="3E8901F6"/>
    <w:rsid w:val="3E894239"/>
    <w:rsid w:val="3E897B14"/>
    <w:rsid w:val="3E8B1D5F"/>
    <w:rsid w:val="3E8B2434"/>
    <w:rsid w:val="3E8B7FB1"/>
    <w:rsid w:val="3E8D1F7B"/>
    <w:rsid w:val="3E8D3D29"/>
    <w:rsid w:val="3E8D5AD7"/>
    <w:rsid w:val="3E8E0DB5"/>
    <w:rsid w:val="3E8F1850"/>
    <w:rsid w:val="3E8F7AA2"/>
    <w:rsid w:val="3E90381A"/>
    <w:rsid w:val="3E9162A6"/>
    <w:rsid w:val="3E9230EE"/>
    <w:rsid w:val="3E927592"/>
    <w:rsid w:val="3E936F17"/>
    <w:rsid w:val="3E946E66"/>
    <w:rsid w:val="3E950E30"/>
    <w:rsid w:val="3E952BDE"/>
    <w:rsid w:val="3E962118"/>
    <w:rsid w:val="3E976956"/>
    <w:rsid w:val="3E98013E"/>
    <w:rsid w:val="3E986179"/>
    <w:rsid w:val="3E9914A8"/>
    <w:rsid w:val="3E993812"/>
    <w:rsid w:val="3E9A01F4"/>
    <w:rsid w:val="3E9B4698"/>
    <w:rsid w:val="3E9C1829"/>
    <w:rsid w:val="3E9E4E87"/>
    <w:rsid w:val="3E9E7CE5"/>
    <w:rsid w:val="3EA006FD"/>
    <w:rsid w:val="3EA01CAF"/>
    <w:rsid w:val="3EA03A5D"/>
    <w:rsid w:val="3EA13331"/>
    <w:rsid w:val="3EA206BB"/>
    <w:rsid w:val="3EA3354D"/>
    <w:rsid w:val="3EA456E7"/>
    <w:rsid w:val="3EA572C5"/>
    <w:rsid w:val="3EA6303D"/>
    <w:rsid w:val="3EA64DEB"/>
    <w:rsid w:val="3EA66B99"/>
    <w:rsid w:val="3EA6703C"/>
    <w:rsid w:val="3EA73CCD"/>
    <w:rsid w:val="3EA80B63"/>
    <w:rsid w:val="3EA83E25"/>
    <w:rsid w:val="3EA8452D"/>
    <w:rsid w:val="3EA93905"/>
    <w:rsid w:val="3EA97A31"/>
    <w:rsid w:val="3EAB0654"/>
    <w:rsid w:val="3EAB41B0"/>
    <w:rsid w:val="3EAD43CC"/>
    <w:rsid w:val="3EAD4D9F"/>
    <w:rsid w:val="3EAD617A"/>
    <w:rsid w:val="3EAE5A4E"/>
    <w:rsid w:val="3EB017C6"/>
    <w:rsid w:val="3EB2553E"/>
    <w:rsid w:val="3EB412B6"/>
    <w:rsid w:val="3EB50271"/>
    <w:rsid w:val="3EB50C97"/>
    <w:rsid w:val="3EB5502E"/>
    <w:rsid w:val="3EB70DA6"/>
    <w:rsid w:val="3EB72B54"/>
    <w:rsid w:val="3EB72C41"/>
    <w:rsid w:val="3EB76FF8"/>
    <w:rsid w:val="3EB96BF2"/>
    <w:rsid w:val="3EBA2645"/>
    <w:rsid w:val="3EBC016B"/>
    <w:rsid w:val="3EBE2135"/>
    <w:rsid w:val="3EBF1A09"/>
    <w:rsid w:val="3EC040FF"/>
    <w:rsid w:val="3EC139D3"/>
    <w:rsid w:val="3EC32875"/>
    <w:rsid w:val="3EC3599D"/>
    <w:rsid w:val="3EC413AC"/>
    <w:rsid w:val="3EC43D05"/>
    <w:rsid w:val="3EC51715"/>
    <w:rsid w:val="3EC62D97"/>
    <w:rsid w:val="3EC6723B"/>
    <w:rsid w:val="3EC80982"/>
    <w:rsid w:val="3EC82FB3"/>
    <w:rsid w:val="3EC83B16"/>
    <w:rsid w:val="3EC86B10"/>
    <w:rsid w:val="3EC94364"/>
    <w:rsid w:val="3EC95C2B"/>
    <w:rsid w:val="3ECA6D2C"/>
    <w:rsid w:val="3ECB0200"/>
    <w:rsid w:val="3ECB6600"/>
    <w:rsid w:val="3ECB73CB"/>
    <w:rsid w:val="3ECC2AA4"/>
    <w:rsid w:val="3ECD05CA"/>
    <w:rsid w:val="3ECE6247"/>
    <w:rsid w:val="3ECF4342"/>
    <w:rsid w:val="3ED03C16"/>
    <w:rsid w:val="3ED100BA"/>
    <w:rsid w:val="3ED15410"/>
    <w:rsid w:val="3ED16309"/>
    <w:rsid w:val="3ED23E32"/>
    <w:rsid w:val="3ED25BE0"/>
    <w:rsid w:val="3ED41958"/>
    <w:rsid w:val="3ED5122D"/>
    <w:rsid w:val="3ED6747E"/>
    <w:rsid w:val="3ED71449"/>
    <w:rsid w:val="3ED7217B"/>
    <w:rsid w:val="3ED74FA5"/>
    <w:rsid w:val="3ED855D4"/>
    <w:rsid w:val="3EDA6843"/>
    <w:rsid w:val="3EDB2CE7"/>
    <w:rsid w:val="3EDC084B"/>
    <w:rsid w:val="3EDC25BB"/>
    <w:rsid w:val="3EDC5030"/>
    <w:rsid w:val="3EDE4585"/>
    <w:rsid w:val="3EDE5D3C"/>
    <w:rsid w:val="3EDE6333"/>
    <w:rsid w:val="3EDF090D"/>
    <w:rsid w:val="3EE002FD"/>
    <w:rsid w:val="3EE06168"/>
    <w:rsid w:val="3EE14075"/>
    <w:rsid w:val="3EE15E23"/>
    <w:rsid w:val="3EE26D63"/>
    <w:rsid w:val="3EE2728E"/>
    <w:rsid w:val="3EE3071E"/>
    <w:rsid w:val="3EE31B9B"/>
    <w:rsid w:val="3EE37DED"/>
    <w:rsid w:val="3EE47657"/>
    <w:rsid w:val="3EE576C2"/>
    <w:rsid w:val="3EE6343A"/>
    <w:rsid w:val="3EE87285"/>
    <w:rsid w:val="3EE93306"/>
    <w:rsid w:val="3EEA117C"/>
    <w:rsid w:val="3EEA4CD8"/>
    <w:rsid w:val="3EEA72D9"/>
    <w:rsid w:val="3EEB39D5"/>
    <w:rsid w:val="3EEC4EF4"/>
    <w:rsid w:val="3EEC6C46"/>
    <w:rsid w:val="3EEC6CA2"/>
    <w:rsid w:val="3EED2A1A"/>
    <w:rsid w:val="3EEE5831"/>
    <w:rsid w:val="3EEE7CC6"/>
    <w:rsid w:val="3EEF22EE"/>
    <w:rsid w:val="3EF05B7B"/>
    <w:rsid w:val="3EF115E1"/>
    <w:rsid w:val="3EF1250A"/>
    <w:rsid w:val="3EF20030"/>
    <w:rsid w:val="3EF21DDE"/>
    <w:rsid w:val="3EF25FA6"/>
    <w:rsid w:val="3EF26282"/>
    <w:rsid w:val="3EF350CD"/>
    <w:rsid w:val="3EF43DA9"/>
    <w:rsid w:val="3EF45B57"/>
    <w:rsid w:val="3EF4622D"/>
    <w:rsid w:val="3EF47905"/>
    <w:rsid w:val="3EF5367D"/>
    <w:rsid w:val="3EF55704"/>
    <w:rsid w:val="3EF67B21"/>
    <w:rsid w:val="3EF76BEA"/>
    <w:rsid w:val="3EF94F1B"/>
    <w:rsid w:val="3EFB6EE5"/>
    <w:rsid w:val="3EFC4A0B"/>
    <w:rsid w:val="3EFE69D5"/>
    <w:rsid w:val="3F0044FB"/>
    <w:rsid w:val="3F0057A8"/>
    <w:rsid w:val="3F0062A9"/>
    <w:rsid w:val="3F0110BB"/>
    <w:rsid w:val="3F0110D6"/>
    <w:rsid w:val="3F012022"/>
    <w:rsid w:val="3F02354F"/>
    <w:rsid w:val="3F035D9A"/>
    <w:rsid w:val="3F035DD0"/>
    <w:rsid w:val="3F051B12"/>
    <w:rsid w:val="3F057D64"/>
    <w:rsid w:val="3F06588A"/>
    <w:rsid w:val="3F067638"/>
    <w:rsid w:val="3F087854"/>
    <w:rsid w:val="3F0A537A"/>
    <w:rsid w:val="3F0C1519"/>
    <w:rsid w:val="3F1104B7"/>
    <w:rsid w:val="3F12422F"/>
    <w:rsid w:val="3F125FDD"/>
    <w:rsid w:val="3F136CC1"/>
    <w:rsid w:val="3F141D55"/>
    <w:rsid w:val="3F147FA7"/>
    <w:rsid w:val="3F15309C"/>
    <w:rsid w:val="3F160C14"/>
    <w:rsid w:val="3F160DD8"/>
    <w:rsid w:val="3F161F71"/>
    <w:rsid w:val="3F1623FD"/>
    <w:rsid w:val="3F1635AD"/>
    <w:rsid w:val="3F163D1F"/>
    <w:rsid w:val="3F164A3D"/>
    <w:rsid w:val="3F17040E"/>
    <w:rsid w:val="3F171845"/>
    <w:rsid w:val="3F1735F3"/>
    <w:rsid w:val="3F175685"/>
    <w:rsid w:val="3F19380F"/>
    <w:rsid w:val="3F1958EE"/>
    <w:rsid w:val="3F19736B"/>
    <w:rsid w:val="3F197770"/>
    <w:rsid w:val="3F1C08AF"/>
    <w:rsid w:val="3F1C50AD"/>
    <w:rsid w:val="3F1D716E"/>
    <w:rsid w:val="3F1E0E25"/>
    <w:rsid w:val="3F1E4982"/>
    <w:rsid w:val="3F1F7AF9"/>
    <w:rsid w:val="3F2006FA"/>
    <w:rsid w:val="3F20694C"/>
    <w:rsid w:val="3F220916"/>
    <w:rsid w:val="3F222FE0"/>
    <w:rsid w:val="3F226A58"/>
    <w:rsid w:val="3F2301EA"/>
    <w:rsid w:val="3F235AF6"/>
    <w:rsid w:val="3F23643C"/>
    <w:rsid w:val="3F244D49"/>
    <w:rsid w:val="3F255D10"/>
    <w:rsid w:val="3F281CA4"/>
    <w:rsid w:val="3F282E33"/>
    <w:rsid w:val="3F2902E2"/>
    <w:rsid w:val="3F2A1578"/>
    <w:rsid w:val="3F2A5A1C"/>
    <w:rsid w:val="3F2A77CA"/>
    <w:rsid w:val="3F2B709E"/>
    <w:rsid w:val="3F2C3542"/>
    <w:rsid w:val="3F2F62AB"/>
    <w:rsid w:val="3F2F6B8F"/>
    <w:rsid w:val="3F300D14"/>
    <w:rsid w:val="3F3109A9"/>
    <w:rsid w:val="3F311645"/>
    <w:rsid w:val="3F312907"/>
    <w:rsid w:val="3F3146B5"/>
    <w:rsid w:val="3F3348D1"/>
    <w:rsid w:val="3F3360DA"/>
    <w:rsid w:val="3F3441A5"/>
    <w:rsid w:val="3F375A43"/>
    <w:rsid w:val="3F3917BB"/>
    <w:rsid w:val="3F397A0D"/>
    <w:rsid w:val="3F3B19D7"/>
    <w:rsid w:val="3F3C12AC"/>
    <w:rsid w:val="3F3D5750"/>
    <w:rsid w:val="3F3E3276"/>
    <w:rsid w:val="3F3E429E"/>
    <w:rsid w:val="3F3E5024"/>
    <w:rsid w:val="3F407CAA"/>
    <w:rsid w:val="3F422D66"/>
    <w:rsid w:val="3F423DD6"/>
    <w:rsid w:val="3F43263A"/>
    <w:rsid w:val="3F446ADE"/>
    <w:rsid w:val="3F45637A"/>
    <w:rsid w:val="3F482555"/>
    <w:rsid w:val="3F485A1E"/>
    <w:rsid w:val="3F4A5777"/>
    <w:rsid w:val="3F4B6AEF"/>
    <w:rsid w:val="3F4C5993"/>
    <w:rsid w:val="3F4C7741"/>
    <w:rsid w:val="3F4D5267"/>
    <w:rsid w:val="3F4D5963"/>
    <w:rsid w:val="3F4E170B"/>
    <w:rsid w:val="3F4E17A1"/>
    <w:rsid w:val="3F4E22AE"/>
    <w:rsid w:val="3F4F5483"/>
    <w:rsid w:val="3F4F6EA2"/>
    <w:rsid w:val="3F514D57"/>
    <w:rsid w:val="3F542A99"/>
    <w:rsid w:val="3F544847"/>
    <w:rsid w:val="3F546091"/>
    <w:rsid w:val="3F5465F5"/>
    <w:rsid w:val="3F566811"/>
    <w:rsid w:val="3F584B3C"/>
    <w:rsid w:val="3F5B5BD6"/>
    <w:rsid w:val="3F5B7984"/>
    <w:rsid w:val="3F5D36FC"/>
    <w:rsid w:val="3F5D4F76"/>
    <w:rsid w:val="3F5D679C"/>
    <w:rsid w:val="3F5F1E50"/>
    <w:rsid w:val="3F6031EC"/>
    <w:rsid w:val="3F604F9A"/>
    <w:rsid w:val="3F6321EA"/>
    <w:rsid w:val="3F632CDC"/>
    <w:rsid w:val="3F636838"/>
    <w:rsid w:val="3F650802"/>
    <w:rsid w:val="3F656A54"/>
    <w:rsid w:val="3F666DF4"/>
    <w:rsid w:val="3F6727CC"/>
    <w:rsid w:val="3F6A5E19"/>
    <w:rsid w:val="3F6A7BC7"/>
    <w:rsid w:val="3F6C1B91"/>
    <w:rsid w:val="3F6C393F"/>
    <w:rsid w:val="3F6E3B5B"/>
    <w:rsid w:val="3F6F1681"/>
    <w:rsid w:val="3F6F342F"/>
    <w:rsid w:val="3F703557"/>
    <w:rsid w:val="3F715648"/>
    <w:rsid w:val="3F731171"/>
    <w:rsid w:val="3F732F1F"/>
    <w:rsid w:val="3F743FC9"/>
    <w:rsid w:val="3F760C61"/>
    <w:rsid w:val="3F762A0F"/>
    <w:rsid w:val="3F765B43"/>
    <w:rsid w:val="3F770378"/>
    <w:rsid w:val="3F781442"/>
    <w:rsid w:val="3F785577"/>
    <w:rsid w:val="3F7A3E2D"/>
    <w:rsid w:val="3F7B1DD4"/>
    <w:rsid w:val="3F7D3D9E"/>
    <w:rsid w:val="3F7D5FA6"/>
    <w:rsid w:val="3F7E18C4"/>
    <w:rsid w:val="3F7E650B"/>
    <w:rsid w:val="3F7F10DC"/>
    <w:rsid w:val="3F7F7B16"/>
    <w:rsid w:val="3F8165CD"/>
    <w:rsid w:val="3F8213B4"/>
    <w:rsid w:val="3F823162"/>
    <w:rsid w:val="3F827606"/>
    <w:rsid w:val="3F830C89"/>
    <w:rsid w:val="3F833221"/>
    <w:rsid w:val="3F836EDA"/>
    <w:rsid w:val="3F852C53"/>
    <w:rsid w:val="3F854A01"/>
    <w:rsid w:val="3F870779"/>
    <w:rsid w:val="3F892743"/>
    <w:rsid w:val="3F8A2017"/>
    <w:rsid w:val="3F8A64BB"/>
    <w:rsid w:val="3F8C2233"/>
    <w:rsid w:val="3F8C5D8F"/>
    <w:rsid w:val="3F9335C1"/>
    <w:rsid w:val="3F93711E"/>
    <w:rsid w:val="3F95226A"/>
    <w:rsid w:val="3F965ED3"/>
    <w:rsid w:val="3F975C22"/>
    <w:rsid w:val="3F9904AC"/>
    <w:rsid w:val="3F993190"/>
    <w:rsid w:val="3F994854"/>
    <w:rsid w:val="3F9966FE"/>
    <w:rsid w:val="3F9A08A2"/>
    <w:rsid w:val="3F9A45A3"/>
    <w:rsid w:val="3F9A4950"/>
    <w:rsid w:val="3F9A7A82"/>
    <w:rsid w:val="3F9B06C8"/>
    <w:rsid w:val="3F9B2476"/>
    <w:rsid w:val="3F9B538A"/>
    <w:rsid w:val="3F9B5FD2"/>
    <w:rsid w:val="3F9E437E"/>
    <w:rsid w:val="3F9F3D14"/>
    <w:rsid w:val="3F9F6F85"/>
    <w:rsid w:val="3FA36D96"/>
    <w:rsid w:val="3FA41967"/>
    <w:rsid w:val="3FA532F5"/>
    <w:rsid w:val="3FA5392F"/>
    <w:rsid w:val="3FA70E1B"/>
    <w:rsid w:val="3FA7706D"/>
    <w:rsid w:val="3FA94B93"/>
    <w:rsid w:val="3FAA090B"/>
    <w:rsid w:val="3FAA4467"/>
    <w:rsid w:val="3FAC6431"/>
    <w:rsid w:val="3FAE21A9"/>
    <w:rsid w:val="3FAF7CCF"/>
    <w:rsid w:val="3FB05F21"/>
    <w:rsid w:val="3FB13A48"/>
    <w:rsid w:val="3FB2485B"/>
    <w:rsid w:val="3FB253FB"/>
    <w:rsid w:val="3FB3156E"/>
    <w:rsid w:val="3FB47094"/>
    <w:rsid w:val="3FB543FD"/>
    <w:rsid w:val="3FB62E0C"/>
    <w:rsid w:val="3FB86B84"/>
    <w:rsid w:val="3FBA0B4E"/>
    <w:rsid w:val="3FBB3638"/>
    <w:rsid w:val="3FBB6674"/>
    <w:rsid w:val="3FBD063E"/>
    <w:rsid w:val="3FBD23EC"/>
    <w:rsid w:val="3FBE7F13"/>
    <w:rsid w:val="3FBF4E2E"/>
    <w:rsid w:val="3FBF5AEA"/>
    <w:rsid w:val="3FC03C8B"/>
    <w:rsid w:val="3FC10E8F"/>
    <w:rsid w:val="3FC16416"/>
    <w:rsid w:val="3FC165DA"/>
    <w:rsid w:val="3FC217B1"/>
    <w:rsid w:val="3FC27A03"/>
    <w:rsid w:val="3FC574F3"/>
    <w:rsid w:val="3FC62130"/>
    <w:rsid w:val="3FC6325B"/>
    <w:rsid w:val="3FC63871"/>
    <w:rsid w:val="3FC65745"/>
    <w:rsid w:val="3FC714BD"/>
    <w:rsid w:val="3FC7326B"/>
    <w:rsid w:val="3FC73D34"/>
    <w:rsid w:val="3FC76DC7"/>
    <w:rsid w:val="3FC83389"/>
    <w:rsid w:val="3FC90D91"/>
    <w:rsid w:val="3FCB23DC"/>
    <w:rsid w:val="3FCB250F"/>
    <w:rsid w:val="3FCB2D5B"/>
    <w:rsid w:val="3FCB7FC3"/>
    <w:rsid w:val="3FCC0881"/>
    <w:rsid w:val="3FCC33C2"/>
    <w:rsid w:val="3FCC6AD3"/>
    <w:rsid w:val="3FCC75A7"/>
    <w:rsid w:val="3FCE2E2C"/>
    <w:rsid w:val="3FCE63A8"/>
    <w:rsid w:val="3FCF2120"/>
    <w:rsid w:val="3FD029F0"/>
    <w:rsid w:val="3FD117C2"/>
    <w:rsid w:val="3FD31C10"/>
    <w:rsid w:val="3FD339BE"/>
    <w:rsid w:val="3FD56F91"/>
    <w:rsid w:val="3FD61700"/>
    <w:rsid w:val="3FD85478"/>
    <w:rsid w:val="3FD87226"/>
    <w:rsid w:val="3FDA2F9E"/>
    <w:rsid w:val="3FDC0668"/>
    <w:rsid w:val="3FDC5A97"/>
    <w:rsid w:val="3FDD2A8F"/>
    <w:rsid w:val="3FDD483D"/>
    <w:rsid w:val="3FDE2F88"/>
    <w:rsid w:val="3FDF2363"/>
    <w:rsid w:val="3FE01EB5"/>
    <w:rsid w:val="3FE07E89"/>
    <w:rsid w:val="3FE16D38"/>
    <w:rsid w:val="3FE21E53"/>
    <w:rsid w:val="3FE37076"/>
    <w:rsid w:val="3FE47979"/>
    <w:rsid w:val="3FE51248"/>
    <w:rsid w:val="3FE61C22"/>
    <w:rsid w:val="3FE931E1"/>
    <w:rsid w:val="3FE94F8F"/>
    <w:rsid w:val="3FEA0D08"/>
    <w:rsid w:val="3FEB29BB"/>
    <w:rsid w:val="3FEB5E51"/>
    <w:rsid w:val="3FEC0F24"/>
    <w:rsid w:val="3FEC4515"/>
    <w:rsid w:val="3FEF631E"/>
    <w:rsid w:val="3FF102E8"/>
    <w:rsid w:val="3FF12096"/>
    <w:rsid w:val="3FF12300"/>
    <w:rsid w:val="3FF25F97"/>
    <w:rsid w:val="3FF322B2"/>
    <w:rsid w:val="3FF34060"/>
    <w:rsid w:val="3FF676AC"/>
    <w:rsid w:val="3FF73B50"/>
    <w:rsid w:val="3FF878C8"/>
    <w:rsid w:val="3FFA53EF"/>
    <w:rsid w:val="3FFB2F15"/>
    <w:rsid w:val="3FFB49A4"/>
    <w:rsid w:val="3FFC1167"/>
    <w:rsid w:val="3FFC5081"/>
    <w:rsid w:val="3FFD0A3B"/>
    <w:rsid w:val="3FFD655E"/>
    <w:rsid w:val="3FFE0E31"/>
    <w:rsid w:val="3FFE2572"/>
    <w:rsid w:val="3FFF22C1"/>
    <w:rsid w:val="3FFF2A05"/>
    <w:rsid w:val="3FFF47B3"/>
    <w:rsid w:val="400022D9"/>
    <w:rsid w:val="40016322"/>
    <w:rsid w:val="4001677D"/>
    <w:rsid w:val="400242A3"/>
    <w:rsid w:val="40026051"/>
    <w:rsid w:val="40030C42"/>
    <w:rsid w:val="40041DC9"/>
    <w:rsid w:val="40050660"/>
    <w:rsid w:val="40055B41"/>
    <w:rsid w:val="40061FE5"/>
    <w:rsid w:val="40077B0C"/>
    <w:rsid w:val="40081DC6"/>
    <w:rsid w:val="40095632"/>
    <w:rsid w:val="40097685"/>
    <w:rsid w:val="400A73D4"/>
    <w:rsid w:val="400B1FA5"/>
    <w:rsid w:val="400B75FC"/>
    <w:rsid w:val="400C0C7E"/>
    <w:rsid w:val="400C6ED0"/>
    <w:rsid w:val="400D48C5"/>
    <w:rsid w:val="400D6006"/>
    <w:rsid w:val="400E0E9A"/>
    <w:rsid w:val="40103246"/>
    <w:rsid w:val="40104C12"/>
    <w:rsid w:val="4012098A"/>
    <w:rsid w:val="40132BD6"/>
    <w:rsid w:val="40144798"/>
    <w:rsid w:val="40152228"/>
    <w:rsid w:val="40182413"/>
    <w:rsid w:val="401A4C6E"/>
    <w:rsid w:val="401A783F"/>
    <w:rsid w:val="401B0359"/>
    <w:rsid w:val="401C35B7"/>
    <w:rsid w:val="401C5365"/>
    <w:rsid w:val="401D10DD"/>
    <w:rsid w:val="401D2E8B"/>
    <w:rsid w:val="401F4E55"/>
    <w:rsid w:val="402008D3"/>
    <w:rsid w:val="4021297B"/>
    <w:rsid w:val="402204A1"/>
    <w:rsid w:val="4022565B"/>
    <w:rsid w:val="402266F3"/>
    <w:rsid w:val="40235567"/>
    <w:rsid w:val="402361A5"/>
    <w:rsid w:val="402406BD"/>
    <w:rsid w:val="40250E1A"/>
    <w:rsid w:val="40251D40"/>
    <w:rsid w:val="402661E4"/>
    <w:rsid w:val="40271F5C"/>
    <w:rsid w:val="40272C0E"/>
    <w:rsid w:val="40291830"/>
    <w:rsid w:val="4029552E"/>
    <w:rsid w:val="40295CD4"/>
    <w:rsid w:val="402A4C8A"/>
    <w:rsid w:val="402B1A4C"/>
    <w:rsid w:val="402B55A8"/>
    <w:rsid w:val="402C12DE"/>
    <w:rsid w:val="402C2A1F"/>
    <w:rsid w:val="402C737E"/>
    <w:rsid w:val="402D7572"/>
    <w:rsid w:val="402E695E"/>
    <w:rsid w:val="402E6E46"/>
    <w:rsid w:val="402E7F0F"/>
    <w:rsid w:val="402F0894"/>
    <w:rsid w:val="40302BBE"/>
    <w:rsid w:val="403059BB"/>
    <w:rsid w:val="40316936"/>
    <w:rsid w:val="40322DDA"/>
    <w:rsid w:val="40324B88"/>
    <w:rsid w:val="40330901"/>
    <w:rsid w:val="403501D5"/>
    <w:rsid w:val="40353AD0"/>
    <w:rsid w:val="40362C79"/>
    <w:rsid w:val="403666A1"/>
    <w:rsid w:val="40384169"/>
    <w:rsid w:val="403944D9"/>
    <w:rsid w:val="40396DBD"/>
    <w:rsid w:val="403A57EB"/>
    <w:rsid w:val="403B1563"/>
    <w:rsid w:val="403E177F"/>
    <w:rsid w:val="403F72A5"/>
    <w:rsid w:val="40424C44"/>
    <w:rsid w:val="40436D96"/>
    <w:rsid w:val="40442B0E"/>
    <w:rsid w:val="404448BC"/>
    <w:rsid w:val="4044666A"/>
    <w:rsid w:val="40460634"/>
    <w:rsid w:val="40477F08"/>
    <w:rsid w:val="40490124"/>
    <w:rsid w:val="40495F63"/>
    <w:rsid w:val="404A5FA7"/>
    <w:rsid w:val="404C3770"/>
    <w:rsid w:val="404C539D"/>
    <w:rsid w:val="404D1C08"/>
    <w:rsid w:val="404E573A"/>
    <w:rsid w:val="40503261"/>
    <w:rsid w:val="405368AD"/>
    <w:rsid w:val="40550877"/>
    <w:rsid w:val="40552625"/>
    <w:rsid w:val="405560D9"/>
    <w:rsid w:val="4056454A"/>
    <w:rsid w:val="405673EB"/>
    <w:rsid w:val="40591A3B"/>
    <w:rsid w:val="405A40DF"/>
    <w:rsid w:val="405A5E8D"/>
    <w:rsid w:val="405B6F2C"/>
    <w:rsid w:val="405C3425"/>
    <w:rsid w:val="405C7E57"/>
    <w:rsid w:val="405D597D"/>
    <w:rsid w:val="405E3BCF"/>
    <w:rsid w:val="405E48B5"/>
    <w:rsid w:val="406001CD"/>
    <w:rsid w:val="40610FCA"/>
    <w:rsid w:val="406125C6"/>
    <w:rsid w:val="4061546E"/>
    <w:rsid w:val="40622AED"/>
    <w:rsid w:val="40632F94"/>
    <w:rsid w:val="40642868"/>
    <w:rsid w:val="40652BAF"/>
    <w:rsid w:val="40662A84"/>
    <w:rsid w:val="40666260"/>
    <w:rsid w:val="406805AA"/>
    <w:rsid w:val="40692574"/>
    <w:rsid w:val="40694322"/>
    <w:rsid w:val="406C497A"/>
    <w:rsid w:val="406C6770"/>
    <w:rsid w:val="406D3E12"/>
    <w:rsid w:val="406E36E7"/>
    <w:rsid w:val="406E5EF3"/>
    <w:rsid w:val="406E7B8B"/>
    <w:rsid w:val="406F6832"/>
    <w:rsid w:val="407056B1"/>
    <w:rsid w:val="4070745F"/>
    <w:rsid w:val="40714F85"/>
    <w:rsid w:val="40722D28"/>
    <w:rsid w:val="40730CFD"/>
    <w:rsid w:val="40734BA6"/>
    <w:rsid w:val="407351B3"/>
    <w:rsid w:val="40736F4F"/>
    <w:rsid w:val="40752CC7"/>
    <w:rsid w:val="407623F3"/>
    <w:rsid w:val="407707ED"/>
    <w:rsid w:val="4077259B"/>
    <w:rsid w:val="40786313"/>
    <w:rsid w:val="407B0424"/>
    <w:rsid w:val="407B4DD5"/>
    <w:rsid w:val="407C79A6"/>
    <w:rsid w:val="407D392A"/>
    <w:rsid w:val="407F6327"/>
    <w:rsid w:val="407F76A2"/>
    <w:rsid w:val="40804E2F"/>
    <w:rsid w:val="4081341A"/>
    <w:rsid w:val="408178BE"/>
    <w:rsid w:val="40833567"/>
    <w:rsid w:val="40843844"/>
    <w:rsid w:val="408465EB"/>
    <w:rsid w:val="40860A30"/>
    <w:rsid w:val="40866C82"/>
    <w:rsid w:val="408829FA"/>
    <w:rsid w:val="408847A8"/>
    <w:rsid w:val="40885F49"/>
    <w:rsid w:val="40896772"/>
    <w:rsid w:val="408B6047"/>
    <w:rsid w:val="408C08A4"/>
    <w:rsid w:val="408D092B"/>
    <w:rsid w:val="408E3D89"/>
    <w:rsid w:val="409018AF"/>
    <w:rsid w:val="409072AC"/>
    <w:rsid w:val="409273D5"/>
    <w:rsid w:val="409475F1"/>
    <w:rsid w:val="40952AB4"/>
    <w:rsid w:val="40954700"/>
    <w:rsid w:val="40966E0C"/>
    <w:rsid w:val="40972C3D"/>
    <w:rsid w:val="409741F1"/>
    <w:rsid w:val="409749EB"/>
    <w:rsid w:val="40985A3E"/>
    <w:rsid w:val="40994C08"/>
    <w:rsid w:val="409A0980"/>
    <w:rsid w:val="409A272E"/>
    <w:rsid w:val="409A44DC"/>
    <w:rsid w:val="409B3943"/>
    <w:rsid w:val="409C0254"/>
    <w:rsid w:val="409C2F01"/>
    <w:rsid w:val="409C326C"/>
    <w:rsid w:val="409C46F8"/>
    <w:rsid w:val="409D5D7A"/>
    <w:rsid w:val="409F1AF2"/>
    <w:rsid w:val="40A0776B"/>
    <w:rsid w:val="40A13ABC"/>
    <w:rsid w:val="40A23390"/>
    <w:rsid w:val="40A31410"/>
    <w:rsid w:val="40A435AC"/>
    <w:rsid w:val="40A4535A"/>
    <w:rsid w:val="40A45BC8"/>
    <w:rsid w:val="40A50042"/>
    <w:rsid w:val="40A5483A"/>
    <w:rsid w:val="40A72962"/>
    <w:rsid w:val="40A86BF9"/>
    <w:rsid w:val="40A87CEF"/>
    <w:rsid w:val="40AA1204"/>
    <w:rsid w:val="40AA62D5"/>
    <w:rsid w:val="40AC3D4A"/>
    <w:rsid w:val="40AD06B3"/>
    <w:rsid w:val="40AD2461"/>
    <w:rsid w:val="40AD420F"/>
    <w:rsid w:val="40AF61D9"/>
    <w:rsid w:val="40B00295"/>
    <w:rsid w:val="40B01F51"/>
    <w:rsid w:val="40B1759F"/>
    <w:rsid w:val="40B25CC9"/>
    <w:rsid w:val="40B32918"/>
    <w:rsid w:val="40B41A41"/>
    <w:rsid w:val="40B437EF"/>
    <w:rsid w:val="40B51316"/>
    <w:rsid w:val="40B530C4"/>
    <w:rsid w:val="40B57568"/>
    <w:rsid w:val="40B732E0"/>
    <w:rsid w:val="40B80747"/>
    <w:rsid w:val="40B8723F"/>
    <w:rsid w:val="40B90E06"/>
    <w:rsid w:val="40B97058"/>
    <w:rsid w:val="40BA4B7E"/>
    <w:rsid w:val="40BA66CD"/>
    <w:rsid w:val="40BA692C"/>
    <w:rsid w:val="40BB2DD0"/>
    <w:rsid w:val="40BC4452"/>
    <w:rsid w:val="40BD2D00"/>
    <w:rsid w:val="40BF2194"/>
    <w:rsid w:val="40BF3F42"/>
    <w:rsid w:val="40C17CBA"/>
    <w:rsid w:val="40C31C84"/>
    <w:rsid w:val="40C559FD"/>
    <w:rsid w:val="40C61775"/>
    <w:rsid w:val="40C63C74"/>
    <w:rsid w:val="40C81580"/>
    <w:rsid w:val="40C8729B"/>
    <w:rsid w:val="40C90989"/>
    <w:rsid w:val="40C96B6F"/>
    <w:rsid w:val="40CB0B39"/>
    <w:rsid w:val="40CB6D8B"/>
    <w:rsid w:val="40CD2B03"/>
    <w:rsid w:val="40D021D3"/>
    <w:rsid w:val="40D043A1"/>
    <w:rsid w:val="40D0614F"/>
    <w:rsid w:val="40D213B5"/>
    <w:rsid w:val="40D43E92"/>
    <w:rsid w:val="40D55396"/>
    <w:rsid w:val="40D559E0"/>
    <w:rsid w:val="40D71D36"/>
    <w:rsid w:val="40D75730"/>
    <w:rsid w:val="40D774DE"/>
    <w:rsid w:val="40D914A8"/>
    <w:rsid w:val="40D93256"/>
    <w:rsid w:val="40D95004"/>
    <w:rsid w:val="40DA0DFA"/>
    <w:rsid w:val="40DC2F59"/>
    <w:rsid w:val="40DE01D3"/>
    <w:rsid w:val="40DE13C5"/>
    <w:rsid w:val="40E02836"/>
    <w:rsid w:val="40E1210B"/>
    <w:rsid w:val="40E13EB9"/>
    <w:rsid w:val="40E55B37"/>
    <w:rsid w:val="40E57E4D"/>
    <w:rsid w:val="40E63BC5"/>
    <w:rsid w:val="40E6526D"/>
    <w:rsid w:val="40E65423"/>
    <w:rsid w:val="40E85247"/>
    <w:rsid w:val="40E90FBF"/>
    <w:rsid w:val="40EA5463"/>
    <w:rsid w:val="40EB2BE8"/>
    <w:rsid w:val="40EB4D37"/>
    <w:rsid w:val="40ED0AAF"/>
    <w:rsid w:val="40EF4827"/>
    <w:rsid w:val="40F0234E"/>
    <w:rsid w:val="40F07A17"/>
    <w:rsid w:val="40F10EA7"/>
    <w:rsid w:val="40F24318"/>
    <w:rsid w:val="40F40090"/>
    <w:rsid w:val="40F505A2"/>
    <w:rsid w:val="40F55BB6"/>
    <w:rsid w:val="40F57964"/>
    <w:rsid w:val="40F778EA"/>
    <w:rsid w:val="40F97454"/>
    <w:rsid w:val="40FA31CC"/>
    <w:rsid w:val="40FA4F7A"/>
    <w:rsid w:val="40FB141E"/>
    <w:rsid w:val="40FC0CF2"/>
    <w:rsid w:val="40FC5196"/>
    <w:rsid w:val="40FD375C"/>
    <w:rsid w:val="40FE4FC8"/>
    <w:rsid w:val="41006A35"/>
    <w:rsid w:val="41010C1D"/>
    <w:rsid w:val="41012A9F"/>
    <w:rsid w:val="4102333F"/>
    <w:rsid w:val="410302D3"/>
    <w:rsid w:val="410323DD"/>
    <w:rsid w:val="41036525"/>
    <w:rsid w:val="410366B2"/>
    <w:rsid w:val="4104731D"/>
    <w:rsid w:val="41056899"/>
    <w:rsid w:val="41061B71"/>
    <w:rsid w:val="41082FAE"/>
    <w:rsid w:val="41083B3B"/>
    <w:rsid w:val="41087697"/>
    <w:rsid w:val="410A1661"/>
    <w:rsid w:val="410A340F"/>
    <w:rsid w:val="410A6241"/>
    <w:rsid w:val="410B7187"/>
    <w:rsid w:val="410C362B"/>
    <w:rsid w:val="410D1152"/>
    <w:rsid w:val="410D2F00"/>
    <w:rsid w:val="410F655E"/>
    <w:rsid w:val="410F79AD"/>
    <w:rsid w:val="411029F0"/>
    <w:rsid w:val="4110479E"/>
    <w:rsid w:val="41111921"/>
    <w:rsid w:val="411424E0"/>
    <w:rsid w:val="4114603C"/>
    <w:rsid w:val="41151DB4"/>
    <w:rsid w:val="41160006"/>
    <w:rsid w:val="411615DD"/>
    <w:rsid w:val="41171FD0"/>
    <w:rsid w:val="41175B2C"/>
    <w:rsid w:val="411A73CB"/>
    <w:rsid w:val="411B386E"/>
    <w:rsid w:val="41200E9D"/>
    <w:rsid w:val="412070D7"/>
    <w:rsid w:val="41210759"/>
    <w:rsid w:val="4124336F"/>
    <w:rsid w:val="41250249"/>
    <w:rsid w:val="41250B35"/>
    <w:rsid w:val="41263FC1"/>
    <w:rsid w:val="41281AE7"/>
    <w:rsid w:val="41287D39"/>
    <w:rsid w:val="412A3AB2"/>
    <w:rsid w:val="412A3C09"/>
    <w:rsid w:val="412B5099"/>
    <w:rsid w:val="412C782A"/>
    <w:rsid w:val="412D35A2"/>
    <w:rsid w:val="412D686F"/>
    <w:rsid w:val="412E0E49"/>
    <w:rsid w:val="412F10C8"/>
    <w:rsid w:val="412F2E76"/>
    <w:rsid w:val="412F661E"/>
    <w:rsid w:val="412F731A"/>
    <w:rsid w:val="41313092"/>
    <w:rsid w:val="41313FE3"/>
    <w:rsid w:val="41322966"/>
    <w:rsid w:val="41326E0A"/>
    <w:rsid w:val="413401E0"/>
    <w:rsid w:val="41350D1C"/>
    <w:rsid w:val="413606A8"/>
    <w:rsid w:val="41390199"/>
    <w:rsid w:val="41393CF5"/>
    <w:rsid w:val="413B32F2"/>
    <w:rsid w:val="413B5CBF"/>
    <w:rsid w:val="413B7A6D"/>
    <w:rsid w:val="413C46BC"/>
    <w:rsid w:val="413D375A"/>
    <w:rsid w:val="413E57AF"/>
    <w:rsid w:val="4140233E"/>
    <w:rsid w:val="414240D0"/>
    <w:rsid w:val="4142704D"/>
    <w:rsid w:val="41432DC5"/>
    <w:rsid w:val="41434B73"/>
    <w:rsid w:val="41436921"/>
    <w:rsid w:val="414508EB"/>
    <w:rsid w:val="41456B3D"/>
    <w:rsid w:val="414601C0"/>
    <w:rsid w:val="41466412"/>
    <w:rsid w:val="4148218A"/>
    <w:rsid w:val="414845C1"/>
    <w:rsid w:val="414A4154"/>
    <w:rsid w:val="414A5F02"/>
    <w:rsid w:val="414C3A28"/>
    <w:rsid w:val="414C56AB"/>
    <w:rsid w:val="414D154E"/>
    <w:rsid w:val="414D59F2"/>
    <w:rsid w:val="414F52C6"/>
    <w:rsid w:val="415015B9"/>
    <w:rsid w:val="41504494"/>
    <w:rsid w:val="4151010C"/>
    <w:rsid w:val="4151103E"/>
    <w:rsid w:val="41517290"/>
    <w:rsid w:val="41523008"/>
    <w:rsid w:val="41524DB6"/>
    <w:rsid w:val="41526B64"/>
    <w:rsid w:val="41546D80"/>
    <w:rsid w:val="41562AF9"/>
    <w:rsid w:val="41586871"/>
    <w:rsid w:val="41597EF3"/>
    <w:rsid w:val="415B010F"/>
    <w:rsid w:val="415D3E87"/>
    <w:rsid w:val="415D6A98"/>
    <w:rsid w:val="415E19AD"/>
    <w:rsid w:val="415E375B"/>
    <w:rsid w:val="415E7BFF"/>
    <w:rsid w:val="415F3F89"/>
    <w:rsid w:val="41601281"/>
    <w:rsid w:val="4162149D"/>
    <w:rsid w:val="41635215"/>
    <w:rsid w:val="41643D9A"/>
    <w:rsid w:val="4165522A"/>
    <w:rsid w:val="41662610"/>
    <w:rsid w:val="41670862"/>
    <w:rsid w:val="416753E9"/>
    <w:rsid w:val="41686388"/>
    <w:rsid w:val="4169281B"/>
    <w:rsid w:val="416A109C"/>
    <w:rsid w:val="416B7C26"/>
    <w:rsid w:val="416C39BC"/>
    <w:rsid w:val="416C40CA"/>
    <w:rsid w:val="416D1BF0"/>
    <w:rsid w:val="416F3BBA"/>
    <w:rsid w:val="416F7716"/>
    <w:rsid w:val="417116E0"/>
    <w:rsid w:val="4171639E"/>
    <w:rsid w:val="41717932"/>
    <w:rsid w:val="41725499"/>
    <w:rsid w:val="41726AFC"/>
    <w:rsid w:val="41735459"/>
    <w:rsid w:val="41742F7F"/>
    <w:rsid w:val="41744D2D"/>
    <w:rsid w:val="41746347"/>
    <w:rsid w:val="41756F59"/>
    <w:rsid w:val="4177481D"/>
    <w:rsid w:val="41780CC1"/>
    <w:rsid w:val="41781F5F"/>
    <w:rsid w:val="4178476C"/>
    <w:rsid w:val="41790595"/>
    <w:rsid w:val="417A3ED0"/>
    <w:rsid w:val="417A5FC0"/>
    <w:rsid w:val="417C5389"/>
    <w:rsid w:val="417D0085"/>
    <w:rsid w:val="417D1C7B"/>
    <w:rsid w:val="417E204F"/>
    <w:rsid w:val="418103E9"/>
    <w:rsid w:val="418227BA"/>
    <w:rsid w:val="41824631"/>
    <w:rsid w:val="41825BE2"/>
    <w:rsid w:val="418331C2"/>
    <w:rsid w:val="41840FC3"/>
    <w:rsid w:val="41847666"/>
    <w:rsid w:val="41850CE8"/>
    <w:rsid w:val="41856F3A"/>
    <w:rsid w:val="41870DB2"/>
    <w:rsid w:val="418A09F4"/>
    <w:rsid w:val="418B6F45"/>
    <w:rsid w:val="418C0847"/>
    <w:rsid w:val="418C2FA6"/>
    <w:rsid w:val="418C651A"/>
    <w:rsid w:val="418E0DEE"/>
    <w:rsid w:val="418F600A"/>
    <w:rsid w:val="41902DB7"/>
    <w:rsid w:val="419158DF"/>
    <w:rsid w:val="41923405"/>
    <w:rsid w:val="41931657"/>
    <w:rsid w:val="41932BA9"/>
    <w:rsid w:val="41962EF5"/>
    <w:rsid w:val="41970A1B"/>
    <w:rsid w:val="419752E7"/>
    <w:rsid w:val="419929E5"/>
    <w:rsid w:val="419A55AA"/>
    <w:rsid w:val="419B52F9"/>
    <w:rsid w:val="419B6A3A"/>
    <w:rsid w:val="419D373A"/>
    <w:rsid w:val="419D4283"/>
    <w:rsid w:val="419E0C8C"/>
    <w:rsid w:val="41A01FC6"/>
    <w:rsid w:val="41A03D74"/>
    <w:rsid w:val="41A05B22"/>
    <w:rsid w:val="41A25D3E"/>
    <w:rsid w:val="41A27AEC"/>
    <w:rsid w:val="41A43864"/>
    <w:rsid w:val="41A526BD"/>
    <w:rsid w:val="41A53138"/>
    <w:rsid w:val="41A660F1"/>
    <w:rsid w:val="41A73354"/>
    <w:rsid w:val="41A75102"/>
    <w:rsid w:val="41A76EB0"/>
    <w:rsid w:val="41A82C28"/>
    <w:rsid w:val="41A872D6"/>
    <w:rsid w:val="41A90E7A"/>
    <w:rsid w:val="41AA074E"/>
    <w:rsid w:val="41AA2E44"/>
    <w:rsid w:val="41AB4DED"/>
    <w:rsid w:val="41AB652E"/>
    <w:rsid w:val="41AC096A"/>
    <w:rsid w:val="41AC627D"/>
    <w:rsid w:val="41AE13E5"/>
    <w:rsid w:val="41AE6491"/>
    <w:rsid w:val="41AF1D77"/>
    <w:rsid w:val="41AF3FB7"/>
    <w:rsid w:val="41B31CF9"/>
    <w:rsid w:val="41B33AA7"/>
    <w:rsid w:val="41B415CD"/>
    <w:rsid w:val="41B63597"/>
    <w:rsid w:val="41B8730F"/>
    <w:rsid w:val="41B873F1"/>
    <w:rsid w:val="41B96BE3"/>
    <w:rsid w:val="41BA7BC0"/>
    <w:rsid w:val="41BC1F64"/>
    <w:rsid w:val="41BD0482"/>
    <w:rsid w:val="41BD2B78"/>
    <w:rsid w:val="41BE2FD6"/>
    <w:rsid w:val="41BE41FA"/>
    <w:rsid w:val="41BF6404"/>
    <w:rsid w:val="41C07F72"/>
    <w:rsid w:val="41C2018E"/>
    <w:rsid w:val="41C247B5"/>
    <w:rsid w:val="41C470D5"/>
    <w:rsid w:val="41C5246F"/>
    <w:rsid w:val="41C537DA"/>
    <w:rsid w:val="41C55588"/>
    <w:rsid w:val="41C6506F"/>
    <w:rsid w:val="41C6770C"/>
    <w:rsid w:val="41C87591"/>
    <w:rsid w:val="41C9151C"/>
    <w:rsid w:val="41C95079"/>
    <w:rsid w:val="41CC2DBB"/>
    <w:rsid w:val="41CC7DDB"/>
    <w:rsid w:val="41CD40DC"/>
    <w:rsid w:val="41CE6B33"/>
    <w:rsid w:val="41CF2582"/>
    <w:rsid w:val="41CF6407"/>
    <w:rsid w:val="41D028AB"/>
    <w:rsid w:val="41D103D1"/>
    <w:rsid w:val="41D34149"/>
    <w:rsid w:val="41D35EF7"/>
    <w:rsid w:val="41D41C6F"/>
    <w:rsid w:val="41D5005A"/>
    <w:rsid w:val="41D56122"/>
    <w:rsid w:val="41D63C39"/>
    <w:rsid w:val="41D8350E"/>
    <w:rsid w:val="41DA12FB"/>
    <w:rsid w:val="41DA54D8"/>
    <w:rsid w:val="41DA7286"/>
    <w:rsid w:val="41DB278B"/>
    <w:rsid w:val="41DC783A"/>
    <w:rsid w:val="41DD6D76"/>
    <w:rsid w:val="41DD7C7C"/>
    <w:rsid w:val="41DE664A"/>
    <w:rsid w:val="41E2265E"/>
    <w:rsid w:val="41E27A8D"/>
    <w:rsid w:val="41E304D3"/>
    <w:rsid w:val="41E33C60"/>
    <w:rsid w:val="41E40104"/>
    <w:rsid w:val="41E579D9"/>
    <w:rsid w:val="41E65415"/>
    <w:rsid w:val="41E719A3"/>
    <w:rsid w:val="41E73751"/>
    <w:rsid w:val="41E90FA4"/>
    <w:rsid w:val="41EA3241"/>
    <w:rsid w:val="41EA4FEF"/>
    <w:rsid w:val="41EB78B0"/>
    <w:rsid w:val="41EC3710"/>
    <w:rsid w:val="41EC520B"/>
    <w:rsid w:val="41EE2D31"/>
    <w:rsid w:val="41EF0857"/>
    <w:rsid w:val="41F04C62"/>
    <w:rsid w:val="41F11FF0"/>
    <w:rsid w:val="41F22153"/>
    <w:rsid w:val="41F544A7"/>
    <w:rsid w:val="41F61BE6"/>
    <w:rsid w:val="41F63745"/>
    <w:rsid w:val="41F63994"/>
    <w:rsid w:val="41F66AB4"/>
    <w:rsid w:val="41F66C78"/>
    <w:rsid w:val="41F67393"/>
    <w:rsid w:val="41F733F4"/>
    <w:rsid w:val="41F8770C"/>
    <w:rsid w:val="41F93484"/>
    <w:rsid w:val="41FA16D6"/>
    <w:rsid w:val="41FA7928"/>
    <w:rsid w:val="41FB36A0"/>
    <w:rsid w:val="41FB544E"/>
    <w:rsid w:val="41FD4D22"/>
    <w:rsid w:val="41FE59F8"/>
    <w:rsid w:val="42003016"/>
    <w:rsid w:val="42004812"/>
    <w:rsid w:val="42016373"/>
    <w:rsid w:val="420267DC"/>
    <w:rsid w:val="42044303"/>
    <w:rsid w:val="420460B1"/>
    <w:rsid w:val="4205218B"/>
    <w:rsid w:val="420605C9"/>
    <w:rsid w:val="42066E88"/>
    <w:rsid w:val="42072045"/>
    <w:rsid w:val="420742CC"/>
    <w:rsid w:val="42075CE5"/>
    <w:rsid w:val="42083789"/>
    <w:rsid w:val="42092942"/>
    <w:rsid w:val="42093594"/>
    <w:rsid w:val="42093AB5"/>
    <w:rsid w:val="420A6671"/>
    <w:rsid w:val="420A743F"/>
    <w:rsid w:val="420B38E3"/>
    <w:rsid w:val="420C1409"/>
    <w:rsid w:val="420C765B"/>
    <w:rsid w:val="420E5181"/>
    <w:rsid w:val="420F4A55"/>
    <w:rsid w:val="42100EF9"/>
    <w:rsid w:val="421107CE"/>
    <w:rsid w:val="42116A20"/>
    <w:rsid w:val="421309EA"/>
    <w:rsid w:val="4214206C"/>
    <w:rsid w:val="421532E3"/>
    <w:rsid w:val="42162288"/>
    <w:rsid w:val="421729DE"/>
    <w:rsid w:val="421A1D78"/>
    <w:rsid w:val="421A58D4"/>
    <w:rsid w:val="421B789E"/>
    <w:rsid w:val="421D2F81"/>
    <w:rsid w:val="421D3616"/>
    <w:rsid w:val="421D7172"/>
    <w:rsid w:val="421E1A3B"/>
    <w:rsid w:val="421E7CE0"/>
    <w:rsid w:val="421F113C"/>
    <w:rsid w:val="421F738E"/>
    <w:rsid w:val="42213106"/>
    <w:rsid w:val="42220C2D"/>
    <w:rsid w:val="422229DB"/>
    <w:rsid w:val="42230F81"/>
    <w:rsid w:val="4225181C"/>
    <w:rsid w:val="42254FE2"/>
    <w:rsid w:val="42260704"/>
    <w:rsid w:val="4226071D"/>
    <w:rsid w:val="422624CB"/>
    <w:rsid w:val="42277FF1"/>
    <w:rsid w:val="42280D92"/>
    <w:rsid w:val="42295B17"/>
    <w:rsid w:val="422B5D33"/>
    <w:rsid w:val="422D2033"/>
    <w:rsid w:val="422D75BD"/>
    <w:rsid w:val="422E312E"/>
    <w:rsid w:val="422E5823"/>
    <w:rsid w:val="422E7EC6"/>
    <w:rsid w:val="422F7524"/>
    <w:rsid w:val="423050F8"/>
    <w:rsid w:val="42310E70"/>
    <w:rsid w:val="42312C1E"/>
    <w:rsid w:val="423170C2"/>
    <w:rsid w:val="42324DA6"/>
    <w:rsid w:val="42332E3A"/>
    <w:rsid w:val="42343318"/>
    <w:rsid w:val="42350960"/>
    <w:rsid w:val="4235270E"/>
    <w:rsid w:val="42357FC8"/>
    <w:rsid w:val="42380450"/>
    <w:rsid w:val="423821FE"/>
    <w:rsid w:val="42387A67"/>
    <w:rsid w:val="42387B15"/>
    <w:rsid w:val="423A5D78"/>
    <w:rsid w:val="423B584A"/>
    <w:rsid w:val="423C1CEE"/>
    <w:rsid w:val="423C50DD"/>
    <w:rsid w:val="423E155C"/>
    <w:rsid w:val="423F358D"/>
    <w:rsid w:val="424010B3"/>
    <w:rsid w:val="42402E61"/>
    <w:rsid w:val="4242307D"/>
    <w:rsid w:val="42426BD9"/>
    <w:rsid w:val="42462B6D"/>
    <w:rsid w:val="4246491B"/>
    <w:rsid w:val="4248180C"/>
    <w:rsid w:val="42497357"/>
    <w:rsid w:val="42497F67"/>
    <w:rsid w:val="424A412C"/>
    <w:rsid w:val="424A4629"/>
    <w:rsid w:val="424B0183"/>
    <w:rsid w:val="424B1F31"/>
    <w:rsid w:val="424C5CAA"/>
    <w:rsid w:val="424C7A58"/>
    <w:rsid w:val="424D3EFC"/>
    <w:rsid w:val="424E37D0"/>
    <w:rsid w:val="424E5F81"/>
    <w:rsid w:val="42500FB3"/>
    <w:rsid w:val="42510207"/>
    <w:rsid w:val="42512B6F"/>
    <w:rsid w:val="4251506E"/>
    <w:rsid w:val="42521512"/>
    <w:rsid w:val="42530DE6"/>
    <w:rsid w:val="42532B34"/>
    <w:rsid w:val="42552DB0"/>
    <w:rsid w:val="4255690C"/>
    <w:rsid w:val="425608D6"/>
    <w:rsid w:val="42562684"/>
    <w:rsid w:val="42576B28"/>
    <w:rsid w:val="425863FC"/>
    <w:rsid w:val="4259700D"/>
    <w:rsid w:val="425A03C6"/>
    <w:rsid w:val="425A2175"/>
    <w:rsid w:val="425D1C65"/>
    <w:rsid w:val="425D7EB7"/>
    <w:rsid w:val="425E3AFC"/>
    <w:rsid w:val="425F59DD"/>
    <w:rsid w:val="425F778B"/>
    <w:rsid w:val="42611755"/>
    <w:rsid w:val="4261191F"/>
    <w:rsid w:val="42613AF4"/>
    <w:rsid w:val="42621029"/>
    <w:rsid w:val="42642FF3"/>
    <w:rsid w:val="42644DA1"/>
    <w:rsid w:val="42650D34"/>
    <w:rsid w:val="42660B19"/>
    <w:rsid w:val="42672AE3"/>
    <w:rsid w:val="42674891"/>
    <w:rsid w:val="426B4382"/>
    <w:rsid w:val="426C3C56"/>
    <w:rsid w:val="426C6036"/>
    <w:rsid w:val="426E20D5"/>
    <w:rsid w:val="426F49B7"/>
    <w:rsid w:val="42715D19"/>
    <w:rsid w:val="42721EA8"/>
    <w:rsid w:val="42723962"/>
    <w:rsid w:val="42731488"/>
    <w:rsid w:val="42734FE4"/>
    <w:rsid w:val="427554CF"/>
    <w:rsid w:val="42756FAE"/>
    <w:rsid w:val="4278084D"/>
    <w:rsid w:val="427A2817"/>
    <w:rsid w:val="427A45C5"/>
    <w:rsid w:val="427C033D"/>
    <w:rsid w:val="427C77E8"/>
    <w:rsid w:val="427D40B5"/>
    <w:rsid w:val="427E2307"/>
    <w:rsid w:val="427F7E2D"/>
    <w:rsid w:val="4280707D"/>
    <w:rsid w:val="4281050D"/>
    <w:rsid w:val="42817701"/>
    <w:rsid w:val="42821601"/>
    <w:rsid w:val="42825877"/>
    <w:rsid w:val="4283791D"/>
    <w:rsid w:val="42845443"/>
    <w:rsid w:val="42851286"/>
    <w:rsid w:val="428611BC"/>
    <w:rsid w:val="42864D18"/>
    <w:rsid w:val="428E0070"/>
    <w:rsid w:val="428E1A36"/>
    <w:rsid w:val="428E62C2"/>
    <w:rsid w:val="42905431"/>
    <w:rsid w:val="42905B96"/>
    <w:rsid w:val="4292190E"/>
    <w:rsid w:val="42925DB2"/>
    <w:rsid w:val="42927B60"/>
    <w:rsid w:val="42927D51"/>
    <w:rsid w:val="429338D8"/>
    <w:rsid w:val="42975177"/>
    <w:rsid w:val="429940CC"/>
    <w:rsid w:val="429A07C3"/>
    <w:rsid w:val="429B3C85"/>
    <w:rsid w:val="429D02B3"/>
    <w:rsid w:val="429F0470"/>
    <w:rsid w:val="429F402B"/>
    <w:rsid w:val="42A037E5"/>
    <w:rsid w:val="42A114F0"/>
    <w:rsid w:val="42A11B51"/>
    <w:rsid w:val="42A15FF5"/>
    <w:rsid w:val="42A17DA3"/>
    <w:rsid w:val="42A45AE6"/>
    <w:rsid w:val="42A47894"/>
    <w:rsid w:val="42A558F0"/>
    <w:rsid w:val="42A61509"/>
    <w:rsid w:val="42A6445F"/>
    <w:rsid w:val="42A653BA"/>
    <w:rsid w:val="42A86289"/>
    <w:rsid w:val="42A930FC"/>
    <w:rsid w:val="42A94EAA"/>
    <w:rsid w:val="42A95C85"/>
    <w:rsid w:val="42A96C58"/>
    <w:rsid w:val="42AB0C22"/>
    <w:rsid w:val="42AB6E74"/>
    <w:rsid w:val="42AC04F6"/>
    <w:rsid w:val="42AD4959"/>
    <w:rsid w:val="42AD499A"/>
    <w:rsid w:val="42AD6748"/>
    <w:rsid w:val="42AD752A"/>
    <w:rsid w:val="42AE24C0"/>
    <w:rsid w:val="42B06238"/>
    <w:rsid w:val="42B15EAB"/>
    <w:rsid w:val="42B23D5F"/>
    <w:rsid w:val="42B3108D"/>
    <w:rsid w:val="42B31885"/>
    <w:rsid w:val="42B51AA1"/>
    <w:rsid w:val="42B60D1B"/>
    <w:rsid w:val="42B6175D"/>
    <w:rsid w:val="42B71D1D"/>
    <w:rsid w:val="42B75819"/>
    <w:rsid w:val="42B76A4F"/>
    <w:rsid w:val="42B85881"/>
    <w:rsid w:val="42B86E9B"/>
    <w:rsid w:val="42B9333F"/>
    <w:rsid w:val="42BA621B"/>
    <w:rsid w:val="42BA6C89"/>
    <w:rsid w:val="42BA70B7"/>
    <w:rsid w:val="42BB768D"/>
    <w:rsid w:val="42BC2FBE"/>
    <w:rsid w:val="42BC698B"/>
    <w:rsid w:val="42BD1C8B"/>
    <w:rsid w:val="42BD444E"/>
    <w:rsid w:val="42C10446"/>
    <w:rsid w:val="42C27D1A"/>
    <w:rsid w:val="42C341BE"/>
    <w:rsid w:val="42C35F6C"/>
    <w:rsid w:val="42C43A92"/>
    <w:rsid w:val="42C57F36"/>
    <w:rsid w:val="42C615B8"/>
    <w:rsid w:val="42C65A5C"/>
    <w:rsid w:val="42C67AC2"/>
    <w:rsid w:val="42C81561"/>
    <w:rsid w:val="42C85330"/>
    <w:rsid w:val="42CA2F8F"/>
    <w:rsid w:val="42CA466D"/>
    <w:rsid w:val="42CA4D39"/>
    <w:rsid w:val="42CA554C"/>
    <w:rsid w:val="42CB3072"/>
    <w:rsid w:val="42CB3152"/>
    <w:rsid w:val="42CB6BCE"/>
    <w:rsid w:val="42CD0C6F"/>
    <w:rsid w:val="42CE526A"/>
    <w:rsid w:val="42CE53D3"/>
    <w:rsid w:val="42CE66BF"/>
    <w:rsid w:val="42CF2B62"/>
    <w:rsid w:val="42D068DB"/>
    <w:rsid w:val="42D24401"/>
    <w:rsid w:val="42D261AF"/>
    <w:rsid w:val="42D27F5D"/>
    <w:rsid w:val="42D31F27"/>
    <w:rsid w:val="42D33CD5"/>
    <w:rsid w:val="42D57A4D"/>
    <w:rsid w:val="42D71A17"/>
    <w:rsid w:val="42D75573"/>
    <w:rsid w:val="42D77BC6"/>
    <w:rsid w:val="42D9648D"/>
    <w:rsid w:val="42DA32B5"/>
    <w:rsid w:val="42DA5063"/>
    <w:rsid w:val="42DC702D"/>
    <w:rsid w:val="42DC761B"/>
    <w:rsid w:val="42DD5C6C"/>
    <w:rsid w:val="42DD6902"/>
    <w:rsid w:val="42DE0263"/>
    <w:rsid w:val="42DE2DA6"/>
    <w:rsid w:val="42DE4B54"/>
    <w:rsid w:val="42DF0F29"/>
    <w:rsid w:val="42DF6B1E"/>
    <w:rsid w:val="42E02E70"/>
    <w:rsid w:val="42E06BC9"/>
    <w:rsid w:val="42E10D3E"/>
    <w:rsid w:val="42E12896"/>
    <w:rsid w:val="42E14644"/>
    <w:rsid w:val="42E303BC"/>
    <w:rsid w:val="42E3216A"/>
    <w:rsid w:val="42E365EE"/>
    <w:rsid w:val="42E64AEA"/>
    <w:rsid w:val="42E91FDB"/>
    <w:rsid w:val="42EB101F"/>
    <w:rsid w:val="42EE0B0F"/>
    <w:rsid w:val="42EE5E4D"/>
    <w:rsid w:val="42F00D2B"/>
    <w:rsid w:val="42F0224E"/>
    <w:rsid w:val="42F205FF"/>
    <w:rsid w:val="42F275C9"/>
    <w:rsid w:val="42F36125"/>
    <w:rsid w:val="42F425C9"/>
    <w:rsid w:val="42F44377"/>
    <w:rsid w:val="42F47036"/>
    <w:rsid w:val="42F500EF"/>
    <w:rsid w:val="42F73E67"/>
    <w:rsid w:val="42F76469"/>
    <w:rsid w:val="42FC147E"/>
    <w:rsid w:val="42FC76D0"/>
    <w:rsid w:val="42FE0D52"/>
    <w:rsid w:val="42FE51F6"/>
    <w:rsid w:val="42FE6FA4"/>
    <w:rsid w:val="42FE7FA4"/>
    <w:rsid w:val="42FF16EA"/>
    <w:rsid w:val="42FF4ACA"/>
    <w:rsid w:val="43004D51"/>
    <w:rsid w:val="43006C20"/>
    <w:rsid w:val="43012D1C"/>
    <w:rsid w:val="43016A94"/>
    <w:rsid w:val="43030A5E"/>
    <w:rsid w:val="43034564"/>
    <w:rsid w:val="430345BA"/>
    <w:rsid w:val="430356A2"/>
    <w:rsid w:val="43036538"/>
    <w:rsid w:val="43043D8C"/>
    <w:rsid w:val="430622FC"/>
    <w:rsid w:val="430640AA"/>
    <w:rsid w:val="43086074"/>
    <w:rsid w:val="430869F4"/>
    <w:rsid w:val="43087E22"/>
    <w:rsid w:val="43090FA9"/>
    <w:rsid w:val="430915BC"/>
    <w:rsid w:val="43095949"/>
    <w:rsid w:val="430976F7"/>
    <w:rsid w:val="430A1DED"/>
    <w:rsid w:val="430D368B"/>
    <w:rsid w:val="430D71E7"/>
    <w:rsid w:val="430F2F5F"/>
    <w:rsid w:val="430F54F9"/>
    <w:rsid w:val="43100A85"/>
    <w:rsid w:val="43104F29"/>
    <w:rsid w:val="43106CD7"/>
    <w:rsid w:val="431247FD"/>
    <w:rsid w:val="43135248"/>
    <w:rsid w:val="43144A19"/>
    <w:rsid w:val="431466D8"/>
    <w:rsid w:val="431467C7"/>
    <w:rsid w:val="4315253F"/>
    <w:rsid w:val="431542ED"/>
    <w:rsid w:val="43160791"/>
    <w:rsid w:val="43170066"/>
    <w:rsid w:val="43171E14"/>
    <w:rsid w:val="431762B8"/>
    <w:rsid w:val="43192030"/>
    <w:rsid w:val="43195B8C"/>
    <w:rsid w:val="431A7B56"/>
    <w:rsid w:val="431B4E6A"/>
    <w:rsid w:val="431C0C38"/>
    <w:rsid w:val="431C742A"/>
    <w:rsid w:val="431F5257"/>
    <w:rsid w:val="43201D4B"/>
    <w:rsid w:val="432033BE"/>
    <w:rsid w:val="4320516C"/>
    <w:rsid w:val="43206370"/>
    <w:rsid w:val="43210EE4"/>
    <w:rsid w:val="43212C92"/>
    <w:rsid w:val="43223930"/>
    <w:rsid w:val="432307B8"/>
    <w:rsid w:val="432335FB"/>
    <w:rsid w:val="43236A0A"/>
    <w:rsid w:val="43244A8B"/>
    <w:rsid w:val="432509D4"/>
    <w:rsid w:val="432664FB"/>
    <w:rsid w:val="4328489C"/>
    <w:rsid w:val="432A452D"/>
    <w:rsid w:val="432B1D63"/>
    <w:rsid w:val="432B58BF"/>
    <w:rsid w:val="432B6F80"/>
    <w:rsid w:val="432C22FD"/>
    <w:rsid w:val="432D1637"/>
    <w:rsid w:val="432D43BF"/>
    <w:rsid w:val="432E715D"/>
    <w:rsid w:val="432F1853"/>
    <w:rsid w:val="43301FD6"/>
    <w:rsid w:val="43302ED5"/>
    <w:rsid w:val="433173BC"/>
    <w:rsid w:val="433230F1"/>
    <w:rsid w:val="4333192F"/>
    <w:rsid w:val="43340C18"/>
    <w:rsid w:val="43344580"/>
    <w:rsid w:val="433504EC"/>
    <w:rsid w:val="43355A10"/>
    <w:rsid w:val="43364990"/>
    <w:rsid w:val="433724B6"/>
    <w:rsid w:val="43374264"/>
    <w:rsid w:val="43394EDE"/>
    <w:rsid w:val="433A2FC3"/>
    <w:rsid w:val="433B01F8"/>
    <w:rsid w:val="433B053C"/>
    <w:rsid w:val="433C187A"/>
    <w:rsid w:val="433E55F2"/>
    <w:rsid w:val="433F1ADB"/>
    <w:rsid w:val="4340580E"/>
    <w:rsid w:val="434075BC"/>
    <w:rsid w:val="43413334"/>
    <w:rsid w:val="43420014"/>
    <w:rsid w:val="43421586"/>
    <w:rsid w:val="43432C09"/>
    <w:rsid w:val="43452E25"/>
    <w:rsid w:val="43456981"/>
    <w:rsid w:val="4346094B"/>
    <w:rsid w:val="4348021F"/>
    <w:rsid w:val="434846C3"/>
    <w:rsid w:val="43486471"/>
    <w:rsid w:val="434A0702"/>
    <w:rsid w:val="434A21E9"/>
    <w:rsid w:val="434A3F97"/>
    <w:rsid w:val="434B5F61"/>
    <w:rsid w:val="434B7D0F"/>
    <w:rsid w:val="434C41B3"/>
    <w:rsid w:val="434C53D8"/>
    <w:rsid w:val="434D1CD9"/>
    <w:rsid w:val="434F15AD"/>
    <w:rsid w:val="434F77FF"/>
    <w:rsid w:val="43503578"/>
    <w:rsid w:val="435117C9"/>
    <w:rsid w:val="43525542"/>
    <w:rsid w:val="43543042"/>
    <w:rsid w:val="43543068"/>
    <w:rsid w:val="43544E16"/>
    <w:rsid w:val="4355293C"/>
    <w:rsid w:val="43566DE0"/>
    <w:rsid w:val="435724EB"/>
    <w:rsid w:val="435766B4"/>
    <w:rsid w:val="435968D0"/>
    <w:rsid w:val="435A7F52"/>
    <w:rsid w:val="435B61A4"/>
    <w:rsid w:val="435B772B"/>
    <w:rsid w:val="435C016E"/>
    <w:rsid w:val="435C1F1C"/>
    <w:rsid w:val="435C3CCA"/>
    <w:rsid w:val="435E7881"/>
    <w:rsid w:val="435E7A42"/>
    <w:rsid w:val="435F387D"/>
    <w:rsid w:val="436037BB"/>
    <w:rsid w:val="43616E7D"/>
    <w:rsid w:val="436400C0"/>
    <w:rsid w:val="4364453C"/>
    <w:rsid w:val="43655275"/>
    <w:rsid w:val="43664B49"/>
    <w:rsid w:val="4366637C"/>
    <w:rsid w:val="43670FED"/>
    <w:rsid w:val="4368248A"/>
    <w:rsid w:val="43694900"/>
    <w:rsid w:val="436C03B1"/>
    <w:rsid w:val="436C496D"/>
    <w:rsid w:val="436D27D1"/>
    <w:rsid w:val="436F7EA2"/>
    <w:rsid w:val="43707E64"/>
    <w:rsid w:val="4371014B"/>
    <w:rsid w:val="43721740"/>
    <w:rsid w:val="43731779"/>
    <w:rsid w:val="437372DB"/>
    <w:rsid w:val="43741014"/>
    <w:rsid w:val="4374370A"/>
    <w:rsid w:val="437454B8"/>
    <w:rsid w:val="43746378"/>
    <w:rsid w:val="437702E4"/>
    <w:rsid w:val="43770B04"/>
    <w:rsid w:val="437764B0"/>
    <w:rsid w:val="43792ACE"/>
    <w:rsid w:val="43792CB4"/>
    <w:rsid w:val="437A4C70"/>
    <w:rsid w:val="437A5885"/>
    <w:rsid w:val="437B01A5"/>
    <w:rsid w:val="437C1635"/>
    <w:rsid w:val="437D4206"/>
    <w:rsid w:val="437E00E5"/>
    <w:rsid w:val="437E6337"/>
    <w:rsid w:val="437E6BEA"/>
    <w:rsid w:val="438020AF"/>
    <w:rsid w:val="43811983"/>
    <w:rsid w:val="43811E23"/>
    <w:rsid w:val="43813731"/>
    <w:rsid w:val="43821950"/>
    <w:rsid w:val="43830078"/>
    <w:rsid w:val="43831605"/>
    <w:rsid w:val="4383394D"/>
    <w:rsid w:val="438374A9"/>
    <w:rsid w:val="43845623"/>
    <w:rsid w:val="43853221"/>
    <w:rsid w:val="438576C5"/>
    <w:rsid w:val="43866B0E"/>
    <w:rsid w:val="43866F99"/>
    <w:rsid w:val="4387343D"/>
    <w:rsid w:val="43877E89"/>
    <w:rsid w:val="438D20D6"/>
    <w:rsid w:val="438D657A"/>
    <w:rsid w:val="438F5909"/>
    <w:rsid w:val="438F748B"/>
    <w:rsid w:val="43903069"/>
    <w:rsid w:val="43904487"/>
    <w:rsid w:val="43923B90"/>
    <w:rsid w:val="4392593E"/>
    <w:rsid w:val="4393642C"/>
    <w:rsid w:val="439416B6"/>
    <w:rsid w:val="43943464"/>
    <w:rsid w:val="43947908"/>
    <w:rsid w:val="43963680"/>
    <w:rsid w:val="4396542E"/>
    <w:rsid w:val="439671DC"/>
    <w:rsid w:val="43972F54"/>
    <w:rsid w:val="439756F9"/>
    <w:rsid w:val="43980E0E"/>
    <w:rsid w:val="43993170"/>
    <w:rsid w:val="43994F1E"/>
    <w:rsid w:val="43996CCD"/>
    <w:rsid w:val="439A1423"/>
    <w:rsid w:val="439B2A45"/>
    <w:rsid w:val="439C056B"/>
    <w:rsid w:val="439E68BC"/>
    <w:rsid w:val="43A0005B"/>
    <w:rsid w:val="43A044FF"/>
    <w:rsid w:val="43A04F19"/>
    <w:rsid w:val="43A05284"/>
    <w:rsid w:val="43A318F9"/>
    <w:rsid w:val="43A35D9D"/>
    <w:rsid w:val="43A35F21"/>
    <w:rsid w:val="43A41F82"/>
    <w:rsid w:val="43A51B15"/>
    <w:rsid w:val="43A7763B"/>
    <w:rsid w:val="43A86D01"/>
    <w:rsid w:val="43AA3223"/>
    <w:rsid w:val="43AB46B3"/>
    <w:rsid w:val="43AC2EA4"/>
    <w:rsid w:val="43AD4526"/>
    <w:rsid w:val="43AF029E"/>
    <w:rsid w:val="43AF4742"/>
    <w:rsid w:val="43B10774"/>
    <w:rsid w:val="43B14016"/>
    <w:rsid w:val="43B21B3C"/>
    <w:rsid w:val="43B2241F"/>
    <w:rsid w:val="43B35A16"/>
    <w:rsid w:val="43B6282F"/>
    <w:rsid w:val="43B65AD0"/>
    <w:rsid w:val="43B6787E"/>
    <w:rsid w:val="43B753A5"/>
    <w:rsid w:val="43B90147"/>
    <w:rsid w:val="43B9736F"/>
    <w:rsid w:val="43BB4E95"/>
    <w:rsid w:val="43BC275F"/>
    <w:rsid w:val="43BC29BB"/>
    <w:rsid w:val="43BD0C0D"/>
    <w:rsid w:val="43BD2D57"/>
    <w:rsid w:val="43BD6E5F"/>
    <w:rsid w:val="43BE0F70"/>
    <w:rsid w:val="43BF6B8A"/>
    <w:rsid w:val="43C006FD"/>
    <w:rsid w:val="43C024AB"/>
    <w:rsid w:val="43C04259"/>
    <w:rsid w:val="43C27FD1"/>
    <w:rsid w:val="43C33DCA"/>
    <w:rsid w:val="43C37C88"/>
    <w:rsid w:val="43C401ED"/>
    <w:rsid w:val="43C4525A"/>
    <w:rsid w:val="43C53F65"/>
    <w:rsid w:val="43C57AC2"/>
    <w:rsid w:val="43C7383A"/>
    <w:rsid w:val="43C755E8"/>
    <w:rsid w:val="43C96E8F"/>
    <w:rsid w:val="43CA157C"/>
    <w:rsid w:val="43CA50D8"/>
    <w:rsid w:val="43CB4BD1"/>
    <w:rsid w:val="43CB71EC"/>
    <w:rsid w:val="43CB7C06"/>
    <w:rsid w:val="43CC52F4"/>
    <w:rsid w:val="43CC65BD"/>
    <w:rsid w:val="43CC70A2"/>
    <w:rsid w:val="43CD6976"/>
    <w:rsid w:val="43CE1B59"/>
    <w:rsid w:val="43CE2E1A"/>
    <w:rsid w:val="43CF6B92"/>
    <w:rsid w:val="43D1290A"/>
    <w:rsid w:val="43D146B8"/>
    <w:rsid w:val="43D163CE"/>
    <w:rsid w:val="43D16466"/>
    <w:rsid w:val="43D321DE"/>
    <w:rsid w:val="43D338BF"/>
    <w:rsid w:val="43D441A9"/>
    <w:rsid w:val="43D47D05"/>
    <w:rsid w:val="43D775B2"/>
    <w:rsid w:val="43D85A47"/>
    <w:rsid w:val="43DA3792"/>
    <w:rsid w:val="43DB1093"/>
    <w:rsid w:val="43DD4668"/>
    <w:rsid w:val="43DE2931"/>
    <w:rsid w:val="43DE4235"/>
    <w:rsid w:val="43E048FB"/>
    <w:rsid w:val="43E17353"/>
    <w:rsid w:val="43E50164"/>
    <w:rsid w:val="43E503D2"/>
    <w:rsid w:val="43E52254"/>
    <w:rsid w:val="43E73EDC"/>
    <w:rsid w:val="43E75C8A"/>
    <w:rsid w:val="43E91A02"/>
    <w:rsid w:val="43E95AE5"/>
    <w:rsid w:val="43E97C54"/>
    <w:rsid w:val="43EA577A"/>
    <w:rsid w:val="43EA6644"/>
    <w:rsid w:val="43EA7528"/>
    <w:rsid w:val="43EC32A0"/>
    <w:rsid w:val="43EC504E"/>
    <w:rsid w:val="43ED4466"/>
    <w:rsid w:val="43ED5E7D"/>
    <w:rsid w:val="43EF0FE2"/>
    <w:rsid w:val="43F04528"/>
    <w:rsid w:val="43F153D0"/>
    <w:rsid w:val="43F16B09"/>
    <w:rsid w:val="43F2498B"/>
    <w:rsid w:val="43F403A7"/>
    <w:rsid w:val="43F5039A"/>
    <w:rsid w:val="43F565F9"/>
    <w:rsid w:val="43F62371"/>
    <w:rsid w:val="43F81C45"/>
    <w:rsid w:val="43F8414A"/>
    <w:rsid w:val="43F860E9"/>
    <w:rsid w:val="43F87E97"/>
    <w:rsid w:val="43F955DA"/>
    <w:rsid w:val="43FA01AB"/>
    <w:rsid w:val="43FA2133"/>
    <w:rsid w:val="43FB1735"/>
    <w:rsid w:val="43FB34E3"/>
    <w:rsid w:val="43FB7987"/>
    <w:rsid w:val="43FE7FBC"/>
    <w:rsid w:val="43FF1225"/>
    <w:rsid w:val="43FF144C"/>
    <w:rsid w:val="44000AFA"/>
    <w:rsid w:val="44004F9E"/>
    <w:rsid w:val="44007FA0"/>
    <w:rsid w:val="44056110"/>
    <w:rsid w:val="440700DA"/>
    <w:rsid w:val="44093D0A"/>
    <w:rsid w:val="440A3726"/>
    <w:rsid w:val="440B5E1C"/>
    <w:rsid w:val="440C56F0"/>
    <w:rsid w:val="440E76BA"/>
    <w:rsid w:val="44100528"/>
    <w:rsid w:val="44103433"/>
    <w:rsid w:val="44104FA2"/>
    <w:rsid w:val="44114AB5"/>
    <w:rsid w:val="44122917"/>
    <w:rsid w:val="4413082D"/>
    <w:rsid w:val="44136A7F"/>
    <w:rsid w:val="44143923"/>
    <w:rsid w:val="44150A49"/>
    <w:rsid w:val="441647C1"/>
    <w:rsid w:val="4416656F"/>
    <w:rsid w:val="441822E7"/>
    <w:rsid w:val="44185E43"/>
    <w:rsid w:val="44191BBB"/>
    <w:rsid w:val="441A7E0D"/>
    <w:rsid w:val="441B20B5"/>
    <w:rsid w:val="441B3B85"/>
    <w:rsid w:val="441E71D2"/>
    <w:rsid w:val="441F3676"/>
    <w:rsid w:val="44213356"/>
    <w:rsid w:val="44225F56"/>
    <w:rsid w:val="442273B7"/>
    <w:rsid w:val="442347E8"/>
    <w:rsid w:val="44240C8C"/>
    <w:rsid w:val="442567B2"/>
    <w:rsid w:val="44262549"/>
    <w:rsid w:val="44270658"/>
    <w:rsid w:val="4427077C"/>
    <w:rsid w:val="442742D8"/>
    <w:rsid w:val="442944F4"/>
    <w:rsid w:val="442A5B77"/>
    <w:rsid w:val="442C18EF"/>
    <w:rsid w:val="442E1B0B"/>
    <w:rsid w:val="442F39F3"/>
    <w:rsid w:val="442F6DEA"/>
    <w:rsid w:val="44305883"/>
    <w:rsid w:val="4431150F"/>
    <w:rsid w:val="44316F05"/>
    <w:rsid w:val="44336DE2"/>
    <w:rsid w:val="443469F5"/>
    <w:rsid w:val="44354C47"/>
    <w:rsid w:val="44356802"/>
    <w:rsid w:val="443609BF"/>
    <w:rsid w:val="4436276D"/>
    <w:rsid w:val="4436451B"/>
    <w:rsid w:val="44366A11"/>
    <w:rsid w:val="44366C11"/>
    <w:rsid w:val="4437248F"/>
    <w:rsid w:val="44380293"/>
    <w:rsid w:val="4439400C"/>
    <w:rsid w:val="44396417"/>
    <w:rsid w:val="443B538D"/>
    <w:rsid w:val="443C2B2F"/>
    <w:rsid w:val="443C4228"/>
    <w:rsid w:val="443C7F5E"/>
    <w:rsid w:val="443D58AA"/>
    <w:rsid w:val="443F7874"/>
    <w:rsid w:val="444066D4"/>
    <w:rsid w:val="4441183E"/>
    <w:rsid w:val="44413DD0"/>
    <w:rsid w:val="44440DC3"/>
    <w:rsid w:val="44450C02"/>
    <w:rsid w:val="44476729"/>
    <w:rsid w:val="444906F3"/>
    <w:rsid w:val="444924A1"/>
    <w:rsid w:val="444A7FC7"/>
    <w:rsid w:val="444B446B"/>
    <w:rsid w:val="444B7A53"/>
    <w:rsid w:val="444C1F91"/>
    <w:rsid w:val="444E06A1"/>
    <w:rsid w:val="444E5D09"/>
    <w:rsid w:val="444F55DD"/>
    <w:rsid w:val="4450382F"/>
    <w:rsid w:val="44507CD3"/>
    <w:rsid w:val="445157F9"/>
    <w:rsid w:val="44516F30"/>
    <w:rsid w:val="445175A7"/>
    <w:rsid w:val="44522184"/>
    <w:rsid w:val="44531571"/>
    <w:rsid w:val="4453331F"/>
    <w:rsid w:val="445552E9"/>
    <w:rsid w:val="44565FEF"/>
    <w:rsid w:val="44586B88"/>
    <w:rsid w:val="44587486"/>
    <w:rsid w:val="445B21D4"/>
    <w:rsid w:val="445B4E7C"/>
    <w:rsid w:val="445C56FF"/>
    <w:rsid w:val="445D5F4C"/>
    <w:rsid w:val="445D7C5B"/>
    <w:rsid w:val="445D7CFA"/>
    <w:rsid w:val="445F3A72"/>
    <w:rsid w:val="445F7F16"/>
    <w:rsid w:val="446077EA"/>
    <w:rsid w:val="44615A3C"/>
    <w:rsid w:val="446217B4"/>
    <w:rsid w:val="44621C79"/>
    <w:rsid w:val="44623562"/>
    <w:rsid w:val="44634A8F"/>
    <w:rsid w:val="446472DA"/>
    <w:rsid w:val="44654E01"/>
    <w:rsid w:val="44670B79"/>
    <w:rsid w:val="44672F1A"/>
    <w:rsid w:val="4467501D"/>
    <w:rsid w:val="44676DCB"/>
    <w:rsid w:val="4468374B"/>
    <w:rsid w:val="4469669F"/>
    <w:rsid w:val="446A2C96"/>
    <w:rsid w:val="446B68BB"/>
    <w:rsid w:val="446C43E1"/>
    <w:rsid w:val="446C5795"/>
    <w:rsid w:val="446E0159"/>
    <w:rsid w:val="44703ED1"/>
    <w:rsid w:val="447137A5"/>
    <w:rsid w:val="44727C49"/>
    <w:rsid w:val="447339C1"/>
    <w:rsid w:val="44734EA6"/>
    <w:rsid w:val="44735770"/>
    <w:rsid w:val="447357CF"/>
    <w:rsid w:val="44743E8F"/>
    <w:rsid w:val="447500EF"/>
    <w:rsid w:val="447514E8"/>
    <w:rsid w:val="44753296"/>
    <w:rsid w:val="44775260"/>
    <w:rsid w:val="44780FD8"/>
    <w:rsid w:val="44782D86"/>
    <w:rsid w:val="447A4D50"/>
    <w:rsid w:val="447B4624"/>
    <w:rsid w:val="447B71C5"/>
    <w:rsid w:val="447C0AC8"/>
    <w:rsid w:val="447D65EE"/>
    <w:rsid w:val="447F2366"/>
    <w:rsid w:val="447F4114"/>
    <w:rsid w:val="448026D3"/>
    <w:rsid w:val="44815866"/>
    <w:rsid w:val="44816692"/>
    <w:rsid w:val="448259B3"/>
    <w:rsid w:val="4484172B"/>
    <w:rsid w:val="44845013"/>
    <w:rsid w:val="4484797D"/>
    <w:rsid w:val="44857BE4"/>
    <w:rsid w:val="44861074"/>
    <w:rsid w:val="448636F5"/>
    <w:rsid w:val="448654A3"/>
    <w:rsid w:val="44872504"/>
    <w:rsid w:val="448812E1"/>
    <w:rsid w:val="44890AEF"/>
    <w:rsid w:val="448B3A56"/>
    <w:rsid w:val="448C05DF"/>
    <w:rsid w:val="448C4EE6"/>
    <w:rsid w:val="448C6831"/>
    <w:rsid w:val="448E082A"/>
    <w:rsid w:val="448E25A9"/>
    <w:rsid w:val="448E6105"/>
    <w:rsid w:val="448F2126"/>
    <w:rsid w:val="44901E7E"/>
    <w:rsid w:val="449032CF"/>
    <w:rsid w:val="4492209A"/>
    <w:rsid w:val="44935E12"/>
    <w:rsid w:val="44937BC0"/>
    <w:rsid w:val="44944F45"/>
    <w:rsid w:val="44953CC8"/>
    <w:rsid w:val="4496320C"/>
    <w:rsid w:val="4497145E"/>
    <w:rsid w:val="44971FF9"/>
    <w:rsid w:val="44974A0B"/>
    <w:rsid w:val="449A71A0"/>
    <w:rsid w:val="449B0822"/>
    <w:rsid w:val="449D0A3E"/>
    <w:rsid w:val="449D27EC"/>
    <w:rsid w:val="449E2D2B"/>
    <w:rsid w:val="449F1C1A"/>
    <w:rsid w:val="449F47B6"/>
    <w:rsid w:val="44A21CDC"/>
    <w:rsid w:val="44A616A1"/>
    <w:rsid w:val="44A71888"/>
    <w:rsid w:val="44A72F7D"/>
    <w:rsid w:val="44A75419"/>
    <w:rsid w:val="44A818BD"/>
    <w:rsid w:val="44A8366B"/>
    <w:rsid w:val="44A973E3"/>
    <w:rsid w:val="44AA0385"/>
    <w:rsid w:val="44AA3B64"/>
    <w:rsid w:val="44AB315B"/>
    <w:rsid w:val="44AB4F09"/>
    <w:rsid w:val="44AC595F"/>
    <w:rsid w:val="44AD6ED3"/>
    <w:rsid w:val="44B02520"/>
    <w:rsid w:val="44B042CE"/>
    <w:rsid w:val="44B10046"/>
    <w:rsid w:val="44B30262"/>
    <w:rsid w:val="44B32010"/>
    <w:rsid w:val="44B33DBE"/>
    <w:rsid w:val="44B456C9"/>
    <w:rsid w:val="44B518E4"/>
    <w:rsid w:val="44B6424B"/>
    <w:rsid w:val="44B71B00"/>
    <w:rsid w:val="44B72A72"/>
    <w:rsid w:val="44B813D4"/>
    <w:rsid w:val="44B85878"/>
    <w:rsid w:val="44B87626"/>
    <w:rsid w:val="44B952CC"/>
    <w:rsid w:val="44B9714E"/>
    <w:rsid w:val="44BA15F0"/>
    <w:rsid w:val="44BA514C"/>
    <w:rsid w:val="44BA7F63"/>
    <w:rsid w:val="44BB7325"/>
    <w:rsid w:val="44BB7CB2"/>
    <w:rsid w:val="44BC0EC5"/>
    <w:rsid w:val="44BC7116"/>
    <w:rsid w:val="44BD24EE"/>
    <w:rsid w:val="44BD51A3"/>
    <w:rsid w:val="44BD68E4"/>
    <w:rsid w:val="44BF0D0E"/>
    <w:rsid w:val="44BF2763"/>
    <w:rsid w:val="44BF2CF4"/>
    <w:rsid w:val="44C10289"/>
    <w:rsid w:val="44C137FC"/>
    <w:rsid w:val="44C1472D"/>
    <w:rsid w:val="44C424A5"/>
    <w:rsid w:val="44C4421D"/>
    <w:rsid w:val="44C47D79"/>
    <w:rsid w:val="44C63AF1"/>
    <w:rsid w:val="44C66506"/>
    <w:rsid w:val="44C67F95"/>
    <w:rsid w:val="44C71617"/>
    <w:rsid w:val="44C75ABC"/>
    <w:rsid w:val="44C821D3"/>
    <w:rsid w:val="44C839F7"/>
    <w:rsid w:val="44C85ABB"/>
    <w:rsid w:val="44C91833"/>
    <w:rsid w:val="44CA2F7C"/>
    <w:rsid w:val="44CB1108"/>
    <w:rsid w:val="44CB55AC"/>
    <w:rsid w:val="44CB735A"/>
    <w:rsid w:val="44CB77A7"/>
    <w:rsid w:val="44CC4715"/>
    <w:rsid w:val="44CC6C2E"/>
    <w:rsid w:val="44CD1324"/>
    <w:rsid w:val="44CD30D2"/>
    <w:rsid w:val="44CD4E80"/>
    <w:rsid w:val="44CE7869"/>
    <w:rsid w:val="44D00A48"/>
    <w:rsid w:val="44D02BC2"/>
    <w:rsid w:val="44D04970"/>
    <w:rsid w:val="44D0671E"/>
    <w:rsid w:val="44D06F40"/>
    <w:rsid w:val="44D153FA"/>
    <w:rsid w:val="44D206E8"/>
    <w:rsid w:val="44D22496"/>
    <w:rsid w:val="44D37FBC"/>
    <w:rsid w:val="44D501D8"/>
    <w:rsid w:val="44D51F86"/>
    <w:rsid w:val="44D73F50"/>
    <w:rsid w:val="44D77AAC"/>
    <w:rsid w:val="44D81A76"/>
    <w:rsid w:val="44DA63F2"/>
    <w:rsid w:val="44DF4BB3"/>
    <w:rsid w:val="44E01C7E"/>
    <w:rsid w:val="44E1092B"/>
    <w:rsid w:val="44E126D9"/>
    <w:rsid w:val="44E328F5"/>
    <w:rsid w:val="44E4034E"/>
    <w:rsid w:val="44E4041B"/>
    <w:rsid w:val="44E421C9"/>
    <w:rsid w:val="44E65F41"/>
    <w:rsid w:val="44E730CA"/>
    <w:rsid w:val="44E73A68"/>
    <w:rsid w:val="44E80FE1"/>
    <w:rsid w:val="44E81CBA"/>
    <w:rsid w:val="44E87F0C"/>
    <w:rsid w:val="44E95A32"/>
    <w:rsid w:val="44EB5650"/>
    <w:rsid w:val="44EB6D91"/>
    <w:rsid w:val="44EB79FC"/>
    <w:rsid w:val="44EC107E"/>
    <w:rsid w:val="44ED4010"/>
    <w:rsid w:val="44ED504B"/>
    <w:rsid w:val="44EF3FD1"/>
    <w:rsid w:val="44F06DC0"/>
    <w:rsid w:val="44F114C2"/>
    <w:rsid w:val="44F14B63"/>
    <w:rsid w:val="44F22952"/>
    <w:rsid w:val="44F22B38"/>
    <w:rsid w:val="44F245BB"/>
    <w:rsid w:val="44F248E6"/>
    <w:rsid w:val="44F3065E"/>
    <w:rsid w:val="44F3240C"/>
    <w:rsid w:val="44F52628"/>
    <w:rsid w:val="44F56185"/>
    <w:rsid w:val="44F64161"/>
    <w:rsid w:val="44F71EFD"/>
    <w:rsid w:val="44F763A1"/>
    <w:rsid w:val="44F92119"/>
    <w:rsid w:val="44FA379B"/>
    <w:rsid w:val="44FA7C3F"/>
    <w:rsid w:val="44FC5765"/>
    <w:rsid w:val="44FC7513"/>
    <w:rsid w:val="44FD328B"/>
    <w:rsid w:val="44FE14DD"/>
    <w:rsid w:val="44FF0DB1"/>
    <w:rsid w:val="45014B29"/>
    <w:rsid w:val="450308A1"/>
    <w:rsid w:val="45034D45"/>
    <w:rsid w:val="45036AF3"/>
    <w:rsid w:val="45046FB0"/>
    <w:rsid w:val="45062258"/>
    <w:rsid w:val="450665E4"/>
    <w:rsid w:val="450703F9"/>
    <w:rsid w:val="45077937"/>
    <w:rsid w:val="4508235C"/>
    <w:rsid w:val="4508410A"/>
    <w:rsid w:val="45085EB8"/>
    <w:rsid w:val="45091C30"/>
    <w:rsid w:val="45097749"/>
    <w:rsid w:val="45097E82"/>
    <w:rsid w:val="450A0BD9"/>
    <w:rsid w:val="450A54D3"/>
    <w:rsid w:val="450B1E4C"/>
    <w:rsid w:val="450B59A8"/>
    <w:rsid w:val="450C650E"/>
    <w:rsid w:val="450D34CE"/>
    <w:rsid w:val="450F4A4B"/>
    <w:rsid w:val="45101210"/>
    <w:rsid w:val="45107462"/>
    <w:rsid w:val="45120AE5"/>
    <w:rsid w:val="451231DA"/>
    <w:rsid w:val="45124F88"/>
    <w:rsid w:val="45132AAF"/>
    <w:rsid w:val="4514485C"/>
    <w:rsid w:val="4517434D"/>
    <w:rsid w:val="45181009"/>
    <w:rsid w:val="451900C5"/>
    <w:rsid w:val="45196317"/>
    <w:rsid w:val="451A208F"/>
    <w:rsid w:val="451A329F"/>
    <w:rsid w:val="451A5BEB"/>
    <w:rsid w:val="451A5F22"/>
    <w:rsid w:val="451C5E07"/>
    <w:rsid w:val="451C7BB5"/>
    <w:rsid w:val="452151CC"/>
    <w:rsid w:val="45230F44"/>
    <w:rsid w:val="45232CF2"/>
    <w:rsid w:val="45240818"/>
    <w:rsid w:val="45244CBC"/>
    <w:rsid w:val="452503B2"/>
    <w:rsid w:val="45252F0E"/>
    <w:rsid w:val="45260A34"/>
    <w:rsid w:val="45264590"/>
    <w:rsid w:val="452714D4"/>
    <w:rsid w:val="452847AC"/>
    <w:rsid w:val="45294080"/>
    <w:rsid w:val="452A1AEE"/>
    <w:rsid w:val="452A22D2"/>
    <w:rsid w:val="452A2D94"/>
    <w:rsid w:val="452B604A"/>
    <w:rsid w:val="452C3067"/>
    <w:rsid w:val="452C5874"/>
    <w:rsid w:val="452D3A41"/>
    <w:rsid w:val="452D591E"/>
    <w:rsid w:val="452E1696"/>
    <w:rsid w:val="452F5B3A"/>
    <w:rsid w:val="452F78E8"/>
    <w:rsid w:val="4530540F"/>
    <w:rsid w:val="45321187"/>
    <w:rsid w:val="45322F35"/>
    <w:rsid w:val="45324B3C"/>
    <w:rsid w:val="453273D9"/>
    <w:rsid w:val="45336CAD"/>
    <w:rsid w:val="45343151"/>
    <w:rsid w:val="453452D6"/>
    <w:rsid w:val="45372C41"/>
    <w:rsid w:val="4537679D"/>
    <w:rsid w:val="453919A0"/>
    <w:rsid w:val="453942C3"/>
    <w:rsid w:val="45394396"/>
    <w:rsid w:val="453A628D"/>
    <w:rsid w:val="453B44DF"/>
    <w:rsid w:val="453C453D"/>
    <w:rsid w:val="453D6883"/>
    <w:rsid w:val="453E5D7D"/>
    <w:rsid w:val="453E7B2C"/>
    <w:rsid w:val="453F2418"/>
    <w:rsid w:val="453F5652"/>
    <w:rsid w:val="45401AF6"/>
    <w:rsid w:val="454113CA"/>
    <w:rsid w:val="4541586E"/>
    <w:rsid w:val="4541761C"/>
    <w:rsid w:val="45433394"/>
    <w:rsid w:val="45435142"/>
    <w:rsid w:val="45462E84"/>
    <w:rsid w:val="454669E0"/>
    <w:rsid w:val="45482758"/>
    <w:rsid w:val="45486BFC"/>
    <w:rsid w:val="45493BD8"/>
    <w:rsid w:val="454A1AA6"/>
    <w:rsid w:val="454A216B"/>
    <w:rsid w:val="454A4722"/>
    <w:rsid w:val="454B3FF6"/>
    <w:rsid w:val="454D4212"/>
    <w:rsid w:val="454D5FC1"/>
    <w:rsid w:val="454F7F8B"/>
    <w:rsid w:val="45505AB1"/>
    <w:rsid w:val="45513D03"/>
    <w:rsid w:val="455455A1"/>
    <w:rsid w:val="45551EB3"/>
    <w:rsid w:val="45561319"/>
    <w:rsid w:val="45575091"/>
    <w:rsid w:val="45592BB7"/>
    <w:rsid w:val="45594965"/>
    <w:rsid w:val="45596713"/>
    <w:rsid w:val="455A0732"/>
    <w:rsid w:val="455B3CE5"/>
    <w:rsid w:val="455B692F"/>
    <w:rsid w:val="455C1F03"/>
    <w:rsid w:val="455C26A8"/>
    <w:rsid w:val="45605CF4"/>
    <w:rsid w:val="45617CBE"/>
    <w:rsid w:val="45633A36"/>
    <w:rsid w:val="456357E4"/>
    <w:rsid w:val="4565155C"/>
    <w:rsid w:val="4565330A"/>
    <w:rsid w:val="45660E30"/>
    <w:rsid w:val="456652D4"/>
    <w:rsid w:val="45667082"/>
    <w:rsid w:val="45682DFA"/>
    <w:rsid w:val="45683DD2"/>
    <w:rsid w:val="456A0921"/>
    <w:rsid w:val="456B6447"/>
    <w:rsid w:val="456C1406"/>
    <w:rsid w:val="456C67DF"/>
    <w:rsid w:val="456D319A"/>
    <w:rsid w:val="456F4189"/>
    <w:rsid w:val="456F68F7"/>
    <w:rsid w:val="45725A27"/>
    <w:rsid w:val="45736708"/>
    <w:rsid w:val="4574354D"/>
    <w:rsid w:val="45746209"/>
    <w:rsid w:val="45765517"/>
    <w:rsid w:val="45774DEB"/>
    <w:rsid w:val="457933AD"/>
    <w:rsid w:val="457A4B71"/>
    <w:rsid w:val="457B2B2E"/>
    <w:rsid w:val="457B56E1"/>
    <w:rsid w:val="457C0654"/>
    <w:rsid w:val="457C2402"/>
    <w:rsid w:val="457C4AF8"/>
    <w:rsid w:val="457E43CC"/>
    <w:rsid w:val="45800D0C"/>
    <w:rsid w:val="45801129"/>
    <w:rsid w:val="45806396"/>
    <w:rsid w:val="4582793E"/>
    <w:rsid w:val="4585575A"/>
    <w:rsid w:val="45863281"/>
    <w:rsid w:val="4587600E"/>
    <w:rsid w:val="4588349D"/>
    <w:rsid w:val="4588524B"/>
    <w:rsid w:val="458A4B1F"/>
    <w:rsid w:val="458B6AE9"/>
    <w:rsid w:val="458F65D9"/>
    <w:rsid w:val="459040FF"/>
    <w:rsid w:val="45905EAD"/>
    <w:rsid w:val="45921C25"/>
    <w:rsid w:val="459260C9"/>
    <w:rsid w:val="45935CF2"/>
    <w:rsid w:val="45941E41"/>
    <w:rsid w:val="45943BEF"/>
    <w:rsid w:val="45950612"/>
    <w:rsid w:val="45950735"/>
    <w:rsid w:val="45961716"/>
    <w:rsid w:val="45964673"/>
    <w:rsid w:val="459736E0"/>
    <w:rsid w:val="4597723C"/>
    <w:rsid w:val="459806D4"/>
    <w:rsid w:val="45991206"/>
    <w:rsid w:val="45997458"/>
    <w:rsid w:val="459B31D0"/>
    <w:rsid w:val="459B6D2C"/>
    <w:rsid w:val="459C0CF6"/>
    <w:rsid w:val="459C2AA4"/>
    <w:rsid w:val="459C60A2"/>
    <w:rsid w:val="459E05CA"/>
    <w:rsid w:val="459E681C"/>
    <w:rsid w:val="459F674C"/>
    <w:rsid w:val="45A02594"/>
    <w:rsid w:val="45A44B49"/>
    <w:rsid w:val="45A57BAB"/>
    <w:rsid w:val="45A656D1"/>
    <w:rsid w:val="45A71B75"/>
    <w:rsid w:val="45A81449"/>
    <w:rsid w:val="45A858ED"/>
    <w:rsid w:val="45A8769B"/>
    <w:rsid w:val="45A91659"/>
    <w:rsid w:val="45A92AE9"/>
    <w:rsid w:val="45AA2264"/>
    <w:rsid w:val="45AA51C1"/>
    <w:rsid w:val="45AB23A5"/>
    <w:rsid w:val="45AB5409"/>
    <w:rsid w:val="45AC7708"/>
    <w:rsid w:val="45AF0A29"/>
    <w:rsid w:val="45AF27D7"/>
    <w:rsid w:val="45AF695B"/>
    <w:rsid w:val="45B11F92"/>
    <w:rsid w:val="45B147A1"/>
    <w:rsid w:val="45B23E4C"/>
    <w:rsid w:val="45B257B2"/>
    <w:rsid w:val="45B44292"/>
    <w:rsid w:val="45B46040"/>
    <w:rsid w:val="45B47DEE"/>
    <w:rsid w:val="45B55914"/>
    <w:rsid w:val="45B63C5D"/>
    <w:rsid w:val="45B750ED"/>
    <w:rsid w:val="45B778DE"/>
    <w:rsid w:val="45B85B30"/>
    <w:rsid w:val="45B95404"/>
    <w:rsid w:val="45BB73CE"/>
    <w:rsid w:val="45BC638E"/>
    <w:rsid w:val="45BD3146"/>
    <w:rsid w:val="45BE0C6C"/>
    <w:rsid w:val="45BE6EBE"/>
    <w:rsid w:val="45BF6450"/>
    <w:rsid w:val="45C1250B"/>
    <w:rsid w:val="45C142B9"/>
    <w:rsid w:val="45C2075D"/>
    <w:rsid w:val="45C2593C"/>
    <w:rsid w:val="45C269AF"/>
    <w:rsid w:val="45C30031"/>
    <w:rsid w:val="45C53DA9"/>
    <w:rsid w:val="45C73FC5"/>
    <w:rsid w:val="45C75D73"/>
    <w:rsid w:val="45C76627"/>
    <w:rsid w:val="45C83899"/>
    <w:rsid w:val="45C857C3"/>
    <w:rsid w:val="45C94C84"/>
    <w:rsid w:val="45CA7A30"/>
    <w:rsid w:val="45CB02DE"/>
    <w:rsid w:val="45CD0A54"/>
    <w:rsid w:val="45CD0EAF"/>
    <w:rsid w:val="45CF2E79"/>
    <w:rsid w:val="45CF4C28"/>
    <w:rsid w:val="45D1274E"/>
    <w:rsid w:val="45D17124"/>
    <w:rsid w:val="45D24718"/>
    <w:rsid w:val="45D40490"/>
    <w:rsid w:val="45D4223E"/>
    <w:rsid w:val="45D471E6"/>
    <w:rsid w:val="45D61B06"/>
    <w:rsid w:val="45D71D2E"/>
    <w:rsid w:val="45D777CC"/>
    <w:rsid w:val="45D87F80"/>
    <w:rsid w:val="45D93CF8"/>
    <w:rsid w:val="45D95AA6"/>
    <w:rsid w:val="45DB181E"/>
    <w:rsid w:val="45DD7344"/>
    <w:rsid w:val="45DE130F"/>
    <w:rsid w:val="45DE4E6B"/>
    <w:rsid w:val="45DE61D5"/>
    <w:rsid w:val="45DF1552"/>
    <w:rsid w:val="45E00BE3"/>
    <w:rsid w:val="45E02BB8"/>
    <w:rsid w:val="45E06E35"/>
    <w:rsid w:val="45E2495B"/>
    <w:rsid w:val="45E31539"/>
    <w:rsid w:val="45E32C7A"/>
    <w:rsid w:val="45E5269D"/>
    <w:rsid w:val="45E5444B"/>
    <w:rsid w:val="45E561F9"/>
    <w:rsid w:val="45E71F71"/>
    <w:rsid w:val="45E85CE9"/>
    <w:rsid w:val="45E9646F"/>
    <w:rsid w:val="45EA1A61"/>
    <w:rsid w:val="45EA380F"/>
    <w:rsid w:val="45EA38ED"/>
    <w:rsid w:val="45EA6BA0"/>
    <w:rsid w:val="45EA7CB3"/>
    <w:rsid w:val="45EB289C"/>
    <w:rsid w:val="45EC57D9"/>
    <w:rsid w:val="45EC7588"/>
    <w:rsid w:val="45EE1552"/>
    <w:rsid w:val="45EF0E26"/>
    <w:rsid w:val="45F026AD"/>
    <w:rsid w:val="45F12DF0"/>
    <w:rsid w:val="45F13B3D"/>
    <w:rsid w:val="45F2762F"/>
    <w:rsid w:val="45F34DBA"/>
    <w:rsid w:val="45F36B68"/>
    <w:rsid w:val="45F4468E"/>
    <w:rsid w:val="45F66658"/>
    <w:rsid w:val="45F70E3F"/>
    <w:rsid w:val="45F75F2C"/>
    <w:rsid w:val="45F823D0"/>
    <w:rsid w:val="45F91CA4"/>
    <w:rsid w:val="45F93102"/>
    <w:rsid w:val="45F96148"/>
    <w:rsid w:val="45FE550D"/>
    <w:rsid w:val="45FE72BB"/>
    <w:rsid w:val="45FF375F"/>
    <w:rsid w:val="46001285"/>
    <w:rsid w:val="46003033"/>
    <w:rsid w:val="46004DE1"/>
    <w:rsid w:val="460074D7"/>
    <w:rsid w:val="46024FFD"/>
    <w:rsid w:val="46027119"/>
    <w:rsid w:val="460272CE"/>
    <w:rsid w:val="460436F4"/>
    <w:rsid w:val="4605689B"/>
    <w:rsid w:val="4607430F"/>
    <w:rsid w:val="460743C1"/>
    <w:rsid w:val="46080139"/>
    <w:rsid w:val="4609638B"/>
    <w:rsid w:val="460A5E25"/>
    <w:rsid w:val="460C19D8"/>
    <w:rsid w:val="460D5750"/>
    <w:rsid w:val="460E39A2"/>
    <w:rsid w:val="460E7377"/>
    <w:rsid w:val="460F2CBC"/>
    <w:rsid w:val="46115240"/>
    <w:rsid w:val="461207DE"/>
    <w:rsid w:val="46130FB8"/>
    <w:rsid w:val="46132D66"/>
    <w:rsid w:val="4613720A"/>
    <w:rsid w:val="4614088C"/>
    <w:rsid w:val="46144D30"/>
    <w:rsid w:val="46146ADE"/>
    <w:rsid w:val="46160AEE"/>
    <w:rsid w:val="46162856"/>
    <w:rsid w:val="46170428"/>
    <w:rsid w:val="461710E5"/>
    <w:rsid w:val="46184820"/>
    <w:rsid w:val="46195EA3"/>
    <w:rsid w:val="461A28EF"/>
    <w:rsid w:val="461A5919"/>
    <w:rsid w:val="461B7E6D"/>
    <w:rsid w:val="461D1E37"/>
    <w:rsid w:val="461D3BE5"/>
    <w:rsid w:val="461D5993"/>
    <w:rsid w:val="461E170B"/>
    <w:rsid w:val="462036D5"/>
    <w:rsid w:val="46205270"/>
    <w:rsid w:val="462064F9"/>
    <w:rsid w:val="462162FF"/>
    <w:rsid w:val="4622744D"/>
    <w:rsid w:val="46235D12"/>
    <w:rsid w:val="462417D4"/>
    <w:rsid w:val="462431C5"/>
    <w:rsid w:val="46250CEB"/>
    <w:rsid w:val="46252A99"/>
    <w:rsid w:val="4626534C"/>
    <w:rsid w:val="4627404C"/>
    <w:rsid w:val="46274A64"/>
    <w:rsid w:val="46276812"/>
    <w:rsid w:val="46284338"/>
    <w:rsid w:val="462907DC"/>
    <w:rsid w:val="462A540E"/>
    <w:rsid w:val="462A6302"/>
    <w:rsid w:val="462C207A"/>
    <w:rsid w:val="462C3E28"/>
    <w:rsid w:val="462C5BD6"/>
    <w:rsid w:val="462D194E"/>
    <w:rsid w:val="462D6C1B"/>
    <w:rsid w:val="46310C95"/>
    <w:rsid w:val="46312FE7"/>
    <w:rsid w:val="46341091"/>
    <w:rsid w:val="46342CDD"/>
    <w:rsid w:val="46352521"/>
    <w:rsid w:val="46357180"/>
    <w:rsid w:val="46362EF9"/>
    <w:rsid w:val="46364CA7"/>
    <w:rsid w:val="46377DB5"/>
    <w:rsid w:val="463827CD"/>
    <w:rsid w:val="463902F3"/>
    <w:rsid w:val="4639132E"/>
    <w:rsid w:val="463A4797"/>
    <w:rsid w:val="463B050F"/>
    <w:rsid w:val="463B22BD"/>
    <w:rsid w:val="463C0D22"/>
    <w:rsid w:val="463D7DE3"/>
    <w:rsid w:val="463E35D3"/>
    <w:rsid w:val="46401C91"/>
    <w:rsid w:val="46402205"/>
    <w:rsid w:val="46407634"/>
    <w:rsid w:val="464078D3"/>
    <w:rsid w:val="46411F54"/>
    <w:rsid w:val="464233DA"/>
    <w:rsid w:val="464248BE"/>
    <w:rsid w:val="46431172"/>
    <w:rsid w:val="4645313C"/>
    <w:rsid w:val="464556EE"/>
    <w:rsid w:val="46470C62"/>
    <w:rsid w:val="46480463"/>
    <w:rsid w:val="46491E27"/>
    <w:rsid w:val="46492C2C"/>
    <w:rsid w:val="464940F6"/>
    <w:rsid w:val="46496788"/>
    <w:rsid w:val="464A0752"/>
    <w:rsid w:val="464B6395"/>
    <w:rsid w:val="464C0026"/>
    <w:rsid w:val="464C4444"/>
    <w:rsid w:val="464C5BD7"/>
    <w:rsid w:val="464D054C"/>
    <w:rsid w:val="464E0242"/>
    <w:rsid w:val="464E341B"/>
    <w:rsid w:val="464E3D9E"/>
    <w:rsid w:val="464F7B16"/>
    <w:rsid w:val="465005B9"/>
    <w:rsid w:val="4651388E"/>
    <w:rsid w:val="4652461A"/>
    <w:rsid w:val="465313B5"/>
    <w:rsid w:val="46534369"/>
    <w:rsid w:val="46535859"/>
    <w:rsid w:val="4654337F"/>
    <w:rsid w:val="465515D1"/>
    <w:rsid w:val="46554D00"/>
    <w:rsid w:val="46555E19"/>
    <w:rsid w:val="4658064B"/>
    <w:rsid w:val="46582E6F"/>
    <w:rsid w:val="465869CB"/>
    <w:rsid w:val="46587F31"/>
    <w:rsid w:val="4659090B"/>
    <w:rsid w:val="465B295F"/>
    <w:rsid w:val="465B3FCD"/>
    <w:rsid w:val="465B470D"/>
    <w:rsid w:val="465B64BB"/>
    <w:rsid w:val="465D172D"/>
    <w:rsid w:val="465E2BBD"/>
    <w:rsid w:val="465F09B6"/>
    <w:rsid w:val="465F404D"/>
    <w:rsid w:val="465F41FD"/>
    <w:rsid w:val="465F5FAB"/>
    <w:rsid w:val="466229CE"/>
    <w:rsid w:val="46642087"/>
    <w:rsid w:val="466510E8"/>
    <w:rsid w:val="4665733A"/>
    <w:rsid w:val="466709DA"/>
    <w:rsid w:val="46671304"/>
    <w:rsid w:val="466730B2"/>
    <w:rsid w:val="466753B0"/>
    <w:rsid w:val="46686840"/>
    <w:rsid w:val="466960D4"/>
    <w:rsid w:val="466B0DF4"/>
    <w:rsid w:val="466C2476"/>
    <w:rsid w:val="466E0C85"/>
    <w:rsid w:val="466E2692"/>
    <w:rsid w:val="466F1F67"/>
    <w:rsid w:val="466F30FE"/>
    <w:rsid w:val="467001B9"/>
    <w:rsid w:val="46712183"/>
    <w:rsid w:val="46717A8D"/>
    <w:rsid w:val="4674757D"/>
    <w:rsid w:val="46762775"/>
    <w:rsid w:val="467632F5"/>
    <w:rsid w:val="46767799"/>
    <w:rsid w:val="46770DD1"/>
    <w:rsid w:val="46771B60"/>
    <w:rsid w:val="46780E1B"/>
    <w:rsid w:val="46794B93"/>
    <w:rsid w:val="467C3339"/>
    <w:rsid w:val="467F0CF9"/>
    <w:rsid w:val="467F21AA"/>
    <w:rsid w:val="46804131"/>
    <w:rsid w:val="468123C6"/>
    <w:rsid w:val="46821FB8"/>
    <w:rsid w:val="468448D8"/>
    <w:rsid w:val="46844A32"/>
    <w:rsid w:val="46850939"/>
    <w:rsid w:val="4685178A"/>
    <w:rsid w:val="46855D68"/>
    <w:rsid w:val="4686308E"/>
    <w:rsid w:val="468679DC"/>
    <w:rsid w:val="468846E9"/>
    <w:rsid w:val="4689127A"/>
    <w:rsid w:val="468974CC"/>
    <w:rsid w:val="468A074A"/>
    <w:rsid w:val="468A0B4E"/>
    <w:rsid w:val="468C5365"/>
    <w:rsid w:val="468E4AE3"/>
    <w:rsid w:val="468E7A41"/>
    <w:rsid w:val="468F024E"/>
    <w:rsid w:val="4690085B"/>
    <w:rsid w:val="469043B7"/>
    <w:rsid w:val="46911EDD"/>
    <w:rsid w:val="469226F7"/>
    <w:rsid w:val="46933EA7"/>
    <w:rsid w:val="46936CEE"/>
    <w:rsid w:val="46955E71"/>
    <w:rsid w:val="46971BE9"/>
    <w:rsid w:val="46986998"/>
    <w:rsid w:val="4698770F"/>
    <w:rsid w:val="46996DAF"/>
    <w:rsid w:val="469A3487"/>
    <w:rsid w:val="469A5235"/>
    <w:rsid w:val="469A62E0"/>
    <w:rsid w:val="469B2D5C"/>
    <w:rsid w:val="469C7200"/>
    <w:rsid w:val="469D0882"/>
    <w:rsid w:val="469F14E0"/>
    <w:rsid w:val="46A11836"/>
    <w:rsid w:val="46A14816"/>
    <w:rsid w:val="46A20A89"/>
    <w:rsid w:val="46A2233C"/>
    <w:rsid w:val="46A27E61"/>
    <w:rsid w:val="46A34B5F"/>
    <w:rsid w:val="46A377BC"/>
    <w:rsid w:val="46A40139"/>
    <w:rsid w:val="46A460B4"/>
    <w:rsid w:val="46A47E62"/>
    <w:rsid w:val="46A75BA4"/>
    <w:rsid w:val="46A9191C"/>
    <w:rsid w:val="46A95163"/>
    <w:rsid w:val="46AA2F9F"/>
    <w:rsid w:val="46AB2654"/>
    <w:rsid w:val="46AC31BB"/>
    <w:rsid w:val="46AC4F69"/>
    <w:rsid w:val="46AC6D17"/>
    <w:rsid w:val="46AD66B5"/>
    <w:rsid w:val="46AE0CE1"/>
    <w:rsid w:val="46AE2A8F"/>
    <w:rsid w:val="46AE7B45"/>
    <w:rsid w:val="46B03787"/>
    <w:rsid w:val="46B102DF"/>
    <w:rsid w:val="46B11B10"/>
    <w:rsid w:val="46B1257F"/>
    <w:rsid w:val="46B1432D"/>
    <w:rsid w:val="46B17A5D"/>
    <w:rsid w:val="46B207D1"/>
    <w:rsid w:val="46B30FD0"/>
    <w:rsid w:val="46B34549"/>
    <w:rsid w:val="46B42276"/>
    <w:rsid w:val="46B502C1"/>
    <w:rsid w:val="46B51467"/>
    <w:rsid w:val="46B53D11"/>
    <w:rsid w:val="46B53E1D"/>
    <w:rsid w:val="46B5457B"/>
    <w:rsid w:val="46B67B95"/>
    <w:rsid w:val="46B75DE7"/>
    <w:rsid w:val="46B81B60"/>
    <w:rsid w:val="46B856BC"/>
    <w:rsid w:val="46BA58D8"/>
    <w:rsid w:val="46BA7686"/>
    <w:rsid w:val="46BB51AC"/>
    <w:rsid w:val="46BC6448"/>
    <w:rsid w:val="46BD2CD2"/>
    <w:rsid w:val="46BE5E5B"/>
    <w:rsid w:val="46BF2EEE"/>
    <w:rsid w:val="46BF6A4A"/>
    <w:rsid w:val="46C027C2"/>
    <w:rsid w:val="46C15FBB"/>
    <w:rsid w:val="46C16C66"/>
    <w:rsid w:val="46C2478C"/>
    <w:rsid w:val="46C2487A"/>
    <w:rsid w:val="46C2653A"/>
    <w:rsid w:val="46C422B2"/>
    <w:rsid w:val="46C6022E"/>
    <w:rsid w:val="46C6427C"/>
    <w:rsid w:val="46C6725C"/>
    <w:rsid w:val="46C706EC"/>
    <w:rsid w:val="46C7182E"/>
    <w:rsid w:val="46C71DA3"/>
    <w:rsid w:val="46C95B1B"/>
    <w:rsid w:val="46CB1893"/>
    <w:rsid w:val="46CB3641"/>
    <w:rsid w:val="46CB53EF"/>
    <w:rsid w:val="46CD058C"/>
    <w:rsid w:val="46CD08F7"/>
    <w:rsid w:val="46CD0C62"/>
    <w:rsid w:val="46CD198D"/>
    <w:rsid w:val="46CD560B"/>
    <w:rsid w:val="46CE1383"/>
    <w:rsid w:val="46CE3131"/>
    <w:rsid w:val="46D0030E"/>
    <w:rsid w:val="46D00C57"/>
    <w:rsid w:val="46D1677D"/>
    <w:rsid w:val="46D24AB3"/>
    <w:rsid w:val="46D30747"/>
    <w:rsid w:val="46D52711"/>
    <w:rsid w:val="46D52CF0"/>
    <w:rsid w:val="46D53DA4"/>
    <w:rsid w:val="46D558C1"/>
    <w:rsid w:val="46D701E1"/>
    <w:rsid w:val="46D70238"/>
    <w:rsid w:val="46D86127"/>
    <w:rsid w:val="46DA3F91"/>
    <w:rsid w:val="46DB13AA"/>
    <w:rsid w:val="46DC2327"/>
    <w:rsid w:val="46DC3AA0"/>
    <w:rsid w:val="46DC584E"/>
    <w:rsid w:val="46DC75FC"/>
    <w:rsid w:val="46DC7FF2"/>
    <w:rsid w:val="46DD15C6"/>
    <w:rsid w:val="46DD3374"/>
    <w:rsid w:val="46DD5122"/>
    <w:rsid w:val="46DE54E3"/>
    <w:rsid w:val="46DF0E9A"/>
    <w:rsid w:val="46E07E45"/>
    <w:rsid w:val="46E110B6"/>
    <w:rsid w:val="46E12E64"/>
    <w:rsid w:val="46E22739"/>
    <w:rsid w:val="46E26BDC"/>
    <w:rsid w:val="46E42955"/>
    <w:rsid w:val="46E70490"/>
    <w:rsid w:val="46E77CD6"/>
    <w:rsid w:val="46E91D19"/>
    <w:rsid w:val="46EA51C7"/>
    <w:rsid w:val="46EB3AC4"/>
    <w:rsid w:val="46EB783F"/>
    <w:rsid w:val="46EC2AD4"/>
    <w:rsid w:val="46EC3161"/>
    <w:rsid w:val="46ED1809"/>
    <w:rsid w:val="46ED5A14"/>
    <w:rsid w:val="46ED74D6"/>
    <w:rsid w:val="46EE37D3"/>
    <w:rsid w:val="46EE5581"/>
    <w:rsid w:val="46EE732F"/>
    <w:rsid w:val="46F012F9"/>
    <w:rsid w:val="46F01A52"/>
    <w:rsid w:val="46F030A7"/>
    <w:rsid w:val="46F15820"/>
    <w:rsid w:val="46F25071"/>
    <w:rsid w:val="46F37065"/>
    <w:rsid w:val="46F661E4"/>
    <w:rsid w:val="46F74436"/>
    <w:rsid w:val="46F74BFA"/>
    <w:rsid w:val="46F7608A"/>
    <w:rsid w:val="46F96400"/>
    <w:rsid w:val="46F96F76"/>
    <w:rsid w:val="46FA2178"/>
    <w:rsid w:val="46FA3F26"/>
    <w:rsid w:val="46FC1A4C"/>
    <w:rsid w:val="46FD4B57"/>
    <w:rsid w:val="46FD7572"/>
    <w:rsid w:val="47005CAC"/>
    <w:rsid w:val="470152B5"/>
    <w:rsid w:val="47060B1D"/>
    <w:rsid w:val="47064679"/>
    <w:rsid w:val="470703F1"/>
    <w:rsid w:val="47072195"/>
    <w:rsid w:val="47075B7F"/>
    <w:rsid w:val="47081E2D"/>
    <w:rsid w:val="47084895"/>
    <w:rsid w:val="47086643"/>
    <w:rsid w:val="4708700F"/>
    <w:rsid w:val="47091BE0"/>
    <w:rsid w:val="470A3070"/>
    <w:rsid w:val="470B6133"/>
    <w:rsid w:val="470E39A4"/>
    <w:rsid w:val="470E5B90"/>
    <w:rsid w:val="47106EE2"/>
    <w:rsid w:val="4712301E"/>
    <w:rsid w:val="47134FE8"/>
    <w:rsid w:val="47136D96"/>
    <w:rsid w:val="4714323A"/>
    <w:rsid w:val="47150D60"/>
    <w:rsid w:val="47152B0E"/>
    <w:rsid w:val="47153338"/>
    <w:rsid w:val="47173184"/>
    <w:rsid w:val="47173339"/>
    <w:rsid w:val="47174AD8"/>
    <w:rsid w:val="471843AC"/>
    <w:rsid w:val="47190850"/>
    <w:rsid w:val="471A1ED2"/>
    <w:rsid w:val="471C3E9C"/>
    <w:rsid w:val="471D2076"/>
    <w:rsid w:val="471E7C15"/>
    <w:rsid w:val="471F573B"/>
    <w:rsid w:val="472114B3"/>
    <w:rsid w:val="47213261"/>
    <w:rsid w:val="47216B23"/>
    <w:rsid w:val="472471F5"/>
    <w:rsid w:val="47256537"/>
    <w:rsid w:val="47267E76"/>
    <w:rsid w:val="472745EF"/>
    <w:rsid w:val="47281438"/>
    <w:rsid w:val="47290367"/>
    <w:rsid w:val="4729480B"/>
    <w:rsid w:val="47294EB8"/>
    <w:rsid w:val="472A3872"/>
    <w:rsid w:val="472B5EF6"/>
    <w:rsid w:val="472E3BD0"/>
    <w:rsid w:val="472E597E"/>
    <w:rsid w:val="47305B9A"/>
    <w:rsid w:val="47305E1C"/>
    <w:rsid w:val="47307948"/>
    <w:rsid w:val="47321912"/>
    <w:rsid w:val="4732546E"/>
    <w:rsid w:val="473276AB"/>
    <w:rsid w:val="473309CA"/>
    <w:rsid w:val="47330B3B"/>
    <w:rsid w:val="47330D35"/>
    <w:rsid w:val="4734568A"/>
    <w:rsid w:val="4735776D"/>
    <w:rsid w:val="47376F28"/>
    <w:rsid w:val="47392CA0"/>
    <w:rsid w:val="47395DE1"/>
    <w:rsid w:val="473C009B"/>
    <w:rsid w:val="473F7B8B"/>
    <w:rsid w:val="47404880"/>
    <w:rsid w:val="474136C8"/>
    <w:rsid w:val="47413903"/>
    <w:rsid w:val="474271A0"/>
    <w:rsid w:val="474319B9"/>
    <w:rsid w:val="474358CD"/>
    <w:rsid w:val="4744216F"/>
    <w:rsid w:val="474451A1"/>
    <w:rsid w:val="47451645"/>
    <w:rsid w:val="47456DDE"/>
    <w:rsid w:val="474606F2"/>
    <w:rsid w:val="47484C91"/>
    <w:rsid w:val="4748771A"/>
    <w:rsid w:val="474927B8"/>
    <w:rsid w:val="474A6DC2"/>
    <w:rsid w:val="474D4056"/>
    <w:rsid w:val="474E06BD"/>
    <w:rsid w:val="474E5743"/>
    <w:rsid w:val="474E6020"/>
    <w:rsid w:val="475015C6"/>
    <w:rsid w:val="47503B46"/>
    <w:rsid w:val="475146B6"/>
    <w:rsid w:val="47514A22"/>
    <w:rsid w:val="47523D62"/>
    <w:rsid w:val="475353E4"/>
    <w:rsid w:val="47543636"/>
    <w:rsid w:val="4755115C"/>
    <w:rsid w:val="47555600"/>
    <w:rsid w:val="475573AE"/>
    <w:rsid w:val="47571378"/>
    <w:rsid w:val="47573126"/>
    <w:rsid w:val="47583F97"/>
    <w:rsid w:val="475950F1"/>
    <w:rsid w:val="475A49C5"/>
    <w:rsid w:val="475A6773"/>
    <w:rsid w:val="475C698F"/>
    <w:rsid w:val="475D6979"/>
    <w:rsid w:val="475E2707"/>
    <w:rsid w:val="475E6263"/>
    <w:rsid w:val="475E66C8"/>
    <w:rsid w:val="475E78D5"/>
    <w:rsid w:val="475F1299"/>
    <w:rsid w:val="475F3D89"/>
    <w:rsid w:val="475F523A"/>
    <w:rsid w:val="47613FA5"/>
    <w:rsid w:val="4763315F"/>
    <w:rsid w:val="47633879"/>
    <w:rsid w:val="47637D1D"/>
    <w:rsid w:val="47677A2B"/>
    <w:rsid w:val="47683A8C"/>
    <w:rsid w:val="476870E2"/>
    <w:rsid w:val="47694C08"/>
    <w:rsid w:val="476A1A4C"/>
    <w:rsid w:val="476B4E24"/>
    <w:rsid w:val="476B6BD2"/>
    <w:rsid w:val="476B783C"/>
    <w:rsid w:val="476C56FD"/>
    <w:rsid w:val="476D1EFD"/>
    <w:rsid w:val="476D294A"/>
    <w:rsid w:val="476D64A6"/>
    <w:rsid w:val="476E08C4"/>
    <w:rsid w:val="476E221E"/>
    <w:rsid w:val="476E262F"/>
    <w:rsid w:val="4770243A"/>
    <w:rsid w:val="47721D0E"/>
    <w:rsid w:val="47724B3E"/>
    <w:rsid w:val="47727274"/>
    <w:rsid w:val="4772770F"/>
    <w:rsid w:val="47777325"/>
    <w:rsid w:val="477912EF"/>
    <w:rsid w:val="47794E4B"/>
    <w:rsid w:val="477978BE"/>
    <w:rsid w:val="477B5067"/>
    <w:rsid w:val="477C0DDF"/>
    <w:rsid w:val="477C3392"/>
    <w:rsid w:val="477C493B"/>
    <w:rsid w:val="477D29CB"/>
    <w:rsid w:val="477E06B3"/>
    <w:rsid w:val="477F442B"/>
    <w:rsid w:val="477F61D9"/>
    <w:rsid w:val="478005D2"/>
    <w:rsid w:val="47804037"/>
    <w:rsid w:val="47811F51"/>
    <w:rsid w:val="47815A48"/>
    <w:rsid w:val="478163F5"/>
    <w:rsid w:val="47833F1C"/>
    <w:rsid w:val="47835AC3"/>
    <w:rsid w:val="47841A42"/>
    <w:rsid w:val="47852FB4"/>
    <w:rsid w:val="47855EE6"/>
    <w:rsid w:val="4786238C"/>
    <w:rsid w:val="47867568"/>
    <w:rsid w:val="47887784"/>
    <w:rsid w:val="478A34FC"/>
    <w:rsid w:val="478A52AA"/>
    <w:rsid w:val="478A706C"/>
    <w:rsid w:val="478C7274"/>
    <w:rsid w:val="478D08F6"/>
    <w:rsid w:val="478E5502"/>
    <w:rsid w:val="478F466E"/>
    <w:rsid w:val="479000C6"/>
    <w:rsid w:val="47906638"/>
    <w:rsid w:val="4791488A"/>
    <w:rsid w:val="479223B1"/>
    <w:rsid w:val="47925F0D"/>
    <w:rsid w:val="47946129"/>
    <w:rsid w:val="47952AA8"/>
    <w:rsid w:val="479559FD"/>
    <w:rsid w:val="4799373F"/>
    <w:rsid w:val="4799478F"/>
    <w:rsid w:val="479C322F"/>
    <w:rsid w:val="479C4FDD"/>
    <w:rsid w:val="479C6669"/>
    <w:rsid w:val="479E06AB"/>
    <w:rsid w:val="479E0D55"/>
    <w:rsid w:val="479F00DF"/>
    <w:rsid w:val="479F062A"/>
    <w:rsid w:val="479F7581"/>
    <w:rsid w:val="47A04ACD"/>
    <w:rsid w:val="47A07BBB"/>
    <w:rsid w:val="47A10846"/>
    <w:rsid w:val="47A125F4"/>
    <w:rsid w:val="47A143A2"/>
    <w:rsid w:val="47A14704"/>
    <w:rsid w:val="47A250AC"/>
    <w:rsid w:val="47A3636C"/>
    <w:rsid w:val="47A5180C"/>
    <w:rsid w:val="47A520E4"/>
    <w:rsid w:val="47A53E92"/>
    <w:rsid w:val="47A65E5C"/>
    <w:rsid w:val="47A829BC"/>
    <w:rsid w:val="47A85730"/>
    <w:rsid w:val="47A923AE"/>
    <w:rsid w:val="47A9541E"/>
    <w:rsid w:val="47AA428D"/>
    <w:rsid w:val="47AB5220"/>
    <w:rsid w:val="47AC3472"/>
    <w:rsid w:val="47AD0F98"/>
    <w:rsid w:val="47AD71EA"/>
    <w:rsid w:val="47B02837"/>
    <w:rsid w:val="47B10A89"/>
    <w:rsid w:val="47B16CDB"/>
    <w:rsid w:val="47B2035D"/>
    <w:rsid w:val="47B33460"/>
    <w:rsid w:val="47B37163"/>
    <w:rsid w:val="47B40579"/>
    <w:rsid w:val="47B42327"/>
    <w:rsid w:val="47B440D5"/>
    <w:rsid w:val="47B651CB"/>
    <w:rsid w:val="47B73BC5"/>
    <w:rsid w:val="47B85D93"/>
    <w:rsid w:val="47B95B8F"/>
    <w:rsid w:val="47B972D2"/>
    <w:rsid w:val="47BA1BF2"/>
    <w:rsid w:val="47BC0824"/>
    <w:rsid w:val="47BC11DC"/>
    <w:rsid w:val="47BC5C53"/>
    <w:rsid w:val="47BC742D"/>
    <w:rsid w:val="47BD10FB"/>
    <w:rsid w:val="47BF2826"/>
    <w:rsid w:val="47C02A7A"/>
    <w:rsid w:val="47C06F1E"/>
    <w:rsid w:val="47C307BC"/>
    <w:rsid w:val="47C3256A"/>
    <w:rsid w:val="47C45875"/>
    <w:rsid w:val="47C702AC"/>
    <w:rsid w:val="47C86CBC"/>
    <w:rsid w:val="47CA38F8"/>
    <w:rsid w:val="47CA7D9C"/>
    <w:rsid w:val="47CC2509"/>
    <w:rsid w:val="47CD163B"/>
    <w:rsid w:val="47CD6BD8"/>
    <w:rsid w:val="47CE2EEB"/>
    <w:rsid w:val="47CF14F8"/>
    <w:rsid w:val="47CF7161"/>
    <w:rsid w:val="47D06A35"/>
    <w:rsid w:val="47D20620"/>
    <w:rsid w:val="47D227AD"/>
    <w:rsid w:val="47D26C51"/>
    <w:rsid w:val="47D32505"/>
    <w:rsid w:val="47D429C9"/>
    <w:rsid w:val="47D46525"/>
    <w:rsid w:val="47D604EF"/>
    <w:rsid w:val="47D6229D"/>
    <w:rsid w:val="47D7285B"/>
    <w:rsid w:val="47D76015"/>
    <w:rsid w:val="47D77DC3"/>
    <w:rsid w:val="47D83CEB"/>
    <w:rsid w:val="47D93349"/>
    <w:rsid w:val="47DD72A4"/>
    <w:rsid w:val="47DD7AD0"/>
    <w:rsid w:val="47DE73A4"/>
    <w:rsid w:val="47E0136E"/>
    <w:rsid w:val="47E04ECA"/>
    <w:rsid w:val="47E11690"/>
    <w:rsid w:val="47E33329"/>
    <w:rsid w:val="47E60EC0"/>
    <w:rsid w:val="47E66258"/>
    <w:rsid w:val="47E80223"/>
    <w:rsid w:val="47E81318"/>
    <w:rsid w:val="47E81FD1"/>
    <w:rsid w:val="47EA3F9B"/>
    <w:rsid w:val="47EA7AF7"/>
    <w:rsid w:val="47EB386F"/>
    <w:rsid w:val="47EC1AC1"/>
    <w:rsid w:val="47ED75E7"/>
    <w:rsid w:val="47EE5F11"/>
    <w:rsid w:val="47EF335F"/>
    <w:rsid w:val="47EF7803"/>
    <w:rsid w:val="47F00E85"/>
    <w:rsid w:val="47F06172"/>
    <w:rsid w:val="47F14892"/>
    <w:rsid w:val="47F161DD"/>
    <w:rsid w:val="47F210A1"/>
    <w:rsid w:val="47F22E4F"/>
    <w:rsid w:val="47F40975"/>
    <w:rsid w:val="47F44954"/>
    <w:rsid w:val="47F65806"/>
    <w:rsid w:val="47F6649C"/>
    <w:rsid w:val="47F67274"/>
    <w:rsid w:val="47F70704"/>
    <w:rsid w:val="47F711E9"/>
    <w:rsid w:val="47F81BC3"/>
    <w:rsid w:val="47F832D5"/>
    <w:rsid w:val="47F92430"/>
    <w:rsid w:val="47F95BF5"/>
    <w:rsid w:val="47FA4E4E"/>
    <w:rsid w:val="47FC782A"/>
    <w:rsid w:val="47FD3CCE"/>
    <w:rsid w:val="47FD56A7"/>
    <w:rsid w:val="47FD7147"/>
    <w:rsid w:val="47FE35A2"/>
    <w:rsid w:val="47FF112F"/>
    <w:rsid w:val="480037BE"/>
    <w:rsid w:val="4800556C"/>
    <w:rsid w:val="48007381"/>
    <w:rsid w:val="480321E6"/>
    <w:rsid w:val="48036E0A"/>
    <w:rsid w:val="480734F0"/>
    <w:rsid w:val="48074B4D"/>
    <w:rsid w:val="48082673"/>
    <w:rsid w:val="48084162"/>
    <w:rsid w:val="480908C5"/>
    <w:rsid w:val="480935A0"/>
    <w:rsid w:val="480A0199"/>
    <w:rsid w:val="480C3F11"/>
    <w:rsid w:val="480C5CBF"/>
    <w:rsid w:val="480D3502"/>
    <w:rsid w:val="480F1413"/>
    <w:rsid w:val="480F15EB"/>
    <w:rsid w:val="480F3A01"/>
    <w:rsid w:val="481132D5"/>
    <w:rsid w:val="48117779"/>
    <w:rsid w:val="4812529F"/>
    <w:rsid w:val="4813679C"/>
    <w:rsid w:val="48141018"/>
    <w:rsid w:val="4816511D"/>
    <w:rsid w:val="4816685E"/>
    <w:rsid w:val="48166B3E"/>
    <w:rsid w:val="481711A1"/>
    <w:rsid w:val="48174664"/>
    <w:rsid w:val="48180B08"/>
    <w:rsid w:val="481903DC"/>
    <w:rsid w:val="481964C7"/>
    <w:rsid w:val="4819678A"/>
    <w:rsid w:val="481B05F8"/>
    <w:rsid w:val="481B23A6"/>
    <w:rsid w:val="481B725E"/>
    <w:rsid w:val="481D611E"/>
    <w:rsid w:val="481D7ECC"/>
    <w:rsid w:val="481E3C44"/>
    <w:rsid w:val="481E41CB"/>
    <w:rsid w:val="481F1051"/>
    <w:rsid w:val="482024E1"/>
    <w:rsid w:val="48210086"/>
    <w:rsid w:val="48220361"/>
    <w:rsid w:val="482215D6"/>
    <w:rsid w:val="482254E2"/>
    <w:rsid w:val="4823125B"/>
    <w:rsid w:val="48233009"/>
    <w:rsid w:val="482464BF"/>
    <w:rsid w:val="48247721"/>
    <w:rsid w:val="48256D81"/>
    <w:rsid w:val="48270D4B"/>
    <w:rsid w:val="482760A2"/>
    <w:rsid w:val="4828061F"/>
    <w:rsid w:val="48286871"/>
    <w:rsid w:val="482A25E9"/>
    <w:rsid w:val="482C315B"/>
    <w:rsid w:val="482E032B"/>
    <w:rsid w:val="482E20D9"/>
    <w:rsid w:val="482F19AD"/>
    <w:rsid w:val="482F752C"/>
    <w:rsid w:val="48311BC9"/>
    <w:rsid w:val="48315726"/>
    <w:rsid w:val="4832149E"/>
    <w:rsid w:val="48333FF5"/>
    <w:rsid w:val="48345216"/>
    <w:rsid w:val="4835414F"/>
    <w:rsid w:val="48360F8E"/>
    <w:rsid w:val="48376AB4"/>
    <w:rsid w:val="48380768"/>
    <w:rsid w:val="48387CB6"/>
    <w:rsid w:val="48390A7E"/>
    <w:rsid w:val="48391BF8"/>
    <w:rsid w:val="48391EED"/>
    <w:rsid w:val="483925C3"/>
    <w:rsid w:val="4839282C"/>
    <w:rsid w:val="48396CD0"/>
    <w:rsid w:val="483B2A48"/>
    <w:rsid w:val="483D056E"/>
    <w:rsid w:val="483D40CA"/>
    <w:rsid w:val="483F42E6"/>
    <w:rsid w:val="4841120B"/>
    <w:rsid w:val="484216E1"/>
    <w:rsid w:val="484418FD"/>
    <w:rsid w:val="484511D1"/>
    <w:rsid w:val="48457423"/>
    <w:rsid w:val="484713ED"/>
    <w:rsid w:val="48474F49"/>
    <w:rsid w:val="484C07B1"/>
    <w:rsid w:val="484C255F"/>
    <w:rsid w:val="484D0086"/>
    <w:rsid w:val="484E4529"/>
    <w:rsid w:val="484F25B3"/>
    <w:rsid w:val="484F3DFE"/>
    <w:rsid w:val="48515DC8"/>
    <w:rsid w:val="48537D92"/>
    <w:rsid w:val="485427D7"/>
    <w:rsid w:val="48547666"/>
    <w:rsid w:val="48575181"/>
    <w:rsid w:val="485756B9"/>
    <w:rsid w:val="48575BD9"/>
    <w:rsid w:val="485853A8"/>
    <w:rsid w:val="485A2082"/>
    <w:rsid w:val="485A3B02"/>
    <w:rsid w:val="485C3DC6"/>
    <w:rsid w:val="485D0FF3"/>
    <w:rsid w:val="485D476D"/>
    <w:rsid w:val="485F6737"/>
    <w:rsid w:val="4860425D"/>
    <w:rsid w:val="48621D83"/>
    <w:rsid w:val="48623B31"/>
    <w:rsid w:val="48627FD5"/>
    <w:rsid w:val="48650A8D"/>
    <w:rsid w:val="48651873"/>
    <w:rsid w:val="486620A5"/>
    <w:rsid w:val="4867383D"/>
    <w:rsid w:val="48677399"/>
    <w:rsid w:val="4869102A"/>
    <w:rsid w:val="48691363"/>
    <w:rsid w:val="4869579D"/>
    <w:rsid w:val="486A0C38"/>
    <w:rsid w:val="486A633B"/>
    <w:rsid w:val="486B1B3A"/>
    <w:rsid w:val="486E0728"/>
    <w:rsid w:val="486F26F2"/>
    <w:rsid w:val="486F77BC"/>
    <w:rsid w:val="48710218"/>
    <w:rsid w:val="487171B8"/>
    <w:rsid w:val="48721D89"/>
    <w:rsid w:val="48723AE3"/>
    <w:rsid w:val="48733F90"/>
    <w:rsid w:val="487620F2"/>
    <w:rsid w:val="48763A80"/>
    <w:rsid w:val="4876582E"/>
    <w:rsid w:val="48767174"/>
    <w:rsid w:val="487675DC"/>
    <w:rsid w:val="4877302A"/>
    <w:rsid w:val="4877476B"/>
    <w:rsid w:val="48777D12"/>
    <w:rsid w:val="48783354"/>
    <w:rsid w:val="4879708B"/>
    <w:rsid w:val="487970CD"/>
    <w:rsid w:val="487A1E2A"/>
    <w:rsid w:val="487A3570"/>
    <w:rsid w:val="487A531F"/>
    <w:rsid w:val="487B3BE6"/>
    <w:rsid w:val="487B4BF3"/>
    <w:rsid w:val="487E46E3"/>
    <w:rsid w:val="487F2935"/>
    <w:rsid w:val="488066AD"/>
    <w:rsid w:val="48816A33"/>
    <w:rsid w:val="48822425"/>
    <w:rsid w:val="488241D3"/>
    <w:rsid w:val="48825F81"/>
    <w:rsid w:val="48831CF9"/>
    <w:rsid w:val="488340A3"/>
    <w:rsid w:val="48847F4B"/>
    <w:rsid w:val="488501FF"/>
    <w:rsid w:val="488533E1"/>
    <w:rsid w:val="4886629A"/>
    <w:rsid w:val="48866ABE"/>
    <w:rsid w:val="48873598"/>
    <w:rsid w:val="48874977"/>
    <w:rsid w:val="488841DB"/>
    <w:rsid w:val="48897310"/>
    <w:rsid w:val="488A5754"/>
    <w:rsid w:val="488C6E00"/>
    <w:rsid w:val="488E2B78"/>
    <w:rsid w:val="488E4926"/>
    <w:rsid w:val="488F68F0"/>
    <w:rsid w:val="48904B42"/>
    <w:rsid w:val="48911421"/>
    <w:rsid w:val="4891738F"/>
    <w:rsid w:val="489177E2"/>
    <w:rsid w:val="489363E0"/>
    <w:rsid w:val="48945CB4"/>
    <w:rsid w:val="48961A2D"/>
    <w:rsid w:val="48967A43"/>
    <w:rsid w:val="48967C7F"/>
    <w:rsid w:val="489839F7"/>
    <w:rsid w:val="489932CB"/>
    <w:rsid w:val="489A151D"/>
    <w:rsid w:val="489A776F"/>
    <w:rsid w:val="489B34E7"/>
    <w:rsid w:val="489B5295"/>
    <w:rsid w:val="489B7043"/>
    <w:rsid w:val="48A028AB"/>
    <w:rsid w:val="48A04659"/>
    <w:rsid w:val="48A13070"/>
    <w:rsid w:val="48A14B56"/>
    <w:rsid w:val="48A169EB"/>
    <w:rsid w:val="48A203D1"/>
    <w:rsid w:val="48A26623"/>
    <w:rsid w:val="48A4239B"/>
    <w:rsid w:val="48A43788"/>
    <w:rsid w:val="48A44149"/>
    <w:rsid w:val="48A56114"/>
    <w:rsid w:val="48A57EC2"/>
    <w:rsid w:val="48A64365"/>
    <w:rsid w:val="48A73C3A"/>
    <w:rsid w:val="48A759E8"/>
    <w:rsid w:val="48AA0A8A"/>
    <w:rsid w:val="48AA4D31"/>
    <w:rsid w:val="48AA54D8"/>
    <w:rsid w:val="48AB1789"/>
    <w:rsid w:val="48AC47F0"/>
    <w:rsid w:val="48AD4E73"/>
    <w:rsid w:val="48AD51DE"/>
    <w:rsid w:val="48AE321A"/>
    <w:rsid w:val="48AE3BA5"/>
    <w:rsid w:val="48AE6D76"/>
    <w:rsid w:val="48AF089B"/>
    <w:rsid w:val="48AF0F60"/>
    <w:rsid w:val="48B06F92"/>
    <w:rsid w:val="48B12D0A"/>
    <w:rsid w:val="48B14AB8"/>
    <w:rsid w:val="48B16866"/>
    <w:rsid w:val="48B33C17"/>
    <w:rsid w:val="48B40105"/>
    <w:rsid w:val="48B545A9"/>
    <w:rsid w:val="48B56357"/>
    <w:rsid w:val="48B5711A"/>
    <w:rsid w:val="48B620CF"/>
    <w:rsid w:val="48B65B6A"/>
    <w:rsid w:val="48B819A3"/>
    <w:rsid w:val="48B84099"/>
    <w:rsid w:val="48B9571B"/>
    <w:rsid w:val="48BA1BBF"/>
    <w:rsid w:val="48BC5937"/>
    <w:rsid w:val="48BD16AF"/>
    <w:rsid w:val="48BD520B"/>
    <w:rsid w:val="48BF5427"/>
    <w:rsid w:val="48BF6C4F"/>
    <w:rsid w:val="48BF71D5"/>
    <w:rsid w:val="48C06AA9"/>
    <w:rsid w:val="48C15FC8"/>
    <w:rsid w:val="48C26CC5"/>
    <w:rsid w:val="48C42A3E"/>
    <w:rsid w:val="48C4659A"/>
    <w:rsid w:val="48C92DF9"/>
    <w:rsid w:val="48CC18F2"/>
    <w:rsid w:val="48CC36A0"/>
    <w:rsid w:val="48CD0E90"/>
    <w:rsid w:val="48CD26E3"/>
    <w:rsid w:val="48D03190"/>
    <w:rsid w:val="48D07BD4"/>
    <w:rsid w:val="48D13C35"/>
    <w:rsid w:val="48D34A2F"/>
    <w:rsid w:val="48D507A7"/>
    <w:rsid w:val="48D6451F"/>
    <w:rsid w:val="48D64F62"/>
    <w:rsid w:val="48D80297"/>
    <w:rsid w:val="48DA11AE"/>
    <w:rsid w:val="48DA28FB"/>
    <w:rsid w:val="48DA2C66"/>
    <w:rsid w:val="48DA3857"/>
    <w:rsid w:val="48DA400F"/>
    <w:rsid w:val="48DA637A"/>
    <w:rsid w:val="48DB1B35"/>
    <w:rsid w:val="48DB38E3"/>
    <w:rsid w:val="48DC1D50"/>
    <w:rsid w:val="48DC7D87"/>
    <w:rsid w:val="48DD21D8"/>
    <w:rsid w:val="48DD32AE"/>
    <w:rsid w:val="48DD58AD"/>
    <w:rsid w:val="48DD765B"/>
    <w:rsid w:val="48DE32C9"/>
    <w:rsid w:val="48DE4DA9"/>
    <w:rsid w:val="48DF5182"/>
    <w:rsid w:val="48E00EFA"/>
    <w:rsid w:val="48E2263A"/>
    <w:rsid w:val="48E22EC4"/>
    <w:rsid w:val="48E24C72"/>
    <w:rsid w:val="48E409EA"/>
    <w:rsid w:val="48E474DA"/>
    <w:rsid w:val="48E5353B"/>
    <w:rsid w:val="48E56510"/>
    <w:rsid w:val="48E629B4"/>
    <w:rsid w:val="48E64762"/>
    <w:rsid w:val="48E721AE"/>
    <w:rsid w:val="48E7672C"/>
    <w:rsid w:val="48E96000"/>
    <w:rsid w:val="48EA334C"/>
    <w:rsid w:val="48EA3B26"/>
    <w:rsid w:val="48EB621C"/>
    <w:rsid w:val="48EB7FCA"/>
    <w:rsid w:val="48EC3D42"/>
    <w:rsid w:val="48EC5C6C"/>
    <w:rsid w:val="48EC789E"/>
    <w:rsid w:val="48EE315D"/>
    <w:rsid w:val="48EE7ABB"/>
    <w:rsid w:val="48F06078"/>
    <w:rsid w:val="48F350D1"/>
    <w:rsid w:val="48F52BF7"/>
    <w:rsid w:val="48F549A5"/>
    <w:rsid w:val="48F6071D"/>
    <w:rsid w:val="48F644C0"/>
    <w:rsid w:val="48F67F8C"/>
    <w:rsid w:val="48F74BC1"/>
    <w:rsid w:val="48F80521"/>
    <w:rsid w:val="48F85A30"/>
    <w:rsid w:val="48F86DE0"/>
    <w:rsid w:val="48F919B1"/>
    <w:rsid w:val="48FA1700"/>
    <w:rsid w:val="48FD0081"/>
    <w:rsid w:val="48FD385A"/>
    <w:rsid w:val="48FD3D54"/>
    <w:rsid w:val="48FE0BB6"/>
    <w:rsid w:val="48FE0DE1"/>
    <w:rsid w:val="48FE3445"/>
    <w:rsid w:val="48FF3A76"/>
    <w:rsid w:val="48FF5824"/>
    <w:rsid w:val="48FF75D2"/>
    <w:rsid w:val="49000143"/>
    <w:rsid w:val="4901159C"/>
    <w:rsid w:val="490177EE"/>
    <w:rsid w:val="49025314"/>
    <w:rsid w:val="49033566"/>
    <w:rsid w:val="49040780"/>
    <w:rsid w:val="49060960"/>
    <w:rsid w:val="4906149B"/>
    <w:rsid w:val="49064E04"/>
    <w:rsid w:val="4907292A"/>
    <w:rsid w:val="49073D03"/>
    <w:rsid w:val="490746D8"/>
    <w:rsid w:val="490805DD"/>
    <w:rsid w:val="490948F4"/>
    <w:rsid w:val="490A11F4"/>
    <w:rsid w:val="490B41C9"/>
    <w:rsid w:val="490B5F77"/>
    <w:rsid w:val="490C1CEF"/>
    <w:rsid w:val="490C66E5"/>
    <w:rsid w:val="490D6193"/>
    <w:rsid w:val="490D7B75"/>
    <w:rsid w:val="490E5A67"/>
    <w:rsid w:val="491017DF"/>
    <w:rsid w:val="49105C83"/>
    <w:rsid w:val="49111098"/>
    <w:rsid w:val="491237A9"/>
    <w:rsid w:val="4913307D"/>
    <w:rsid w:val="491339E7"/>
    <w:rsid w:val="491352B1"/>
    <w:rsid w:val="49153B3D"/>
    <w:rsid w:val="49156DF5"/>
    <w:rsid w:val="49170DBF"/>
    <w:rsid w:val="49172B6D"/>
    <w:rsid w:val="491813FC"/>
    <w:rsid w:val="49184B37"/>
    <w:rsid w:val="491867F3"/>
    <w:rsid w:val="491C4628"/>
    <w:rsid w:val="491D214E"/>
    <w:rsid w:val="491F7C74"/>
    <w:rsid w:val="4921579A"/>
    <w:rsid w:val="492267C1"/>
    <w:rsid w:val="49226CE1"/>
    <w:rsid w:val="49227764"/>
    <w:rsid w:val="492359B6"/>
    <w:rsid w:val="49262DB0"/>
    <w:rsid w:val="49267254"/>
    <w:rsid w:val="49273FBB"/>
    <w:rsid w:val="492928A1"/>
    <w:rsid w:val="492B486B"/>
    <w:rsid w:val="492C413F"/>
    <w:rsid w:val="492D638D"/>
    <w:rsid w:val="492D715F"/>
    <w:rsid w:val="492E0052"/>
    <w:rsid w:val="492E435B"/>
    <w:rsid w:val="492E6109"/>
    <w:rsid w:val="492E634C"/>
    <w:rsid w:val="492E7EB7"/>
    <w:rsid w:val="49303C2F"/>
    <w:rsid w:val="493059DD"/>
    <w:rsid w:val="49313C17"/>
    <w:rsid w:val="49331890"/>
    <w:rsid w:val="4933371F"/>
    <w:rsid w:val="49351245"/>
    <w:rsid w:val="49357497"/>
    <w:rsid w:val="49366D6C"/>
    <w:rsid w:val="49383070"/>
    <w:rsid w:val="49396F88"/>
    <w:rsid w:val="493A4AAE"/>
    <w:rsid w:val="493A685C"/>
    <w:rsid w:val="493B1763"/>
    <w:rsid w:val="493C25D4"/>
    <w:rsid w:val="493C57C4"/>
    <w:rsid w:val="493D6C54"/>
    <w:rsid w:val="493E459E"/>
    <w:rsid w:val="493E4BFE"/>
    <w:rsid w:val="493F0316"/>
    <w:rsid w:val="493F20C4"/>
    <w:rsid w:val="493F3E72"/>
    <w:rsid w:val="49405ABD"/>
    <w:rsid w:val="49415E3C"/>
    <w:rsid w:val="49437E06"/>
    <w:rsid w:val="49443B38"/>
    <w:rsid w:val="494476DB"/>
    <w:rsid w:val="494749B0"/>
    <w:rsid w:val="494816FA"/>
    <w:rsid w:val="4948541D"/>
    <w:rsid w:val="49495AEB"/>
    <w:rsid w:val="494A6F42"/>
    <w:rsid w:val="494B45AA"/>
    <w:rsid w:val="494B6CBB"/>
    <w:rsid w:val="494D2A33"/>
    <w:rsid w:val="494D4D8B"/>
    <w:rsid w:val="494D6479"/>
    <w:rsid w:val="494D6D05"/>
    <w:rsid w:val="494E2A79"/>
    <w:rsid w:val="494E7BD9"/>
    <w:rsid w:val="494F2880"/>
    <w:rsid w:val="494F67AB"/>
    <w:rsid w:val="495024F9"/>
    <w:rsid w:val="49507E2D"/>
    <w:rsid w:val="49520049"/>
    <w:rsid w:val="49531994"/>
    <w:rsid w:val="4953791E"/>
    <w:rsid w:val="49543DC1"/>
    <w:rsid w:val="495530D2"/>
    <w:rsid w:val="49553696"/>
    <w:rsid w:val="49554EDB"/>
    <w:rsid w:val="495711BC"/>
    <w:rsid w:val="4957740E"/>
    <w:rsid w:val="49583B42"/>
    <w:rsid w:val="49585025"/>
    <w:rsid w:val="495913D8"/>
    <w:rsid w:val="495A0CAC"/>
    <w:rsid w:val="495A4490"/>
    <w:rsid w:val="495A6EFE"/>
    <w:rsid w:val="495B21DD"/>
    <w:rsid w:val="495C2C76"/>
    <w:rsid w:val="495C4A24"/>
    <w:rsid w:val="495F2991"/>
    <w:rsid w:val="495F62C2"/>
    <w:rsid w:val="496062FA"/>
    <w:rsid w:val="4961203A"/>
    <w:rsid w:val="49627B61"/>
    <w:rsid w:val="49634005"/>
    <w:rsid w:val="49635DB3"/>
    <w:rsid w:val="496438D9"/>
    <w:rsid w:val="49647D7D"/>
    <w:rsid w:val="496549D0"/>
    <w:rsid w:val="496658A3"/>
    <w:rsid w:val="49670BB2"/>
    <w:rsid w:val="4968161B"/>
    <w:rsid w:val="496A3433"/>
    <w:rsid w:val="496B110B"/>
    <w:rsid w:val="496B7101"/>
    <w:rsid w:val="496D09DF"/>
    <w:rsid w:val="496D4E83"/>
    <w:rsid w:val="496E5A82"/>
    <w:rsid w:val="496E6505"/>
    <w:rsid w:val="496F0BFB"/>
    <w:rsid w:val="496F29A9"/>
    <w:rsid w:val="497004D0"/>
    <w:rsid w:val="49706721"/>
    <w:rsid w:val="49711FAE"/>
    <w:rsid w:val="49731D6E"/>
    <w:rsid w:val="49757894"/>
    <w:rsid w:val="49777AB0"/>
    <w:rsid w:val="497A134E"/>
    <w:rsid w:val="497A75A0"/>
    <w:rsid w:val="497B3675"/>
    <w:rsid w:val="497C0C22"/>
    <w:rsid w:val="497C50C6"/>
    <w:rsid w:val="497D499A"/>
    <w:rsid w:val="497E2BEC"/>
    <w:rsid w:val="497E5577"/>
    <w:rsid w:val="497F0713"/>
    <w:rsid w:val="497F37F3"/>
    <w:rsid w:val="497F6965"/>
    <w:rsid w:val="498016EA"/>
    <w:rsid w:val="498126DD"/>
    <w:rsid w:val="49813B63"/>
    <w:rsid w:val="49830203"/>
    <w:rsid w:val="49831FB1"/>
    <w:rsid w:val="498413E9"/>
    <w:rsid w:val="49845D29"/>
    <w:rsid w:val="498521CD"/>
    <w:rsid w:val="49865F45"/>
    <w:rsid w:val="49877552"/>
    <w:rsid w:val="49885819"/>
    <w:rsid w:val="49885DAF"/>
    <w:rsid w:val="49886629"/>
    <w:rsid w:val="49886F6A"/>
    <w:rsid w:val="498875C7"/>
    <w:rsid w:val="49891591"/>
    <w:rsid w:val="498A77E3"/>
    <w:rsid w:val="498B66EB"/>
    <w:rsid w:val="498D3BDC"/>
    <w:rsid w:val="49902920"/>
    <w:rsid w:val="499046CE"/>
    <w:rsid w:val="4990798C"/>
    <w:rsid w:val="49920446"/>
    <w:rsid w:val="49926698"/>
    <w:rsid w:val="49935D8F"/>
    <w:rsid w:val="49942410"/>
    <w:rsid w:val="499441BE"/>
    <w:rsid w:val="4994779D"/>
    <w:rsid w:val="49957F36"/>
    <w:rsid w:val="49963040"/>
    <w:rsid w:val="499637FE"/>
    <w:rsid w:val="499654A3"/>
    <w:rsid w:val="499707E5"/>
    <w:rsid w:val="49971F00"/>
    <w:rsid w:val="49980479"/>
    <w:rsid w:val="49980CEF"/>
    <w:rsid w:val="499915A0"/>
    <w:rsid w:val="499917D4"/>
    <w:rsid w:val="49994D4E"/>
    <w:rsid w:val="49995158"/>
    <w:rsid w:val="49995C78"/>
    <w:rsid w:val="49997A26"/>
    <w:rsid w:val="499A360F"/>
    <w:rsid w:val="499A72FA"/>
    <w:rsid w:val="499B4A9F"/>
    <w:rsid w:val="499C12C5"/>
    <w:rsid w:val="499D7E0E"/>
    <w:rsid w:val="499E328F"/>
    <w:rsid w:val="499F0DB5"/>
    <w:rsid w:val="49A05D40"/>
    <w:rsid w:val="49A07007"/>
    <w:rsid w:val="49A21DA1"/>
    <w:rsid w:val="49A23539"/>
    <w:rsid w:val="49A308A5"/>
    <w:rsid w:val="49A34401"/>
    <w:rsid w:val="49A40179"/>
    <w:rsid w:val="49A56155"/>
    <w:rsid w:val="49A63EF1"/>
    <w:rsid w:val="49A84267"/>
    <w:rsid w:val="49A91197"/>
    <w:rsid w:val="49A95790"/>
    <w:rsid w:val="49AB1508"/>
    <w:rsid w:val="49AB775A"/>
    <w:rsid w:val="49AF0FF8"/>
    <w:rsid w:val="49B26BE7"/>
    <w:rsid w:val="49B45B0A"/>
    <w:rsid w:val="49B605D8"/>
    <w:rsid w:val="49B620F3"/>
    <w:rsid w:val="49B74350"/>
    <w:rsid w:val="49B752AC"/>
    <w:rsid w:val="49B77EAC"/>
    <w:rsid w:val="49B93C25"/>
    <w:rsid w:val="49BA174B"/>
    <w:rsid w:val="49BB5BEF"/>
    <w:rsid w:val="49BC1967"/>
    <w:rsid w:val="49BD157A"/>
    <w:rsid w:val="49BD69A9"/>
    <w:rsid w:val="49BE4EF8"/>
    <w:rsid w:val="49BE748D"/>
    <w:rsid w:val="49BF3E9A"/>
    <w:rsid w:val="49C1138B"/>
    <w:rsid w:val="49C20D29"/>
    <w:rsid w:val="49C300D3"/>
    <w:rsid w:val="49C44B93"/>
    <w:rsid w:val="49C4513B"/>
    <w:rsid w:val="49C5081B"/>
    <w:rsid w:val="49C57D0C"/>
    <w:rsid w:val="49C6119C"/>
    <w:rsid w:val="49C64593"/>
    <w:rsid w:val="49C7262C"/>
    <w:rsid w:val="49C751FD"/>
    <w:rsid w:val="49C8030C"/>
    <w:rsid w:val="49C820BA"/>
    <w:rsid w:val="49CA5E32"/>
    <w:rsid w:val="49CC38CD"/>
    <w:rsid w:val="49CF169A"/>
    <w:rsid w:val="49CF3448"/>
    <w:rsid w:val="49CF40FD"/>
    <w:rsid w:val="49CF4E2D"/>
    <w:rsid w:val="49D00F6E"/>
    <w:rsid w:val="49D02E2F"/>
    <w:rsid w:val="49D057EB"/>
    <w:rsid w:val="49D15412"/>
    <w:rsid w:val="49D21641"/>
    <w:rsid w:val="49D2773F"/>
    <w:rsid w:val="49D40A5E"/>
    <w:rsid w:val="49D4280C"/>
    <w:rsid w:val="49D722FD"/>
    <w:rsid w:val="49D7681A"/>
    <w:rsid w:val="49D942C7"/>
    <w:rsid w:val="49D97612"/>
    <w:rsid w:val="49DA3B9B"/>
    <w:rsid w:val="49DC3DB7"/>
    <w:rsid w:val="49DC5B65"/>
    <w:rsid w:val="49DE18DD"/>
    <w:rsid w:val="49DE5C07"/>
    <w:rsid w:val="49DE7B2F"/>
    <w:rsid w:val="49E05655"/>
    <w:rsid w:val="49E07403"/>
    <w:rsid w:val="49E113CD"/>
    <w:rsid w:val="49E11AD6"/>
    <w:rsid w:val="49E12332"/>
    <w:rsid w:val="49E1317B"/>
    <w:rsid w:val="49E30CA1"/>
    <w:rsid w:val="49E43E35"/>
    <w:rsid w:val="49E52C6C"/>
    <w:rsid w:val="49E54A1A"/>
    <w:rsid w:val="49E55BB5"/>
    <w:rsid w:val="49E60792"/>
    <w:rsid w:val="49E67045"/>
    <w:rsid w:val="49E71123"/>
    <w:rsid w:val="49EA2030"/>
    <w:rsid w:val="49EC224C"/>
    <w:rsid w:val="49EC3FFA"/>
    <w:rsid w:val="49ED38CE"/>
    <w:rsid w:val="49EF3AEA"/>
    <w:rsid w:val="49EF439F"/>
    <w:rsid w:val="49EF7646"/>
    <w:rsid w:val="49F02CC8"/>
    <w:rsid w:val="49F033BE"/>
    <w:rsid w:val="49F41101"/>
    <w:rsid w:val="49F66B3A"/>
    <w:rsid w:val="49F66C27"/>
    <w:rsid w:val="49F7299F"/>
    <w:rsid w:val="49F7474D"/>
    <w:rsid w:val="49F87D6C"/>
    <w:rsid w:val="49FA5FEB"/>
    <w:rsid w:val="49FC1D3A"/>
    <w:rsid w:val="49FC1D63"/>
    <w:rsid w:val="49FC7FB5"/>
    <w:rsid w:val="49FD6207"/>
    <w:rsid w:val="49FE3D2D"/>
    <w:rsid w:val="49FE79BB"/>
    <w:rsid w:val="4A0008D3"/>
    <w:rsid w:val="4A00387D"/>
    <w:rsid w:val="4A01681E"/>
    <w:rsid w:val="4A01737A"/>
    <w:rsid w:val="4A02381D"/>
    <w:rsid w:val="4A02527E"/>
    <w:rsid w:val="4A0330F2"/>
    <w:rsid w:val="4A043F4D"/>
    <w:rsid w:val="4A05330E"/>
    <w:rsid w:val="4A054B02"/>
    <w:rsid w:val="4A063DC6"/>
    <w:rsid w:val="4A064990"/>
    <w:rsid w:val="4A065CC1"/>
    <w:rsid w:val="4A0B01F8"/>
    <w:rsid w:val="4A0B1FA6"/>
    <w:rsid w:val="4A0C0D60"/>
    <w:rsid w:val="4A0C2EDF"/>
    <w:rsid w:val="4A0D3931"/>
    <w:rsid w:val="4A0D3F70"/>
    <w:rsid w:val="4A0D5D1E"/>
    <w:rsid w:val="4A0E1A32"/>
    <w:rsid w:val="4A0E2C84"/>
    <w:rsid w:val="4A0F0E22"/>
    <w:rsid w:val="4A0F1A96"/>
    <w:rsid w:val="4A0F5F3A"/>
    <w:rsid w:val="4A0F76E1"/>
    <w:rsid w:val="4A0F7CE8"/>
    <w:rsid w:val="4A113A61"/>
    <w:rsid w:val="4A1452FF"/>
    <w:rsid w:val="4A1470AD"/>
    <w:rsid w:val="4A161077"/>
    <w:rsid w:val="4A174DEF"/>
    <w:rsid w:val="4A187AA1"/>
    <w:rsid w:val="4A190B67"/>
    <w:rsid w:val="4A1946C3"/>
    <w:rsid w:val="4A1A5872"/>
    <w:rsid w:val="4A1B043B"/>
    <w:rsid w:val="4A1B48DF"/>
    <w:rsid w:val="4A1B668D"/>
    <w:rsid w:val="4A1C2405"/>
    <w:rsid w:val="4A1E1CDA"/>
    <w:rsid w:val="4A1F0E0D"/>
    <w:rsid w:val="4A1F71D6"/>
    <w:rsid w:val="4A205A52"/>
    <w:rsid w:val="4A211AF6"/>
    <w:rsid w:val="4A227A1C"/>
    <w:rsid w:val="4A2319E6"/>
    <w:rsid w:val="4A233794"/>
    <w:rsid w:val="4A25750C"/>
    <w:rsid w:val="4A280725"/>
    <w:rsid w:val="4A282B58"/>
    <w:rsid w:val="4A286FFC"/>
    <w:rsid w:val="4A297B2E"/>
    <w:rsid w:val="4A2A68D0"/>
    <w:rsid w:val="4A2B43F6"/>
    <w:rsid w:val="4A2C089A"/>
    <w:rsid w:val="4A2C2648"/>
    <w:rsid w:val="4A2D4613"/>
    <w:rsid w:val="4A2E583B"/>
    <w:rsid w:val="4A2F038B"/>
    <w:rsid w:val="4A2F20BE"/>
    <w:rsid w:val="4A2F63BA"/>
    <w:rsid w:val="4A301A0D"/>
    <w:rsid w:val="4A304B2F"/>
    <w:rsid w:val="4A314103"/>
    <w:rsid w:val="4A317C5F"/>
    <w:rsid w:val="4A3239D7"/>
    <w:rsid w:val="4A324E56"/>
    <w:rsid w:val="4A325785"/>
    <w:rsid w:val="4A33172B"/>
    <w:rsid w:val="4A3414FD"/>
    <w:rsid w:val="4A3459A1"/>
    <w:rsid w:val="4A345F75"/>
    <w:rsid w:val="4A352B3D"/>
    <w:rsid w:val="4A3634C7"/>
    <w:rsid w:val="4A363CAF"/>
    <w:rsid w:val="4A3724C0"/>
    <w:rsid w:val="4A391CEB"/>
    <w:rsid w:val="4A394D65"/>
    <w:rsid w:val="4A396B13"/>
    <w:rsid w:val="4A397D7D"/>
    <w:rsid w:val="4A3A24A8"/>
    <w:rsid w:val="4A3A309A"/>
    <w:rsid w:val="4A3D12CF"/>
    <w:rsid w:val="4A3E05CE"/>
    <w:rsid w:val="4A3E172E"/>
    <w:rsid w:val="4A3E412A"/>
    <w:rsid w:val="4A3F507F"/>
    <w:rsid w:val="4A404346"/>
    <w:rsid w:val="4A4110E0"/>
    <w:rsid w:val="4A413C1A"/>
    <w:rsid w:val="4A4200BE"/>
    <w:rsid w:val="4A421E6C"/>
    <w:rsid w:val="4A431740"/>
    <w:rsid w:val="4A435BF7"/>
    <w:rsid w:val="4A442959"/>
    <w:rsid w:val="4A443E36"/>
    <w:rsid w:val="4A447A61"/>
    <w:rsid w:val="4A4554B8"/>
    <w:rsid w:val="4A471230"/>
    <w:rsid w:val="4A4756D4"/>
    <w:rsid w:val="4A4831FA"/>
    <w:rsid w:val="4A485FEA"/>
    <w:rsid w:val="4A4861AE"/>
    <w:rsid w:val="4A49144C"/>
    <w:rsid w:val="4A4A0D02"/>
    <w:rsid w:val="4A4E6A63"/>
    <w:rsid w:val="4A4E6CBD"/>
    <w:rsid w:val="4A4F248F"/>
    <w:rsid w:val="4A4F27DB"/>
    <w:rsid w:val="4A4F4589"/>
    <w:rsid w:val="4A4F6337"/>
    <w:rsid w:val="4A513E5D"/>
    <w:rsid w:val="4A527BD5"/>
    <w:rsid w:val="4A534079"/>
    <w:rsid w:val="4A535A6E"/>
    <w:rsid w:val="4A5360C6"/>
    <w:rsid w:val="4A54394D"/>
    <w:rsid w:val="4A556A39"/>
    <w:rsid w:val="4A5676C5"/>
    <w:rsid w:val="4A595408"/>
    <w:rsid w:val="4A5964D4"/>
    <w:rsid w:val="4A5965E5"/>
    <w:rsid w:val="4A5B4CDC"/>
    <w:rsid w:val="4A5C5CE8"/>
    <w:rsid w:val="4A5D06D3"/>
    <w:rsid w:val="4A5D0A54"/>
    <w:rsid w:val="4A5D6CA6"/>
    <w:rsid w:val="4A5E2A1E"/>
    <w:rsid w:val="4A5E31D9"/>
    <w:rsid w:val="4A600544"/>
    <w:rsid w:val="4A614BB3"/>
    <w:rsid w:val="4A617BB2"/>
    <w:rsid w:val="4A62126A"/>
    <w:rsid w:val="4A62250E"/>
    <w:rsid w:val="4A622BB5"/>
    <w:rsid w:val="4A631DE2"/>
    <w:rsid w:val="4A661169"/>
    <w:rsid w:val="4A6718D3"/>
    <w:rsid w:val="4A672DFB"/>
    <w:rsid w:val="4A673681"/>
    <w:rsid w:val="4A673806"/>
    <w:rsid w:val="4A677B24"/>
    <w:rsid w:val="4A686E5C"/>
    <w:rsid w:val="4A6873F9"/>
    <w:rsid w:val="4A69389D"/>
    <w:rsid w:val="4A6A4F1F"/>
    <w:rsid w:val="4A6A6B40"/>
    <w:rsid w:val="4A6B2C0C"/>
    <w:rsid w:val="4A6C0C97"/>
    <w:rsid w:val="4A6C513B"/>
    <w:rsid w:val="4A6C6EE9"/>
    <w:rsid w:val="4A6D4A0F"/>
    <w:rsid w:val="4A6E170C"/>
    <w:rsid w:val="4A6E2CCE"/>
    <w:rsid w:val="4A6F4C2B"/>
    <w:rsid w:val="4A712751"/>
    <w:rsid w:val="4A7364C9"/>
    <w:rsid w:val="4A7638C4"/>
    <w:rsid w:val="4A767F85"/>
    <w:rsid w:val="4A791606"/>
    <w:rsid w:val="4A7933B4"/>
    <w:rsid w:val="4A7A5E68"/>
    <w:rsid w:val="4A7B2700"/>
    <w:rsid w:val="4A7B537E"/>
    <w:rsid w:val="4A7F4E6E"/>
    <w:rsid w:val="4A800BE6"/>
    <w:rsid w:val="4A802994"/>
    <w:rsid w:val="4A804742"/>
    <w:rsid w:val="4A8055D9"/>
    <w:rsid w:val="4A817F9B"/>
    <w:rsid w:val="4A8204BA"/>
    <w:rsid w:val="4A82495E"/>
    <w:rsid w:val="4A8561FD"/>
    <w:rsid w:val="4A862918"/>
    <w:rsid w:val="4A8835F7"/>
    <w:rsid w:val="4A883874"/>
    <w:rsid w:val="4A894BBF"/>
    <w:rsid w:val="4A8A55C1"/>
    <w:rsid w:val="4A8B279D"/>
    <w:rsid w:val="4A8C30E7"/>
    <w:rsid w:val="4A8C4DC6"/>
    <w:rsid w:val="4A8E3303"/>
    <w:rsid w:val="4A8E50B1"/>
    <w:rsid w:val="4A8F2BD7"/>
    <w:rsid w:val="4A8F3747"/>
    <w:rsid w:val="4A902EEB"/>
    <w:rsid w:val="4A90515E"/>
    <w:rsid w:val="4A9106FD"/>
    <w:rsid w:val="4A914BA1"/>
    <w:rsid w:val="4A916067"/>
    <w:rsid w:val="4A9174E4"/>
    <w:rsid w:val="4A930919"/>
    <w:rsid w:val="4A9401EE"/>
    <w:rsid w:val="4A954692"/>
    <w:rsid w:val="4A9621B8"/>
    <w:rsid w:val="4A965D14"/>
    <w:rsid w:val="4A977AF4"/>
    <w:rsid w:val="4A987CDE"/>
    <w:rsid w:val="4A9A5C89"/>
    <w:rsid w:val="4A9B77CE"/>
    <w:rsid w:val="4A9C317A"/>
    <w:rsid w:val="4A9C4613"/>
    <w:rsid w:val="4A9D2E1F"/>
    <w:rsid w:val="4A9D3546"/>
    <w:rsid w:val="4A9D5D4B"/>
    <w:rsid w:val="4A9E066B"/>
    <w:rsid w:val="4A9E2E1A"/>
    <w:rsid w:val="4A9F106C"/>
    <w:rsid w:val="4AA06B93"/>
    <w:rsid w:val="4AA14DCA"/>
    <w:rsid w:val="4AA20B5D"/>
    <w:rsid w:val="4AA2290B"/>
    <w:rsid w:val="4AA246B9"/>
    <w:rsid w:val="4AA26FEC"/>
    <w:rsid w:val="4AA46683"/>
    <w:rsid w:val="4AA5064D"/>
    <w:rsid w:val="4AA523FB"/>
    <w:rsid w:val="4AA5422C"/>
    <w:rsid w:val="4AA65C58"/>
    <w:rsid w:val="4AA66DFD"/>
    <w:rsid w:val="4AA743C5"/>
    <w:rsid w:val="4AA77F21"/>
    <w:rsid w:val="4AA81FAF"/>
    <w:rsid w:val="4AA85A47"/>
    <w:rsid w:val="4AA93C99"/>
    <w:rsid w:val="4AAA17BF"/>
    <w:rsid w:val="4AAA5C63"/>
    <w:rsid w:val="4AAB17C9"/>
    <w:rsid w:val="4AAC19DB"/>
    <w:rsid w:val="4AAC2C6F"/>
    <w:rsid w:val="4AAC3789"/>
    <w:rsid w:val="4AAC4BBB"/>
    <w:rsid w:val="4AAE5753"/>
    <w:rsid w:val="4AAF6DD6"/>
    <w:rsid w:val="4AB02A80"/>
    <w:rsid w:val="4AB27852"/>
    <w:rsid w:val="4AB32D6A"/>
    <w:rsid w:val="4AB34B18"/>
    <w:rsid w:val="4AB4263E"/>
    <w:rsid w:val="4AB443EC"/>
    <w:rsid w:val="4AB449F5"/>
    <w:rsid w:val="4AB44DF5"/>
    <w:rsid w:val="4AB53D21"/>
    <w:rsid w:val="4AB61684"/>
    <w:rsid w:val="4AB64608"/>
    <w:rsid w:val="4AB663B6"/>
    <w:rsid w:val="4AB8049E"/>
    <w:rsid w:val="4AB8212E"/>
    <w:rsid w:val="4AB97C54"/>
    <w:rsid w:val="4ABA3B32"/>
    <w:rsid w:val="4ABA40F8"/>
    <w:rsid w:val="4ABB577A"/>
    <w:rsid w:val="4ABB7B93"/>
    <w:rsid w:val="4ABD3BF4"/>
    <w:rsid w:val="4ABE3F95"/>
    <w:rsid w:val="4AC00FE3"/>
    <w:rsid w:val="4AC02575"/>
    <w:rsid w:val="4AC05487"/>
    <w:rsid w:val="4AC07235"/>
    <w:rsid w:val="4AC24D5B"/>
    <w:rsid w:val="4AC24E95"/>
    <w:rsid w:val="4AC42881"/>
    <w:rsid w:val="4AC46D25"/>
    <w:rsid w:val="4AC52021"/>
    <w:rsid w:val="4AC63A3A"/>
    <w:rsid w:val="4AC77877"/>
    <w:rsid w:val="4AC97E97"/>
    <w:rsid w:val="4ACA3C0F"/>
    <w:rsid w:val="4ACB00B3"/>
    <w:rsid w:val="4ACB7688"/>
    <w:rsid w:val="4ACC0B18"/>
    <w:rsid w:val="4ACC5BD9"/>
    <w:rsid w:val="4ACE54AE"/>
    <w:rsid w:val="4ACF7478"/>
    <w:rsid w:val="4AD10481"/>
    <w:rsid w:val="4AD11442"/>
    <w:rsid w:val="4AD131F0"/>
    <w:rsid w:val="4AD337D1"/>
    <w:rsid w:val="4AD36F68"/>
    <w:rsid w:val="4AD4683C"/>
    <w:rsid w:val="4AD52CE0"/>
    <w:rsid w:val="4AD558B9"/>
    <w:rsid w:val="4AD55B10"/>
    <w:rsid w:val="4AD650FF"/>
    <w:rsid w:val="4AD73E31"/>
    <w:rsid w:val="4AD73FE7"/>
    <w:rsid w:val="4AD827D0"/>
    <w:rsid w:val="4AD8632C"/>
    <w:rsid w:val="4AD978DF"/>
    <w:rsid w:val="4ADB406F"/>
    <w:rsid w:val="4ADB5E1D"/>
    <w:rsid w:val="4ADD1B95"/>
    <w:rsid w:val="4ADD4F0C"/>
    <w:rsid w:val="4ADD599B"/>
    <w:rsid w:val="4ADE1207"/>
    <w:rsid w:val="4AE03433"/>
    <w:rsid w:val="4AE12FEF"/>
    <w:rsid w:val="4AE42934"/>
    <w:rsid w:val="4AE42F23"/>
    <w:rsid w:val="4AE44CD1"/>
    <w:rsid w:val="4AE47BD9"/>
    <w:rsid w:val="4AE50A49"/>
    <w:rsid w:val="4AE616BF"/>
    <w:rsid w:val="4AE64EED"/>
    <w:rsid w:val="4AE72B77"/>
    <w:rsid w:val="4AE7656F"/>
    <w:rsid w:val="4AE771F9"/>
    <w:rsid w:val="4AE90539"/>
    <w:rsid w:val="4AE922E8"/>
    <w:rsid w:val="4AEA6060"/>
    <w:rsid w:val="4AEC0102"/>
    <w:rsid w:val="4AED437B"/>
    <w:rsid w:val="4AEE78FE"/>
    <w:rsid w:val="4AF05342"/>
    <w:rsid w:val="4AF173EE"/>
    <w:rsid w:val="4AF313B8"/>
    <w:rsid w:val="4AF35404"/>
    <w:rsid w:val="4AF3760A"/>
    <w:rsid w:val="4AF40C8C"/>
    <w:rsid w:val="4AF46BB3"/>
    <w:rsid w:val="4AF60EA8"/>
    <w:rsid w:val="4AF62C56"/>
    <w:rsid w:val="4AF64A04"/>
    <w:rsid w:val="4AF84C20"/>
    <w:rsid w:val="4AF869CF"/>
    <w:rsid w:val="4AFA2747"/>
    <w:rsid w:val="4AFC64BF"/>
    <w:rsid w:val="4AFC7BF7"/>
    <w:rsid w:val="4AFD2237"/>
    <w:rsid w:val="4AFE3C4A"/>
    <w:rsid w:val="4AFF36F1"/>
    <w:rsid w:val="4B014A4C"/>
    <w:rsid w:val="4B02784D"/>
    <w:rsid w:val="4B0435C5"/>
    <w:rsid w:val="4B045373"/>
    <w:rsid w:val="4B054C48"/>
    <w:rsid w:val="4B06733D"/>
    <w:rsid w:val="4B090BDC"/>
    <w:rsid w:val="4B0A0ABA"/>
    <w:rsid w:val="4B0B3AEE"/>
    <w:rsid w:val="4B0B4954"/>
    <w:rsid w:val="4B0D06CC"/>
    <w:rsid w:val="4B0D4F28"/>
    <w:rsid w:val="4B0E61F2"/>
    <w:rsid w:val="4B0E7738"/>
    <w:rsid w:val="4B103D18"/>
    <w:rsid w:val="4B105AC6"/>
    <w:rsid w:val="4B11183E"/>
    <w:rsid w:val="4B117A90"/>
    <w:rsid w:val="4B125CE2"/>
    <w:rsid w:val="4B137364"/>
    <w:rsid w:val="4B142950"/>
    <w:rsid w:val="4B157580"/>
    <w:rsid w:val="4B166E55"/>
    <w:rsid w:val="4B180E1F"/>
    <w:rsid w:val="4B191471"/>
    <w:rsid w:val="4B1959DE"/>
    <w:rsid w:val="4B1A6945"/>
    <w:rsid w:val="4B1B4610"/>
    <w:rsid w:val="4B1C090F"/>
    <w:rsid w:val="4B1D01E3"/>
    <w:rsid w:val="4B1D4687"/>
    <w:rsid w:val="4B1D4EA5"/>
    <w:rsid w:val="4B1F03FF"/>
    <w:rsid w:val="4B1F3F5B"/>
    <w:rsid w:val="4B1F5D09"/>
    <w:rsid w:val="4B20731E"/>
    <w:rsid w:val="4B245A16"/>
    <w:rsid w:val="4B250293"/>
    <w:rsid w:val="4B257098"/>
    <w:rsid w:val="4B271062"/>
    <w:rsid w:val="4B272E10"/>
    <w:rsid w:val="4B2772B4"/>
    <w:rsid w:val="4B277FE2"/>
    <w:rsid w:val="4B2954D3"/>
    <w:rsid w:val="4B296B88"/>
    <w:rsid w:val="4B2C0426"/>
    <w:rsid w:val="4B3043BA"/>
    <w:rsid w:val="4B3053A6"/>
    <w:rsid w:val="4B315A3D"/>
    <w:rsid w:val="4B321EE0"/>
    <w:rsid w:val="4B337A07"/>
    <w:rsid w:val="4B3519D1"/>
    <w:rsid w:val="4B371995"/>
    <w:rsid w:val="4B3726A8"/>
    <w:rsid w:val="4B3774F7"/>
    <w:rsid w:val="4B3814C1"/>
    <w:rsid w:val="4B38326F"/>
    <w:rsid w:val="4B383F8F"/>
    <w:rsid w:val="4B3B6C3F"/>
    <w:rsid w:val="4B3D0885"/>
    <w:rsid w:val="4B3E553B"/>
    <w:rsid w:val="4B3F0159"/>
    <w:rsid w:val="4B3F45FD"/>
    <w:rsid w:val="4B407C58"/>
    <w:rsid w:val="4B412124"/>
    <w:rsid w:val="4B41632B"/>
    <w:rsid w:val="4B4359F9"/>
    <w:rsid w:val="4B447E66"/>
    <w:rsid w:val="4B4614E8"/>
    <w:rsid w:val="4B46773A"/>
    <w:rsid w:val="4B4734B2"/>
    <w:rsid w:val="4B481704"/>
    <w:rsid w:val="4B49547C"/>
    <w:rsid w:val="4B4C2876"/>
    <w:rsid w:val="4B4D6D1A"/>
    <w:rsid w:val="4B4E2A92"/>
    <w:rsid w:val="4B4E4840"/>
    <w:rsid w:val="4B4F71EE"/>
    <w:rsid w:val="4B50040A"/>
    <w:rsid w:val="4B5005B9"/>
    <w:rsid w:val="4B502367"/>
    <w:rsid w:val="4B5146DF"/>
    <w:rsid w:val="4B517E8D"/>
    <w:rsid w:val="4B5217BF"/>
    <w:rsid w:val="4B5272B0"/>
    <w:rsid w:val="4B553E21"/>
    <w:rsid w:val="4B571947"/>
    <w:rsid w:val="4B577B99"/>
    <w:rsid w:val="4B585BB2"/>
    <w:rsid w:val="4B59120E"/>
    <w:rsid w:val="4B5A1437"/>
    <w:rsid w:val="4B5A31E5"/>
    <w:rsid w:val="4B5A4F93"/>
    <w:rsid w:val="4B5B04D4"/>
    <w:rsid w:val="4B5B629F"/>
    <w:rsid w:val="4B5C51AF"/>
    <w:rsid w:val="4B5D2CD5"/>
    <w:rsid w:val="4B5D4A84"/>
    <w:rsid w:val="4B5D6832"/>
    <w:rsid w:val="4B5E5853"/>
    <w:rsid w:val="4B5F0424"/>
    <w:rsid w:val="4B5F25AA"/>
    <w:rsid w:val="4B5F4303"/>
    <w:rsid w:val="4B5F6A4E"/>
    <w:rsid w:val="4B614574"/>
    <w:rsid w:val="4B616322"/>
    <w:rsid w:val="4B6202EC"/>
    <w:rsid w:val="4B63653E"/>
    <w:rsid w:val="4B661B8A"/>
    <w:rsid w:val="4B667F63"/>
    <w:rsid w:val="4B675475"/>
    <w:rsid w:val="4B6840DD"/>
    <w:rsid w:val="4B685902"/>
    <w:rsid w:val="4B69167A"/>
    <w:rsid w:val="4B692C1A"/>
    <w:rsid w:val="4B693428"/>
    <w:rsid w:val="4B696E92"/>
    <w:rsid w:val="4B6B0F4E"/>
    <w:rsid w:val="4B6C24F0"/>
    <w:rsid w:val="4B6D3EB8"/>
    <w:rsid w:val="4B700C5B"/>
    <w:rsid w:val="4B702A09"/>
    <w:rsid w:val="4B7037B5"/>
    <w:rsid w:val="4B7047B7"/>
    <w:rsid w:val="4B747A79"/>
    <w:rsid w:val="4B751DCD"/>
    <w:rsid w:val="4B771FE9"/>
    <w:rsid w:val="4B77305C"/>
    <w:rsid w:val="4B773D97"/>
    <w:rsid w:val="4B777B3B"/>
    <w:rsid w:val="4B7818BD"/>
    <w:rsid w:val="4B796708"/>
    <w:rsid w:val="4B7A4B21"/>
    <w:rsid w:val="4B7E2E59"/>
    <w:rsid w:val="4B7F2937"/>
    <w:rsid w:val="4B810772"/>
    <w:rsid w:val="4B820AC3"/>
    <w:rsid w:val="4B83098E"/>
    <w:rsid w:val="4B8338EE"/>
    <w:rsid w:val="4B835429"/>
    <w:rsid w:val="4B842010"/>
    <w:rsid w:val="4B8464B4"/>
    <w:rsid w:val="4B8504A0"/>
    <w:rsid w:val="4B85080B"/>
    <w:rsid w:val="4B870ABA"/>
    <w:rsid w:val="4B885FA4"/>
    <w:rsid w:val="4B887D52"/>
    <w:rsid w:val="4B895879"/>
    <w:rsid w:val="4B8A1D1C"/>
    <w:rsid w:val="4B8B15F1"/>
    <w:rsid w:val="4B8B7843"/>
    <w:rsid w:val="4B8C08D1"/>
    <w:rsid w:val="4B8D35BB"/>
    <w:rsid w:val="4B8D7117"/>
    <w:rsid w:val="4B8E10E1"/>
    <w:rsid w:val="4B8F4681"/>
    <w:rsid w:val="4B8F5831"/>
    <w:rsid w:val="4B8F7333"/>
    <w:rsid w:val="4B906C07"/>
    <w:rsid w:val="4B92297F"/>
    <w:rsid w:val="4B92472D"/>
    <w:rsid w:val="4B933509"/>
    <w:rsid w:val="4B944949"/>
    <w:rsid w:val="4B947063"/>
    <w:rsid w:val="4B95421D"/>
    <w:rsid w:val="4B955B8D"/>
    <w:rsid w:val="4B965AC2"/>
    <w:rsid w:val="4B9761E7"/>
    <w:rsid w:val="4B9A1834"/>
    <w:rsid w:val="4B9A2ED5"/>
    <w:rsid w:val="4B9C1A50"/>
    <w:rsid w:val="4B9C37FE"/>
    <w:rsid w:val="4B9D1856"/>
    <w:rsid w:val="4B9E1324"/>
    <w:rsid w:val="4B9E7576"/>
    <w:rsid w:val="4B9F32EE"/>
    <w:rsid w:val="4B9F58B7"/>
    <w:rsid w:val="4B9F6E4A"/>
    <w:rsid w:val="4BA10E14"/>
    <w:rsid w:val="4BA12BC2"/>
    <w:rsid w:val="4BA15123"/>
    <w:rsid w:val="4BA1597B"/>
    <w:rsid w:val="4BA22873"/>
    <w:rsid w:val="4BA31874"/>
    <w:rsid w:val="4BA32DDE"/>
    <w:rsid w:val="4BA33AB6"/>
    <w:rsid w:val="4BA426B2"/>
    <w:rsid w:val="4BA44460"/>
    <w:rsid w:val="4BA83F51"/>
    <w:rsid w:val="4BAB1C93"/>
    <w:rsid w:val="4BAB2B88"/>
    <w:rsid w:val="4BAB3A41"/>
    <w:rsid w:val="4BAD5A0B"/>
    <w:rsid w:val="4BAF1783"/>
    <w:rsid w:val="4BAF3531"/>
    <w:rsid w:val="4BB02E05"/>
    <w:rsid w:val="4BB072A9"/>
    <w:rsid w:val="4BB16CD5"/>
    <w:rsid w:val="4BB23021"/>
    <w:rsid w:val="4BB24DCF"/>
    <w:rsid w:val="4BB27A1B"/>
    <w:rsid w:val="4BB40B47"/>
    <w:rsid w:val="4BB418A9"/>
    <w:rsid w:val="4BB52B12"/>
    <w:rsid w:val="4BB548C0"/>
    <w:rsid w:val="4BB5666E"/>
    <w:rsid w:val="4BB616EF"/>
    <w:rsid w:val="4BB70638"/>
    <w:rsid w:val="4BB71BFB"/>
    <w:rsid w:val="4BB73B85"/>
    <w:rsid w:val="4BB74194"/>
    <w:rsid w:val="4BB87F0C"/>
    <w:rsid w:val="4BBA0128"/>
    <w:rsid w:val="4BBB4B4D"/>
    <w:rsid w:val="4BBC3A7A"/>
    <w:rsid w:val="4BBC79FC"/>
    <w:rsid w:val="4BBE19C6"/>
    <w:rsid w:val="4BBE3774"/>
    <w:rsid w:val="4BBF7CC6"/>
    <w:rsid w:val="4BC0573E"/>
    <w:rsid w:val="4BC114B6"/>
    <w:rsid w:val="4BC13264"/>
    <w:rsid w:val="4BC16080"/>
    <w:rsid w:val="4BC44B03"/>
    <w:rsid w:val="4BC468B1"/>
    <w:rsid w:val="4BC55E91"/>
    <w:rsid w:val="4BC60A62"/>
    <w:rsid w:val="4BC6484B"/>
    <w:rsid w:val="4BC803E8"/>
    <w:rsid w:val="4BC82845"/>
    <w:rsid w:val="4BC845F3"/>
    <w:rsid w:val="4BC915C7"/>
    <w:rsid w:val="4BC93EC7"/>
    <w:rsid w:val="4BCC3193"/>
    <w:rsid w:val="4BCD4DA7"/>
    <w:rsid w:val="4BCD6E4F"/>
    <w:rsid w:val="4BCE14DD"/>
    <w:rsid w:val="4BCE1CA6"/>
    <w:rsid w:val="4BD016F9"/>
    <w:rsid w:val="4BD25472"/>
    <w:rsid w:val="4BD35527"/>
    <w:rsid w:val="4BD50557"/>
    <w:rsid w:val="4BD50ABE"/>
    <w:rsid w:val="4BD5286C"/>
    <w:rsid w:val="4BD74836"/>
    <w:rsid w:val="4BD905AE"/>
    <w:rsid w:val="4BD9235C"/>
    <w:rsid w:val="4BDB17F8"/>
    <w:rsid w:val="4BDB2578"/>
    <w:rsid w:val="4BDC3BFA"/>
    <w:rsid w:val="4BDD4118"/>
    <w:rsid w:val="4BDD6CE9"/>
    <w:rsid w:val="4BDE5BC4"/>
    <w:rsid w:val="4BE041DA"/>
    <w:rsid w:val="4BE17463"/>
    <w:rsid w:val="4BE227D7"/>
    <w:rsid w:val="4BE3141A"/>
    <w:rsid w:val="4BE3142D"/>
    <w:rsid w:val="4BE34F89"/>
    <w:rsid w:val="4BE51D73"/>
    <w:rsid w:val="4BE60F1D"/>
    <w:rsid w:val="4BE77D9B"/>
    <w:rsid w:val="4BE807F1"/>
    <w:rsid w:val="4BE83244"/>
    <w:rsid w:val="4BEA1840"/>
    <w:rsid w:val="4BEA27BB"/>
    <w:rsid w:val="4BEB02E1"/>
    <w:rsid w:val="4BEB0A94"/>
    <w:rsid w:val="4BEC277D"/>
    <w:rsid w:val="4BEF7DD1"/>
    <w:rsid w:val="4BF03B4A"/>
    <w:rsid w:val="4BF03DA5"/>
    <w:rsid w:val="4BF0515F"/>
    <w:rsid w:val="4BF26546"/>
    <w:rsid w:val="4BF278C5"/>
    <w:rsid w:val="4BF4363A"/>
    <w:rsid w:val="4BF52F0E"/>
    <w:rsid w:val="4BF838F0"/>
    <w:rsid w:val="4BF90C50"/>
    <w:rsid w:val="4BF929FE"/>
    <w:rsid w:val="4BF93947"/>
    <w:rsid w:val="4BFA0524"/>
    <w:rsid w:val="4BFA0DE1"/>
    <w:rsid w:val="4BFA22D2"/>
    <w:rsid w:val="4BFC429C"/>
    <w:rsid w:val="4BFC604B"/>
    <w:rsid w:val="4BFC7CE3"/>
    <w:rsid w:val="4BFD5629"/>
    <w:rsid w:val="4BFE1DC3"/>
    <w:rsid w:val="4BFF5B3B"/>
    <w:rsid w:val="4C001331"/>
    <w:rsid w:val="4C001C76"/>
    <w:rsid w:val="4C013C83"/>
    <w:rsid w:val="4C0373D9"/>
    <w:rsid w:val="4C0513A3"/>
    <w:rsid w:val="4C065EF4"/>
    <w:rsid w:val="4C07336D"/>
    <w:rsid w:val="4C080E93"/>
    <w:rsid w:val="4C08741E"/>
    <w:rsid w:val="4C093134"/>
    <w:rsid w:val="4C0A4C0B"/>
    <w:rsid w:val="4C0B1D66"/>
    <w:rsid w:val="4C0B44E0"/>
    <w:rsid w:val="4C0B7195"/>
    <w:rsid w:val="4C0D2006"/>
    <w:rsid w:val="4C0D46FC"/>
    <w:rsid w:val="4C0F2222"/>
    <w:rsid w:val="4C0F5D7E"/>
    <w:rsid w:val="4C113500"/>
    <w:rsid w:val="4C1421AB"/>
    <w:rsid w:val="4C147838"/>
    <w:rsid w:val="4C15710C"/>
    <w:rsid w:val="4C1635B0"/>
    <w:rsid w:val="4C172E84"/>
    <w:rsid w:val="4C176BF2"/>
    <w:rsid w:val="4C1930A0"/>
    <w:rsid w:val="4C196BFC"/>
    <w:rsid w:val="4C1A4723"/>
    <w:rsid w:val="4C1B2975"/>
    <w:rsid w:val="4C1B5024"/>
    <w:rsid w:val="4C1C049B"/>
    <w:rsid w:val="4C1F6A9B"/>
    <w:rsid w:val="4C2061DD"/>
    <w:rsid w:val="4C212AFC"/>
    <w:rsid w:val="4C237A7B"/>
    <w:rsid w:val="4C251A45"/>
    <w:rsid w:val="4C2555A1"/>
    <w:rsid w:val="4C2653CA"/>
    <w:rsid w:val="4C26756B"/>
    <w:rsid w:val="4C2757BD"/>
    <w:rsid w:val="4C285091"/>
    <w:rsid w:val="4C2A0B13"/>
    <w:rsid w:val="4C2A0E0A"/>
    <w:rsid w:val="4C2C4B82"/>
    <w:rsid w:val="4C2C64CE"/>
    <w:rsid w:val="4C2F01CE"/>
    <w:rsid w:val="4C2F4672"/>
    <w:rsid w:val="4C306DDD"/>
    <w:rsid w:val="4C310EB0"/>
    <w:rsid w:val="4C312198"/>
    <w:rsid w:val="4C322340"/>
    <w:rsid w:val="4C324162"/>
    <w:rsid w:val="4C350CC1"/>
    <w:rsid w:val="4C373527"/>
    <w:rsid w:val="4C382EC4"/>
    <w:rsid w:val="4C387642"/>
    <w:rsid w:val="4C392DFB"/>
    <w:rsid w:val="4C3954F1"/>
    <w:rsid w:val="4C3A6B73"/>
    <w:rsid w:val="4C3B3017"/>
    <w:rsid w:val="4C3D0087"/>
    <w:rsid w:val="4C3D6D8F"/>
    <w:rsid w:val="4C3E2B07"/>
    <w:rsid w:val="4C4023DB"/>
    <w:rsid w:val="4C417F01"/>
    <w:rsid w:val="4C4243A5"/>
    <w:rsid w:val="4C426389"/>
    <w:rsid w:val="4C426D44"/>
    <w:rsid w:val="4C43011D"/>
    <w:rsid w:val="4C431342"/>
    <w:rsid w:val="4C453E95"/>
    <w:rsid w:val="4C455C43"/>
    <w:rsid w:val="4C461C46"/>
    <w:rsid w:val="4C4719BC"/>
    <w:rsid w:val="4C481290"/>
    <w:rsid w:val="4C485734"/>
    <w:rsid w:val="4C4874E2"/>
    <w:rsid w:val="4C4905C7"/>
    <w:rsid w:val="4C4A14AC"/>
    <w:rsid w:val="4C4C6FD2"/>
    <w:rsid w:val="4C4D2D4A"/>
    <w:rsid w:val="4C4D68A6"/>
    <w:rsid w:val="4C4F261E"/>
    <w:rsid w:val="4C4F332A"/>
    <w:rsid w:val="4C4F6AC2"/>
    <w:rsid w:val="4C501087"/>
    <w:rsid w:val="4C507CD4"/>
    <w:rsid w:val="4C516396"/>
    <w:rsid w:val="4C520360"/>
    <w:rsid w:val="4C522DBA"/>
    <w:rsid w:val="4C5440D8"/>
    <w:rsid w:val="4C545E87"/>
    <w:rsid w:val="4C547C35"/>
    <w:rsid w:val="4C577725"/>
    <w:rsid w:val="4C59349D"/>
    <w:rsid w:val="4C5B18A8"/>
    <w:rsid w:val="4C5B411D"/>
    <w:rsid w:val="4C5B5467"/>
    <w:rsid w:val="4C5C4D3B"/>
    <w:rsid w:val="4C5E0AB3"/>
    <w:rsid w:val="4C5E47C7"/>
    <w:rsid w:val="4C5E6D05"/>
    <w:rsid w:val="4C615959"/>
    <w:rsid w:val="4C6205A3"/>
    <w:rsid w:val="4C63256E"/>
    <w:rsid w:val="4C63273B"/>
    <w:rsid w:val="4C64349E"/>
    <w:rsid w:val="4C650094"/>
    <w:rsid w:val="4C651E42"/>
    <w:rsid w:val="4C667968"/>
    <w:rsid w:val="4C675BBA"/>
    <w:rsid w:val="4C6836E0"/>
    <w:rsid w:val="4C6850EC"/>
    <w:rsid w:val="4C686721"/>
    <w:rsid w:val="4C687B84"/>
    <w:rsid w:val="4C693860"/>
    <w:rsid w:val="4C694FE0"/>
    <w:rsid w:val="4C6B0D41"/>
    <w:rsid w:val="4C6B4A07"/>
    <w:rsid w:val="4C6C0AB0"/>
    <w:rsid w:val="4C6C0C46"/>
    <w:rsid w:val="4C6C1422"/>
    <w:rsid w:val="4C6C31D0"/>
    <w:rsid w:val="4C6C50A2"/>
    <w:rsid w:val="4C6C7AAD"/>
    <w:rsid w:val="4C6D0CF6"/>
    <w:rsid w:val="4C6D1621"/>
    <w:rsid w:val="4C6D519A"/>
    <w:rsid w:val="4C6D6F48"/>
    <w:rsid w:val="4C6E57B5"/>
    <w:rsid w:val="4C6F0F12"/>
    <w:rsid w:val="4C7107E7"/>
    <w:rsid w:val="4C714440"/>
    <w:rsid w:val="4C716A38"/>
    <w:rsid w:val="4C7277D3"/>
    <w:rsid w:val="4C730C63"/>
    <w:rsid w:val="4C7327B1"/>
    <w:rsid w:val="4C7622A1"/>
    <w:rsid w:val="4C76404F"/>
    <w:rsid w:val="4C765DFD"/>
    <w:rsid w:val="4C771B75"/>
    <w:rsid w:val="4C787DC7"/>
    <w:rsid w:val="4C793B3F"/>
    <w:rsid w:val="4C79769B"/>
    <w:rsid w:val="4C7B3413"/>
    <w:rsid w:val="4C7C0148"/>
    <w:rsid w:val="4C7D19A9"/>
    <w:rsid w:val="4C7D53DD"/>
    <w:rsid w:val="4C7E2F03"/>
    <w:rsid w:val="4C7E3C6D"/>
    <w:rsid w:val="4C804ECE"/>
    <w:rsid w:val="4C806C7C"/>
    <w:rsid w:val="4C8147A2"/>
    <w:rsid w:val="4C83051A"/>
    <w:rsid w:val="4C870569"/>
    <w:rsid w:val="4C883D82"/>
    <w:rsid w:val="4C891FD4"/>
    <w:rsid w:val="4C893A3D"/>
    <w:rsid w:val="4C896AE6"/>
    <w:rsid w:val="4C89719B"/>
    <w:rsid w:val="4C8C0BFE"/>
    <w:rsid w:val="4C8C73CE"/>
    <w:rsid w:val="4C8F18CC"/>
    <w:rsid w:val="4C8F6EBF"/>
    <w:rsid w:val="4C910A24"/>
    <w:rsid w:val="4C910E89"/>
    <w:rsid w:val="4C912C37"/>
    <w:rsid w:val="4C9141EC"/>
    <w:rsid w:val="4C9170DB"/>
    <w:rsid w:val="4C92075D"/>
    <w:rsid w:val="4C9269AF"/>
    <w:rsid w:val="4C96179F"/>
    <w:rsid w:val="4C963F23"/>
    <w:rsid w:val="4C96649F"/>
    <w:rsid w:val="4C966BCE"/>
    <w:rsid w:val="4C976F8A"/>
    <w:rsid w:val="4C9952B8"/>
    <w:rsid w:val="4C997D3D"/>
    <w:rsid w:val="4C9A0120"/>
    <w:rsid w:val="4C9A446B"/>
    <w:rsid w:val="4C9A533B"/>
    <w:rsid w:val="4C9B15B0"/>
    <w:rsid w:val="4C9B1D07"/>
    <w:rsid w:val="4C9B2BDF"/>
    <w:rsid w:val="4C9B5863"/>
    <w:rsid w:val="4C9B7E6F"/>
    <w:rsid w:val="4C9C5E1B"/>
    <w:rsid w:val="4C9E5354"/>
    <w:rsid w:val="4C9E67F0"/>
    <w:rsid w:val="4CA02E7A"/>
    <w:rsid w:val="4CA0731E"/>
    <w:rsid w:val="4CA26BF2"/>
    <w:rsid w:val="4CA3547B"/>
    <w:rsid w:val="4CA666C3"/>
    <w:rsid w:val="4CA706AC"/>
    <w:rsid w:val="4CA77C4A"/>
    <w:rsid w:val="4CA92473"/>
    <w:rsid w:val="4CA961D2"/>
    <w:rsid w:val="4CAA3CF8"/>
    <w:rsid w:val="4CAC181F"/>
    <w:rsid w:val="4CAC7A71"/>
    <w:rsid w:val="4CAD5597"/>
    <w:rsid w:val="4CAE1A3B"/>
    <w:rsid w:val="4CAE37E9"/>
    <w:rsid w:val="4CAF57B3"/>
    <w:rsid w:val="4CAF7561"/>
    <w:rsid w:val="4CAF7775"/>
    <w:rsid w:val="4CB10046"/>
    <w:rsid w:val="4CB132D9"/>
    <w:rsid w:val="4CB15087"/>
    <w:rsid w:val="4CB22BAD"/>
    <w:rsid w:val="4CB30DFF"/>
    <w:rsid w:val="4CB37051"/>
    <w:rsid w:val="4CB42DC9"/>
    <w:rsid w:val="4CB46925"/>
    <w:rsid w:val="4CB6269D"/>
    <w:rsid w:val="4CB701C3"/>
    <w:rsid w:val="4CB70FA4"/>
    <w:rsid w:val="4CB84667"/>
    <w:rsid w:val="4CB86415"/>
    <w:rsid w:val="4CBC0903"/>
    <w:rsid w:val="4CBD1D79"/>
    <w:rsid w:val="4CBD7ED0"/>
    <w:rsid w:val="4CBE3209"/>
    <w:rsid w:val="4CBE42D6"/>
    <w:rsid w:val="4CBF59F6"/>
    <w:rsid w:val="4CC01E3B"/>
    <w:rsid w:val="4CC11B8A"/>
    <w:rsid w:val="4CC21042"/>
    <w:rsid w:val="4CC254E6"/>
    <w:rsid w:val="4CC27294"/>
    <w:rsid w:val="4CC4300C"/>
    <w:rsid w:val="4CC528E0"/>
    <w:rsid w:val="4CC56D84"/>
    <w:rsid w:val="4CC622FE"/>
    <w:rsid w:val="4CC64F56"/>
    <w:rsid w:val="4CC72AFC"/>
    <w:rsid w:val="4CC805CD"/>
    <w:rsid w:val="4CC90623"/>
    <w:rsid w:val="4CCA5ABE"/>
    <w:rsid w:val="4CCB580D"/>
    <w:rsid w:val="4CCC0113"/>
    <w:rsid w:val="4CCC3C6F"/>
    <w:rsid w:val="4CCE3E8B"/>
    <w:rsid w:val="4CCE79E7"/>
    <w:rsid w:val="4CCF19B1"/>
    <w:rsid w:val="4CCF375F"/>
    <w:rsid w:val="4CD11285"/>
    <w:rsid w:val="4CD243C2"/>
    <w:rsid w:val="4CD3324F"/>
    <w:rsid w:val="4CD40D75"/>
    <w:rsid w:val="4CD54770"/>
    <w:rsid w:val="4CD60F91"/>
    <w:rsid w:val="4CD62D3F"/>
    <w:rsid w:val="4CD80866"/>
    <w:rsid w:val="4CD86AB8"/>
    <w:rsid w:val="4CD945DE"/>
    <w:rsid w:val="4CDA3E72"/>
    <w:rsid w:val="4CDB0356"/>
    <w:rsid w:val="4CDB65A8"/>
    <w:rsid w:val="4CDD0210"/>
    <w:rsid w:val="4CDE39A2"/>
    <w:rsid w:val="4CDE5554"/>
    <w:rsid w:val="4CDF5113"/>
    <w:rsid w:val="4CE0771A"/>
    <w:rsid w:val="4CE30FB8"/>
    <w:rsid w:val="4CE34A67"/>
    <w:rsid w:val="4CE37103"/>
    <w:rsid w:val="4CE4720A"/>
    <w:rsid w:val="4CE511D4"/>
    <w:rsid w:val="4CE67C42"/>
    <w:rsid w:val="4CE865CF"/>
    <w:rsid w:val="4CEA0D96"/>
    <w:rsid w:val="4CEA2347"/>
    <w:rsid w:val="4CEA67EB"/>
    <w:rsid w:val="4CEB6BD1"/>
    <w:rsid w:val="4CEC2563"/>
    <w:rsid w:val="4CEC4311"/>
    <w:rsid w:val="4CEC60BF"/>
    <w:rsid w:val="4CED75FE"/>
    <w:rsid w:val="4CEF5BAF"/>
    <w:rsid w:val="4CF02BAE"/>
    <w:rsid w:val="4CF03E01"/>
    <w:rsid w:val="4CF3634C"/>
    <w:rsid w:val="4CF3744D"/>
    <w:rsid w:val="4CF40F20"/>
    <w:rsid w:val="4CF5766A"/>
    <w:rsid w:val="4CF80F08"/>
    <w:rsid w:val="4CF82CB6"/>
    <w:rsid w:val="4CF907DC"/>
    <w:rsid w:val="4CF94E4D"/>
    <w:rsid w:val="4CFA088B"/>
    <w:rsid w:val="4CFA1D1B"/>
    <w:rsid w:val="4CFA3F39"/>
    <w:rsid w:val="4CFA6A2E"/>
    <w:rsid w:val="4CFB27A6"/>
    <w:rsid w:val="4CFB4554"/>
    <w:rsid w:val="4CFF2296"/>
    <w:rsid w:val="4CFF46FD"/>
    <w:rsid w:val="4D001B6A"/>
    <w:rsid w:val="4D00367C"/>
    <w:rsid w:val="4D021BEE"/>
    <w:rsid w:val="4D04165B"/>
    <w:rsid w:val="4D043409"/>
    <w:rsid w:val="4D0478AD"/>
    <w:rsid w:val="4D07114B"/>
    <w:rsid w:val="4D085A60"/>
    <w:rsid w:val="4D094EC3"/>
    <w:rsid w:val="4D096C71"/>
    <w:rsid w:val="4D0C050F"/>
    <w:rsid w:val="4D0E4287"/>
    <w:rsid w:val="4D0E46C5"/>
    <w:rsid w:val="4D111FCA"/>
    <w:rsid w:val="4D115B26"/>
    <w:rsid w:val="4D1216E3"/>
    <w:rsid w:val="4D13189E"/>
    <w:rsid w:val="4D1473C4"/>
    <w:rsid w:val="4D155616"/>
    <w:rsid w:val="4D156923"/>
    <w:rsid w:val="4D16313C"/>
    <w:rsid w:val="4D183358"/>
    <w:rsid w:val="4D192A4A"/>
    <w:rsid w:val="4D1A0E7E"/>
    <w:rsid w:val="4D1B0752"/>
    <w:rsid w:val="4D1B3CBC"/>
    <w:rsid w:val="4D1B4BF6"/>
    <w:rsid w:val="4D1B63CD"/>
    <w:rsid w:val="4D1D271C"/>
    <w:rsid w:val="4D1F6494"/>
    <w:rsid w:val="4D20220D"/>
    <w:rsid w:val="4D2025A6"/>
    <w:rsid w:val="4D216B2E"/>
    <w:rsid w:val="4D225F85"/>
    <w:rsid w:val="4D2910C1"/>
    <w:rsid w:val="4D297262"/>
    <w:rsid w:val="4D297313"/>
    <w:rsid w:val="4D2B308B"/>
    <w:rsid w:val="4D2C0BB1"/>
    <w:rsid w:val="4D2C295F"/>
    <w:rsid w:val="4D2C6E03"/>
    <w:rsid w:val="4D2D4BAA"/>
    <w:rsid w:val="4D2F41FE"/>
    <w:rsid w:val="4D3006A2"/>
    <w:rsid w:val="4D333CEE"/>
    <w:rsid w:val="4D3442E8"/>
    <w:rsid w:val="4D355CB8"/>
    <w:rsid w:val="4D355F0D"/>
    <w:rsid w:val="4D36558C"/>
    <w:rsid w:val="4D37082D"/>
    <w:rsid w:val="4D3857A8"/>
    <w:rsid w:val="4D3A1520"/>
    <w:rsid w:val="4D3B0DF4"/>
    <w:rsid w:val="4D3D4B6D"/>
    <w:rsid w:val="4D3D691B"/>
    <w:rsid w:val="4D3E5B2F"/>
    <w:rsid w:val="4D3F08E5"/>
    <w:rsid w:val="4D4128AF"/>
    <w:rsid w:val="4D422183"/>
    <w:rsid w:val="4D425940"/>
    <w:rsid w:val="4D4315F9"/>
    <w:rsid w:val="4D44414D"/>
    <w:rsid w:val="4D445EFB"/>
    <w:rsid w:val="4D461C92"/>
    <w:rsid w:val="4D4642C1"/>
    <w:rsid w:val="4D467EC5"/>
    <w:rsid w:val="4D4759EB"/>
    <w:rsid w:val="4D477799"/>
    <w:rsid w:val="4D493511"/>
    <w:rsid w:val="4D4A3BBD"/>
    <w:rsid w:val="4D4B1038"/>
    <w:rsid w:val="4D4B54DB"/>
    <w:rsid w:val="4D4C3002"/>
    <w:rsid w:val="4D4C4DB0"/>
    <w:rsid w:val="4D4E28D6"/>
    <w:rsid w:val="4D4E6D7A"/>
    <w:rsid w:val="4D5029A6"/>
    <w:rsid w:val="4D502AF2"/>
    <w:rsid w:val="4D5048A0"/>
    <w:rsid w:val="4D5325E2"/>
    <w:rsid w:val="4D534390"/>
    <w:rsid w:val="4D537EEC"/>
    <w:rsid w:val="4D553C64"/>
    <w:rsid w:val="4D565246"/>
    <w:rsid w:val="4D587BF8"/>
    <w:rsid w:val="4D5A74CD"/>
    <w:rsid w:val="4D5B1079"/>
    <w:rsid w:val="4D5B4FF3"/>
    <w:rsid w:val="4D5C0B12"/>
    <w:rsid w:val="4D5C3245"/>
    <w:rsid w:val="4D5D520F"/>
    <w:rsid w:val="4D5F2D35"/>
    <w:rsid w:val="4D616AAD"/>
    <w:rsid w:val="4D64659D"/>
    <w:rsid w:val="4D6538AB"/>
    <w:rsid w:val="4D671BE9"/>
    <w:rsid w:val="4D695962"/>
    <w:rsid w:val="4D6A3B7B"/>
    <w:rsid w:val="4D6B4031"/>
    <w:rsid w:val="4D6B792C"/>
    <w:rsid w:val="4D6C7200"/>
    <w:rsid w:val="4D6D078E"/>
    <w:rsid w:val="4D6D5452"/>
    <w:rsid w:val="4D6E11CA"/>
    <w:rsid w:val="4D6F609D"/>
    <w:rsid w:val="4D700A9E"/>
    <w:rsid w:val="4D720B9D"/>
    <w:rsid w:val="4D73058E"/>
    <w:rsid w:val="4D730A7F"/>
    <w:rsid w:val="4D737564"/>
    <w:rsid w:val="4D746602"/>
    <w:rsid w:val="4D7471F9"/>
    <w:rsid w:val="4D750BDE"/>
    <w:rsid w:val="4D752558"/>
    <w:rsid w:val="4D757384"/>
    <w:rsid w:val="4D76482F"/>
    <w:rsid w:val="4D782049"/>
    <w:rsid w:val="4D7A5D81"/>
    <w:rsid w:val="4D7A7B6F"/>
    <w:rsid w:val="4D7C38E7"/>
    <w:rsid w:val="4D7C5695"/>
    <w:rsid w:val="4D7D140D"/>
    <w:rsid w:val="4D7D31BB"/>
    <w:rsid w:val="4D7F0CE1"/>
    <w:rsid w:val="4D810EFD"/>
    <w:rsid w:val="4D812CAB"/>
    <w:rsid w:val="4D82166B"/>
    <w:rsid w:val="4D852E94"/>
    <w:rsid w:val="4D854766"/>
    <w:rsid w:val="4D8602C2"/>
    <w:rsid w:val="4D880385"/>
    <w:rsid w:val="4D886C44"/>
    <w:rsid w:val="4D891815"/>
    <w:rsid w:val="4D8D78A2"/>
    <w:rsid w:val="4D8E361A"/>
    <w:rsid w:val="4D8E53C8"/>
    <w:rsid w:val="4D901140"/>
    <w:rsid w:val="4D904889"/>
    <w:rsid w:val="4D906195"/>
    <w:rsid w:val="4D907392"/>
    <w:rsid w:val="4D930C30"/>
    <w:rsid w:val="4D9329DF"/>
    <w:rsid w:val="4D93478D"/>
    <w:rsid w:val="4D97427D"/>
    <w:rsid w:val="4D987FF5"/>
    <w:rsid w:val="4D994499"/>
    <w:rsid w:val="4D9A44A2"/>
    <w:rsid w:val="4D9A5B1B"/>
    <w:rsid w:val="4D9B201E"/>
    <w:rsid w:val="4D9C1893"/>
    <w:rsid w:val="4D9C5D37"/>
    <w:rsid w:val="4D9E2555"/>
    <w:rsid w:val="4D9F1383"/>
    <w:rsid w:val="4D9F75D5"/>
    <w:rsid w:val="4DA05878"/>
    <w:rsid w:val="4DA05BE3"/>
    <w:rsid w:val="4DA14254"/>
    <w:rsid w:val="4DA16EA9"/>
    <w:rsid w:val="4DA30E74"/>
    <w:rsid w:val="4DA44F26"/>
    <w:rsid w:val="4DA60964"/>
    <w:rsid w:val="4DA62712"/>
    <w:rsid w:val="4DA644C0"/>
    <w:rsid w:val="4DA67EC1"/>
    <w:rsid w:val="4DA90454"/>
    <w:rsid w:val="4DA92202"/>
    <w:rsid w:val="4DAA0B4E"/>
    <w:rsid w:val="4DAB41CC"/>
    <w:rsid w:val="4DAD1323"/>
    <w:rsid w:val="4DAD3AA0"/>
    <w:rsid w:val="4DAE15C6"/>
    <w:rsid w:val="4DAE6208"/>
    <w:rsid w:val="4DB03AD6"/>
    <w:rsid w:val="4DB0533F"/>
    <w:rsid w:val="4DB27309"/>
    <w:rsid w:val="4DB34E2F"/>
    <w:rsid w:val="4DB36BDD"/>
    <w:rsid w:val="4DB50832"/>
    <w:rsid w:val="4DB72B71"/>
    <w:rsid w:val="4DB7438A"/>
    <w:rsid w:val="4DBD7A5B"/>
    <w:rsid w:val="4DBE5CAD"/>
    <w:rsid w:val="4DBF1A26"/>
    <w:rsid w:val="4DBF5582"/>
    <w:rsid w:val="4DC112FA"/>
    <w:rsid w:val="4DC1754C"/>
    <w:rsid w:val="4DC332C4"/>
    <w:rsid w:val="4DC36632"/>
    <w:rsid w:val="4DC4528E"/>
    <w:rsid w:val="4DC4703C"/>
    <w:rsid w:val="4DC62DB4"/>
    <w:rsid w:val="4DC66910"/>
    <w:rsid w:val="4DC94652"/>
    <w:rsid w:val="4DC95567"/>
    <w:rsid w:val="4DC96400"/>
    <w:rsid w:val="4DCB2178"/>
    <w:rsid w:val="4DCB2D88"/>
    <w:rsid w:val="4DCB35BA"/>
    <w:rsid w:val="4DCB3EBC"/>
    <w:rsid w:val="4DCB3F26"/>
    <w:rsid w:val="4DCD6AB9"/>
    <w:rsid w:val="4DCD7C9F"/>
    <w:rsid w:val="4DD03C33"/>
    <w:rsid w:val="4DD06C5E"/>
    <w:rsid w:val="4DD0778F"/>
    <w:rsid w:val="4DD145CE"/>
    <w:rsid w:val="4DD23507"/>
    <w:rsid w:val="4DD252B5"/>
    <w:rsid w:val="4DD252F4"/>
    <w:rsid w:val="4DD454D1"/>
    <w:rsid w:val="4DD70B1D"/>
    <w:rsid w:val="4DD94895"/>
    <w:rsid w:val="4DDA060D"/>
    <w:rsid w:val="4DDA72CC"/>
    <w:rsid w:val="4DDC3365"/>
    <w:rsid w:val="4DDC39DD"/>
    <w:rsid w:val="4DDC6134"/>
    <w:rsid w:val="4DDD3C5A"/>
    <w:rsid w:val="4DDE00FE"/>
    <w:rsid w:val="4DDF3E76"/>
    <w:rsid w:val="4DE1374A"/>
    <w:rsid w:val="4DE137EE"/>
    <w:rsid w:val="4DE17BEE"/>
    <w:rsid w:val="4DE31A80"/>
    <w:rsid w:val="4DE33966"/>
    <w:rsid w:val="4DE37FCF"/>
    <w:rsid w:val="4DE4148C"/>
    <w:rsid w:val="4DE4323A"/>
    <w:rsid w:val="4DE438B0"/>
    <w:rsid w:val="4DE60D60"/>
    <w:rsid w:val="4DE66FB2"/>
    <w:rsid w:val="4DE72A0B"/>
    <w:rsid w:val="4DE90850"/>
    <w:rsid w:val="4DEA4CF4"/>
    <w:rsid w:val="4DEB281B"/>
    <w:rsid w:val="4DEB6377"/>
    <w:rsid w:val="4DEE5DF2"/>
    <w:rsid w:val="4DEE5E67"/>
    <w:rsid w:val="4DF0398D"/>
    <w:rsid w:val="4DF06083"/>
    <w:rsid w:val="4DF14773"/>
    <w:rsid w:val="4DF25957"/>
    <w:rsid w:val="4DF47921"/>
    <w:rsid w:val="4DF530F4"/>
    <w:rsid w:val="4DF53699"/>
    <w:rsid w:val="4DF55447"/>
    <w:rsid w:val="4DF64710"/>
    <w:rsid w:val="4DF711BF"/>
    <w:rsid w:val="4DF73D65"/>
    <w:rsid w:val="4DF82E03"/>
    <w:rsid w:val="4DF9288B"/>
    <w:rsid w:val="4DFA0CB0"/>
    <w:rsid w:val="4DFA480C"/>
    <w:rsid w:val="4DFA5AD6"/>
    <w:rsid w:val="4DFB6410"/>
    <w:rsid w:val="4DFC03F6"/>
    <w:rsid w:val="4DFC0584"/>
    <w:rsid w:val="4DFC4A28"/>
    <w:rsid w:val="4DFC67D6"/>
    <w:rsid w:val="4DFE42FC"/>
    <w:rsid w:val="4DFE60AA"/>
    <w:rsid w:val="4E013DEC"/>
    <w:rsid w:val="4E015B9A"/>
    <w:rsid w:val="4E0256F8"/>
    <w:rsid w:val="4E031912"/>
    <w:rsid w:val="4E035DB6"/>
    <w:rsid w:val="4E0538DC"/>
    <w:rsid w:val="4E056542"/>
    <w:rsid w:val="4E075509"/>
    <w:rsid w:val="4E092CA1"/>
    <w:rsid w:val="4E0A3E8A"/>
    <w:rsid w:val="4E0C7864"/>
    <w:rsid w:val="4E0C7B21"/>
    <w:rsid w:val="4E0D25D2"/>
    <w:rsid w:val="4E0D453F"/>
    <w:rsid w:val="4E0F475B"/>
    <w:rsid w:val="4E0F6509"/>
    <w:rsid w:val="4E102281"/>
    <w:rsid w:val="4E121C82"/>
    <w:rsid w:val="4E1276A7"/>
    <w:rsid w:val="4E141D71"/>
    <w:rsid w:val="4E17716C"/>
    <w:rsid w:val="4E1C1266"/>
    <w:rsid w:val="4E1D3A41"/>
    <w:rsid w:val="4E1E499E"/>
    <w:rsid w:val="4E1F24C4"/>
    <w:rsid w:val="4E1F4272"/>
    <w:rsid w:val="4E200716"/>
    <w:rsid w:val="4E2109F5"/>
    <w:rsid w:val="4E220FEC"/>
    <w:rsid w:val="4E24533D"/>
    <w:rsid w:val="4E255D2C"/>
    <w:rsid w:val="4E2669EA"/>
    <w:rsid w:val="4E281379"/>
    <w:rsid w:val="4E2875CB"/>
    <w:rsid w:val="4E292127"/>
    <w:rsid w:val="4E2B0E69"/>
    <w:rsid w:val="4E2B2C17"/>
    <w:rsid w:val="4E2B4851"/>
    <w:rsid w:val="4E2D2E33"/>
    <w:rsid w:val="4E2F4715"/>
    <w:rsid w:val="4E30647F"/>
    <w:rsid w:val="4E3072E6"/>
    <w:rsid w:val="4E310776"/>
    <w:rsid w:val="4E3221F7"/>
    <w:rsid w:val="4E3470F7"/>
    <w:rsid w:val="4E353158"/>
    <w:rsid w:val="4E353A96"/>
    <w:rsid w:val="4E355844"/>
    <w:rsid w:val="4E361CE8"/>
    <w:rsid w:val="4E371CF5"/>
    <w:rsid w:val="4E375A60"/>
    <w:rsid w:val="4E380649"/>
    <w:rsid w:val="4E3917D8"/>
    <w:rsid w:val="4E3B5550"/>
    <w:rsid w:val="4E3C3076"/>
    <w:rsid w:val="4E3F5A9B"/>
    <w:rsid w:val="4E40026B"/>
    <w:rsid w:val="4E40442C"/>
    <w:rsid w:val="4E4168DE"/>
    <w:rsid w:val="4E4640DD"/>
    <w:rsid w:val="4E465964"/>
    <w:rsid w:val="4E47059A"/>
    <w:rsid w:val="4E480392"/>
    <w:rsid w:val="4E481A1B"/>
    <w:rsid w:val="4E485577"/>
    <w:rsid w:val="4E487C6D"/>
    <w:rsid w:val="4E4A12EF"/>
    <w:rsid w:val="4E4A7541"/>
    <w:rsid w:val="4E4B3EEE"/>
    <w:rsid w:val="4E4B5067"/>
    <w:rsid w:val="4E4C150B"/>
    <w:rsid w:val="4E4C3BD7"/>
    <w:rsid w:val="4E4C77C7"/>
    <w:rsid w:val="4E4D0DDF"/>
    <w:rsid w:val="4E4D2ADE"/>
    <w:rsid w:val="4E4F3F85"/>
    <w:rsid w:val="4E50518F"/>
    <w:rsid w:val="4E51661F"/>
    <w:rsid w:val="4E516B8F"/>
    <w:rsid w:val="4E52289A"/>
    <w:rsid w:val="4E546612"/>
    <w:rsid w:val="4E557C94"/>
    <w:rsid w:val="4E573921"/>
    <w:rsid w:val="4E593C28"/>
    <w:rsid w:val="4E5959D6"/>
    <w:rsid w:val="4E5B174E"/>
    <w:rsid w:val="4E5B22A2"/>
    <w:rsid w:val="4E5B34FC"/>
    <w:rsid w:val="4E5B5992"/>
    <w:rsid w:val="4E5C7274"/>
    <w:rsid w:val="4E5E123E"/>
    <w:rsid w:val="4E61488B"/>
    <w:rsid w:val="4E630603"/>
    <w:rsid w:val="4E636855"/>
    <w:rsid w:val="4E6600F3"/>
    <w:rsid w:val="4E673416"/>
    <w:rsid w:val="4E685C19"/>
    <w:rsid w:val="4E6A373F"/>
    <w:rsid w:val="4E6A7BE3"/>
    <w:rsid w:val="4E6C395B"/>
    <w:rsid w:val="4E6C5709"/>
    <w:rsid w:val="4E6C5868"/>
    <w:rsid w:val="4E6F1BA8"/>
    <w:rsid w:val="4E712D20"/>
    <w:rsid w:val="4E715C09"/>
    <w:rsid w:val="4E720529"/>
    <w:rsid w:val="4E724CEA"/>
    <w:rsid w:val="4E726A98"/>
    <w:rsid w:val="4E7445BE"/>
    <w:rsid w:val="4E7520E4"/>
    <w:rsid w:val="4E766DB9"/>
    <w:rsid w:val="4E7718A9"/>
    <w:rsid w:val="4E772300"/>
    <w:rsid w:val="4E772F0B"/>
    <w:rsid w:val="4E781B4B"/>
    <w:rsid w:val="4E78611C"/>
    <w:rsid w:val="4E797E26"/>
    <w:rsid w:val="4E7A0A87"/>
    <w:rsid w:val="4E7B594C"/>
    <w:rsid w:val="4E7B76FB"/>
    <w:rsid w:val="4E7E368F"/>
    <w:rsid w:val="4E804B81"/>
    <w:rsid w:val="4E8056FE"/>
    <w:rsid w:val="4E810A89"/>
    <w:rsid w:val="4E816CDB"/>
    <w:rsid w:val="4E832BEF"/>
    <w:rsid w:val="4E850579"/>
    <w:rsid w:val="4E8547F9"/>
    <w:rsid w:val="4E8567CB"/>
    <w:rsid w:val="4E8642F1"/>
    <w:rsid w:val="4E86609F"/>
    <w:rsid w:val="4E870795"/>
    <w:rsid w:val="4E873CA6"/>
    <w:rsid w:val="4E880069"/>
    <w:rsid w:val="4E8862BB"/>
    <w:rsid w:val="4E892B8E"/>
    <w:rsid w:val="4E895320"/>
    <w:rsid w:val="4E8A2033"/>
    <w:rsid w:val="4E8A67B0"/>
    <w:rsid w:val="4E8C7B5A"/>
    <w:rsid w:val="4E8D5680"/>
    <w:rsid w:val="4E8F31A6"/>
    <w:rsid w:val="4E904013"/>
    <w:rsid w:val="4E9066F0"/>
    <w:rsid w:val="4E927B13"/>
    <w:rsid w:val="4E9407BC"/>
    <w:rsid w:val="4E946A0E"/>
    <w:rsid w:val="4E955004"/>
    <w:rsid w:val="4E9569A3"/>
    <w:rsid w:val="4E962786"/>
    <w:rsid w:val="4E964534"/>
    <w:rsid w:val="4E9715D3"/>
    <w:rsid w:val="4E984750"/>
    <w:rsid w:val="4E9904C8"/>
    <w:rsid w:val="4E9B55A6"/>
    <w:rsid w:val="4E9C58C3"/>
    <w:rsid w:val="4E9E163B"/>
    <w:rsid w:val="4E9E5ADF"/>
    <w:rsid w:val="4E9F0C87"/>
    <w:rsid w:val="4EA02117"/>
    <w:rsid w:val="4EA03605"/>
    <w:rsid w:val="4EA053B3"/>
    <w:rsid w:val="4EA13E1D"/>
    <w:rsid w:val="4EA2737D"/>
    <w:rsid w:val="4EA36C51"/>
    <w:rsid w:val="4EA373FF"/>
    <w:rsid w:val="4EA604F0"/>
    <w:rsid w:val="4EA6114E"/>
    <w:rsid w:val="4EA7534F"/>
    <w:rsid w:val="4EA824BA"/>
    <w:rsid w:val="4EAA6232"/>
    <w:rsid w:val="4EAC01FC"/>
    <w:rsid w:val="4EAC06BA"/>
    <w:rsid w:val="4EAD1B4A"/>
    <w:rsid w:val="4EAD7AD0"/>
    <w:rsid w:val="4EAE3EAF"/>
    <w:rsid w:val="4EAF3848"/>
    <w:rsid w:val="4EAF703B"/>
    <w:rsid w:val="4EB1136E"/>
    <w:rsid w:val="4EB15812"/>
    <w:rsid w:val="4EB255E9"/>
    <w:rsid w:val="4EB33338"/>
    <w:rsid w:val="4EB42C0C"/>
    <w:rsid w:val="4EB470B0"/>
    <w:rsid w:val="4EB51578"/>
    <w:rsid w:val="4EB66985"/>
    <w:rsid w:val="4EB726FD"/>
    <w:rsid w:val="4EB8094F"/>
    <w:rsid w:val="4EB923B7"/>
    <w:rsid w:val="4EB946C7"/>
    <w:rsid w:val="4EB95335"/>
    <w:rsid w:val="4EB96475"/>
    <w:rsid w:val="4EBB043F"/>
    <w:rsid w:val="4EBB21ED"/>
    <w:rsid w:val="4EBC7D13"/>
    <w:rsid w:val="4EBE7F2F"/>
    <w:rsid w:val="4EC05A55"/>
    <w:rsid w:val="4EC07742"/>
    <w:rsid w:val="4EC16211"/>
    <w:rsid w:val="4EC217CD"/>
    <w:rsid w:val="4EC340C0"/>
    <w:rsid w:val="4EC405B6"/>
    <w:rsid w:val="4EC5306C"/>
    <w:rsid w:val="4EC54E1A"/>
    <w:rsid w:val="4EC56BC8"/>
    <w:rsid w:val="4EC70B92"/>
    <w:rsid w:val="4EC72940"/>
    <w:rsid w:val="4EC7492C"/>
    <w:rsid w:val="4EC76DE4"/>
    <w:rsid w:val="4EC81323"/>
    <w:rsid w:val="4EC92B5C"/>
    <w:rsid w:val="4ECA2430"/>
    <w:rsid w:val="4ECA68D4"/>
    <w:rsid w:val="4ECC43FA"/>
    <w:rsid w:val="4ECC61A8"/>
    <w:rsid w:val="4ECD3D05"/>
    <w:rsid w:val="4ECE4653"/>
    <w:rsid w:val="4ECE5195"/>
    <w:rsid w:val="4ECF7A46"/>
    <w:rsid w:val="4ED0682A"/>
    <w:rsid w:val="4ED07129"/>
    <w:rsid w:val="4ED17C62"/>
    <w:rsid w:val="4ED212E5"/>
    <w:rsid w:val="4ED24A28"/>
    <w:rsid w:val="4ED4505D"/>
    <w:rsid w:val="4ED60DD5"/>
    <w:rsid w:val="4ED77988"/>
    <w:rsid w:val="4ED96B17"/>
    <w:rsid w:val="4EDA3738"/>
    <w:rsid w:val="4EDA6D88"/>
    <w:rsid w:val="4EDB463D"/>
    <w:rsid w:val="4EDB7799"/>
    <w:rsid w:val="4EDC6058"/>
    <w:rsid w:val="4EDD03B5"/>
    <w:rsid w:val="4EDD2163"/>
    <w:rsid w:val="4EDD6607"/>
    <w:rsid w:val="4EDF13E6"/>
    <w:rsid w:val="4EDF159B"/>
    <w:rsid w:val="4EDF1E27"/>
    <w:rsid w:val="4EDF237F"/>
    <w:rsid w:val="4EDF49D9"/>
    <w:rsid w:val="4EE01C53"/>
    <w:rsid w:val="4EE07EA5"/>
    <w:rsid w:val="4EE10A3A"/>
    <w:rsid w:val="4EE23C1E"/>
    <w:rsid w:val="4EE2777A"/>
    <w:rsid w:val="4EE4401A"/>
    <w:rsid w:val="4EE72FE2"/>
    <w:rsid w:val="4EE74D90"/>
    <w:rsid w:val="4EE77910"/>
    <w:rsid w:val="4EE94FAC"/>
    <w:rsid w:val="4EE96C11"/>
    <w:rsid w:val="4EEA0D24"/>
    <w:rsid w:val="4EEB46BC"/>
    <w:rsid w:val="4EEC05F8"/>
    <w:rsid w:val="4EEC23A6"/>
    <w:rsid w:val="4EEC4096"/>
    <w:rsid w:val="4EEC5B4C"/>
    <w:rsid w:val="4EEC684A"/>
    <w:rsid w:val="4EED1BAD"/>
    <w:rsid w:val="4EED3F2E"/>
    <w:rsid w:val="4EEF633A"/>
    <w:rsid w:val="4EF13E61"/>
    <w:rsid w:val="4EF15C0F"/>
    <w:rsid w:val="4EF474AD"/>
    <w:rsid w:val="4EF75830"/>
    <w:rsid w:val="4EF86F9D"/>
    <w:rsid w:val="4EFA0F67"/>
    <w:rsid w:val="4EFB4CDF"/>
    <w:rsid w:val="4EFC5641"/>
    <w:rsid w:val="4EFC57C7"/>
    <w:rsid w:val="4EFD2805"/>
    <w:rsid w:val="4EFD55F3"/>
    <w:rsid w:val="4EFE13F1"/>
    <w:rsid w:val="4F0022F6"/>
    <w:rsid w:val="4F0040A4"/>
    <w:rsid w:val="4F027E1C"/>
    <w:rsid w:val="4F045263"/>
    <w:rsid w:val="4F0516BA"/>
    <w:rsid w:val="4F053468"/>
    <w:rsid w:val="4F05790C"/>
    <w:rsid w:val="4F075432"/>
    <w:rsid w:val="4F0771E0"/>
    <w:rsid w:val="4F0911AA"/>
    <w:rsid w:val="4F091ADF"/>
    <w:rsid w:val="4F091C95"/>
    <w:rsid w:val="4F0A09C7"/>
    <w:rsid w:val="4F0A15BF"/>
    <w:rsid w:val="4F0A4F22"/>
    <w:rsid w:val="4F0B69B3"/>
    <w:rsid w:val="4F0C0C9A"/>
    <w:rsid w:val="4F0D00E9"/>
    <w:rsid w:val="4F0F42E7"/>
    <w:rsid w:val="4F11005F"/>
    <w:rsid w:val="4F132029"/>
    <w:rsid w:val="4F133DD7"/>
    <w:rsid w:val="4F135B85"/>
    <w:rsid w:val="4F14737F"/>
    <w:rsid w:val="4F147B4F"/>
    <w:rsid w:val="4F157929"/>
    <w:rsid w:val="4F161B19"/>
    <w:rsid w:val="4F1638C7"/>
    <w:rsid w:val="4F1813ED"/>
    <w:rsid w:val="4F18763F"/>
    <w:rsid w:val="4F190D64"/>
    <w:rsid w:val="4F194B69"/>
    <w:rsid w:val="4F195FF9"/>
    <w:rsid w:val="4F1A2242"/>
    <w:rsid w:val="4F1A33B7"/>
    <w:rsid w:val="4F1B0EDE"/>
    <w:rsid w:val="4F1B205A"/>
    <w:rsid w:val="4F1D07B2"/>
    <w:rsid w:val="4F1D4C56"/>
    <w:rsid w:val="4F1E452A"/>
    <w:rsid w:val="4F1F09CE"/>
    <w:rsid w:val="4F2002A2"/>
    <w:rsid w:val="4F2064F4"/>
    <w:rsid w:val="4F2109D8"/>
    <w:rsid w:val="4F2132E7"/>
    <w:rsid w:val="4F2204BE"/>
    <w:rsid w:val="4F22226C"/>
    <w:rsid w:val="4F251D5C"/>
    <w:rsid w:val="4F2705FD"/>
    <w:rsid w:val="4F271D3E"/>
    <w:rsid w:val="4F275982"/>
    <w:rsid w:val="4F275EA2"/>
    <w:rsid w:val="4F276AF0"/>
    <w:rsid w:val="4F277882"/>
    <w:rsid w:val="4F29184C"/>
    <w:rsid w:val="4F2935FA"/>
    <w:rsid w:val="4F2A7373"/>
    <w:rsid w:val="4F2C4E99"/>
    <w:rsid w:val="4F2C5CE2"/>
    <w:rsid w:val="4F2C6C47"/>
    <w:rsid w:val="4F2E0C11"/>
    <w:rsid w:val="4F3021BF"/>
    <w:rsid w:val="4F302902"/>
    <w:rsid w:val="4F302DF0"/>
    <w:rsid w:val="4F304531"/>
    <w:rsid w:val="4F304989"/>
    <w:rsid w:val="4F310701"/>
    <w:rsid w:val="4F3124AF"/>
    <w:rsid w:val="4F3302E1"/>
    <w:rsid w:val="4F343D4D"/>
    <w:rsid w:val="4F3501F1"/>
    <w:rsid w:val="4F365D17"/>
    <w:rsid w:val="4F367AC5"/>
    <w:rsid w:val="4F3767BB"/>
    <w:rsid w:val="4F381A8F"/>
    <w:rsid w:val="4F391364"/>
    <w:rsid w:val="4F3A5808"/>
    <w:rsid w:val="4F3A75B6"/>
    <w:rsid w:val="4F3B0DFE"/>
    <w:rsid w:val="4F3D0E54"/>
    <w:rsid w:val="4F3D2C02"/>
    <w:rsid w:val="4F3D2DC0"/>
    <w:rsid w:val="4F3D70A6"/>
    <w:rsid w:val="4F3F6884"/>
    <w:rsid w:val="4F4026F2"/>
    <w:rsid w:val="4F4154B6"/>
    <w:rsid w:val="4F42646A"/>
    <w:rsid w:val="4F440434"/>
    <w:rsid w:val="4F4421E2"/>
    <w:rsid w:val="4F443F90"/>
    <w:rsid w:val="4F451D45"/>
    <w:rsid w:val="4F453B86"/>
    <w:rsid w:val="4F461B54"/>
    <w:rsid w:val="4F477F24"/>
    <w:rsid w:val="4F4C1097"/>
    <w:rsid w:val="4F4C70DC"/>
    <w:rsid w:val="4F4C7714"/>
    <w:rsid w:val="4F4E4EE9"/>
    <w:rsid w:val="4F4F0B87"/>
    <w:rsid w:val="4F4F2935"/>
    <w:rsid w:val="4F5015D8"/>
    <w:rsid w:val="4F506DD9"/>
    <w:rsid w:val="4F5166AD"/>
    <w:rsid w:val="4F524CFA"/>
    <w:rsid w:val="4F543775"/>
    <w:rsid w:val="4F552641"/>
    <w:rsid w:val="4F5543EF"/>
    <w:rsid w:val="4F55619D"/>
    <w:rsid w:val="4F564B0B"/>
    <w:rsid w:val="4F56624C"/>
    <w:rsid w:val="4F566B0C"/>
    <w:rsid w:val="4F582BE2"/>
    <w:rsid w:val="4F583EE0"/>
    <w:rsid w:val="4F585C8E"/>
    <w:rsid w:val="4F587A3C"/>
    <w:rsid w:val="4F59348C"/>
    <w:rsid w:val="4F594BCD"/>
    <w:rsid w:val="4F5A1A06"/>
    <w:rsid w:val="4F5B0679"/>
    <w:rsid w:val="4F5C3751"/>
    <w:rsid w:val="4F5D5052"/>
    <w:rsid w:val="4F5F0A3F"/>
    <w:rsid w:val="4F5F0DCA"/>
    <w:rsid w:val="4F5F701C"/>
    <w:rsid w:val="4F600CF4"/>
    <w:rsid w:val="4F6050C6"/>
    <w:rsid w:val="4F622668"/>
    <w:rsid w:val="4F623259"/>
    <w:rsid w:val="4F626B0C"/>
    <w:rsid w:val="4F652159"/>
    <w:rsid w:val="4F664600"/>
    <w:rsid w:val="4F6665FD"/>
    <w:rsid w:val="4F672375"/>
    <w:rsid w:val="4F680661"/>
    <w:rsid w:val="4F692F81"/>
    <w:rsid w:val="4F697E9B"/>
    <w:rsid w:val="4F6C34E7"/>
    <w:rsid w:val="4F6C798B"/>
    <w:rsid w:val="4F6E2C5B"/>
    <w:rsid w:val="4F6E54B1"/>
    <w:rsid w:val="4F6F6DF3"/>
    <w:rsid w:val="4F701229"/>
    <w:rsid w:val="4F701847"/>
    <w:rsid w:val="4F71020E"/>
    <w:rsid w:val="4F710AFD"/>
    <w:rsid w:val="4F714FA1"/>
    <w:rsid w:val="4F724C84"/>
    <w:rsid w:val="4F7417D5"/>
    <w:rsid w:val="4F74239C"/>
    <w:rsid w:val="4F7505EE"/>
    <w:rsid w:val="4F754A92"/>
    <w:rsid w:val="4F756840"/>
    <w:rsid w:val="4F766114"/>
    <w:rsid w:val="4F7800DE"/>
    <w:rsid w:val="4F781E8C"/>
    <w:rsid w:val="4F7A20A8"/>
    <w:rsid w:val="4F7A3E56"/>
    <w:rsid w:val="4F7B372A"/>
    <w:rsid w:val="4F7D2C8B"/>
    <w:rsid w:val="4F7D3946"/>
    <w:rsid w:val="4F7D74A2"/>
    <w:rsid w:val="4F801177"/>
    <w:rsid w:val="4F802315"/>
    <w:rsid w:val="4F822D0B"/>
    <w:rsid w:val="4F824AB9"/>
    <w:rsid w:val="4F835269"/>
    <w:rsid w:val="4F840831"/>
    <w:rsid w:val="4F844CD5"/>
    <w:rsid w:val="4F8458F7"/>
    <w:rsid w:val="4F846A83"/>
    <w:rsid w:val="4F8545A9"/>
    <w:rsid w:val="4F860A4D"/>
    <w:rsid w:val="4F86390B"/>
    <w:rsid w:val="4F876573"/>
    <w:rsid w:val="4F8810DB"/>
    <w:rsid w:val="4F88343D"/>
    <w:rsid w:val="4F89256B"/>
    <w:rsid w:val="4F8A0E2A"/>
    <w:rsid w:val="4F8B6063"/>
    <w:rsid w:val="4F8E16AF"/>
    <w:rsid w:val="4F912F4E"/>
    <w:rsid w:val="4F924D5E"/>
    <w:rsid w:val="4F932C84"/>
    <w:rsid w:val="4F93316A"/>
    <w:rsid w:val="4F93361D"/>
    <w:rsid w:val="4F934F18"/>
    <w:rsid w:val="4F943823"/>
    <w:rsid w:val="4F950C90"/>
    <w:rsid w:val="4F952A3E"/>
    <w:rsid w:val="4F960564"/>
    <w:rsid w:val="4F96533C"/>
    <w:rsid w:val="4F9667B6"/>
    <w:rsid w:val="4F974A08"/>
    <w:rsid w:val="4F9802A9"/>
    <w:rsid w:val="4F980780"/>
    <w:rsid w:val="4F9842DC"/>
    <w:rsid w:val="4F9A0054"/>
    <w:rsid w:val="4F9A62A6"/>
    <w:rsid w:val="4F9B5D52"/>
    <w:rsid w:val="4F9C201E"/>
    <w:rsid w:val="4F9C3DCC"/>
    <w:rsid w:val="4F9D18F3"/>
    <w:rsid w:val="4F9E3301"/>
    <w:rsid w:val="4F9F38BD"/>
    <w:rsid w:val="4F9F566B"/>
    <w:rsid w:val="4FA17635"/>
    <w:rsid w:val="4FA204E6"/>
    <w:rsid w:val="4FA2515B"/>
    <w:rsid w:val="4FA40ED3"/>
    <w:rsid w:val="4FA42C81"/>
    <w:rsid w:val="4FA47125"/>
    <w:rsid w:val="4FA61A93"/>
    <w:rsid w:val="4FA62E9D"/>
    <w:rsid w:val="4FA66C51"/>
    <w:rsid w:val="4FA66CFD"/>
    <w:rsid w:val="4FA72771"/>
    <w:rsid w:val="4FA74664"/>
    <w:rsid w:val="4FA930E5"/>
    <w:rsid w:val="4FA9473B"/>
    <w:rsid w:val="4FA964E9"/>
    <w:rsid w:val="4FAA2F2F"/>
    <w:rsid w:val="4FAB158B"/>
    <w:rsid w:val="4FAB1FCD"/>
    <w:rsid w:val="4FAB2261"/>
    <w:rsid w:val="4FAC0994"/>
    <w:rsid w:val="4FAC7D88"/>
    <w:rsid w:val="4FAD1966"/>
    <w:rsid w:val="4FAD72B5"/>
    <w:rsid w:val="4FAE60B5"/>
    <w:rsid w:val="4FB01626"/>
    <w:rsid w:val="4FB07878"/>
    <w:rsid w:val="4FB1539E"/>
    <w:rsid w:val="4FB21842"/>
    <w:rsid w:val="4FB355BA"/>
    <w:rsid w:val="4FB37368"/>
    <w:rsid w:val="4FB43616"/>
    <w:rsid w:val="4FB530E0"/>
    <w:rsid w:val="4FB629B4"/>
    <w:rsid w:val="4FB76E58"/>
    <w:rsid w:val="4FB8497E"/>
    <w:rsid w:val="4FB8672C"/>
    <w:rsid w:val="4FB940D4"/>
    <w:rsid w:val="4FBA649C"/>
    <w:rsid w:val="4FBA6948"/>
    <w:rsid w:val="4FBB3B01"/>
    <w:rsid w:val="4FBB4B0D"/>
    <w:rsid w:val="4FBC446F"/>
    <w:rsid w:val="4FBC53FA"/>
    <w:rsid w:val="4FBC621D"/>
    <w:rsid w:val="4FBE28EB"/>
    <w:rsid w:val="4FBF5D0D"/>
    <w:rsid w:val="4FC17001"/>
    <w:rsid w:val="4FC21359"/>
    <w:rsid w:val="4FC33ED4"/>
    <w:rsid w:val="4FC357FD"/>
    <w:rsid w:val="4FC60E49"/>
    <w:rsid w:val="4FC6709B"/>
    <w:rsid w:val="4FC6793C"/>
    <w:rsid w:val="4FC7696F"/>
    <w:rsid w:val="4FC82E13"/>
    <w:rsid w:val="4FC87330"/>
    <w:rsid w:val="4FC9093A"/>
    <w:rsid w:val="4FC96B8B"/>
    <w:rsid w:val="4FCA0E8E"/>
    <w:rsid w:val="4FCB31FF"/>
    <w:rsid w:val="4FCB6460"/>
    <w:rsid w:val="4FCC3F86"/>
    <w:rsid w:val="4FCD042A"/>
    <w:rsid w:val="4FCD637F"/>
    <w:rsid w:val="4FCE41A2"/>
    <w:rsid w:val="4FCE5F50"/>
    <w:rsid w:val="4FCF212F"/>
    <w:rsid w:val="4FD03A76"/>
    <w:rsid w:val="4FD07F1A"/>
    <w:rsid w:val="4FD23C92"/>
    <w:rsid w:val="4FD277EE"/>
    <w:rsid w:val="4FD35314"/>
    <w:rsid w:val="4FD44A54"/>
    <w:rsid w:val="4FD55530"/>
    <w:rsid w:val="4FD572DE"/>
    <w:rsid w:val="4FD712A8"/>
    <w:rsid w:val="4FD74E04"/>
    <w:rsid w:val="4FD80B7D"/>
    <w:rsid w:val="4FD90EC4"/>
    <w:rsid w:val="4FD94DA7"/>
    <w:rsid w:val="4FD95B8A"/>
    <w:rsid w:val="4FD96448"/>
    <w:rsid w:val="4FDA48F5"/>
    <w:rsid w:val="4FDA6181"/>
    <w:rsid w:val="4FDA66A3"/>
    <w:rsid w:val="4FDC241B"/>
    <w:rsid w:val="4FDC68BF"/>
    <w:rsid w:val="4FDD43E5"/>
    <w:rsid w:val="4FDD6193"/>
    <w:rsid w:val="4FDE0794"/>
    <w:rsid w:val="4FDE516A"/>
    <w:rsid w:val="4FDF015D"/>
    <w:rsid w:val="4FDF1F0B"/>
    <w:rsid w:val="4FDF63AF"/>
    <w:rsid w:val="4FDF7053"/>
    <w:rsid w:val="4FE13ED5"/>
    <w:rsid w:val="4FE237A9"/>
    <w:rsid w:val="4FE45773"/>
    <w:rsid w:val="4FE466E1"/>
    <w:rsid w:val="4FE63B54"/>
    <w:rsid w:val="4FE703B6"/>
    <w:rsid w:val="4FE70DC0"/>
    <w:rsid w:val="4FE90FDC"/>
    <w:rsid w:val="4FEB08B0"/>
    <w:rsid w:val="4FEB4D54"/>
    <w:rsid w:val="4FED287A"/>
    <w:rsid w:val="4FED55C7"/>
    <w:rsid w:val="4FEE214E"/>
    <w:rsid w:val="4FF2671E"/>
    <w:rsid w:val="4FF43C08"/>
    <w:rsid w:val="4FF515EC"/>
    <w:rsid w:val="4FF534DD"/>
    <w:rsid w:val="4FF77255"/>
    <w:rsid w:val="4FF82FCD"/>
    <w:rsid w:val="4FF9121F"/>
    <w:rsid w:val="4FF97471"/>
    <w:rsid w:val="4FFA0AF3"/>
    <w:rsid w:val="4FFA4F97"/>
    <w:rsid w:val="4FFB4388"/>
    <w:rsid w:val="4FFB6CDF"/>
    <w:rsid w:val="4FFC0D0F"/>
    <w:rsid w:val="4FFD05E3"/>
    <w:rsid w:val="4FFD3344"/>
    <w:rsid w:val="4FFE14C1"/>
    <w:rsid w:val="4FFE4A87"/>
    <w:rsid w:val="4FFF25AD"/>
    <w:rsid w:val="4FFF30B2"/>
    <w:rsid w:val="4FFF6109"/>
    <w:rsid w:val="50000E1B"/>
    <w:rsid w:val="5000269E"/>
    <w:rsid w:val="50006F99"/>
    <w:rsid w:val="5000763F"/>
    <w:rsid w:val="500100D3"/>
    <w:rsid w:val="50016325"/>
    <w:rsid w:val="50044705"/>
    <w:rsid w:val="50047BC4"/>
    <w:rsid w:val="500574E0"/>
    <w:rsid w:val="50067498"/>
    <w:rsid w:val="50067DD6"/>
    <w:rsid w:val="5007625F"/>
    <w:rsid w:val="50081462"/>
    <w:rsid w:val="50083136"/>
    <w:rsid w:val="500876B4"/>
    <w:rsid w:val="500922C0"/>
    <w:rsid w:val="500B0F52"/>
    <w:rsid w:val="500B2D00"/>
    <w:rsid w:val="500B71A4"/>
    <w:rsid w:val="500C0C41"/>
    <w:rsid w:val="500D0826"/>
    <w:rsid w:val="500E27F0"/>
    <w:rsid w:val="500E459E"/>
    <w:rsid w:val="500E557E"/>
    <w:rsid w:val="50102193"/>
    <w:rsid w:val="50102776"/>
    <w:rsid w:val="50102AE1"/>
    <w:rsid w:val="50106568"/>
    <w:rsid w:val="50111EE2"/>
    <w:rsid w:val="50120070"/>
    <w:rsid w:val="50137E07"/>
    <w:rsid w:val="50146059"/>
    <w:rsid w:val="50151DD1"/>
    <w:rsid w:val="50151F84"/>
    <w:rsid w:val="5015592D"/>
    <w:rsid w:val="501677F0"/>
    <w:rsid w:val="50175B49"/>
    <w:rsid w:val="501778F7"/>
    <w:rsid w:val="50180925"/>
    <w:rsid w:val="501871E4"/>
    <w:rsid w:val="501A73E7"/>
    <w:rsid w:val="501C4F0D"/>
    <w:rsid w:val="501C72E5"/>
    <w:rsid w:val="501D1BC6"/>
    <w:rsid w:val="501E4797"/>
    <w:rsid w:val="501E6ED7"/>
    <w:rsid w:val="501F67AB"/>
    <w:rsid w:val="502119D7"/>
    <w:rsid w:val="502245A8"/>
    <w:rsid w:val="502344EE"/>
    <w:rsid w:val="5023629C"/>
    <w:rsid w:val="50237EF8"/>
    <w:rsid w:val="50243DC2"/>
    <w:rsid w:val="50245B70"/>
    <w:rsid w:val="50265D8C"/>
    <w:rsid w:val="50275849"/>
    <w:rsid w:val="50285660"/>
    <w:rsid w:val="50296FD2"/>
    <w:rsid w:val="502B33A2"/>
    <w:rsid w:val="502B5150"/>
    <w:rsid w:val="502B6D9B"/>
    <w:rsid w:val="502C0172"/>
    <w:rsid w:val="502D2C76"/>
    <w:rsid w:val="502D711A"/>
    <w:rsid w:val="502E69EF"/>
    <w:rsid w:val="502F60D4"/>
    <w:rsid w:val="503009B9"/>
    <w:rsid w:val="50306C0B"/>
    <w:rsid w:val="50324731"/>
    <w:rsid w:val="503264DF"/>
    <w:rsid w:val="50354221"/>
    <w:rsid w:val="50357D7D"/>
    <w:rsid w:val="50357DF2"/>
    <w:rsid w:val="5036276D"/>
    <w:rsid w:val="50371D47"/>
    <w:rsid w:val="50373AF5"/>
    <w:rsid w:val="5038161B"/>
    <w:rsid w:val="50393223"/>
    <w:rsid w:val="50397C5E"/>
    <w:rsid w:val="503A10EE"/>
    <w:rsid w:val="503B258B"/>
    <w:rsid w:val="503B4FD1"/>
    <w:rsid w:val="503B636E"/>
    <w:rsid w:val="503C3D81"/>
    <w:rsid w:val="503C55AF"/>
    <w:rsid w:val="503C735D"/>
    <w:rsid w:val="503E4E84"/>
    <w:rsid w:val="503E6C32"/>
    <w:rsid w:val="503F0BFC"/>
    <w:rsid w:val="50406E4E"/>
    <w:rsid w:val="504306EC"/>
    <w:rsid w:val="50461F8A"/>
    <w:rsid w:val="50463D38"/>
    <w:rsid w:val="5046567E"/>
    <w:rsid w:val="50473098"/>
    <w:rsid w:val="50487D45"/>
    <w:rsid w:val="50493828"/>
    <w:rsid w:val="504B134F"/>
    <w:rsid w:val="504C60D4"/>
    <w:rsid w:val="504D156B"/>
    <w:rsid w:val="504D3319"/>
    <w:rsid w:val="504D50C7"/>
    <w:rsid w:val="504E2135"/>
    <w:rsid w:val="504F7091"/>
    <w:rsid w:val="50502E09"/>
    <w:rsid w:val="50506965"/>
    <w:rsid w:val="50507626"/>
    <w:rsid w:val="5052092F"/>
    <w:rsid w:val="505226DD"/>
    <w:rsid w:val="50544866"/>
    <w:rsid w:val="505528ED"/>
    <w:rsid w:val="50574928"/>
    <w:rsid w:val="505809BB"/>
    <w:rsid w:val="50593A6B"/>
    <w:rsid w:val="505A77E4"/>
    <w:rsid w:val="505E1C29"/>
    <w:rsid w:val="505E5526"/>
    <w:rsid w:val="505F56FF"/>
    <w:rsid w:val="5060129E"/>
    <w:rsid w:val="50614ABD"/>
    <w:rsid w:val="50615016"/>
    <w:rsid w:val="50616DC4"/>
    <w:rsid w:val="50631789"/>
    <w:rsid w:val="50632B3C"/>
    <w:rsid w:val="506348EA"/>
    <w:rsid w:val="506568B4"/>
    <w:rsid w:val="5066262C"/>
    <w:rsid w:val="50666188"/>
    <w:rsid w:val="5067643A"/>
    <w:rsid w:val="5068416B"/>
    <w:rsid w:val="506858AC"/>
    <w:rsid w:val="50696D3C"/>
    <w:rsid w:val="50697A27"/>
    <w:rsid w:val="506A1275"/>
    <w:rsid w:val="506A211C"/>
    <w:rsid w:val="506A3ECB"/>
    <w:rsid w:val="506A5C79"/>
    <w:rsid w:val="506B19F1"/>
    <w:rsid w:val="506D5769"/>
    <w:rsid w:val="506F7733"/>
    <w:rsid w:val="507054CE"/>
    <w:rsid w:val="50715259"/>
    <w:rsid w:val="50720FD1"/>
    <w:rsid w:val="50722D7F"/>
    <w:rsid w:val="507535F6"/>
    <w:rsid w:val="50767FA5"/>
    <w:rsid w:val="50770396"/>
    <w:rsid w:val="50772C4C"/>
    <w:rsid w:val="507A7E41"/>
    <w:rsid w:val="507C3BFE"/>
    <w:rsid w:val="508036EE"/>
    <w:rsid w:val="50811214"/>
    <w:rsid w:val="5081196D"/>
    <w:rsid w:val="508230AB"/>
    <w:rsid w:val="508272AB"/>
    <w:rsid w:val="50830AE8"/>
    <w:rsid w:val="50852AB2"/>
    <w:rsid w:val="50855EE1"/>
    <w:rsid w:val="50863327"/>
    <w:rsid w:val="50874A7C"/>
    <w:rsid w:val="50884351"/>
    <w:rsid w:val="508A00C9"/>
    <w:rsid w:val="508A1E77"/>
    <w:rsid w:val="508B01EE"/>
    <w:rsid w:val="508B3E41"/>
    <w:rsid w:val="508B5BEF"/>
    <w:rsid w:val="508D5E0B"/>
    <w:rsid w:val="508F56DF"/>
    <w:rsid w:val="50903205"/>
    <w:rsid w:val="50911D7C"/>
    <w:rsid w:val="509176A9"/>
    <w:rsid w:val="509251CF"/>
    <w:rsid w:val="50925C97"/>
    <w:rsid w:val="50942CF5"/>
    <w:rsid w:val="50955D59"/>
    <w:rsid w:val="50962F12"/>
    <w:rsid w:val="50963D19"/>
    <w:rsid w:val="50964CC0"/>
    <w:rsid w:val="50966A6E"/>
    <w:rsid w:val="50970A38"/>
    <w:rsid w:val="50974594"/>
    <w:rsid w:val="50981B09"/>
    <w:rsid w:val="5099655E"/>
    <w:rsid w:val="509A5B6A"/>
    <w:rsid w:val="509B0528"/>
    <w:rsid w:val="509B1BCB"/>
    <w:rsid w:val="509B22D6"/>
    <w:rsid w:val="509B4084"/>
    <w:rsid w:val="509C1BAA"/>
    <w:rsid w:val="509C604E"/>
    <w:rsid w:val="509C7DFC"/>
    <w:rsid w:val="509E5922"/>
    <w:rsid w:val="509F2CE3"/>
    <w:rsid w:val="50A05B3E"/>
    <w:rsid w:val="50A13664"/>
    <w:rsid w:val="50A15412"/>
    <w:rsid w:val="50A224C3"/>
    <w:rsid w:val="50A26ECD"/>
    <w:rsid w:val="50A3118B"/>
    <w:rsid w:val="50A32F39"/>
    <w:rsid w:val="50A475CC"/>
    <w:rsid w:val="50A50808"/>
    <w:rsid w:val="50A54F03"/>
    <w:rsid w:val="50A62A29"/>
    <w:rsid w:val="50A76ECD"/>
    <w:rsid w:val="50A8054F"/>
    <w:rsid w:val="50A81439"/>
    <w:rsid w:val="50A849F3"/>
    <w:rsid w:val="50A867A1"/>
    <w:rsid w:val="50A97291"/>
    <w:rsid w:val="50AA076B"/>
    <w:rsid w:val="50AC44E3"/>
    <w:rsid w:val="50AD3DB7"/>
    <w:rsid w:val="50AE5470"/>
    <w:rsid w:val="50B05655"/>
    <w:rsid w:val="50B213CE"/>
    <w:rsid w:val="50B412E2"/>
    <w:rsid w:val="50B43398"/>
    <w:rsid w:val="50B46BFB"/>
    <w:rsid w:val="50B52C6C"/>
    <w:rsid w:val="50B667D3"/>
    <w:rsid w:val="50B75092"/>
    <w:rsid w:val="50B77BF2"/>
    <w:rsid w:val="50BB2978"/>
    <w:rsid w:val="50BB46F0"/>
    <w:rsid w:val="50BB4726"/>
    <w:rsid w:val="50BC3FFA"/>
    <w:rsid w:val="50BD624C"/>
    <w:rsid w:val="50C01D3C"/>
    <w:rsid w:val="50C03AEB"/>
    <w:rsid w:val="50C07885"/>
    <w:rsid w:val="50C13331"/>
    <w:rsid w:val="50C23D07"/>
    <w:rsid w:val="50C3182D"/>
    <w:rsid w:val="50C335DB"/>
    <w:rsid w:val="50C45476"/>
    <w:rsid w:val="50C47696"/>
    <w:rsid w:val="50C51101"/>
    <w:rsid w:val="50C612EC"/>
    <w:rsid w:val="50C64E79"/>
    <w:rsid w:val="50C86E43"/>
    <w:rsid w:val="50CA60D9"/>
    <w:rsid w:val="50CA6717"/>
    <w:rsid w:val="50CB07C1"/>
    <w:rsid w:val="50CC06E1"/>
    <w:rsid w:val="50CD6207"/>
    <w:rsid w:val="50CE26AB"/>
    <w:rsid w:val="50CF01D2"/>
    <w:rsid w:val="50CF3D2E"/>
    <w:rsid w:val="50D133DB"/>
    <w:rsid w:val="50D13F4A"/>
    <w:rsid w:val="50D15CF8"/>
    <w:rsid w:val="50D2486B"/>
    <w:rsid w:val="50D35CFB"/>
    <w:rsid w:val="50D37CC2"/>
    <w:rsid w:val="50D41344"/>
    <w:rsid w:val="50D43A3A"/>
    <w:rsid w:val="50D457E8"/>
    <w:rsid w:val="50D46B08"/>
    <w:rsid w:val="50D50081"/>
    <w:rsid w:val="50D531EC"/>
    <w:rsid w:val="50D60D7C"/>
    <w:rsid w:val="50D650BC"/>
    <w:rsid w:val="50D77086"/>
    <w:rsid w:val="50D852D8"/>
    <w:rsid w:val="50D91050"/>
    <w:rsid w:val="50D92DFE"/>
    <w:rsid w:val="50DB448D"/>
    <w:rsid w:val="50DD197E"/>
    <w:rsid w:val="50DD28EE"/>
    <w:rsid w:val="50DD7968"/>
    <w:rsid w:val="50DE21C3"/>
    <w:rsid w:val="50E0418D"/>
    <w:rsid w:val="50E13A61"/>
    <w:rsid w:val="50E27F05"/>
    <w:rsid w:val="50E3234A"/>
    <w:rsid w:val="50E33C7D"/>
    <w:rsid w:val="50E35A2B"/>
    <w:rsid w:val="50E377D9"/>
    <w:rsid w:val="50E430BD"/>
    <w:rsid w:val="50E50110"/>
    <w:rsid w:val="50E53551"/>
    <w:rsid w:val="50E579F5"/>
    <w:rsid w:val="50E7376D"/>
    <w:rsid w:val="50E81293"/>
    <w:rsid w:val="50EC0D83"/>
    <w:rsid w:val="50ED0658"/>
    <w:rsid w:val="50EE68AA"/>
    <w:rsid w:val="50F11EF6"/>
    <w:rsid w:val="50F128FC"/>
    <w:rsid w:val="50F17941"/>
    <w:rsid w:val="50F33EC0"/>
    <w:rsid w:val="50F43794"/>
    <w:rsid w:val="50F47C38"/>
    <w:rsid w:val="50F52783"/>
    <w:rsid w:val="50F61AE7"/>
    <w:rsid w:val="50F639B0"/>
    <w:rsid w:val="50F750F6"/>
    <w:rsid w:val="50F814D6"/>
    <w:rsid w:val="50F87728"/>
    <w:rsid w:val="50F934A0"/>
    <w:rsid w:val="50F9524E"/>
    <w:rsid w:val="50FB0FC7"/>
    <w:rsid w:val="50FE0AB7"/>
    <w:rsid w:val="50FF3888"/>
    <w:rsid w:val="51022355"/>
    <w:rsid w:val="51025EB1"/>
    <w:rsid w:val="51031C29"/>
    <w:rsid w:val="510559A1"/>
    <w:rsid w:val="5106201A"/>
    <w:rsid w:val="510734AA"/>
    <w:rsid w:val="5107796B"/>
    <w:rsid w:val="510A2FB8"/>
    <w:rsid w:val="510B3C85"/>
    <w:rsid w:val="510C31D4"/>
    <w:rsid w:val="510D474B"/>
    <w:rsid w:val="510D4856"/>
    <w:rsid w:val="510F4A72"/>
    <w:rsid w:val="510F6820"/>
    <w:rsid w:val="511107EA"/>
    <w:rsid w:val="51114346"/>
    <w:rsid w:val="511248E2"/>
    <w:rsid w:val="511300BE"/>
    <w:rsid w:val="51134562"/>
    <w:rsid w:val="51136310"/>
    <w:rsid w:val="51142088"/>
    <w:rsid w:val="51143E36"/>
    <w:rsid w:val="51146ED2"/>
    <w:rsid w:val="51165E00"/>
    <w:rsid w:val="511703CE"/>
    <w:rsid w:val="511803A0"/>
    <w:rsid w:val="511829CC"/>
    <w:rsid w:val="5119144D"/>
    <w:rsid w:val="5119769F"/>
    <w:rsid w:val="511A2E6A"/>
    <w:rsid w:val="511B3417"/>
    <w:rsid w:val="511D0F3D"/>
    <w:rsid w:val="511D2CEB"/>
    <w:rsid w:val="511D718F"/>
    <w:rsid w:val="511E4CB5"/>
    <w:rsid w:val="51231542"/>
    <w:rsid w:val="512429D2"/>
    <w:rsid w:val="51256043"/>
    <w:rsid w:val="512567E1"/>
    <w:rsid w:val="512573DA"/>
    <w:rsid w:val="51275918"/>
    <w:rsid w:val="512A18AC"/>
    <w:rsid w:val="512A5408"/>
    <w:rsid w:val="512C1180"/>
    <w:rsid w:val="512C7ED2"/>
    <w:rsid w:val="51300D72"/>
    <w:rsid w:val="513149E8"/>
    <w:rsid w:val="513242BC"/>
    <w:rsid w:val="5133132A"/>
    <w:rsid w:val="5133250E"/>
    <w:rsid w:val="513375D9"/>
    <w:rsid w:val="513507BD"/>
    <w:rsid w:val="51361FFF"/>
    <w:rsid w:val="513846B2"/>
    <w:rsid w:val="51386295"/>
    <w:rsid w:val="51394EA9"/>
    <w:rsid w:val="513B1E2E"/>
    <w:rsid w:val="513B4F1E"/>
    <w:rsid w:val="513B7615"/>
    <w:rsid w:val="513C3FE6"/>
    <w:rsid w:val="513D15DF"/>
    <w:rsid w:val="513E0EB3"/>
    <w:rsid w:val="513F0D1B"/>
    <w:rsid w:val="513F5357"/>
    <w:rsid w:val="51402E7D"/>
    <w:rsid w:val="514069D9"/>
    <w:rsid w:val="514209A3"/>
    <w:rsid w:val="514324CE"/>
    <w:rsid w:val="51435F5B"/>
    <w:rsid w:val="514439F7"/>
    <w:rsid w:val="514566E6"/>
    <w:rsid w:val="51475FBA"/>
    <w:rsid w:val="514A3707"/>
    <w:rsid w:val="514B3CFC"/>
    <w:rsid w:val="514C1822"/>
    <w:rsid w:val="514C537E"/>
    <w:rsid w:val="514E10F6"/>
    <w:rsid w:val="514E559A"/>
    <w:rsid w:val="514E7348"/>
    <w:rsid w:val="514F4E6E"/>
    <w:rsid w:val="514F6805"/>
    <w:rsid w:val="5150055F"/>
    <w:rsid w:val="51505381"/>
    <w:rsid w:val="51505537"/>
    <w:rsid w:val="51510BE7"/>
    <w:rsid w:val="5151441F"/>
    <w:rsid w:val="5153670D"/>
    <w:rsid w:val="51545D16"/>
    <w:rsid w:val="515626A1"/>
    <w:rsid w:val="5156444F"/>
    <w:rsid w:val="515661FD"/>
    <w:rsid w:val="515801C7"/>
    <w:rsid w:val="51586419"/>
    <w:rsid w:val="51597A9B"/>
    <w:rsid w:val="515A3F3F"/>
    <w:rsid w:val="515D0341"/>
    <w:rsid w:val="515D633F"/>
    <w:rsid w:val="515F6BC4"/>
    <w:rsid w:val="51626FFE"/>
    <w:rsid w:val="51630116"/>
    <w:rsid w:val="5164091A"/>
    <w:rsid w:val="516415A6"/>
    <w:rsid w:val="51647E65"/>
    <w:rsid w:val="51654692"/>
    <w:rsid w:val="51656440"/>
    <w:rsid w:val="516702E0"/>
    <w:rsid w:val="51694182"/>
    <w:rsid w:val="516A3A56"/>
    <w:rsid w:val="516A3CD7"/>
    <w:rsid w:val="516B2826"/>
    <w:rsid w:val="516E1798"/>
    <w:rsid w:val="516E79EA"/>
    <w:rsid w:val="516F66B9"/>
    <w:rsid w:val="516F72BF"/>
    <w:rsid w:val="51707B49"/>
    <w:rsid w:val="517174DB"/>
    <w:rsid w:val="51735001"/>
    <w:rsid w:val="51736DAF"/>
    <w:rsid w:val="517448D5"/>
    <w:rsid w:val="51750D79"/>
    <w:rsid w:val="51752B27"/>
    <w:rsid w:val="51766187"/>
    <w:rsid w:val="5176689F"/>
    <w:rsid w:val="5178776B"/>
    <w:rsid w:val="517A638F"/>
    <w:rsid w:val="517B2107"/>
    <w:rsid w:val="517B3EB5"/>
    <w:rsid w:val="517C2CF9"/>
    <w:rsid w:val="517C428D"/>
    <w:rsid w:val="517C60EC"/>
    <w:rsid w:val="517D19DC"/>
    <w:rsid w:val="517F39A6"/>
    <w:rsid w:val="517F7502"/>
    <w:rsid w:val="518015D9"/>
    <w:rsid w:val="5180327A"/>
    <w:rsid w:val="51805A47"/>
    <w:rsid w:val="51840FBC"/>
    <w:rsid w:val="51842D6A"/>
    <w:rsid w:val="5184720E"/>
    <w:rsid w:val="5184744F"/>
    <w:rsid w:val="51856AE2"/>
    <w:rsid w:val="51870AAC"/>
    <w:rsid w:val="5187285A"/>
    <w:rsid w:val="51884F2B"/>
    <w:rsid w:val="5189040D"/>
    <w:rsid w:val="518926E9"/>
    <w:rsid w:val="51894824"/>
    <w:rsid w:val="518965D2"/>
    <w:rsid w:val="518C60C3"/>
    <w:rsid w:val="518C7E71"/>
    <w:rsid w:val="518E5997"/>
    <w:rsid w:val="51912727"/>
    <w:rsid w:val="519136D9"/>
    <w:rsid w:val="519311FF"/>
    <w:rsid w:val="51932FAD"/>
    <w:rsid w:val="51934373"/>
    <w:rsid w:val="51937451"/>
    <w:rsid w:val="519531C9"/>
    <w:rsid w:val="51960CEF"/>
    <w:rsid w:val="51962A9D"/>
    <w:rsid w:val="51976CDE"/>
    <w:rsid w:val="519805C3"/>
    <w:rsid w:val="51984A67"/>
    <w:rsid w:val="51986815"/>
    <w:rsid w:val="51990EDC"/>
    <w:rsid w:val="519921A7"/>
    <w:rsid w:val="519A07DF"/>
    <w:rsid w:val="519A433C"/>
    <w:rsid w:val="519C56D6"/>
    <w:rsid w:val="519D207E"/>
    <w:rsid w:val="51A258E6"/>
    <w:rsid w:val="51A46F68"/>
    <w:rsid w:val="51A72EFC"/>
    <w:rsid w:val="51A736B9"/>
    <w:rsid w:val="51A74CAA"/>
    <w:rsid w:val="51A76A58"/>
    <w:rsid w:val="51A83C79"/>
    <w:rsid w:val="51A96C75"/>
    <w:rsid w:val="51A97CDA"/>
    <w:rsid w:val="51AA02F7"/>
    <w:rsid w:val="51AA0AE1"/>
    <w:rsid w:val="51AB3D3B"/>
    <w:rsid w:val="51AB479B"/>
    <w:rsid w:val="51AB52BE"/>
    <w:rsid w:val="51AC51CB"/>
    <w:rsid w:val="51AC5C98"/>
    <w:rsid w:val="51AE428B"/>
    <w:rsid w:val="51B01DB1"/>
    <w:rsid w:val="51B03B5F"/>
    <w:rsid w:val="51B13991"/>
    <w:rsid w:val="51B14648"/>
    <w:rsid w:val="51B32FF8"/>
    <w:rsid w:val="51B33F45"/>
    <w:rsid w:val="51B34E7A"/>
    <w:rsid w:val="51B549B9"/>
    <w:rsid w:val="51B55619"/>
    <w:rsid w:val="51B64EEE"/>
    <w:rsid w:val="51B80C66"/>
    <w:rsid w:val="51B8783B"/>
    <w:rsid w:val="51B94BFE"/>
    <w:rsid w:val="51BA4D1B"/>
    <w:rsid w:val="51BC69A8"/>
    <w:rsid w:val="51BF0246"/>
    <w:rsid w:val="51BF1FF4"/>
    <w:rsid w:val="51C07B1A"/>
    <w:rsid w:val="51C13FBE"/>
    <w:rsid w:val="51C23892"/>
    <w:rsid w:val="51C25640"/>
    <w:rsid w:val="51C413B8"/>
    <w:rsid w:val="51C70EA9"/>
    <w:rsid w:val="51C7453B"/>
    <w:rsid w:val="51C770FB"/>
    <w:rsid w:val="51C825BF"/>
    <w:rsid w:val="51C8534D"/>
    <w:rsid w:val="51C9315E"/>
    <w:rsid w:val="51CB6BEB"/>
    <w:rsid w:val="51CC4711"/>
    <w:rsid w:val="51CC57FB"/>
    <w:rsid w:val="51CC64BF"/>
    <w:rsid w:val="51CD69B3"/>
    <w:rsid w:val="51CE2237"/>
    <w:rsid w:val="51CE66DB"/>
    <w:rsid w:val="51D04201"/>
    <w:rsid w:val="51D05FAF"/>
    <w:rsid w:val="51D07D5D"/>
    <w:rsid w:val="51D11D27"/>
    <w:rsid w:val="51D13AD5"/>
    <w:rsid w:val="51D27F79"/>
    <w:rsid w:val="51D33CF1"/>
    <w:rsid w:val="51D35A9F"/>
    <w:rsid w:val="51D41EEE"/>
    <w:rsid w:val="51D422CE"/>
    <w:rsid w:val="51D443D7"/>
    <w:rsid w:val="51D535C6"/>
    <w:rsid w:val="51D610EC"/>
    <w:rsid w:val="51D72D57"/>
    <w:rsid w:val="51D760CF"/>
    <w:rsid w:val="51D81308"/>
    <w:rsid w:val="51DA0C16"/>
    <w:rsid w:val="51DA6E2E"/>
    <w:rsid w:val="51DC2B68"/>
    <w:rsid w:val="51DD546C"/>
    <w:rsid w:val="51DD55EC"/>
    <w:rsid w:val="51DD6BC9"/>
    <w:rsid w:val="51DF61F2"/>
    <w:rsid w:val="51E11F6A"/>
    <w:rsid w:val="51E13E09"/>
    <w:rsid w:val="51E23F34"/>
    <w:rsid w:val="51E25CE3"/>
    <w:rsid w:val="51E27A91"/>
    <w:rsid w:val="51E43809"/>
    <w:rsid w:val="51E45E00"/>
    <w:rsid w:val="51E63A25"/>
    <w:rsid w:val="51E657D3"/>
    <w:rsid w:val="51E667EB"/>
    <w:rsid w:val="51E67581"/>
    <w:rsid w:val="51E8779D"/>
    <w:rsid w:val="51E90E1F"/>
    <w:rsid w:val="51EA5DB2"/>
    <w:rsid w:val="51EA7592"/>
    <w:rsid w:val="51EB2DE9"/>
    <w:rsid w:val="51EC0232"/>
    <w:rsid w:val="51ED4DB3"/>
    <w:rsid w:val="51EE28D9"/>
    <w:rsid w:val="51F06315"/>
    <w:rsid w:val="51F223CA"/>
    <w:rsid w:val="51F326E1"/>
    <w:rsid w:val="51F37EF0"/>
    <w:rsid w:val="51F5370F"/>
    <w:rsid w:val="51F53C68"/>
    <w:rsid w:val="51F64B4D"/>
    <w:rsid w:val="51F83758"/>
    <w:rsid w:val="51F872B4"/>
    <w:rsid w:val="51F94C61"/>
    <w:rsid w:val="51FC4FF6"/>
    <w:rsid w:val="51FC6DA4"/>
    <w:rsid w:val="51FD2B1C"/>
    <w:rsid w:val="51FD502F"/>
    <w:rsid w:val="51FE0D6E"/>
    <w:rsid w:val="51FF1164"/>
    <w:rsid w:val="52032E9F"/>
    <w:rsid w:val="52036385"/>
    <w:rsid w:val="52041D74"/>
    <w:rsid w:val="52045C59"/>
    <w:rsid w:val="52056368"/>
    <w:rsid w:val="520619D1"/>
    <w:rsid w:val="52067C23"/>
    <w:rsid w:val="52075749"/>
    <w:rsid w:val="52094756"/>
    <w:rsid w:val="520B348B"/>
    <w:rsid w:val="520B5239"/>
    <w:rsid w:val="520D5BD2"/>
    <w:rsid w:val="520D5BFF"/>
    <w:rsid w:val="520D7203"/>
    <w:rsid w:val="520E31AE"/>
    <w:rsid w:val="520E4D2A"/>
    <w:rsid w:val="520E6AD8"/>
    <w:rsid w:val="52100AA2"/>
    <w:rsid w:val="521045FE"/>
    <w:rsid w:val="521117A7"/>
    <w:rsid w:val="52120376"/>
    <w:rsid w:val="52127026"/>
    <w:rsid w:val="52147F1A"/>
    <w:rsid w:val="521560B8"/>
    <w:rsid w:val="52157E66"/>
    <w:rsid w:val="5217598C"/>
    <w:rsid w:val="52192809"/>
    <w:rsid w:val="521A1920"/>
    <w:rsid w:val="521A36CE"/>
    <w:rsid w:val="521B4EE0"/>
    <w:rsid w:val="521C11F4"/>
    <w:rsid w:val="521C7446"/>
    <w:rsid w:val="521D4F6D"/>
    <w:rsid w:val="521E31BF"/>
    <w:rsid w:val="521F2A93"/>
    <w:rsid w:val="521F6F37"/>
    <w:rsid w:val="522037C5"/>
    <w:rsid w:val="522068FC"/>
    <w:rsid w:val="522105B9"/>
    <w:rsid w:val="52227AB9"/>
    <w:rsid w:val="52232583"/>
    <w:rsid w:val="5223678D"/>
    <w:rsid w:val="522400A9"/>
    <w:rsid w:val="5224454D"/>
    <w:rsid w:val="52262073"/>
    <w:rsid w:val="52291B63"/>
    <w:rsid w:val="52293911"/>
    <w:rsid w:val="522956BF"/>
    <w:rsid w:val="522A0E1C"/>
    <w:rsid w:val="522C6DA2"/>
    <w:rsid w:val="522C6F57"/>
    <w:rsid w:val="522D3402"/>
    <w:rsid w:val="522D44BF"/>
    <w:rsid w:val="522D783F"/>
    <w:rsid w:val="522E2410"/>
    <w:rsid w:val="522E717A"/>
    <w:rsid w:val="52304CA0"/>
    <w:rsid w:val="52306A4E"/>
    <w:rsid w:val="52336282"/>
    <w:rsid w:val="523429E2"/>
    <w:rsid w:val="52344790"/>
    <w:rsid w:val="52350508"/>
    <w:rsid w:val="52351A7E"/>
    <w:rsid w:val="52364CA8"/>
    <w:rsid w:val="52374C03"/>
    <w:rsid w:val="523813D8"/>
    <w:rsid w:val="52383B1A"/>
    <w:rsid w:val="52384C20"/>
    <w:rsid w:val="523A167B"/>
    <w:rsid w:val="523A3584"/>
    <w:rsid w:val="523A5B1F"/>
    <w:rsid w:val="523A5E66"/>
    <w:rsid w:val="523B4A14"/>
    <w:rsid w:val="523C3645"/>
    <w:rsid w:val="523D116B"/>
    <w:rsid w:val="523E560F"/>
    <w:rsid w:val="523E5A00"/>
    <w:rsid w:val="52412A09"/>
    <w:rsid w:val="52426781"/>
    <w:rsid w:val="524331A6"/>
    <w:rsid w:val="52446440"/>
    <w:rsid w:val="524644C3"/>
    <w:rsid w:val="5248023B"/>
    <w:rsid w:val="52484B7B"/>
    <w:rsid w:val="52485B88"/>
    <w:rsid w:val="524904A8"/>
    <w:rsid w:val="524B7D2C"/>
    <w:rsid w:val="524C0322"/>
    <w:rsid w:val="524E5126"/>
    <w:rsid w:val="524F15CA"/>
    <w:rsid w:val="52500E9E"/>
    <w:rsid w:val="52506A55"/>
    <w:rsid w:val="525070F0"/>
    <w:rsid w:val="5253098E"/>
    <w:rsid w:val="5253273C"/>
    <w:rsid w:val="52552958"/>
    <w:rsid w:val="525564B4"/>
    <w:rsid w:val="52567B72"/>
    <w:rsid w:val="52580425"/>
    <w:rsid w:val="52592449"/>
    <w:rsid w:val="525A3ACB"/>
    <w:rsid w:val="525C5A95"/>
    <w:rsid w:val="525E297F"/>
    <w:rsid w:val="525E35BB"/>
    <w:rsid w:val="525F4669"/>
    <w:rsid w:val="525F5585"/>
    <w:rsid w:val="526037D7"/>
    <w:rsid w:val="526112FD"/>
    <w:rsid w:val="526130AB"/>
    <w:rsid w:val="52635075"/>
    <w:rsid w:val="52636E23"/>
    <w:rsid w:val="52642B9B"/>
    <w:rsid w:val="52644BB1"/>
    <w:rsid w:val="52650DED"/>
    <w:rsid w:val="52656540"/>
    <w:rsid w:val="52657C18"/>
    <w:rsid w:val="52657C81"/>
    <w:rsid w:val="526606C2"/>
    <w:rsid w:val="526679D0"/>
    <w:rsid w:val="526910A0"/>
    <w:rsid w:val="526B5CD8"/>
    <w:rsid w:val="526C4FB9"/>
    <w:rsid w:val="526E78A3"/>
    <w:rsid w:val="526F52CF"/>
    <w:rsid w:val="52701540"/>
    <w:rsid w:val="527032EE"/>
    <w:rsid w:val="52705CA8"/>
    <w:rsid w:val="52716224"/>
    <w:rsid w:val="5272350A"/>
    <w:rsid w:val="52730B44"/>
    <w:rsid w:val="527340EA"/>
    <w:rsid w:val="52734B8D"/>
    <w:rsid w:val="52741FD4"/>
    <w:rsid w:val="52770B21"/>
    <w:rsid w:val="527728CF"/>
    <w:rsid w:val="5277467D"/>
    <w:rsid w:val="52781965"/>
    <w:rsid w:val="5278263D"/>
    <w:rsid w:val="52783526"/>
    <w:rsid w:val="527903F5"/>
    <w:rsid w:val="52796647"/>
    <w:rsid w:val="527A5F1B"/>
    <w:rsid w:val="527B23BF"/>
    <w:rsid w:val="527D5EC3"/>
    <w:rsid w:val="527E1EAF"/>
    <w:rsid w:val="527E7398"/>
    <w:rsid w:val="52803148"/>
    <w:rsid w:val="52803F86"/>
    <w:rsid w:val="528079D5"/>
    <w:rsid w:val="5281374D"/>
    <w:rsid w:val="52815D19"/>
    <w:rsid w:val="528172AA"/>
    <w:rsid w:val="52825A68"/>
    <w:rsid w:val="5289067D"/>
    <w:rsid w:val="52892D6A"/>
    <w:rsid w:val="528A0854"/>
    <w:rsid w:val="528A2602"/>
    <w:rsid w:val="528A593B"/>
    <w:rsid w:val="528B025B"/>
    <w:rsid w:val="528B637A"/>
    <w:rsid w:val="528C45CC"/>
    <w:rsid w:val="528D20F2"/>
    <w:rsid w:val="528D5C4E"/>
    <w:rsid w:val="528E574C"/>
    <w:rsid w:val="528E5F11"/>
    <w:rsid w:val="528F19C6"/>
    <w:rsid w:val="528F544B"/>
    <w:rsid w:val="5290573F"/>
    <w:rsid w:val="5291259D"/>
    <w:rsid w:val="529214B7"/>
    <w:rsid w:val="5292203B"/>
    <w:rsid w:val="52927709"/>
    <w:rsid w:val="529369ED"/>
    <w:rsid w:val="5294522F"/>
    <w:rsid w:val="52950FA7"/>
    <w:rsid w:val="529514B5"/>
    <w:rsid w:val="52952D55"/>
    <w:rsid w:val="529620AE"/>
    <w:rsid w:val="529663A9"/>
    <w:rsid w:val="529671F9"/>
    <w:rsid w:val="5298758E"/>
    <w:rsid w:val="52992845"/>
    <w:rsid w:val="529945F3"/>
    <w:rsid w:val="529A036B"/>
    <w:rsid w:val="529B480F"/>
    <w:rsid w:val="529C0587"/>
    <w:rsid w:val="529E42FF"/>
    <w:rsid w:val="529E60AD"/>
    <w:rsid w:val="529F12A2"/>
    <w:rsid w:val="529F5982"/>
    <w:rsid w:val="52A00ECA"/>
    <w:rsid w:val="52A0174F"/>
    <w:rsid w:val="52A01E26"/>
    <w:rsid w:val="52A03BD4"/>
    <w:rsid w:val="52A15B9E"/>
    <w:rsid w:val="52A22A79"/>
    <w:rsid w:val="52A31916"/>
    <w:rsid w:val="52A35472"/>
    <w:rsid w:val="52A364E2"/>
    <w:rsid w:val="52A511EA"/>
    <w:rsid w:val="52A64F62"/>
    <w:rsid w:val="52A66D10"/>
    <w:rsid w:val="52A92354"/>
    <w:rsid w:val="52AA2CA4"/>
    <w:rsid w:val="52AB07CA"/>
    <w:rsid w:val="52AD009F"/>
    <w:rsid w:val="52AD62F0"/>
    <w:rsid w:val="52AF02BB"/>
    <w:rsid w:val="52B06F90"/>
    <w:rsid w:val="52B14033"/>
    <w:rsid w:val="52B15DE1"/>
    <w:rsid w:val="52B21AD1"/>
    <w:rsid w:val="52B551A5"/>
    <w:rsid w:val="52B87F79"/>
    <w:rsid w:val="52B92EE7"/>
    <w:rsid w:val="52B94C95"/>
    <w:rsid w:val="52B94DF7"/>
    <w:rsid w:val="52BA27BB"/>
    <w:rsid w:val="52BA4AFD"/>
    <w:rsid w:val="52BB6C5F"/>
    <w:rsid w:val="52BC29D7"/>
    <w:rsid w:val="52BC623B"/>
    <w:rsid w:val="52BC6534"/>
    <w:rsid w:val="52BE06C4"/>
    <w:rsid w:val="52BE22AC"/>
    <w:rsid w:val="52BE4ACE"/>
    <w:rsid w:val="52BF26F1"/>
    <w:rsid w:val="52BF7DD2"/>
    <w:rsid w:val="52C05290"/>
    <w:rsid w:val="52C11D9C"/>
    <w:rsid w:val="52C22EFB"/>
    <w:rsid w:val="52C27FEE"/>
    <w:rsid w:val="52C5188C"/>
    <w:rsid w:val="52C553E8"/>
    <w:rsid w:val="52C6444D"/>
    <w:rsid w:val="52C758DD"/>
    <w:rsid w:val="52C8137C"/>
    <w:rsid w:val="52C92CAE"/>
    <w:rsid w:val="52CA3AA6"/>
    <w:rsid w:val="52CA50F4"/>
    <w:rsid w:val="52CA6EA2"/>
    <w:rsid w:val="52CB118B"/>
    <w:rsid w:val="52CB49C9"/>
    <w:rsid w:val="52CB56EE"/>
    <w:rsid w:val="52CD24EF"/>
    <w:rsid w:val="52CD6993"/>
    <w:rsid w:val="52CE4F24"/>
    <w:rsid w:val="52CF270B"/>
    <w:rsid w:val="52CF3E41"/>
    <w:rsid w:val="52CF44B9"/>
    <w:rsid w:val="52D03D8D"/>
    <w:rsid w:val="52D40070"/>
    <w:rsid w:val="52D47D21"/>
    <w:rsid w:val="52D61371"/>
    <w:rsid w:val="52D63A99"/>
    <w:rsid w:val="52D7511B"/>
    <w:rsid w:val="52DB2E5E"/>
    <w:rsid w:val="52DC6BD6"/>
    <w:rsid w:val="52DC7DB4"/>
    <w:rsid w:val="52DF3B64"/>
    <w:rsid w:val="52DF6735"/>
    <w:rsid w:val="52E00474"/>
    <w:rsid w:val="52E066C6"/>
    <w:rsid w:val="52E141EC"/>
    <w:rsid w:val="52E16484"/>
    <w:rsid w:val="52E2243E"/>
    <w:rsid w:val="52E33AC0"/>
    <w:rsid w:val="52E355BC"/>
    <w:rsid w:val="52E361B6"/>
    <w:rsid w:val="52E54539"/>
    <w:rsid w:val="52E57838"/>
    <w:rsid w:val="52E678FD"/>
    <w:rsid w:val="52E71802"/>
    <w:rsid w:val="52E77A54"/>
    <w:rsid w:val="52E977E7"/>
    <w:rsid w:val="52EA12F3"/>
    <w:rsid w:val="52EC6E19"/>
    <w:rsid w:val="52ED493F"/>
    <w:rsid w:val="52EE21C9"/>
    <w:rsid w:val="52EF3659"/>
    <w:rsid w:val="52EF6909"/>
    <w:rsid w:val="52F061DD"/>
    <w:rsid w:val="52F12681"/>
    <w:rsid w:val="52F14B38"/>
    <w:rsid w:val="52F17EB1"/>
    <w:rsid w:val="52F21F55"/>
    <w:rsid w:val="52F6159D"/>
    <w:rsid w:val="52F65EE9"/>
    <w:rsid w:val="52F67C97"/>
    <w:rsid w:val="52FB5CEB"/>
    <w:rsid w:val="52FB705C"/>
    <w:rsid w:val="52FC308C"/>
    <w:rsid w:val="52FC4B82"/>
    <w:rsid w:val="52FE057D"/>
    <w:rsid w:val="52FE08FA"/>
    <w:rsid w:val="52FF1A0D"/>
    <w:rsid w:val="52FF5547"/>
    <w:rsid w:val="530002C1"/>
    <w:rsid w:val="53000B16"/>
    <w:rsid w:val="530103EA"/>
    <w:rsid w:val="5301082D"/>
    <w:rsid w:val="5302488E"/>
    <w:rsid w:val="5302663C"/>
    <w:rsid w:val="5302734C"/>
    <w:rsid w:val="530323B4"/>
    <w:rsid w:val="53034162"/>
    <w:rsid w:val="53035F10"/>
    <w:rsid w:val="53046FC0"/>
    <w:rsid w:val="530524D1"/>
    <w:rsid w:val="5305612D"/>
    <w:rsid w:val="53057EDB"/>
    <w:rsid w:val="53066D0F"/>
    <w:rsid w:val="53071EA5"/>
    <w:rsid w:val="53081779"/>
    <w:rsid w:val="53095C1D"/>
    <w:rsid w:val="530A3743"/>
    <w:rsid w:val="530B66D3"/>
    <w:rsid w:val="530C4011"/>
    <w:rsid w:val="530D6BE2"/>
    <w:rsid w:val="530D6D8F"/>
    <w:rsid w:val="530F0D59"/>
    <w:rsid w:val="530F48B5"/>
    <w:rsid w:val="5310251E"/>
    <w:rsid w:val="53113E22"/>
    <w:rsid w:val="53131313"/>
    <w:rsid w:val="53132A08"/>
    <w:rsid w:val="5314011E"/>
    <w:rsid w:val="531445D8"/>
    <w:rsid w:val="53146370"/>
    <w:rsid w:val="53163E96"/>
    <w:rsid w:val="53165C44"/>
    <w:rsid w:val="53171207"/>
    <w:rsid w:val="53177C0E"/>
    <w:rsid w:val="53185E60"/>
    <w:rsid w:val="531B76FE"/>
    <w:rsid w:val="531B7AA5"/>
    <w:rsid w:val="531E71EE"/>
    <w:rsid w:val="53202F66"/>
    <w:rsid w:val="532145E9"/>
    <w:rsid w:val="53224DA7"/>
    <w:rsid w:val="532251CF"/>
    <w:rsid w:val="53234805"/>
    <w:rsid w:val="532365B3"/>
    <w:rsid w:val="53242298"/>
    <w:rsid w:val="5325232B"/>
    <w:rsid w:val="532742F5"/>
    <w:rsid w:val="53281E1B"/>
    <w:rsid w:val="532837EA"/>
    <w:rsid w:val="532B739E"/>
    <w:rsid w:val="532C190B"/>
    <w:rsid w:val="532E5683"/>
    <w:rsid w:val="532E7431"/>
    <w:rsid w:val="532F6D06"/>
    <w:rsid w:val="53310CD0"/>
    <w:rsid w:val="53315FDD"/>
    <w:rsid w:val="53334A48"/>
    <w:rsid w:val="5334256E"/>
    <w:rsid w:val="53370692"/>
    <w:rsid w:val="5338205E"/>
    <w:rsid w:val="5339302E"/>
    <w:rsid w:val="5339435E"/>
    <w:rsid w:val="53397B84"/>
    <w:rsid w:val="533B1B4E"/>
    <w:rsid w:val="533B56AA"/>
    <w:rsid w:val="533B7B79"/>
    <w:rsid w:val="533B7DA0"/>
    <w:rsid w:val="533D5AF9"/>
    <w:rsid w:val="533D693F"/>
    <w:rsid w:val="533D7674"/>
    <w:rsid w:val="533E116D"/>
    <w:rsid w:val="533E33EC"/>
    <w:rsid w:val="533F45FB"/>
    <w:rsid w:val="53400330"/>
    <w:rsid w:val="53407165"/>
    <w:rsid w:val="5341311F"/>
    <w:rsid w:val="53422EDD"/>
    <w:rsid w:val="53426A39"/>
    <w:rsid w:val="53430609"/>
    <w:rsid w:val="53430A03"/>
    <w:rsid w:val="53436E4B"/>
    <w:rsid w:val="53446C55"/>
    <w:rsid w:val="534529CD"/>
    <w:rsid w:val="534704F3"/>
    <w:rsid w:val="53494264"/>
    <w:rsid w:val="534C3D5B"/>
    <w:rsid w:val="534C78B7"/>
    <w:rsid w:val="534D4075"/>
    <w:rsid w:val="534D53DE"/>
    <w:rsid w:val="534F55FA"/>
    <w:rsid w:val="534F73A8"/>
    <w:rsid w:val="534F7E50"/>
    <w:rsid w:val="535112B4"/>
    <w:rsid w:val="53514ECE"/>
    <w:rsid w:val="53536E98"/>
    <w:rsid w:val="53547C35"/>
    <w:rsid w:val="53552484"/>
    <w:rsid w:val="535624E4"/>
    <w:rsid w:val="53577CF7"/>
    <w:rsid w:val="5358354F"/>
    <w:rsid w:val="535844AE"/>
    <w:rsid w:val="5358625C"/>
    <w:rsid w:val="535A6478"/>
    <w:rsid w:val="535B37A2"/>
    <w:rsid w:val="535B3F9E"/>
    <w:rsid w:val="535D1AC5"/>
    <w:rsid w:val="535D7D17"/>
    <w:rsid w:val="535E38B8"/>
    <w:rsid w:val="535E4FF9"/>
    <w:rsid w:val="535E583D"/>
    <w:rsid w:val="536015B5"/>
    <w:rsid w:val="53611783"/>
    <w:rsid w:val="53612C0E"/>
    <w:rsid w:val="53634C01"/>
    <w:rsid w:val="53642E53"/>
    <w:rsid w:val="536522FB"/>
    <w:rsid w:val="536522FF"/>
    <w:rsid w:val="536524C3"/>
    <w:rsid w:val="53654E1D"/>
    <w:rsid w:val="53656BCB"/>
    <w:rsid w:val="53670B95"/>
    <w:rsid w:val="53671FD0"/>
    <w:rsid w:val="53672943"/>
    <w:rsid w:val="536746F1"/>
    <w:rsid w:val="53680C7C"/>
    <w:rsid w:val="53682217"/>
    <w:rsid w:val="536863BA"/>
    <w:rsid w:val="5368753B"/>
    <w:rsid w:val="536966BB"/>
    <w:rsid w:val="536A3BDD"/>
    <w:rsid w:val="536C61AC"/>
    <w:rsid w:val="536C7F5A"/>
    <w:rsid w:val="536E3CD2"/>
    <w:rsid w:val="536F7A4A"/>
    <w:rsid w:val="537114F4"/>
    <w:rsid w:val="537137C2"/>
    <w:rsid w:val="53715570"/>
    <w:rsid w:val="5371731E"/>
    <w:rsid w:val="53723F2A"/>
    <w:rsid w:val="53733096"/>
    <w:rsid w:val="53740BBC"/>
    <w:rsid w:val="53744169"/>
    <w:rsid w:val="5374721F"/>
    <w:rsid w:val="53764934"/>
    <w:rsid w:val="53775BA0"/>
    <w:rsid w:val="53777366"/>
    <w:rsid w:val="537806AC"/>
    <w:rsid w:val="53785160"/>
    <w:rsid w:val="537961D3"/>
    <w:rsid w:val="537A04D9"/>
    <w:rsid w:val="537A2677"/>
    <w:rsid w:val="537B1F4B"/>
    <w:rsid w:val="537B63EF"/>
    <w:rsid w:val="537D1313"/>
    <w:rsid w:val="537D2167"/>
    <w:rsid w:val="537D3F15"/>
    <w:rsid w:val="537D6E41"/>
    <w:rsid w:val="537E1A3B"/>
    <w:rsid w:val="537F075C"/>
    <w:rsid w:val="537F4332"/>
    <w:rsid w:val="537F5EDF"/>
    <w:rsid w:val="538232D9"/>
    <w:rsid w:val="5382461A"/>
    <w:rsid w:val="5382777D"/>
    <w:rsid w:val="53852D75"/>
    <w:rsid w:val="53870155"/>
    <w:rsid w:val="538708F0"/>
    <w:rsid w:val="53874D93"/>
    <w:rsid w:val="538928BA"/>
    <w:rsid w:val="538A6632"/>
    <w:rsid w:val="538C23AA"/>
    <w:rsid w:val="538C5F06"/>
    <w:rsid w:val="538E1C7E"/>
    <w:rsid w:val="538F062A"/>
    <w:rsid w:val="538F3E27"/>
    <w:rsid w:val="53901E9A"/>
    <w:rsid w:val="53907E88"/>
    <w:rsid w:val="5391176E"/>
    <w:rsid w:val="53916534"/>
    <w:rsid w:val="539179C0"/>
    <w:rsid w:val="539209AE"/>
    <w:rsid w:val="53933738"/>
    <w:rsid w:val="539354E6"/>
    <w:rsid w:val="53937294"/>
    <w:rsid w:val="5394125E"/>
    <w:rsid w:val="5394300C"/>
    <w:rsid w:val="539574B0"/>
    <w:rsid w:val="53962412"/>
    <w:rsid w:val="53962C9E"/>
    <w:rsid w:val="53963229"/>
    <w:rsid w:val="53964FD7"/>
    <w:rsid w:val="53966943"/>
    <w:rsid w:val="53966D85"/>
    <w:rsid w:val="539719B0"/>
    <w:rsid w:val="539725B9"/>
    <w:rsid w:val="53976E07"/>
    <w:rsid w:val="53982AFD"/>
    <w:rsid w:val="53991BD7"/>
    <w:rsid w:val="53997AAA"/>
    <w:rsid w:val="539A0F3A"/>
    <w:rsid w:val="539A4AC7"/>
    <w:rsid w:val="539B3EAD"/>
    <w:rsid w:val="539C642B"/>
    <w:rsid w:val="539D45B7"/>
    <w:rsid w:val="53A05E55"/>
    <w:rsid w:val="53A2397B"/>
    <w:rsid w:val="53A25729"/>
    <w:rsid w:val="53A25C94"/>
    <w:rsid w:val="53A30B5C"/>
    <w:rsid w:val="53A44BBD"/>
    <w:rsid w:val="53A476F3"/>
    <w:rsid w:val="53A47807"/>
    <w:rsid w:val="53A56FC8"/>
    <w:rsid w:val="53A616BE"/>
    <w:rsid w:val="53A70F92"/>
    <w:rsid w:val="53A71407"/>
    <w:rsid w:val="53A72D40"/>
    <w:rsid w:val="53A92F5C"/>
    <w:rsid w:val="53A94D0A"/>
    <w:rsid w:val="53A96AB8"/>
    <w:rsid w:val="53AC47FA"/>
    <w:rsid w:val="53AE0572"/>
    <w:rsid w:val="53AF1317"/>
    <w:rsid w:val="53B01EB6"/>
    <w:rsid w:val="53B10062"/>
    <w:rsid w:val="53B11E10"/>
    <w:rsid w:val="53B13BBE"/>
    <w:rsid w:val="53B20651"/>
    <w:rsid w:val="53B37937"/>
    <w:rsid w:val="53B43B75"/>
    <w:rsid w:val="53B4545D"/>
    <w:rsid w:val="53B51901"/>
    <w:rsid w:val="53B536AF"/>
    <w:rsid w:val="53B611D5"/>
    <w:rsid w:val="53B6228C"/>
    <w:rsid w:val="53B65679"/>
    <w:rsid w:val="53B813F1"/>
    <w:rsid w:val="53BA6F17"/>
    <w:rsid w:val="53BB08EB"/>
    <w:rsid w:val="53BD2563"/>
    <w:rsid w:val="53BD6EA5"/>
    <w:rsid w:val="53BE4267"/>
    <w:rsid w:val="53BE7672"/>
    <w:rsid w:val="53BF452D"/>
    <w:rsid w:val="53C02053"/>
    <w:rsid w:val="53C03E02"/>
    <w:rsid w:val="53C140E5"/>
    <w:rsid w:val="53C30205"/>
    <w:rsid w:val="53C41B44"/>
    <w:rsid w:val="53C47D96"/>
    <w:rsid w:val="53C51418"/>
    <w:rsid w:val="53C51D02"/>
    <w:rsid w:val="53C5766A"/>
    <w:rsid w:val="53C658BC"/>
    <w:rsid w:val="53C6708F"/>
    <w:rsid w:val="53C72B28"/>
    <w:rsid w:val="53C7314D"/>
    <w:rsid w:val="53C93962"/>
    <w:rsid w:val="53CA1671"/>
    <w:rsid w:val="53CA68D8"/>
    <w:rsid w:val="53CB1124"/>
    <w:rsid w:val="53CC27A6"/>
    <w:rsid w:val="53CE29C2"/>
    <w:rsid w:val="53CE4770"/>
    <w:rsid w:val="53D02297"/>
    <w:rsid w:val="53D0274A"/>
    <w:rsid w:val="53D1326E"/>
    <w:rsid w:val="53D22A0C"/>
    <w:rsid w:val="53D27C3B"/>
    <w:rsid w:val="53D4255B"/>
    <w:rsid w:val="53D578AD"/>
    <w:rsid w:val="53D77AC9"/>
    <w:rsid w:val="53D77D03"/>
    <w:rsid w:val="53D9509D"/>
    <w:rsid w:val="53DA4EC3"/>
    <w:rsid w:val="53DB1569"/>
    <w:rsid w:val="53DD0E57"/>
    <w:rsid w:val="53DF24DA"/>
    <w:rsid w:val="53DF697E"/>
    <w:rsid w:val="53E051BF"/>
    <w:rsid w:val="53E232AD"/>
    <w:rsid w:val="53E2646E"/>
    <w:rsid w:val="53E43F94"/>
    <w:rsid w:val="53E45D42"/>
    <w:rsid w:val="53E61ABA"/>
    <w:rsid w:val="53E73A84"/>
    <w:rsid w:val="53E775E0"/>
    <w:rsid w:val="53E915AA"/>
    <w:rsid w:val="53EB521C"/>
    <w:rsid w:val="53EB5322"/>
    <w:rsid w:val="53EB70D0"/>
    <w:rsid w:val="53EB72B9"/>
    <w:rsid w:val="53EC109A"/>
    <w:rsid w:val="53EC2463"/>
    <w:rsid w:val="53EC2E48"/>
    <w:rsid w:val="53EC4D60"/>
    <w:rsid w:val="53EE4E13"/>
    <w:rsid w:val="53EE6BC1"/>
    <w:rsid w:val="53F005F3"/>
    <w:rsid w:val="53F006E8"/>
    <w:rsid w:val="53F00B8B"/>
    <w:rsid w:val="53F046E7"/>
    <w:rsid w:val="53F1045F"/>
    <w:rsid w:val="53F131C4"/>
    <w:rsid w:val="53F32429"/>
    <w:rsid w:val="53F32F5A"/>
    <w:rsid w:val="53F65BA6"/>
    <w:rsid w:val="53F817ED"/>
    <w:rsid w:val="53F8359B"/>
    <w:rsid w:val="53F92DE6"/>
    <w:rsid w:val="53FA5565"/>
    <w:rsid w:val="53FB3A25"/>
    <w:rsid w:val="53FD0BB2"/>
    <w:rsid w:val="53FD32A8"/>
    <w:rsid w:val="53FD5056"/>
    <w:rsid w:val="53FF2B7C"/>
    <w:rsid w:val="54001829"/>
    <w:rsid w:val="54014B46"/>
    <w:rsid w:val="5402441A"/>
    <w:rsid w:val="54025EAC"/>
    <w:rsid w:val="54036A69"/>
    <w:rsid w:val="54040192"/>
    <w:rsid w:val="5406215C"/>
    <w:rsid w:val="54085ED4"/>
    <w:rsid w:val="54091C4C"/>
    <w:rsid w:val="540928DB"/>
    <w:rsid w:val="540939FA"/>
    <w:rsid w:val="540B1521"/>
    <w:rsid w:val="540E1011"/>
    <w:rsid w:val="540E2DBF"/>
    <w:rsid w:val="540E3CF5"/>
    <w:rsid w:val="540F674D"/>
    <w:rsid w:val="541008E5"/>
    <w:rsid w:val="54104D89"/>
    <w:rsid w:val="54106B37"/>
    <w:rsid w:val="5411465D"/>
    <w:rsid w:val="541303D5"/>
    <w:rsid w:val="54134879"/>
    <w:rsid w:val="54136627"/>
    <w:rsid w:val="5415239F"/>
    <w:rsid w:val="5415414D"/>
    <w:rsid w:val="54161A8F"/>
    <w:rsid w:val="54161C73"/>
    <w:rsid w:val="54176117"/>
    <w:rsid w:val="54183C3E"/>
    <w:rsid w:val="54183C77"/>
    <w:rsid w:val="541859EC"/>
    <w:rsid w:val="541A4D10"/>
    <w:rsid w:val="541A79B6"/>
    <w:rsid w:val="541C1980"/>
    <w:rsid w:val="541D3002"/>
    <w:rsid w:val="541E3671"/>
    <w:rsid w:val="541F321E"/>
    <w:rsid w:val="541F3522"/>
    <w:rsid w:val="541F4FCC"/>
    <w:rsid w:val="541F573D"/>
    <w:rsid w:val="541F6D7A"/>
    <w:rsid w:val="5420040B"/>
    <w:rsid w:val="54210D44"/>
    <w:rsid w:val="54212AF2"/>
    <w:rsid w:val="54216F96"/>
    <w:rsid w:val="54221FF2"/>
    <w:rsid w:val="542425E2"/>
    <w:rsid w:val="54244390"/>
    <w:rsid w:val="5426154A"/>
    <w:rsid w:val="542645AC"/>
    <w:rsid w:val="54280325"/>
    <w:rsid w:val="54280A35"/>
    <w:rsid w:val="54285E64"/>
    <w:rsid w:val="54290643"/>
    <w:rsid w:val="5429409D"/>
    <w:rsid w:val="542C1497"/>
    <w:rsid w:val="54300F87"/>
    <w:rsid w:val="54302D35"/>
    <w:rsid w:val="54316AAD"/>
    <w:rsid w:val="54316F16"/>
    <w:rsid w:val="543170FA"/>
    <w:rsid w:val="54322F51"/>
    <w:rsid w:val="54335B48"/>
    <w:rsid w:val="54336CC9"/>
    <w:rsid w:val="54354B2F"/>
    <w:rsid w:val="54354CE5"/>
    <w:rsid w:val="543640C4"/>
    <w:rsid w:val="543744C9"/>
    <w:rsid w:val="543842E0"/>
    <w:rsid w:val="54387E3C"/>
    <w:rsid w:val="543C5B7E"/>
    <w:rsid w:val="543D5452"/>
    <w:rsid w:val="543D6BFA"/>
    <w:rsid w:val="543F566E"/>
    <w:rsid w:val="54401E43"/>
    <w:rsid w:val="54402AE9"/>
    <w:rsid w:val="5440557B"/>
    <w:rsid w:val="5441014C"/>
    <w:rsid w:val="544113E6"/>
    <w:rsid w:val="544155E7"/>
    <w:rsid w:val="54422A68"/>
    <w:rsid w:val="544669FD"/>
    <w:rsid w:val="5447551F"/>
    <w:rsid w:val="54482775"/>
    <w:rsid w:val="5449029B"/>
    <w:rsid w:val="54492049"/>
    <w:rsid w:val="544935D4"/>
    <w:rsid w:val="544B4013"/>
    <w:rsid w:val="544B7B6F"/>
    <w:rsid w:val="544D2729"/>
    <w:rsid w:val="544E765F"/>
    <w:rsid w:val="544F3BE0"/>
    <w:rsid w:val="54507FFB"/>
    <w:rsid w:val="545110D1"/>
    <w:rsid w:val="54516500"/>
    <w:rsid w:val="54520EFE"/>
    <w:rsid w:val="5452714F"/>
    <w:rsid w:val="545311AD"/>
    <w:rsid w:val="54556311"/>
    <w:rsid w:val="54564027"/>
    <w:rsid w:val="545A4256"/>
    <w:rsid w:val="545B2183"/>
    <w:rsid w:val="545D78A2"/>
    <w:rsid w:val="546038E7"/>
    <w:rsid w:val="54613A3B"/>
    <w:rsid w:val="54621EE3"/>
    <w:rsid w:val="54622E43"/>
    <w:rsid w:val="54624EB9"/>
    <w:rsid w:val="5463135D"/>
    <w:rsid w:val="54631B76"/>
    <w:rsid w:val="546450D5"/>
    <w:rsid w:val="54646E83"/>
    <w:rsid w:val="54655E06"/>
    <w:rsid w:val="54671E67"/>
    <w:rsid w:val="546926EB"/>
    <w:rsid w:val="54694499"/>
    <w:rsid w:val="546B1FBF"/>
    <w:rsid w:val="546B6463"/>
    <w:rsid w:val="546D21DB"/>
    <w:rsid w:val="546E385E"/>
    <w:rsid w:val="54703A7A"/>
    <w:rsid w:val="54705828"/>
    <w:rsid w:val="547075D6"/>
    <w:rsid w:val="5471010A"/>
    <w:rsid w:val="54722B7A"/>
    <w:rsid w:val="5472334E"/>
    <w:rsid w:val="54727A86"/>
    <w:rsid w:val="547312EF"/>
    <w:rsid w:val="547370C6"/>
    <w:rsid w:val="54741EDD"/>
    <w:rsid w:val="5474356A"/>
    <w:rsid w:val="54754BEC"/>
    <w:rsid w:val="54770964"/>
    <w:rsid w:val="54772DEC"/>
    <w:rsid w:val="54776BB6"/>
    <w:rsid w:val="547779B4"/>
    <w:rsid w:val="54790B80"/>
    <w:rsid w:val="5479292E"/>
    <w:rsid w:val="54794AB4"/>
    <w:rsid w:val="547A02DD"/>
    <w:rsid w:val="547A0454"/>
    <w:rsid w:val="547A66A6"/>
    <w:rsid w:val="547D1CF3"/>
    <w:rsid w:val="547F3CBD"/>
    <w:rsid w:val="54804813"/>
    <w:rsid w:val="54817A35"/>
    <w:rsid w:val="548337AD"/>
    <w:rsid w:val="5483555B"/>
    <w:rsid w:val="54843F60"/>
    <w:rsid w:val="54857525"/>
    <w:rsid w:val="54866DF9"/>
    <w:rsid w:val="54877D10"/>
    <w:rsid w:val="54890697"/>
    <w:rsid w:val="54892630"/>
    <w:rsid w:val="5489321E"/>
    <w:rsid w:val="548B2661"/>
    <w:rsid w:val="548D19E4"/>
    <w:rsid w:val="548E3F00"/>
    <w:rsid w:val="548F0560"/>
    <w:rsid w:val="548F2152"/>
    <w:rsid w:val="54903DFF"/>
    <w:rsid w:val="54905ECA"/>
    <w:rsid w:val="54907299"/>
    <w:rsid w:val="54907C78"/>
    <w:rsid w:val="54921C42"/>
    <w:rsid w:val="54930906"/>
    <w:rsid w:val="54931516"/>
    <w:rsid w:val="549412E0"/>
    <w:rsid w:val="54951381"/>
    <w:rsid w:val="5495528E"/>
    <w:rsid w:val="54964C34"/>
    <w:rsid w:val="54971006"/>
    <w:rsid w:val="54977258"/>
    <w:rsid w:val="54980C95"/>
    <w:rsid w:val="54983866"/>
    <w:rsid w:val="54994D7E"/>
    <w:rsid w:val="549A0AF6"/>
    <w:rsid w:val="549A4A45"/>
    <w:rsid w:val="549C03CB"/>
    <w:rsid w:val="549C0AA6"/>
    <w:rsid w:val="549C21E7"/>
    <w:rsid w:val="549C377F"/>
    <w:rsid w:val="549C7A4F"/>
    <w:rsid w:val="549D1F36"/>
    <w:rsid w:val="549D325E"/>
    <w:rsid w:val="549D35C9"/>
    <w:rsid w:val="549E2395"/>
    <w:rsid w:val="54A11E85"/>
    <w:rsid w:val="54A13C33"/>
    <w:rsid w:val="54A3157D"/>
    <w:rsid w:val="54A3710B"/>
    <w:rsid w:val="54A379AB"/>
    <w:rsid w:val="54A43723"/>
    <w:rsid w:val="54A454D1"/>
    <w:rsid w:val="54A51975"/>
    <w:rsid w:val="54A557A9"/>
    <w:rsid w:val="54A61249"/>
    <w:rsid w:val="54A656ED"/>
    <w:rsid w:val="54A76E83"/>
    <w:rsid w:val="54A8078A"/>
    <w:rsid w:val="54A91C1A"/>
    <w:rsid w:val="54A92AE8"/>
    <w:rsid w:val="54A97595"/>
    <w:rsid w:val="54AA6D09"/>
    <w:rsid w:val="54AA6EBE"/>
    <w:rsid w:val="54AB4AB2"/>
    <w:rsid w:val="54AB6860"/>
    <w:rsid w:val="54AD082A"/>
    <w:rsid w:val="54AD4386"/>
    <w:rsid w:val="54AF3E08"/>
    <w:rsid w:val="54AF45A2"/>
    <w:rsid w:val="54B0031A"/>
    <w:rsid w:val="54B01AED"/>
    <w:rsid w:val="54B020C8"/>
    <w:rsid w:val="54B24092"/>
    <w:rsid w:val="54B40DE1"/>
    <w:rsid w:val="54B4145C"/>
    <w:rsid w:val="54B41BB8"/>
    <w:rsid w:val="54B43966"/>
    <w:rsid w:val="54B576DE"/>
    <w:rsid w:val="54B86B3E"/>
    <w:rsid w:val="54B90F7D"/>
    <w:rsid w:val="54B947DB"/>
    <w:rsid w:val="54B94928"/>
    <w:rsid w:val="54BA4CF5"/>
    <w:rsid w:val="54BB54BF"/>
    <w:rsid w:val="54BD509F"/>
    <w:rsid w:val="54BE2A37"/>
    <w:rsid w:val="54BE6593"/>
    <w:rsid w:val="54BF40B9"/>
    <w:rsid w:val="54C0055D"/>
    <w:rsid w:val="54C11331"/>
    <w:rsid w:val="54C178B8"/>
    <w:rsid w:val="54C22831"/>
    <w:rsid w:val="54C3004D"/>
    <w:rsid w:val="54C4716B"/>
    <w:rsid w:val="54C47921"/>
    <w:rsid w:val="54C53DC5"/>
    <w:rsid w:val="54C65448"/>
    <w:rsid w:val="54C73CC3"/>
    <w:rsid w:val="54C82D61"/>
    <w:rsid w:val="54C85830"/>
    <w:rsid w:val="54C87A3C"/>
    <w:rsid w:val="54C94F38"/>
    <w:rsid w:val="54CA0898"/>
    <w:rsid w:val="54CA13DC"/>
    <w:rsid w:val="54CA318A"/>
    <w:rsid w:val="54CB1B54"/>
    <w:rsid w:val="54CD1014"/>
    <w:rsid w:val="54CD2C7A"/>
    <w:rsid w:val="54CD67D6"/>
    <w:rsid w:val="54CF254E"/>
    <w:rsid w:val="54CF3259"/>
    <w:rsid w:val="54CF4DC4"/>
    <w:rsid w:val="54CF53F7"/>
    <w:rsid w:val="54CF56D2"/>
    <w:rsid w:val="54D1276A"/>
    <w:rsid w:val="54D2203E"/>
    <w:rsid w:val="54D23CFF"/>
    <w:rsid w:val="54D264E2"/>
    <w:rsid w:val="54D36316"/>
    <w:rsid w:val="54D44008"/>
    <w:rsid w:val="54D51B2F"/>
    <w:rsid w:val="54D658CF"/>
    <w:rsid w:val="54D7298C"/>
    <w:rsid w:val="54D77655"/>
    <w:rsid w:val="54D9161F"/>
    <w:rsid w:val="54D97871"/>
    <w:rsid w:val="54DA461A"/>
    <w:rsid w:val="54DA4AA4"/>
    <w:rsid w:val="54DB5397"/>
    <w:rsid w:val="54DE09E3"/>
    <w:rsid w:val="54DF6509"/>
    <w:rsid w:val="54E104D3"/>
    <w:rsid w:val="54E16725"/>
    <w:rsid w:val="54E405A7"/>
    <w:rsid w:val="54E40AC8"/>
    <w:rsid w:val="54E446CA"/>
    <w:rsid w:val="54E55B5A"/>
    <w:rsid w:val="54E579B0"/>
    <w:rsid w:val="54E66377"/>
    <w:rsid w:val="54E81862"/>
    <w:rsid w:val="54E83610"/>
    <w:rsid w:val="54ED0C26"/>
    <w:rsid w:val="54ED50CA"/>
    <w:rsid w:val="54EE2F1E"/>
    <w:rsid w:val="54F14BBA"/>
    <w:rsid w:val="54F16968"/>
    <w:rsid w:val="54F1758A"/>
    <w:rsid w:val="54F2448F"/>
    <w:rsid w:val="54F40B54"/>
    <w:rsid w:val="54F40D0A"/>
    <w:rsid w:val="54F46459"/>
    <w:rsid w:val="54F47187"/>
    <w:rsid w:val="54F5099E"/>
    <w:rsid w:val="54F53042"/>
    <w:rsid w:val="54F55D2D"/>
    <w:rsid w:val="54F55EF3"/>
    <w:rsid w:val="54F72B40"/>
    <w:rsid w:val="54F75F49"/>
    <w:rsid w:val="54F86BA1"/>
    <w:rsid w:val="54F93A6F"/>
    <w:rsid w:val="54F9581D"/>
    <w:rsid w:val="54FA3343"/>
    <w:rsid w:val="54FB7006"/>
    <w:rsid w:val="54FB77E7"/>
    <w:rsid w:val="54FD643F"/>
    <w:rsid w:val="54FE1085"/>
    <w:rsid w:val="54FE2E33"/>
    <w:rsid w:val="54FE4BE1"/>
    <w:rsid w:val="54FE50D0"/>
    <w:rsid w:val="550048FE"/>
    <w:rsid w:val="55012924"/>
    <w:rsid w:val="55014E8B"/>
    <w:rsid w:val="550151F6"/>
    <w:rsid w:val="5503044A"/>
    <w:rsid w:val="55033852"/>
    <w:rsid w:val="550348EE"/>
    <w:rsid w:val="5503669C"/>
    <w:rsid w:val="550541C2"/>
    <w:rsid w:val="55065102"/>
    <w:rsid w:val="550A5C7C"/>
    <w:rsid w:val="550A7A2A"/>
    <w:rsid w:val="550D12C8"/>
    <w:rsid w:val="550D3076"/>
    <w:rsid w:val="550D4D66"/>
    <w:rsid w:val="550E06E5"/>
    <w:rsid w:val="550F3292"/>
    <w:rsid w:val="5512068D"/>
    <w:rsid w:val="55124B31"/>
    <w:rsid w:val="55132319"/>
    <w:rsid w:val="551408A9"/>
    <w:rsid w:val="55142657"/>
    <w:rsid w:val="55144405"/>
    <w:rsid w:val="55156A57"/>
    <w:rsid w:val="55164621"/>
    <w:rsid w:val="551709E9"/>
    <w:rsid w:val="55173EF5"/>
    <w:rsid w:val="55192735"/>
    <w:rsid w:val="55197C6D"/>
    <w:rsid w:val="551B1C37"/>
    <w:rsid w:val="551D59AF"/>
    <w:rsid w:val="551E7032"/>
    <w:rsid w:val="551E742C"/>
    <w:rsid w:val="55202DAA"/>
    <w:rsid w:val="55222C82"/>
    <w:rsid w:val="5522723D"/>
    <w:rsid w:val="55236284"/>
    <w:rsid w:val="55244BFD"/>
    <w:rsid w:val="55254864"/>
    <w:rsid w:val="55256612"/>
    <w:rsid w:val="5526220B"/>
    <w:rsid w:val="552705DC"/>
    <w:rsid w:val="55271C1F"/>
    <w:rsid w:val="55272968"/>
    <w:rsid w:val="55274C13"/>
    <w:rsid w:val="55274C7B"/>
    <w:rsid w:val="55284354"/>
    <w:rsid w:val="552918A6"/>
    <w:rsid w:val="552A00CC"/>
    <w:rsid w:val="552A1E7A"/>
    <w:rsid w:val="552C2EC0"/>
    <w:rsid w:val="552C5BF2"/>
    <w:rsid w:val="552D3354"/>
    <w:rsid w:val="552F3B91"/>
    <w:rsid w:val="552F6C70"/>
    <w:rsid w:val="5531145B"/>
    <w:rsid w:val="55320D2F"/>
    <w:rsid w:val="55326F81"/>
    <w:rsid w:val="553556B3"/>
    <w:rsid w:val="553625CD"/>
    <w:rsid w:val="553700F3"/>
    <w:rsid w:val="5539030F"/>
    <w:rsid w:val="553B5E36"/>
    <w:rsid w:val="553B63BD"/>
    <w:rsid w:val="553B6DFF"/>
    <w:rsid w:val="553C066D"/>
    <w:rsid w:val="553D0DA4"/>
    <w:rsid w:val="553E5926"/>
    <w:rsid w:val="553E76D4"/>
    <w:rsid w:val="55425416"/>
    <w:rsid w:val="55427836"/>
    <w:rsid w:val="55432F3C"/>
    <w:rsid w:val="55450A62"/>
    <w:rsid w:val="554538AF"/>
    <w:rsid w:val="55456CB4"/>
    <w:rsid w:val="5547195D"/>
    <w:rsid w:val="55473D6F"/>
    <w:rsid w:val="554747DA"/>
    <w:rsid w:val="55480552"/>
    <w:rsid w:val="554923E8"/>
    <w:rsid w:val="554A7E27"/>
    <w:rsid w:val="554D1797"/>
    <w:rsid w:val="554D5B69"/>
    <w:rsid w:val="554E00E1"/>
    <w:rsid w:val="554E4DCA"/>
    <w:rsid w:val="554E7F0C"/>
    <w:rsid w:val="554F35B4"/>
    <w:rsid w:val="554F7B33"/>
    <w:rsid w:val="55502F73"/>
    <w:rsid w:val="555111B5"/>
    <w:rsid w:val="5552317F"/>
    <w:rsid w:val="555313D1"/>
    <w:rsid w:val="55532EC4"/>
    <w:rsid w:val="55545149"/>
    <w:rsid w:val="55546EF7"/>
    <w:rsid w:val="55562C6F"/>
    <w:rsid w:val="55564A1D"/>
    <w:rsid w:val="555667CB"/>
    <w:rsid w:val="55570796"/>
    <w:rsid w:val="55585DFE"/>
    <w:rsid w:val="5558730C"/>
    <w:rsid w:val="55592760"/>
    <w:rsid w:val="5559450E"/>
    <w:rsid w:val="55597A9F"/>
    <w:rsid w:val="555B0286"/>
    <w:rsid w:val="555B2034"/>
    <w:rsid w:val="555D2250"/>
    <w:rsid w:val="555D3FFE"/>
    <w:rsid w:val="555D5DAC"/>
    <w:rsid w:val="555E1B24"/>
    <w:rsid w:val="555E38D2"/>
    <w:rsid w:val="5560764A"/>
    <w:rsid w:val="55621614"/>
    <w:rsid w:val="55622F8F"/>
    <w:rsid w:val="55630EE8"/>
    <w:rsid w:val="5563538C"/>
    <w:rsid w:val="5563713A"/>
    <w:rsid w:val="55642AD7"/>
    <w:rsid w:val="55651104"/>
    <w:rsid w:val="55654C60"/>
    <w:rsid w:val="55657695"/>
    <w:rsid w:val="55661910"/>
    <w:rsid w:val="556709D9"/>
    <w:rsid w:val="556829A3"/>
    <w:rsid w:val="55690BF5"/>
    <w:rsid w:val="556A04C9"/>
    <w:rsid w:val="556A2277"/>
    <w:rsid w:val="556A671B"/>
    <w:rsid w:val="556C2493"/>
    <w:rsid w:val="556C4241"/>
    <w:rsid w:val="556E7FB9"/>
    <w:rsid w:val="556F5ADF"/>
    <w:rsid w:val="556F788D"/>
    <w:rsid w:val="55711857"/>
    <w:rsid w:val="55722A84"/>
    <w:rsid w:val="5572737D"/>
    <w:rsid w:val="55733821"/>
    <w:rsid w:val="557355CF"/>
    <w:rsid w:val="55746AE5"/>
    <w:rsid w:val="557558D3"/>
    <w:rsid w:val="55766E6E"/>
    <w:rsid w:val="55774994"/>
    <w:rsid w:val="5579695E"/>
    <w:rsid w:val="557973EA"/>
    <w:rsid w:val="557B0928"/>
    <w:rsid w:val="557B4484"/>
    <w:rsid w:val="557D01FC"/>
    <w:rsid w:val="557D0B41"/>
    <w:rsid w:val="557F1BB8"/>
    <w:rsid w:val="557F21C6"/>
    <w:rsid w:val="557F3BF8"/>
    <w:rsid w:val="557F67C9"/>
    <w:rsid w:val="55805F3E"/>
    <w:rsid w:val="558275C0"/>
    <w:rsid w:val="55833339"/>
    <w:rsid w:val="558341BC"/>
    <w:rsid w:val="5583514A"/>
    <w:rsid w:val="558477DD"/>
    <w:rsid w:val="55850EFA"/>
    <w:rsid w:val="55853555"/>
    <w:rsid w:val="55855303"/>
    <w:rsid w:val="55857A6A"/>
    <w:rsid w:val="558A0B6B"/>
    <w:rsid w:val="558A0D0B"/>
    <w:rsid w:val="558A46C7"/>
    <w:rsid w:val="558C48E3"/>
    <w:rsid w:val="558C6691"/>
    <w:rsid w:val="558E0B1C"/>
    <w:rsid w:val="558F1CDD"/>
    <w:rsid w:val="559030DD"/>
    <w:rsid w:val="55924932"/>
    <w:rsid w:val="559317CE"/>
    <w:rsid w:val="55933CB3"/>
    <w:rsid w:val="559519EA"/>
    <w:rsid w:val="559612BE"/>
    <w:rsid w:val="55974A50"/>
    <w:rsid w:val="55986DE4"/>
    <w:rsid w:val="55987ECC"/>
    <w:rsid w:val="55992B5C"/>
    <w:rsid w:val="559B0682"/>
    <w:rsid w:val="559B68D4"/>
    <w:rsid w:val="559D089E"/>
    <w:rsid w:val="559D43FA"/>
    <w:rsid w:val="559E63C4"/>
    <w:rsid w:val="559F31E2"/>
    <w:rsid w:val="55A0038E"/>
    <w:rsid w:val="55A16F92"/>
    <w:rsid w:val="55A21A11"/>
    <w:rsid w:val="55A23D04"/>
    <w:rsid w:val="55A27C63"/>
    <w:rsid w:val="55A57753"/>
    <w:rsid w:val="55A734CB"/>
    <w:rsid w:val="55A75279"/>
    <w:rsid w:val="55A84374"/>
    <w:rsid w:val="55A90FF1"/>
    <w:rsid w:val="55AA16E3"/>
    <w:rsid w:val="55AA58ED"/>
    <w:rsid w:val="55AA6172"/>
    <w:rsid w:val="55AC6D33"/>
    <w:rsid w:val="55AE2AAB"/>
    <w:rsid w:val="55AF05D2"/>
    <w:rsid w:val="55B05CD7"/>
    <w:rsid w:val="55B1434A"/>
    <w:rsid w:val="55B21658"/>
    <w:rsid w:val="55B23C34"/>
    <w:rsid w:val="55B300C2"/>
    <w:rsid w:val="55B3074F"/>
    <w:rsid w:val="55B31E70"/>
    <w:rsid w:val="55B41744"/>
    <w:rsid w:val="55B55BE8"/>
    <w:rsid w:val="55B57FD9"/>
    <w:rsid w:val="55B61960"/>
    <w:rsid w:val="55B6370E"/>
    <w:rsid w:val="55B654BC"/>
    <w:rsid w:val="55B67B46"/>
    <w:rsid w:val="55B81234"/>
    <w:rsid w:val="55BA1450"/>
    <w:rsid w:val="55BA7DEA"/>
    <w:rsid w:val="55BC3B9A"/>
    <w:rsid w:val="55BD2CEE"/>
    <w:rsid w:val="55BD684B"/>
    <w:rsid w:val="55BE25C3"/>
    <w:rsid w:val="55BE344A"/>
    <w:rsid w:val="55BE7BFB"/>
    <w:rsid w:val="55BF0815"/>
    <w:rsid w:val="55BF560B"/>
    <w:rsid w:val="55BF6A67"/>
    <w:rsid w:val="55C0173B"/>
    <w:rsid w:val="55C027DF"/>
    <w:rsid w:val="55C0458D"/>
    <w:rsid w:val="55C51BA3"/>
    <w:rsid w:val="55C65557"/>
    <w:rsid w:val="55C67DF5"/>
    <w:rsid w:val="55C71477"/>
    <w:rsid w:val="55C73B6D"/>
    <w:rsid w:val="55C951EF"/>
    <w:rsid w:val="55CA6940"/>
    <w:rsid w:val="55CA71B9"/>
    <w:rsid w:val="55CB540B"/>
    <w:rsid w:val="55CC1183"/>
    <w:rsid w:val="55CC5F93"/>
    <w:rsid w:val="55CE0A58"/>
    <w:rsid w:val="55CE2806"/>
    <w:rsid w:val="55CE5FAF"/>
    <w:rsid w:val="55CE6CAA"/>
    <w:rsid w:val="55D012E5"/>
    <w:rsid w:val="55D06BEF"/>
    <w:rsid w:val="55D122F6"/>
    <w:rsid w:val="55D12672"/>
    <w:rsid w:val="55D134A0"/>
    <w:rsid w:val="55D1679A"/>
    <w:rsid w:val="55D22089"/>
    <w:rsid w:val="55D32512"/>
    <w:rsid w:val="55D342C0"/>
    <w:rsid w:val="55D3606E"/>
    <w:rsid w:val="55D41DE6"/>
    <w:rsid w:val="55D43B94"/>
    <w:rsid w:val="55D615E0"/>
    <w:rsid w:val="55D63DB0"/>
    <w:rsid w:val="55D64741"/>
    <w:rsid w:val="55D6790C"/>
    <w:rsid w:val="55D707A2"/>
    <w:rsid w:val="55D776AF"/>
    <w:rsid w:val="55D83684"/>
    <w:rsid w:val="55D87B28"/>
    <w:rsid w:val="55D911AB"/>
    <w:rsid w:val="55D92E8A"/>
    <w:rsid w:val="55DA73FC"/>
    <w:rsid w:val="55DB4F23"/>
    <w:rsid w:val="55DD513F"/>
    <w:rsid w:val="55DD6EED"/>
    <w:rsid w:val="55DE2094"/>
    <w:rsid w:val="55DF2C65"/>
    <w:rsid w:val="55E003C4"/>
    <w:rsid w:val="55E01B05"/>
    <w:rsid w:val="55E262B1"/>
    <w:rsid w:val="55E40E17"/>
    <w:rsid w:val="55E42029"/>
    <w:rsid w:val="55E464CD"/>
    <w:rsid w:val="55E52DA6"/>
    <w:rsid w:val="55E62245"/>
    <w:rsid w:val="55E77D6B"/>
    <w:rsid w:val="55E90F00"/>
    <w:rsid w:val="55E92BE2"/>
    <w:rsid w:val="55E95892"/>
    <w:rsid w:val="55E97640"/>
    <w:rsid w:val="55EC5382"/>
    <w:rsid w:val="55EE4920"/>
    <w:rsid w:val="55EF09CE"/>
    <w:rsid w:val="55F04E72"/>
    <w:rsid w:val="55F1097F"/>
    <w:rsid w:val="55F10BEA"/>
    <w:rsid w:val="55F304BE"/>
    <w:rsid w:val="55F61D5C"/>
    <w:rsid w:val="55F65CBA"/>
    <w:rsid w:val="55F66200"/>
    <w:rsid w:val="55F67FAE"/>
    <w:rsid w:val="55F8075C"/>
    <w:rsid w:val="55F81F79"/>
    <w:rsid w:val="55F85AD5"/>
    <w:rsid w:val="55FA3B3C"/>
    <w:rsid w:val="55FB7373"/>
    <w:rsid w:val="55FC1B7C"/>
    <w:rsid w:val="55FD133D"/>
    <w:rsid w:val="55FD275F"/>
    <w:rsid w:val="55FF50B5"/>
    <w:rsid w:val="55FF6E63"/>
    <w:rsid w:val="56002BDB"/>
    <w:rsid w:val="56006FA6"/>
    <w:rsid w:val="56010E2D"/>
    <w:rsid w:val="56020701"/>
    <w:rsid w:val="56024BA5"/>
    <w:rsid w:val="56037691"/>
    <w:rsid w:val="5604091D"/>
    <w:rsid w:val="560426CB"/>
    <w:rsid w:val="560477BF"/>
    <w:rsid w:val="56050C4F"/>
    <w:rsid w:val="56050E69"/>
    <w:rsid w:val="56063820"/>
    <w:rsid w:val="56064CB0"/>
    <w:rsid w:val="56066443"/>
    <w:rsid w:val="560721BC"/>
    <w:rsid w:val="56073F6A"/>
    <w:rsid w:val="56086042"/>
    <w:rsid w:val="56091A90"/>
    <w:rsid w:val="56095F34"/>
    <w:rsid w:val="56097CE2"/>
    <w:rsid w:val="560A3631"/>
    <w:rsid w:val="560B3A5A"/>
    <w:rsid w:val="560C77D2"/>
    <w:rsid w:val="560C7DAA"/>
    <w:rsid w:val="560D6F51"/>
    <w:rsid w:val="560E354A"/>
    <w:rsid w:val="560E52F8"/>
    <w:rsid w:val="56101070"/>
    <w:rsid w:val="561074A3"/>
    <w:rsid w:val="56110933"/>
    <w:rsid w:val="56114DE8"/>
    <w:rsid w:val="56116B96"/>
    <w:rsid w:val="56130B60"/>
    <w:rsid w:val="5613290E"/>
    <w:rsid w:val="56135E24"/>
    <w:rsid w:val="56156687"/>
    <w:rsid w:val="56170651"/>
    <w:rsid w:val="561843C9"/>
    <w:rsid w:val="56187F25"/>
    <w:rsid w:val="561A1EEF"/>
    <w:rsid w:val="561A3C9D"/>
    <w:rsid w:val="561B7A15"/>
    <w:rsid w:val="561C5A46"/>
    <w:rsid w:val="561C5C67"/>
    <w:rsid w:val="561D2A3F"/>
    <w:rsid w:val="561F12B3"/>
    <w:rsid w:val="561F3061"/>
    <w:rsid w:val="561F5757"/>
    <w:rsid w:val="56210428"/>
    <w:rsid w:val="562118B8"/>
    <w:rsid w:val="5621327D"/>
    <w:rsid w:val="562156F5"/>
    <w:rsid w:val="56243368"/>
    <w:rsid w:val="56270168"/>
    <w:rsid w:val="562763BA"/>
    <w:rsid w:val="56293EE0"/>
    <w:rsid w:val="562B2515"/>
    <w:rsid w:val="562B40FC"/>
    <w:rsid w:val="562B5EAA"/>
    <w:rsid w:val="562B7C58"/>
    <w:rsid w:val="562C39D0"/>
    <w:rsid w:val="562C577E"/>
    <w:rsid w:val="562E2A2C"/>
    <w:rsid w:val="562E599A"/>
    <w:rsid w:val="562E7748"/>
    <w:rsid w:val="56312D95"/>
    <w:rsid w:val="563377C6"/>
    <w:rsid w:val="563446C2"/>
    <w:rsid w:val="56360502"/>
    <w:rsid w:val="56387CA0"/>
    <w:rsid w:val="5639745C"/>
    <w:rsid w:val="563A60ED"/>
    <w:rsid w:val="563A7E9B"/>
    <w:rsid w:val="563B3C13"/>
    <w:rsid w:val="563D5BDD"/>
    <w:rsid w:val="563E38A3"/>
    <w:rsid w:val="56411EB1"/>
    <w:rsid w:val="564156CE"/>
    <w:rsid w:val="56424FA2"/>
    <w:rsid w:val="56426087"/>
    <w:rsid w:val="5642624B"/>
    <w:rsid w:val="56431446"/>
    <w:rsid w:val="56431F67"/>
    <w:rsid w:val="56444C51"/>
    <w:rsid w:val="564451BE"/>
    <w:rsid w:val="56446392"/>
    <w:rsid w:val="56446F6C"/>
    <w:rsid w:val="564560E1"/>
    <w:rsid w:val="56462CE4"/>
    <w:rsid w:val="56494582"/>
    <w:rsid w:val="56497633"/>
    <w:rsid w:val="564B1F53"/>
    <w:rsid w:val="564B4B24"/>
    <w:rsid w:val="564C4DC1"/>
    <w:rsid w:val="564C5E20"/>
    <w:rsid w:val="564C5FB4"/>
    <w:rsid w:val="564E1B99"/>
    <w:rsid w:val="564E304F"/>
    <w:rsid w:val="564E3947"/>
    <w:rsid w:val="564E7DEA"/>
    <w:rsid w:val="565031F4"/>
    <w:rsid w:val="56503B63"/>
    <w:rsid w:val="5651167C"/>
    <w:rsid w:val="56521689"/>
    <w:rsid w:val="56530F5D"/>
    <w:rsid w:val="56535401"/>
    <w:rsid w:val="56552F27"/>
    <w:rsid w:val="5655317E"/>
    <w:rsid w:val="56566981"/>
    <w:rsid w:val="565740D6"/>
    <w:rsid w:val="56574EF1"/>
    <w:rsid w:val="56582A17"/>
    <w:rsid w:val="56586573"/>
    <w:rsid w:val="56590927"/>
    <w:rsid w:val="5659468A"/>
    <w:rsid w:val="565959E7"/>
    <w:rsid w:val="565A22EB"/>
    <w:rsid w:val="565C6063"/>
    <w:rsid w:val="565D68C6"/>
    <w:rsid w:val="565D6F39"/>
    <w:rsid w:val="565E186F"/>
    <w:rsid w:val="565E4DBB"/>
    <w:rsid w:val="565E627F"/>
    <w:rsid w:val="565F3DA6"/>
    <w:rsid w:val="565F511A"/>
    <w:rsid w:val="565F5B54"/>
    <w:rsid w:val="566118CC"/>
    <w:rsid w:val="56665134"/>
    <w:rsid w:val="56672BBC"/>
    <w:rsid w:val="566A00AD"/>
    <w:rsid w:val="566C201F"/>
    <w:rsid w:val="566D0271"/>
    <w:rsid w:val="566E7899"/>
    <w:rsid w:val="56701B0F"/>
    <w:rsid w:val="56707D61"/>
    <w:rsid w:val="56727CCF"/>
    <w:rsid w:val="567315FF"/>
    <w:rsid w:val="56737851"/>
    <w:rsid w:val="5674401F"/>
    <w:rsid w:val="567535C9"/>
    <w:rsid w:val="56755377"/>
    <w:rsid w:val="56757125"/>
    <w:rsid w:val="56763838"/>
    <w:rsid w:val="56783B41"/>
    <w:rsid w:val="56786C15"/>
    <w:rsid w:val="56794E67"/>
    <w:rsid w:val="567A58C9"/>
    <w:rsid w:val="567B1334"/>
    <w:rsid w:val="567B1BC0"/>
    <w:rsid w:val="567C4958"/>
    <w:rsid w:val="567C5B8B"/>
    <w:rsid w:val="567C6706"/>
    <w:rsid w:val="567F17E0"/>
    <w:rsid w:val="567F61F6"/>
    <w:rsid w:val="567F7FA4"/>
    <w:rsid w:val="56811F6E"/>
    <w:rsid w:val="568140A3"/>
    <w:rsid w:val="56814800"/>
    <w:rsid w:val="56815ACA"/>
    <w:rsid w:val="5684380C"/>
    <w:rsid w:val="568455BA"/>
    <w:rsid w:val="568746B6"/>
    <w:rsid w:val="56881EF5"/>
    <w:rsid w:val="56892BD1"/>
    <w:rsid w:val="56894032"/>
    <w:rsid w:val="5689497F"/>
    <w:rsid w:val="56894AC6"/>
    <w:rsid w:val="568B1FB7"/>
    <w:rsid w:val="568B24D8"/>
    <w:rsid w:val="568B2843"/>
    <w:rsid w:val="568B6949"/>
    <w:rsid w:val="568D0913"/>
    <w:rsid w:val="568D1D06"/>
    <w:rsid w:val="568D26C1"/>
    <w:rsid w:val="568E01E7"/>
    <w:rsid w:val="568E6439"/>
    <w:rsid w:val="568F0938"/>
    <w:rsid w:val="56900687"/>
    <w:rsid w:val="56903F5F"/>
    <w:rsid w:val="56933A4F"/>
    <w:rsid w:val="56955A19"/>
    <w:rsid w:val="5697353F"/>
    <w:rsid w:val="5697709C"/>
    <w:rsid w:val="56981066"/>
    <w:rsid w:val="569945BB"/>
    <w:rsid w:val="569958AC"/>
    <w:rsid w:val="569972B8"/>
    <w:rsid w:val="569A1639"/>
    <w:rsid w:val="569A3799"/>
    <w:rsid w:val="569A6B8C"/>
    <w:rsid w:val="569C2904"/>
    <w:rsid w:val="569D17FB"/>
    <w:rsid w:val="569E48CE"/>
    <w:rsid w:val="569F18FC"/>
    <w:rsid w:val="569F23F4"/>
    <w:rsid w:val="569F41A2"/>
    <w:rsid w:val="56A1405A"/>
    <w:rsid w:val="56A143BE"/>
    <w:rsid w:val="56A17F1A"/>
    <w:rsid w:val="56A25A40"/>
    <w:rsid w:val="56A4388D"/>
    <w:rsid w:val="56A47A0A"/>
    <w:rsid w:val="56A517D2"/>
    <w:rsid w:val="56A57D08"/>
    <w:rsid w:val="56A60E36"/>
    <w:rsid w:val="56A63783"/>
    <w:rsid w:val="56A66BBF"/>
    <w:rsid w:val="56A812A9"/>
    <w:rsid w:val="56A92F81"/>
    <w:rsid w:val="56AA2565"/>
    <w:rsid w:val="56AB6FEB"/>
    <w:rsid w:val="56AC249A"/>
    <w:rsid w:val="56AC7E60"/>
    <w:rsid w:val="56AD2D63"/>
    <w:rsid w:val="56AD4B11"/>
    <w:rsid w:val="56AD7E09"/>
    <w:rsid w:val="56AE0A32"/>
    <w:rsid w:val="56AE2637"/>
    <w:rsid w:val="56AF65D0"/>
    <w:rsid w:val="56AF6ADB"/>
    <w:rsid w:val="56B0015D"/>
    <w:rsid w:val="56B168DE"/>
    <w:rsid w:val="56B22127"/>
    <w:rsid w:val="56B23ED5"/>
    <w:rsid w:val="56B411C3"/>
    <w:rsid w:val="56B45E9F"/>
    <w:rsid w:val="56B52F3D"/>
    <w:rsid w:val="56B55774"/>
    <w:rsid w:val="56B714EC"/>
    <w:rsid w:val="56B71599"/>
    <w:rsid w:val="56B85264"/>
    <w:rsid w:val="56B90D23"/>
    <w:rsid w:val="56BB0D2A"/>
    <w:rsid w:val="56BC6214"/>
    <w:rsid w:val="56BD0B46"/>
    <w:rsid w:val="56BD3BA2"/>
    <w:rsid w:val="56BE6D1E"/>
    <w:rsid w:val="56BF4B95"/>
    <w:rsid w:val="56BF65F2"/>
    <w:rsid w:val="56C06025"/>
    <w:rsid w:val="56C1236A"/>
    <w:rsid w:val="56C1680E"/>
    <w:rsid w:val="56C24C57"/>
    <w:rsid w:val="56C360E7"/>
    <w:rsid w:val="56C37E91"/>
    <w:rsid w:val="56C43C09"/>
    <w:rsid w:val="56C4574F"/>
    <w:rsid w:val="56C562EE"/>
    <w:rsid w:val="56C6317F"/>
    <w:rsid w:val="56C67981"/>
    <w:rsid w:val="56C80AC9"/>
    <w:rsid w:val="56C854A7"/>
    <w:rsid w:val="56C87B9D"/>
    <w:rsid w:val="56C90DDF"/>
    <w:rsid w:val="56CA56C3"/>
    <w:rsid w:val="56CB143B"/>
    <w:rsid w:val="56CE4A87"/>
    <w:rsid w:val="56CF2CD9"/>
    <w:rsid w:val="56CF5DCB"/>
    <w:rsid w:val="56D025AE"/>
    <w:rsid w:val="56D02B83"/>
    <w:rsid w:val="56D06A51"/>
    <w:rsid w:val="56D106EB"/>
    <w:rsid w:val="56D16FAA"/>
    <w:rsid w:val="56D26326"/>
    <w:rsid w:val="56D402F0"/>
    <w:rsid w:val="56D438A9"/>
    <w:rsid w:val="56D627B6"/>
    <w:rsid w:val="56D77DE0"/>
    <w:rsid w:val="56D843E7"/>
    <w:rsid w:val="56D9030D"/>
    <w:rsid w:val="56DA167E"/>
    <w:rsid w:val="56DA342C"/>
    <w:rsid w:val="56DB78D0"/>
    <w:rsid w:val="56DC53F6"/>
    <w:rsid w:val="56DD316A"/>
    <w:rsid w:val="56DE2F1C"/>
    <w:rsid w:val="56DF0A43"/>
    <w:rsid w:val="56DF1C96"/>
    <w:rsid w:val="56DF313C"/>
    <w:rsid w:val="56E11ADD"/>
    <w:rsid w:val="56E12C15"/>
    <w:rsid w:val="56E147BB"/>
    <w:rsid w:val="56E2080F"/>
    <w:rsid w:val="56E44D2C"/>
    <w:rsid w:val="56E542AB"/>
    <w:rsid w:val="56E568B0"/>
    <w:rsid w:val="56E60023"/>
    <w:rsid w:val="56E61481"/>
    <w:rsid w:val="56E66275"/>
    <w:rsid w:val="56E83D9B"/>
    <w:rsid w:val="56E85B49"/>
    <w:rsid w:val="56E85BAE"/>
    <w:rsid w:val="56E90D97"/>
    <w:rsid w:val="56E9366F"/>
    <w:rsid w:val="56EA7B13"/>
    <w:rsid w:val="56EB2722"/>
    <w:rsid w:val="56EB388B"/>
    <w:rsid w:val="56ED040D"/>
    <w:rsid w:val="56ED6783"/>
    <w:rsid w:val="56ED7603"/>
    <w:rsid w:val="56EE0C86"/>
    <w:rsid w:val="56EF2533"/>
    <w:rsid w:val="56EF4990"/>
    <w:rsid w:val="56F05B65"/>
    <w:rsid w:val="56F106D0"/>
    <w:rsid w:val="56F269C8"/>
    <w:rsid w:val="56F3629C"/>
    <w:rsid w:val="56F444EE"/>
    <w:rsid w:val="56F50266"/>
    <w:rsid w:val="56F52014"/>
    <w:rsid w:val="56F60F76"/>
    <w:rsid w:val="56F65748"/>
    <w:rsid w:val="56F72230"/>
    <w:rsid w:val="56F848A2"/>
    <w:rsid w:val="56F91B04"/>
    <w:rsid w:val="56F94D26"/>
    <w:rsid w:val="56FB1CEA"/>
    <w:rsid w:val="56FC33A3"/>
    <w:rsid w:val="56FF2D86"/>
    <w:rsid w:val="57007337"/>
    <w:rsid w:val="570109B9"/>
    <w:rsid w:val="57016C0B"/>
    <w:rsid w:val="57030BD5"/>
    <w:rsid w:val="57032983"/>
    <w:rsid w:val="570338C5"/>
    <w:rsid w:val="5704203A"/>
    <w:rsid w:val="57044A0A"/>
    <w:rsid w:val="5705494D"/>
    <w:rsid w:val="570556BE"/>
    <w:rsid w:val="57060A6B"/>
    <w:rsid w:val="57081D47"/>
    <w:rsid w:val="570B1838"/>
    <w:rsid w:val="570B7A8A"/>
    <w:rsid w:val="570C0B9E"/>
    <w:rsid w:val="570C0D53"/>
    <w:rsid w:val="570D3802"/>
    <w:rsid w:val="570D462C"/>
    <w:rsid w:val="570E7A86"/>
    <w:rsid w:val="570F1328"/>
    <w:rsid w:val="57115AD6"/>
    <w:rsid w:val="5714192E"/>
    <w:rsid w:val="57142DBE"/>
    <w:rsid w:val="5717642E"/>
    <w:rsid w:val="5718173F"/>
    <w:rsid w:val="571903F8"/>
    <w:rsid w:val="57193F55"/>
    <w:rsid w:val="571A60BC"/>
    <w:rsid w:val="571C57F3"/>
    <w:rsid w:val="571E156B"/>
    <w:rsid w:val="571F7091"/>
    <w:rsid w:val="57203535"/>
    <w:rsid w:val="572052E3"/>
    <w:rsid w:val="572172AD"/>
    <w:rsid w:val="57233025"/>
    <w:rsid w:val="57237F93"/>
    <w:rsid w:val="572528F9"/>
    <w:rsid w:val="57253D43"/>
    <w:rsid w:val="57254C9B"/>
    <w:rsid w:val="5726041F"/>
    <w:rsid w:val="5728063B"/>
    <w:rsid w:val="572A43B4"/>
    <w:rsid w:val="572A6162"/>
    <w:rsid w:val="572B1A69"/>
    <w:rsid w:val="572B1EDA"/>
    <w:rsid w:val="572B3C88"/>
    <w:rsid w:val="572B6B56"/>
    <w:rsid w:val="572C012C"/>
    <w:rsid w:val="572F5526"/>
    <w:rsid w:val="57303990"/>
    <w:rsid w:val="573174F0"/>
    <w:rsid w:val="573214BA"/>
    <w:rsid w:val="57325016"/>
    <w:rsid w:val="57327A88"/>
    <w:rsid w:val="57332B08"/>
    <w:rsid w:val="57346FE0"/>
    <w:rsid w:val="57352C18"/>
    <w:rsid w:val="57361328"/>
    <w:rsid w:val="57362D58"/>
    <w:rsid w:val="57381F2B"/>
    <w:rsid w:val="573838FA"/>
    <w:rsid w:val="573C227B"/>
    <w:rsid w:val="573C5E95"/>
    <w:rsid w:val="573E1C0D"/>
    <w:rsid w:val="573E7E5F"/>
    <w:rsid w:val="57407733"/>
    <w:rsid w:val="574134AB"/>
    <w:rsid w:val="57415259"/>
    <w:rsid w:val="57435475"/>
    <w:rsid w:val="57452F9B"/>
    <w:rsid w:val="57454D4A"/>
    <w:rsid w:val="57465EFE"/>
    <w:rsid w:val="5747738E"/>
    <w:rsid w:val="5748483A"/>
    <w:rsid w:val="5749487F"/>
    <w:rsid w:val="57497CEB"/>
    <w:rsid w:val="57497DBB"/>
    <w:rsid w:val="574A6804"/>
    <w:rsid w:val="574B60D8"/>
    <w:rsid w:val="574D3BFE"/>
    <w:rsid w:val="574E2F4F"/>
    <w:rsid w:val="574E78C6"/>
    <w:rsid w:val="57511940"/>
    <w:rsid w:val="57517B92"/>
    <w:rsid w:val="5753390A"/>
    <w:rsid w:val="57541431"/>
    <w:rsid w:val="575431DF"/>
    <w:rsid w:val="57551D38"/>
    <w:rsid w:val="57552E22"/>
    <w:rsid w:val="5755438D"/>
    <w:rsid w:val="5755554B"/>
    <w:rsid w:val="57560ECF"/>
    <w:rsid w:val="57566F57"/>
    <w:rsid w:val="57572CCF"/>
    <w:rsid w:val="57574A7D"/>
    <w:rsid w:val="57576C22"/>
    <w:rsid w:val="57591EAC"/>
    <w:rsid w:val="575925A3"/>
    <w:rsid w:val="575A40C3"/>
    <w:rsid w:val="575A52B6"/>
    <w:rsid w:val="575B27BF"/>
    <w:rsid w:val="575B631B"/>
    <w:rsid w:val="575C2093"/>
    <w:rsid w:val="575D21D1"/>
    <w:rsid w:val="575D6537"/>
    <w:rsid w:val="575E405D"/>
    <w:rsid w:val="575E5E0B"/>
    <w:rsid w:val="57601B83"/>
    <w:rsid w:val="57623B4D"/>
    <w:rsid w:val="57633422"/>
    <w:rsid w:val="57652917"/>
    <w:rsid w:val="5765363E"/>
    <w:rsid w:val="576553EC"/>
    <w:rsid w:val="57671164"/>
    <w:rsid w:val="57684EDC"/>
    <w:rsid w:val="57692728"/>
    <w:rsid w:val="576A0C54"/>
    <w:rsid w:val="576A2A02"/>
    <w:rsid w:val="576A4536"/>
    <w:rsid w:val="576B22D6"/>
    <w:rsid w:val="576C0528"/>
    <w:rsid w:val="576C64D8"/>
    <w:rsid w:val="576D604E"/>
    <w:rsid w:val="576E2576"/>
    <w:rsid w:val="576E6686"/>
    <w:rsid w:val="576F1DC6"/>
    <w:rsid w:val="576F626A"/>
    <w:rsid w:val="57713D91"/>
    <w:rsid w:val="57723665"/>
    <w:rsid w:val="57727B09"/>
    <w:rsid w:val="5773059A"/>
    <w:rsid w:val="57737D0E"/>
    <w:rsid w:val="577473DD"/>
    <w:rsid w:val="5775558A"/>
    <w:rsid w:val="5775777E"/>
    <w:rsid w:val="577606F8"/>
    <w:rsid w:val="57763155"/>
    <w:rsid w:val="57770C7B"/>
    <w:rsid w:val="57783371"/>
    <w:rsid w:val="57790E97"/>
    <w:rsid w:val="5779221D"/>
    <w:rsid w:val="577A0ADC"/>
    <w:rsid w:val="577A36AD"/>
    <w:rsid w:val="577D5EA0"/>
    <w:rsid w:val="577E200A"/>
    <w:rsid w:val="577F24AA"/>
    <w:rsid w:val="57802226"/>
    <w:rsid w:val="5781368F"/>
    <w:rsid w:val="57821E3F"/>
    <w:rsid w:val="57831D16"/>
    <w:rsid w:val="578332CF"/>
    <w:rsid w:val="57835872"/>
    <w:rsid w:val="57835EA0"/>
    <w:rsid w:val="57847330"/>
    <w:rsid w:val="5785783C"/>
    <w:rsid w:val="57861C50"/>
    <w:rsid w:val="578735B4"/>
    <w:rsid w:val="57874D86"/>
    <w:rsid w:val="57875362"/>
    <w:rsid w:val="578810DA"/>
    <w:rsid w:val="578A4E52"/>
    <w:rsid w:val="578B1008"/>
    <w:rsid w:val="578E03E2"/>
    <w:rsid w:val="578E4942"/>
    <w:rsid w:val="578F2469"/>
    <w:rsid w:val="578F5F96"/>
    <w:rsid w:val="57914287"/>
    <w:rsid w:val="57914433"/>
    <w:rsid w:val="57917F8F"/>
    <w:rsid w:val="57921934"/>
    <w:rsid w:val="57931F59"/>
    <w:rsid w:val="57947A7F"/>
    <w:rsid w:val="579655A5"/>
    <w:rsid w:val="579706B0"/>
    <w:rsid w:val="57981DED"/>
    <w:rsid w:val="57995095"/>
    <w:rsid w:val="57996E43"/>
    <w:rsid w:val="579B34C1"/>
    <w:rsid w:val="579C3E76"/>
    <w:rsid w:val="579C621E"/>
    <w:rsid w:val="579E26AC"/>
    <w:rsid w:val="579E445A"/>
    <w:rsid w:val="579F3F38"/>
    <w:rsid w:val="57A203EE"/>
    <w:rsid w:val="57A35F14"/>
    <w:rsid w:val="57A451D9"/>
    <w:rsid w:val="57A50A53"/>
    <w:rsid w:val="57A71560"/>
    <w:rsid w:val="57A72D2D"/>
    <w:rsid w:val="57A777B2"/>
    <w:rsid w:val="57A8352A"/>
    <w:rsid w:val="57A852D8"/>
    <w:rsid w:val="57A910BF"/>
    <w:rsid w:val="57A94FEA"/>
    <w:rsid w:val="57AA1051"/>
    <w:rsid w:val="57AA2DFF"/>
    <w:rsid w:val="57AA72A2"/>
    <w:rsid w:val="57AC301B"/>
    <w:rsid w:val="57AC4DC9"/>
    <w:rsid w:val="57AE07FF"/>
    <w:rsid w:val="57AE0B41"/>
    <w:rsid w:val="57AF493F"/>
    <w:rsid w:val="57AF6667"/>
    <w:rsid w:val="57B10631"/>
    <w:rsid w:val="57B123DF"/>
    <w:rsid w:val="57B13190"/>
    <w:rsid w:val="57B27F05"/>
    <w:rsid w:val="57B323AE"/>
    <w:rsid w:val="57B36157"/>
    <w:rsid w:val="57B40121"/>
    <w:rsid w:val="57B41ECF"/>
    <w:rsid w:val="57B43C7D"/>
    <w:rsid w:val="57B5615E"/>
    <w:rsid w:val="57B679F5"/>
    <w:rsid w:val="57B721BF"/>
    <w:rsid w:val="57B8376D"/>
    <w:rsid w:val="57BB14B0"/>
    <w:rsid w:val="57BB325E"/>
    <w:rsid w:val="57BB500C"/>
    <w:rsid w:val="57BC2B32"/>
    <w:rsid w:val="57BC3D89"/>
    <w:rsid w:val="57BC4D70"/>
    <w:rsid w:val="57BD0D84"/>
    <w:rsid w:val="57BD259B"/>
    <w:rsid w:val="57BE6332"/>
    <w:rsid w:val="57BE68AA"/>
    <w:rsid w:val="57BF2D4E"/>
    <w:rsid w:val="57C00874"/>
    <w:rsid w:val="57C06AC6"/>
    <w:rsid w:val="57C100EB"/>
    <w:rsid w:val="57C20AC5"/>
    <w:rsid w:val="57C2283E"/>
    <w:rsid w:val="57C245EC"/>
    <w:rsid w:val="57C2639A"/>
    <w:rsid w:val="57C55E8A"/>
    <w:rsid w:val="57C87729"/>
    <w:rsid w:val="57C956CF"/>
    <w:rsid w:val="57C97F17"/>
    <w:rsid w:val="57CA0634"/>
    <w:rsid w:val="57CA16F3"/>
    <w:rsid w:val="57CA5A63"/>
    <w:rsid w:val="57CB544E"/>
    <w:rsid w:val="57CC546B"/>
    <w:rsid w:val="57CC5A00"/>
    <w:rsid w:val="57CC7219"/>
    <w:rsid w:val="57CD7296"/>
    <w:rsid w:val="57CE1C59"/>
    <w:rsid w:val="57D1482F"/>
    <w:rsid w:val="57D4431F"/>
    <w:rsid w:val="57D60097"/>
    <w:rsid w:val="57D63BF4"/>
    <w:rsid w:val="57D80DB6"/>
    <w:rsid w:val="57D83E10"/>
    <w:rsid w:val="57D85BBE"/>
    <w:rsid w:val="57D90823"/>
    <w:rsid w:val="57D97DE1"/>
    <w:rsid w:val="57DA1D5C"/>
    <w:rsid w:val="57DA2CF2"/>
    <w:rsid w:val="57DA7B88"/>
    <w:rsid w:val="57DB56AE"/>
    <w:rsid w:val="57DD31D4"/>
    <w:rsid w:val="57DD3E74"/>
    <w:rsid w:val="57DD5BF0"/>
    <w:rsid w:val="57DE0CFA"/>
    <w:rsid w:val="57DE6F4C"/>
    <w:rsid w:val="57DF519E"/>
    <w:rsid w:val="57DF5CDA"/>
    <w:rsid w:val="57E11082"/>
    <w:rsid w:val="57E11119"/>
    <w:rsid w:val="57E12556"/>
    <w:rsid w:val="57E26A3C"/>
    <w:rsid w:val="57E51B95"/>
    <w:rsid w:val="57E52089"/>
    <w:rsid w:val="57E54EDF"/>
    <w:rsid w:val="57E62D59"/>
    <w:rsid w:val="57E74053"/>
    <w:rsid w:val="57E75E01"/>
    <w:rsid w:val="57E91B79"/>
    <w:rsid w:val="57E97DCB"/>
    <w:rsid w:val="57EA58F1"/>
    <w:rsid w:val="57EA64DD"/>
    <w:rsid w:val="57EB4D9C"/>
    <w:rsid w:val="57EC1669"/>
    <w:rsid w:val="57EC78BB"/>
    <w:rsid w:val="57ED033C"/>
    <w:rsid w:val="57ED31CF"/>
    <w:rsid w:val="57ED358E"/>
    <w:rsid w:val="57EE3633"/>
    <w:rsid w:val="57EE718F"/>
    <w:rsid w:val="57EF2F07"/>
    <w:rsid w:val="57EF502F"/>
    <w:rsid w:val="57EF62EE"/>
    <w:rsid w:val="57F10C0E"/>
    <w:rsid w:val="57F14ED1"/>
    <w:rsid w:val="57F34EAD"/>
    <w:rsid w:val="57F4051E"/>
    <w:rsid w:val="57F55EB3"/>
    <w:rsid w:val="57F624E8"/>
    <w:rsid w:val="57F64A30"/>
    <w:rsid w:val="57F64A80"/>
    <w:rsid w:val="57F652BC"/>
    <w:rsid w:val="57F66044"/>
    <w:rsid w:val="57F73ACE"/>
    <w:rsid w:val="57F81DBC"/>
    <w:rsid w:val="57F91F71"/>
    <w:rsid w:val="57FA3D86"/>
    <w:rsid w:val="57FB7AFE"/>
    <w:rsid w:val="57FE314A"/>
    <w:rsid w:val="57FF139C"/>
    <w:rsid w:val="57FF75EE"/>
    <w:rsid w:val="58003366"/>
    <w:rsid w:val="58030761"/>
    <w:rsid w:val="58032115"/>
    <w:rsid w:val="58035BF4"/>
    <w:rsid w:val="580404DB"/>
    <w:rsid w:val="58044C05"/>
    <w:rsid w:val="58047084"/>
    <w:rsid w:val="58056EA2"/>
    <w:rsid w:val="580746F5"/>
    <w:rsid w:val="580C5615"/>
    <w:rsid w:val="580C5867"/>
    <w:rsid w:val="580F4197"/>
    <w:rsid w:val="580F7106"/>
    <w:rsid w:val="581110D0"/>
    <w:rsid w:val="5813309A"/>
    <w:rsid w:val="5814071D"/>
    <w:rsid w:val="58150155"/>
    <w:rsid w:val="58150BC0"/>
    <w:rsid w:val="58160494"/>
    <w:rsid w:val="581A12AA"/>
    <w:rsid w:val="581A4428"/>
    <w:rsid w:val="581A61D6"/>
    <w:rsid w:val="581B1F4E"/>
    <w:rsid w:val="581B5AAA"/>
    <w:rsid w:val="581C1F3D"/>
    <w:rsid w:val="581D1822"/>
    <w:rsid w:val="581D5CC6"/>
    <w:rsid w:val="581D7A74"/>
    <w:rsid w:val="581F37ED"/>
    <w:rsid w:val="58201313"/>
    <w:rsid w:val="5821512A"/>
    <w:rsid w:val="582165AC"/>
    <w:rsid w:val="5822260D"/>
    <w:rsid w:val="582232DD"/>
    <w:rsid w:val="5822341B"/>
    <w:rsid w:val="58226E39"/>
    <w:rsid w:val="58247055"/>
    <w:rsid w:val="58257AFE"/>
    <w:rsid w:val="5826241E"/>
    <w:rsid w:val="58262DCD"/>
    <w:rsid w:val="582708F3"/>
    <w:rsid w:val="5827444F"/>
    <w:rsid w:val="582901C7"/>
    <w:rsid w:val="5829466B"/>
    <w:rsid w:val="58296419"/>
    <w:rsid w:val="582B2191"/>
    <w:rsid w:val="582C415B"/>
    <w:rsid w:val="582E3A30"/>
    <w:rsid w:val="582E58EE"/>
    <w:rsid w:val="582F1556"/>
    <w:rsid w:val="582F21E1"/>
    <w:rsid w:val="583077E2"/>
    <w:rsid w:val="58311772"/>
    <w:rsid w:val="58313520"/>
    <w:rsid w:val="583152CE"/>
    <w:rsid w:val="583160A1"/>
    <w:rsid w:val="58324E4B"/>
    <w:rsid w:val="58346B6C"/>
    <w:rsid w:val="58353010"/>
    <w:rsid w:val="58360B36"/>
    <w:rsid w:val="5838665C"/>
    <w:rsid w:val="58391B62"/>
    <w:rsid w:val="583A0626"/>
    <w:rsid w:val="583A23D4"/>
    <w:rsid w:val="583B614D"/>
    <w:rsid w:val="583C439E"/>
    <w:rsid w:val="583D1EC5"/>
    <w:rsid w:val="583D273B"/>
    <w:rsid w:val="583F3C8A"/>
    <w:rsid w:val="583F3E8F"/>
    <w:rsid w:val="58403763"/>
    <w:rsid w:val="58405511"/>
    <w:rsid w:val="584119B5"/>
    <w:rsid w:val="58417C07"/>
    <w:rsid w:val="5842572D"/>
    <w:rsid w:val="5844018D"/>
    <w:rsid w:val="584414A5"/>
    <w:rsid w:val="58443253"/>
    <w:rsid w:val="58450D79"/>
    <w:rsid w:val="58461A08"/>
    <w:rsid w:val="58472D43"/>
    <w:rsid w:val="58492617"/>
    <w:rsid w:val="584957B8"/>
    <w:rsid w:val="58496ABB"/>
    <w:rsid w:val="584A6AB2"/>
    <w:rsid w:val="584B43EA"/>
    <w:rsid w:val="584D65AC"/>
    <w:rsid w:val="584E40D2"/>
    <w:rsid w:val="584E5E80"/>
    <w:rsid w:val="584E7C2E"/>
    <w:rsid w:val="585039A6"/>
    <w:rsid w:val="58515970"/>
    <w:rsid w:val="58525827"/>
    <w:rsid w:val="585302EF"/>
    <w:rsid w:val="58535244"/>
    <w:rsid w:val="58536FD9"/>
    <w:rsid w:val="5853793A"/>
    <w:rsid w:val="58562F86"/>
    <w:rsid w:val="58564D34"/>
    <w:rsid w:val="585711D8"/>
    <w:rsid w:val="5857124C"/>
    <w:rsid w:val="58575BCF"/>
    <w:rsid w:val="58586CFE"/>
    <w:rsid w:val="585A16BE"/>
    <w:rsid w:val="585B059D"/>
    <w:rsid w:val="585C67EF"/>
    <w:rsid w:val="585C79AC"/>
    <w:rsid w:val="585D442D"/>
    <w:rsid w:val="585D60C3"/>
    <w:rsid w:val="585E654E"/>
    <w:rsid w:val="585F008D"/>
    <w:rsid w:val="585F1E3B"/>
    <w:rsid w:val="585F62DF"/>
    <w:rsid w:val="586016DA"/>
    <w:rsid w:val="58602F7F"/>
    <w:rsid w:val="58607961"/>
    <w:rsid w:val="58615BB3"/>
    <w:rsid w:val="5862192B"/>
    <w:rsid w:val="58627B7D"/>
    <w:rsid w:val="586308C3"/>
    <w:rsid w:val="58647451"/>
    <w:rsid w:val="586631C9"/>
    <w:rsid w:val="58683912"/>
    <w:rsid w:val="586B07E0"/>
    <w:rsid w:val="586B4C84"/>
    <w:rsid w:val="586B6A32"/>
    <w:rsid w:val="586C27AA"/>
    <w:rsid w:val="586C6306"/>
    <w:rsid w:val="586D09FC"/>
    <w:rsid w:val="58704048"/>
    <w:rsid w:val="58711142"/>
    <w:rsid w:val="58711B6E"/>
    <w:rsid w:val="58727DC0"/>
    <w:rsid w:val="587358E6"/>
    <w:rsid w:val="58737694"/>
    <w:rsid w:val="5875165E"/>
    <w:rsid w:val="5875340D"/>
    <w:rsid w:val="587753D7"/>
    <w:rsid w:val="58775D4B"/>
    <w:rsid w:val="58782EFD"/>
    <w:rsid w:val="58782F40"/>
    <w:rsid w:val="587830F6"/>
    <w:rsid w:val="58784567"/>
    <w:rsid w:val="587A07F0"/>
    <w:rsid w:val="587A0A23"/>
    <w:rsid w:val="587B479B"/>
    <w:rsid w:val="587D49B7"/>
    <w:rsid w:val="587D6765"/>
    <w:rsid w:val="587F24DD"/>
    <w:rsid w:val="58800458"/>
    <w:rsid w:val="58801DB1"/>
    <w:rsid w:val="58810003"/>
    <w:rsid w:val="58813029"/>
    <w:rsid w:val="58823D7B"/>
    <w:rsid w:val="588419AA"/>
    <w:rsid w:val="58845D45"/>
    <w:rsid w:val="58846FB0"/>
    <w:rsid w:val="588506DA"/>
    <w:rsid w:val="588673C8"/>
    <w:rsid w:val="58874CDC"/>
    <w:rsid w:val="588875E4"/>
    <w:rsid w:val="5889438C"/>
    <w:rsid w:val="58896EB8"/>
    <w:rsid w:val="588B70D4"/>
    <w:rsid w:val="588C69A8"/>
    <w:rsid w:val="588D3E49"/>
    <w:rsid w:val="588E2720"/>
    <w:rsid w:val="588F1DAA"/>
    <w:rsid w:val="588F2B00"/>
    <w:rsid w:val="58903567"/>
    <w:rsid w:val="5891480F"/>
    <w:rsid w:val="58916179"/>
    <w:rsid w:val="58920462"/>
    <w:rsid w:val="58931AE5"/>
    <w:rsid w:val="58932672"/>
    <w:rsid w:val="58951D01"/>
    <w:rsid w:val="5895292F"/>
    <w:rsid w:val="58953AAF"/>
    <w:rsid w:val="58966F98"/>
    <w:rsid w:val="58975A79"/>
    <w:rsid w:val="58977827"/>
    <w:rsid w:val="5898359F"/>
    <w:rsid w:val="5898534D"/>
    <w:rsid w:val="589870FB"/>
    <w:rsid w:val="589917F1"/>
    <w:rsid w:val="589A2E73"/>
    <w:rsid w:val="589A3BD0"/>
    <w:rsid w:val="589A7317"/>
    <w:rsid w:val="589B5060"/>
    <w:rsid w:val="589C308F"/>
    <w:rsid w:val="589C6BEB"/>
    <w:rsid w:val="589D0BB5"/>
    <w:rsid w:val="589D2963"/>
    <w:rsid w:val="589D3C92"/>
    <w:rsid w:val="589E6E07"/>
    <w:rsid w:val="589F0489"/>
    <w:rsid w:val="58A04049"/>
    <w:rsid w:val="58A14BE8"/>
    <w:rsid w:val="58A275D7"/>
    <w:rsid w:val="58A27F7A"/>
    <w:rsid w:val="58A314F6"/>
    <w:rsid w:val="58A40196"/>
    <w:rsid w:val="58A544FD"/>
    <w:rsid w:val="58A638B4"/>
    <w:rsid w:val="58A65CBC"/>
    <w:rsid w:val="58A8162D"/>
    <w:rsid w:val="58A85EDA"/>
    <w:rsid w:val="58A917A7"/>
    <w:rsid w:val="58AB1524"/>
    <w:rsid w:val="58AB32D2"/>
    <w:rsid w:val="58AB44A7"/>
    <w:rsid w:val="58AB5080"/>
    <w:rsid w:val="58AB6E2E"/>
    <w:rsid w:val="58AB7726"/>
    <w:rsid w:val="58AD704A"/>
    <w:rsid w:val="58AF2C81"/>
    <w:rsid w:val="58B061F7"/>
    <w:rsid w:val="58B06B3A"/>
    <w:rsid w:val="58B109C7"/>
    <w:rsid w:val="58B232E7"/>
    <w:rsid w:val="58B23912"/>
    <w:rsid w:val="58B24661"/>
    <w:rsid w:val="58B2640F"/>
    <w:rsid w:val="58B303D9"/>
    <w:rsid w:val="58B33511"/>
    <w:rsid w:val="58B33F35"/>
    <w:rsid w:val="58B42ACF"/>
    <w:rsid w:val="58B47EE2"/>
    <w:rsid w:val="58B54151"/>
    <w:rsid w:val="58B63628"/>
    <w:rsid w:val="58B71C77"/>
    <w:rsid w:val="58B73A25"/>
    <w:rsid w:val="58B77F1B"/>
    <w:rsid w:val="58B8207F"/>
    <w:rsid w:val="58B905E9"/>
    <w:rsid w:val="58B959EF"/>
    <w:rsid w:val="58BA1CEE"/>
    <w:rsid w:val="58BA52C3"/>
    <w:rsid w:val="58BC54DF"/>
    <w:rsid w:val="58BD4DB3"/>
    <w:rsid w:val="58BD534C"/>
    <w:rsid w:val="58BD6B62"/>
    <w:rsid w:val="58BF0B2C"/>
    <w:rsid w:val="58BF6D2B"/>
    <w:rsid w:val="58BF6D7E"/>
    <w:rsid w:val="58C00CA8"/>
    <w:rsid w:val="58C026BB"/>
    <w:rsid w:val="58C058EB"/>
    <w:rsid w:val="58C148A4"/>
    <w:rsid w:val="58C15CEE"/>
    <w:rsid w:val="58C223CA"/>
    <w:rsid w:val="58C3061C"/>
    <w:rsid w:val="58C44394"/>
    <w:rsid w:val="58C6010C"/>
    <w:rsid w:val="58C75E36"/>
    <w:rsid w:val="58C919AA"/>
    <w:rsid w:val="58CA156E"/>
    <w:rsid w:val="58CA7BFC"/>
    <w:rsid w:val="58CC48CB"/>
    <w:rsid w:val="58CF0F0C"/>
    <w:rsid w:val="58D00F8B"/>
    <w:rsid w:val="58D02D39"/>
    <w:rsid w:val="58D26AB1"/>
    <w:rsid w:val="58D345D7"/>
    <w:rsid w:val="58D354A2"/>
    <w:rsid w:val="58D36385"/>
    <w:rsid w:val="58D42829"/>
    <w:rsid w:val="58D65DEC"/>
    <w:rsid w:val="58D740C7"/>
    <w:rsid w:val="58D75E75"/>
    <w:rsid w:val="58D8399B"/>
    <w:rsid w:val="58D859DB"/>
    <w:rsid w:val="58DA5965"/>
    <w:rsid w:val="58DC16DE"/>
    <w:rsid w:val="58DC348C"/>
    <w:rsid w:val="58DC3983"/>
    <w:rsid w:val="58DD4440"/>
    <w:rsid w:val="58DE293D"/>
    <w:rsid w:val="58DF2F7C"/>
    <w:rsid w:val="58DF3D9A"/>
    <w:rsid w:val="58E02A3F"/>
    <w:rsid w:val="58E04ED5"/>
    <w:rsid w:val="58E10AA2"/>
    <w:rsid w:val="58E10F36"/>
    <w:rsid w:val="58E16CF4"/>
    <w:rsid w:val="58E22CFB"/>
    <w:rsid w:val="58E33856"/>
    <w:rsid w:val="58E42340"/>
    <w:rsid w:val="58E467E4"/>
    <w:rsid w:val="58E60EC8"/>
    <w:rsid w:val="58E6255C"/>
    <w:rsid w:val="58E6430A"/>
    <w:rsid w:val="58E65ABE"/>
    <w:rsid w:val="58E80B25"/>
    <w:rsid w:val="58E93DFA"/>
    <w:rsid w:val="58EA0B58"/>
    <w:rsid w:val="58EA204C"/>
    <w:rsid w:val="58EA22FF"/>
    <w:rsid w:val="58EC5485"/>
    <w:rsid w:val="58ED38EB"/>
    <w:rsid w:val="58ED4252"/>
    <w:rsid w:val="58ED7447"/>
    <w:rsid w:val="58EE31BF"/>
    <w:rsid w:val="58EE52B7"/>
    <w:rsid w:val="58EF652E"/>
    <w:rsid w:val="58F033DB"/>
    <w:rsid w:val="58F21EBB"/>
    <w:rsid w:val="58F24A5D"/>
    <w:rsid w:val="58F307D5"/>
    <w:rsid w:val="58F44C79"/>
    <w:rsid w:val="58F509F1"/>
    <w:rsid w:val="58F5279F"/>
    <w:rsid w:val="58F72073"/>
    <w:rsid w:val="58F92290"/>
    <w:rsid w:val="58F959E5"/>
    <w:rsid w:val="58FA6008"/>
    <w:rsid w:val="58FC2F6D"/>
    <w:rsid w:val="58FC3B2E"/>
    <w:rsid w:val="58FC58DC"/>
    <w:rsid w:val="58FC71A2"/>
    <w:rsid w:val="58FD3402"/>
    <w:rsid w:val="58FE65EC"/>
    <w:rsid w:val="5900361E"/>
    <w:rsid w:val="59030A18"/>
    <w:rsid w:val="5903310E"/>
    <w:rsid w:val="59034EBC"/>
    <w:rsid w:val="590429E2"/>
    <w:rsid w:val="59050C34"/>
    <w:rsid w:val="590617C1"/>
    <w:rsid w:val="5906459C"/>
    <w:rsid w:val="59077622"/>
    <w:rsid w:val="590777C4"/>
    <w:rsid w:val="59084281"/>
    <w:rsid w:val="59091DA7"/>
    <w:rsid w:val="59097FF9"/>
    <w:rsid w:val="590A1F1E"/>
    <w:rsid w:val="590A2C81"/>
    <w:rsid w:val="590A624B"/>
    <w:rsid w:val="590B0730"/>
    <w:rsid w:val="590B3D71"/>
    <w:rsid w:val="590B5B1F"/>
    <w:rsid w:val="590D1897"/>
    <w:rsid w:val="590D5D3B"/>
    <w:rsid w:val="590D7AE9"/>
    <w:rsid w:val="590F3861"/>
    <w:rsid w:val="59113119"/>
    <w:rsid w:val="59116E1E"/>
    <w:rsid w:val="591250FF"/>
    <w:rsid w:val="59142684"/>
    <w:rsid w:val="59153B14"/>
    <w:rsid w:val="59154BEF"/>
    <w:rsid w:val="5915699E"/>
    <w:rsid w:val="59162E41"/>
    <w:rsid w:val="59170968"/>
    <w:rsid w:val="59172716"/>
    <w:rsid w:val="59175239"/>
    <w:rsid w:val="591838C0"/>
    <w:rsid w:val="59195066"/>
    <w:rsid w:val="5919648E"/>
    <w:rsid w:val="591E1CF6"/>
    <w:rsid w:val="591F46B1"/>
    <w:rsid w:val="59201E0F"/>
    <w:rsid w:val="59205A6E"/>
    <w:rsid w:val="5922354D"/>
    <w:rsid w:val="592310BA"/>
    <w:rsid w:val="59246BE1"/>
    <w:rsid w:val="59253085"/>
    <w:rsid w:val="59253609"/>
    <w:rsid w:val="592661DA"/>
    <w:rsid w:val="592774C4"/>
    <w:rsid w:val="59280AFA"/>
    <w:rsid w:val="59282B75"/>
    <w:rsid w:val="59284923"/>
    <w:rsid w:val="592A069B"/>
    <w:rsid w:val="592A5FEB"/>
    <w:rsid w:val="592B7F6F"/>
    <w:rsid w:val="592D1F39"/>
    <w:rsid w:val="592D3CE7"/>
    <w:rsid w:val="592E215D"/>
    <w:rsid w:val="592F3F03"/>
    <w:rsid w:val="59301A29"/>
    <w:rsid w:val="59301E5D"/>
    <w:rsid w:val="593212FE"/>
    <w:rsid w:val="59335165"/>
    <w:rsid w:val="59335C0C"/>
    <w:rsid w:val="59341C6D"/>
    <w:rsid w:val="593432C8"/>
    <w:rsid w:val="59350FDF"/>
    <w:rsid w:val="593625C1"/>
    <w:rsid w:val="59372DB8"/>
    <w:rsid w:val="59376914"/>
    <w:rsid w:val="593820AF"/>
    <w:rsid w:val="59392F0E"/>
    <w:rsid w:val="593A1412"/>
    <w:rsid w:val="593A3294"/>
    <w:rsid w:val="593B28A8"/>
    <w:rsid w:val="593B4656"/>
    <w:rsid w:val="593C03FF"/>
    <w:rsid w:val="593C217C"/>
    <w:rsid w:val="593D4460"/>
    <w:rsid w:val="593F3A1A"/>
    <w:rsid w:val="59400210"/>
    <w:rsid w:val="59401C6C"/>
    <w:rsid w:val="59403CBE"/>
    <w:rsid w:val="59407EBE"/>
    <w:rsid w:val="59411541"/>
    <w:rsid w:val="59417793"/>
    <w:rsid w:val="59441031"/>
    <w:rsid w:val="59451E18"/>
    <w:rsid w:val="594554D5"/>
    <w:rsid w:val="59457283"/>
    <w:rsid w:val="59462FFB"/>
    <w:rsid w:val="5947577F"/>
    <w:rsid w:val="59480B21"/>
    <w:rsid w:val="594869A2"/>
    <w:rsid w:val="594A6647"/>
    <w:rsid w:val="594B4BD8"/>
    <w:rsid w:val="594B6E8E"/>
    <w:rsid w:val="594D4389"/>
    <w:rsid w:val="594E379E"/>
    <w:rsid w:val="594E3CA4"/>
    <w:rsid w:val="594F0101"/>
    <w:rsid w:val="594F3C5E"/>
    <w:rsid w:val="595079D6"/>
    <w:rsid w:val="5952570D"/>
    <w:rsid w:val="59527BF2"/>
    <w:rsid w:val="59537B91"/>
    <w:rsid w:val="59575208"/>
    <w:rsid w:val="59576FB6"/>
    <w:rsid w:val="59586497"/>
    <w:rsid w:val="59592D2E"/>
    <w:rsid w:val="595A2602"/>
    <w:rsid w:val="595B0854"/>
    <w:rsid w:val="595B4CF8"/>
    <w:rsid w:val="595B5339"/>
    <w:rsid w:val="595C45CC"/>
    <w:rsid w:val="595C637A"/>
    <w:rsid w:val="595D0E79"/>
    <w:rsid w:val="595F1029"/>
    <w:rsid w:val="59613991"/>
    <w:rsid w:val="59624CEB"/>
    <w:rsid w:val="59633BAD"/>
    <w:rsid w:val="59637709"/>
    <w:rsid w:val="596516D3"/>
    <w:rsid w:val="596641C9"/>
    <w:rsid w:val="596671F9"/>
    <w:rsid w:val="59673877"/>
    <w:rsid w:val="596811C3"/>
    <w:rsid w:val="59684544"/>
    <w:rsid w:val="59684D1F"/>
    <w:rsid w:val="59694B3F"/>
    <w:rsid w:val="596A0A97"/>
    <w:rsid w:val="596A1D3C"/>
    <w:rsid w:val="596C0CB3"/>
    <w:rsid w:val="596F60AE"/>
    <w:rsid w:val="59701E26"/>
    <w:rsid w:val="597162CA"/>
    <w:rsid w:val="59723664"/>
    <w:rsid w:val="59725B9E"/>
    <w:rsid w:val="59734EC6"/>
    <w:rsid w:val="597436C4"/>
    <w:rsid w:val="59750590"/>
    <w:rsid w:val="59760D08"/>
    <w:rsid w:val="5976568E"/>
    <w:rsid w:val="59771406"/>
    <w:rsid w:val="59777658"/>
    <w:rsid w:val="597933D0"/>
    <w:rsid w:val="59796F2C"/>
    <w:rsid w:val="597A4A53"/>
    <w:rsid w:val="597B0EF6"/>
    <w:rsid w:val="597B2CC1"/>
    <w:rsid w:val="597C6A1D"/>
    <w:rsid w:val="597D4C6F"/>
    <w:rsid w:val="597E01B2"/>
    <w:rsid w:val="597E09E7"/>
    <w:rsid w:val="597E2795"/>
    <w:rsid w:val="597F6885"/>
    <w:rsid w:val="598002BB"/>
    <w:rsid w:val="5980259E"/>
    <w:rsid w:val="59814033"/>
    <w:rsid w:val="59815DE1"/>
    <w:rsid w:val="59822285"/>
    <w:rsid w:val="59831B59"/>
    <w:rsid w:val="598454B4"/>
    <w:rsid w:val="59850085"/>
    <w:rsid w:val="598633F7"/>
    <w:rsid w:val="598729A5"/>
    <w:rsid w:val="5988716F"/>
    <w:rsid w:val="598A113A"/>
    <w:rsid w:val="598A481E"/>
    <w:rsid w:val="598C4A22"/>
    <w:rsid w:val="598C540C"/>
    <w:rsid w:val="598D0C2A"/>
    <w:rsid w:val="598D29D8"/>
    <w:rsid w:val="598E2D32"/>
    <w:rsid w:val="598F49A2"/>
    <w:rsid w:val="59926240"/>
    <w:rsid w:val="59927FEE"/>
    <w:rsid w:val="59934492"/>
    <w:rsid w:val="5993577D"/>
    <w:rsid w:val="599476BF"/>
    <w:rsid w:val="599504DA"/>
    <w:rsid w:val="59977C6E"/>
    <w:rsid w:val="599864FB"/>
    <w:rsid w:val="5999137D"/>
    <w:rsid w:val="5999312B"/>
    <w:rsid w:val="59995821"/>
    <w:rsid w:val="599975CF"/>
    <w:rsid w:val="599A611E"/>
    <w:rsid w:val="599B3347"/>
    <w:rsid w:val="599B683D"/>
    <w:rsid w:val="599C0E6D"/>
    <w:rsid w:val="599E0A00"/>
    <w:rsid w:val="599E4BE5"/>
    <w:rsid w:val="599F61DC"/>
    <w:rsid w:val="59A044B9"/>
    <w:rsid w:val="59A10231"/>
    <w:rsid w:val="59A33FA9"/>
    <w:rsid w:val="59A55F73"/>
    <w:rsid w:val="59A579DB"/>
    <w:rsid w:val="59A57D21"/>
    <w:rsid w:val="59A60AFF"/>
    <w:rsid w:val="59A7084E"/>
    <w:rsid w:val="59A860E0"/>
    <w:rsid w:val="59A95D3F"/>
    <w:rsid w:val="59AC0D97"/>
    <w:rsid w:val="59AC10B0"/>
    <w:rsid w:val="59AC7302"/>
    <w:rsid w:val="59AD2E8E"/>
    <w:rsid w:val="59AD307A"/>
    <w:rsid w:val="59AD5029"/>
    <w:rsid w:val="59AE0721"/>
    <w:rsid w:val="59AF0BA0"/>
    <w:rsid w:val="59AF294E"/>
    <w:rsid w:val="59B14918"/>
    <w:rsid w:val="59B241EC"/>
    <w:rsid w:val="59B30690"/>
    <w:rsid w:val="59B47F65"/>
    <w:rsid w:val="59B61F2F"/>
    <w:rsid w:val="59B82F14"/>
    <w:rsid w:val="59B85ACE"/>
    <w:rsid w:val="59B85CA7"/>
    <w:rsid w:val="59B937CD"/>
    <w:rsid w:val="59B94F54"/>
    <w:rsid w:val="59B9557B"/>
    <w:rsid w:val="59BB12F3"/>
    <w:rsid w:val="59BC506B"/>
    <w:rsid w:val="59BD6D86"/>
    <w:rsid w:val="59BE5287"/>
    <w:rsid w:val="59BE6CBF"/>
    <w:rsid w:val="59C12681"/>
    <w:rsid w:val="59C26B25"/>
    <w:rsid w:val="59C26B97"/>
    <w:rsid w:val="59C363FA"/>
    <w:rsid w:val="59C4289D"/>
    <w:rsid w:val="59C47A3C"/>
    <w:rsid w:val="59C503C4"/>
    <w:rsid w:val="59C52172"/>
    <w:rsid w:val="59C53DD7"/>
    <w:rsid w:val="59C7413C"/>
    <w:rsid w:val="59C81C62"/>
    <w:rsid w:val="59C97EB4"/>
    <w:rsid w:val="59CA3C2C"/>
    <w:rsid w:val="59CA7788"/>
    <w:rsid w:val="59CB4220"/>
    <w:rsid w:val="59CC1752"/>
    <w:rsid w:val="59CD1026"/>
    <w:rsid w:val="59CE248B"/>
    <w:rsid w:val="59CF2FF0"/>
    <w:rsid w:val="59D00F51"/>
    <w:rsid w:val="59D16D68"/>
    <w:rsid w:val="59D2663D"/>
    <w:rsid w:val="59D32AE1"/>
    <w:rsid w:val="59D423B5"/>
    <w:rsid w:val="59D614CD"/>
    <w:rsid w:val="59D6437F"/>
    <w:rsid w:val="59D93E6F"/>
    <w:rsid w:val="59D95C1D"/>
    <w:rsid w:val="59D979CB"/>
    <w:rsid w:val="59DB1995"/>
    <w:rsid w:val="59DB3657"/>
    <w:rsid w:val="59DC6BB9"/>
    <w:rsid w:val="59DE1485"/>
    <w:rsid w:val="59DE4C2F"/>
    <w:rsid w:val="59E009DF"/>
    <w:rsid w:val="59E00D5A"/>
    <w:rsid w:val="59E06FAB"/>
    <w:rsid w:val="59E20F76"/>
    <w:rsid w:val="59E27611"/>
    <w:rsid w:val="59E448A1"/>
    <w:rsid w:val="59E44CEE"/>
    <w:rsid w:val="59E455A3"/>
    <w:rsid w:val="59E56370"/>
    <w:rsid w:val="59E7033A"/>
    <w:rsid w:val="59E720E8"/>
    <w:rsid w:val="59E7658C"/>
    <w:rsid w:val="59E96E23"/>
    <w:rsid w:val="59E97F64"/>
    <w:rsid w:val="59EA7E2A"/>
    <w:rsid w:val="59EB5AF2"/>
    <w:rsid w:val="59EB7233"/>
    <w:rsid w:val="59EC06C3"/>
    <w:rsid w:val="59EC3BA2"/>
    <w:rsid w:val="59EC76FE"/>
    <w:rsid w:val="59ED369A"/>
    <w:rsid w:val="59EE2FE3"/>
    <w:rsid w:val="59F04EF8"/>
    <w:rsid w:val="59F1740B"/>
    <w:rsid w:val="59F34F31"/>
    <w:rsid w:val="59F36CDF"/>
    <w:rsid w:val="59F40CA9"/>
    <w:rsid w:val="59F41AB2"/>
    <w:rsid w:val="59F46E55"/>
    <w:rsid w:val="59F6057D"/>
    <w:rsid w:val="59F760A3"/>
    <w:rsid w:val="59F842F5"/>
    <w:rsid w:val="59FA26DD"/>
    <w:rsid w:val="59FB2037"/>
    <w:rsid w:val="59FB5B93"/>
    <w:rsid w:val="59FC6244"/>
    <w:rsid w:val="59FC6A77"/>
    <w:rsid w:val="59FD1648"/>
    <w:rsid w:val="59FD190B"/>
    <w:rsid w:val="59FD7032"/>
    <w:rsid w:val="59FD7B5D"/>
    <w:rsid w:val="59FE1574"/>
    <w:rsid w:val="59FF38D6"/>
    <w:rsid w:val="5A020223"/>
    <w:rsid w:val="5A0228E9"/>
    <w:rsid w:val="5A0233C6"/>
    <w:rsid w:val="5A024538"/>
    <w:rsid w:val="5A025174"/>
    <w:rsid w:val="5A040EEC"/>
    <w:rsid w:val="5A04713E"/>
    <w:rsid w:val="5A05126A"/>
    <w:rsid w:val="5A0529AB"/>
    <w:rsid w:val="5A056A12"/>
    <w:rsid w:val="5A074538"/>
    <w:rsid w:val="5A0875C5"/>
    <w:rsid w:val="5A096502"/>
    <w:rsid w:val="5A0A5DD6"/>
    <w:rsid w:val="5A0B398D"/>
    <w:rsid w:val="5A0C5671"/>
    <w:rsid w:val="5A0C5FF2"/>
    <w:rsid w:val="5A0C7DA1"/>
    <w:rsid w:val="5A0E3B19"/>
    <w:rsid w:val="5A0E58C7"/>
    <w:rsid w:val="5A0F163F"/>
    <w:rsid w:val="5A102236"/>
    <w:rsid w:val="5A105AE3"/>
    <w:rsid w:val="5A110F4E"/>
    <w:rsid w:val="5A112DD4"/>
    <w:rsid w:val="5A113609"/>
    <w:rsid w:val="5A1153B7"/>
    <w:rsid w:val="5A132EDD"/>
    <w:rsid w:val="5A146C55"/>
    <w:rsid w:val="5A1530F9"/>
    <w:rsid w:val="5A160C1F"/>
    <w:rsid w:val="5A184997"/>
    <w:rsid w:val="5A1B2000"/>
    <w:rsid w:val="5A1B4488"/>
    <w:rsid w:val="5A1E6660"/>
    <w:rsid w:val="5A204430"/>
    <w:rsid w:val="5A2055FA"/>
    <w:rsid w:val="5A225816"/>
    <w:rsid w:val="5A2275C4"/>
    <w:rsid w:val="5A236E98"/>
    <w:rsid w:val="5A24333C"/>
    <w:rsid w:val="5A252C10"/>
    <w:rsid w:val="5A274BDA"/>
    <w:rsid w:val="5A290952"/>
    <w:rsid w:val="5A292701"/>
    <w:rsid w:val="5A2A0227"/>
    <w:rsid w:val="5A2A46CB"/>
    <w:rsid w:val="5A2C21F1"/>
    <w:rsid w:val="5A2E41BB"/>
    <w:rsid w:val="5A2E7D17"/>
    <w:rsid w:val="5A2F3A8F"/>
    <w:rsid w:val="5A3115B5"/>
    <w:rsid w:val="5A315A59"/>
    <w:rsid w:val="5A316DF7"/>
    <w:rsid w:val="5A317807"/>
    <w:rsid w:val="5A320287"/>
    <w:rsid w:val="5A33357F"/>
    <w:rsid w:val="5A3442E8"/>
    <w:rsid w:val="5A355549"/>
    <w:rsid w:val="5A364E1D"/>
    <w:rsid w:val="5A366BCB"/>
    <w:rsid w:val="5A37717F"/>
    <w:rsid w:val="5A382944"/>
    <w:rsid w:val="5A3966BC"/>
    <w:rsid w:val="5A3A02D3"/>
    <w:rsid w:val="5A3A1AE4"/>
    <w:rsid w:val="5A3B30F9"/>
    <w:rsid w:val="5A3F23A2"/>
    <w:rsid w:val="5A3F3FCC"/>
    <w:rsid w:val="5A407A4A"/>
    <w:rsid w:val="5A4168EC"/>
    <w:rsid w:val="5A4214BD"/>
    <w:rsid w:val="5A4237C2"/>
    <w:rsid w:val="5A42686F"/>
    <w:rsid w:val="5A427C66"/>
    <w:rsid w:val="5A427D7C"/>
    <w:rsid w:val="5A4312E0"/>
    <w:rsid w:val="5A4412E8"/>
    <w:rsid w:val="5A44753A"/>
    <w:rsid w:val="5A4562A7"/>
    <w:rsid w:val="5A461504"/>
    <w:rsid w:val="5A470DD9"/>
    <w:rsid w:val="5A47275E"/>
    <w:rsid w:val="5A47527D"/>
    <w:rsid w:val="5A4A2677"/>
    <w:rsid w:val="5A4B6B1B"/>
    <w:rsid w:val="5A4C63EF"/>
    <w:rsid w:val="5A4D4118"/>
    <w:rsid w:val="5A4E0252"/>
    <w:rsid w:val="5A4E03B9"/>
    <w:rsid w:val="5A4E2167"/>
    <w:rsid w:val="5A4E660B"/>
    <w:rsid w:val="5A4F5EDF"/>
    <w:rsid w:val="5A504131"/>
    <w:rsid w:val="5A511C57"/>
    <w:rsid w:val="5A513A05"/>
    <w:rsid w:val="5A5163E1"/>
    <w:rsid w:val="5A533C21"/>
    <w:rsid w:val="5A551748"/>
    <w:rsid w:val="5A56101C"/>
    <w:rsid w:val="5A570B12"/>
    <w:rsid w:val="5A574C29"/>
    <w:rsid w:val="5A582FE6"/>
    <w:rsid w:val="5A584288"/>
    <w:rsid w:val="5A5906B0"/>
    <w:rsid w:val="5A594B73"/>
    <w:rsid w:val="5A5A0B0C"/>
    <w:rsid w:val="5A5A5442"/>
    <w:rsid w:val="5A5A6D5E"/>
    <w:rsid w:val="5A5B2AD6"/>
    <w:rsid w:val="5A5D4984"/>
    <w:rsid w:val="5A5F25C6"/>
    <w:rsid w:val="5A604A46"/>
    <w:rsid w:val="5A61633E"/>
    <w:rsid w:val="5A617793"/>
    <w:rsid w:val="5A6220B6"/>
    <w:rsid w:val="5A643739"/>
    <w:rsid w:val="5A647BDD"/>
    <w:rsid w:val="5A657453"/>
    <w:rsid w:val="5A663955"/>
    <w:rsid w:val="5A667177"/>
    <w:rsid w:val="5A67147B"/>
    <w:rsid w:val="5A673229"/>
    <w:rsid w:val="5A690D4F"/>
    <w:rsid w:val="5A696FA1"/>
    <w:rsid w:val="5A697687"/>
    <w:rsid w:val="5A6978B4"/>
    <w:rsid w:val="5A6D0FC2"/>
    <w:rsid w:val="5A6E04DA"/>
    <w:rsid w:val="5A6E295E"/>
    <w:rsid w:val="5A6E782F"/>
    <w:rsid w:val="5A7122F9"/>
    <w:rsid w:val="5A715E56"/>
    <w:rsid w:val="5A736072"/>
    <w:rsid w:val="5A736BAA"/>
    <w:rsid w:val="5A751DEA"/>
    <w:rsid w:val="5A752C0B"/>
    <w:rsid w:val="5A755946"/>
    <w:rsid w:val="5A7616BE"/>
    <w:rsid w:val="5A76409B"/>
    <w:rsid w:val="5A785436"/>
    <w:rsid w:val="5A7871E4"/>
    <w:rsid w:val="5A7A11AE"/>
    <w:rsid w:val="5A7A7400"/>
    <w:rsid w:val="5A7B0A82"/>
    <w:rsid w:val="5A7B6CD4"/>
    <w:rsid w:val="5A7B7F0D"/>
    <w:rsid w:val="5A7D47FA"/>
    <w:rsid w:val="5A7F4A16"/>
    <w:rsid w:val="5A7F67C4"/>
    <w:rsid w:val="5A807D1E"/>
    <w:rsid w:val="5A821E11"/>
    <w:rsid w:val="5A8262B5"/>
    <w:rsid w:val="5A83669F"/>
    <w:rsid w:val="5A84202D"/>
    <w:rsid w:val="5A845B89"/>
    <w:rsid w:val="5A851901"/>
    <w:rsid w:val="5A854088"/>
    <w:rsid w:val="5A865DA5"/>
    <w:rsid w:val="5A875679"/>
    <w:rsid w:val="5A881081"/>
    <w:rsid w:val="5A8913F1"/>
    <w:rsid w:val="5A89319F"/>
    <w:rsid w:val="5A8A39A1"/>
    <w:rsid w:val="5A8C0E92"/>
    <w:rsid w:val="5A8C5677"/>
    <w:rsid w:val="5A8E4C59"/>
    <w:rsid w:val="5A8E6A07"/>
    <w:rsid w:val="5A9009D2"/>
    <w:rsid w:val="5A902780"/>
    <w:rsid w:val="5A907813"/>
    <w:rsid w:val="5A9164F8"/>
    <w:rsid w:val="5A9304C2"/>
    <w:rsid w:val="5A932270"/>
    <w:rsid w:val="5A951B44"/>
    <w:rsid w:val="5A957753"/>
    <w:rsid w:val="5A957D96"/>
    <w:rsid w:val="5A964045"/>
    <w:rsid w:val="5A964F8E"/>
    <w:rsid w:val="5A974626"/>
    <w:rsid w:val="5A980F2F"/>
    <w:rsid w:val="5A981634"/>
    <w:rsid w:val="5A9A0D0D"/>
    <w:rsid w:val="5A9A35FE"/>
    <w:rsid w:val="5A9A53AC"/>
    <w:rsid w:val="5A9B517B"/>
    <w:rsid w:val="5A9B74F7"/>
    <w:rsid w:val="5A9C1B97"/>
    <w:rsid w:val="5A9C5772"/>
    <w:rsid w:val="5A9C5834"/>
    <w:rsid w:val="5A9D01E2"/>
    <w:rsid w:val="5A9D30EE"/>
    <w:rsid w:val="5A9D4E9D"/>
    <w:rsid w:val="5A9F3D98"/>
    <w:rsid w:val="5AA004E9"/>
    <w:rsid w:val="5AA1498D"/>
    <w:rsid w:val="5AA1673B"/>
    <w:rsid w:val="5AA36B2A"/>
    <w:rsid w:val="5AA4447D"/>
    <w:rsid w:val="5AA4622B"/>
    <w:rsid w:val="5AA47119"/>
    <w:rsid w:val="5AA62327"/>
    <w:rsid w:val="5AA63D51"/>
    <w:rsid w:val="5AA6485C"/>
    <w:rsid w:val="5AA71457"/>
    <w:rsid w:val="5AA8748E"/>
    <w:rsid w:val="5AA91A93"/>
    <w:rsid w:val="5AA91AFA"/>
    <w:rsid w:val="5AA955EF"/>
    <w:rsid w:val="5AAA4D9A"/>
    <w:rsid w:val="5AAB441A"/>
    <w:rsid w:val="5AAC3332"/>
    <w:rsid w:val="5AB02E22"/>
    <w:rsid w:val="5AB04BD0"/>
    <w:rsid w:val="5AB0697E"/>
    <w:rsid w:val="5AB10D16"/>
    <w:rsid w:val="5AB126F6"/>
    <w:rsid w:val="5AB26B9A"/>
    <w:rsid w:val="5AB32912"/>
    <w:rsid w:val="5AB50438"/>
    <w:rsid w:val="5AB521E6"/>
    <w:rsid w:val="5AB53F94"/>
    <w:rsid w:val="5AB67D0C"/>
    <w:rsid w:val="5AB81CD6"/>
    <w:rsid w:val="5AB83673"/>
    <w:rsid w:val="5AB87F28"/>
    <w:rsid w:val="5AB97679"/>
    <w:rsid w:val="5ABA5A4E"/>
    <w:rsid w:val="5ABA77FD"/>
    <w:rsid w:val="5ABB539F"/>
    <w:rsid w:val="5ABC3575"/>
    <w:rsid w:val="5ABC682F"/>
    <w:rsid w:val="5ABD553F"/>
    <w:rsid w:val="5ABF12B7"/>
    <w:rsid w:val="5ABF4E13"/>
    <w:rsid w:val="5AC02939"/>
    <w:rsid w:val="5AC07D81"/>
    <w:rsid w:val="5AC16640"/>
    <w:rsid w:val="5AC21300"/>
    <w:rsid w:val="5AC30A03"/>
    <w:rsid w:val="5AC35272"/>
    <w:rsid w:val="5AC42429"/>
    <w:rsid w:val="5AC4767C"/>
    <w:rsid w:val="5AC93EE4"/>
    <w:rsid w:val="5ACA3526"/>
    <w:rsid w:val="5ACB7C5C"/>
    <w:rsid w:val="5ACD0EF5"/>
    <w:rsid w:val="5ACE0733"/>
    <w:rsid w:val="5ACE14FA"/>
    <w:rsid w:val="5ACE32A8"/>
    <w:rsid w:val="5AD05272"/>
    <w:rsid w:val="5AD07020"/>
    <w:rsid w:val="5AD1145D"/>
    <w:rsid w:val="5AD14B46"/>
    <w:rsid w:val="5AD308BE"/>
    <w:rsid w:val="5AD44AB6"/>
    <w:rsid w:val="5AD73437"/>
    <w:rsid w:val="5AD85ED5"/>
    <w:rsid w:val="5AD86008"/>
    <w:rsid w:val="5ADA0928"/>
    <w:rsid w:val="5ADA39FB"/>
    <w:rsid w:val="5ADC3C17"/>
    <w:rsid w:val="5ADE0739"/>
    <w:rsid w:val="5ADE2214"/>
    <w:rsid w:val="5ADF3707"/>
    <w:rsid w:val="5AE12FDB"/>
    <w:rsid w:val="5AE20B01"/>
    <w:rsid w:val="5AE34FA5"/>
    <w:rsid w:val="5AE40D1D"/>
    <w:rsid w:val="5AE42ACB"/>
    <w:rsid w:val="5AE445AB"/>
    <w:rsid w:val="5AE55A3B"/>
    <w:rsid w:val="5AE61A9C"/>
    <w:rsid w:val="5AE70BB0"/>
    <w:rsid w:val="5AE900E2"/>
    <w:rsid w:val="5AE92129"/>
    <w:rsid w:val="5AEA2CC8"/>
    <w:rsid w:val="5AEB4AF6"/>
    <w:rsid w:val="5AEB5017"/>
    <w:rsid w:val="5AEB56EE"/>
    <w:rsid w:val="5AEB5C08"/>
    <w:rsid w:val="5AEC372E"/>
    <w:rsid w:val="5AEE1D63"/>
    <w:rsid w:val="5AEE394A"/>
    <w:rsid w:val="5AEE56F8"/>
    <w:rsid w:val="5AEE5952"/>
    <w:rsid w:val="5AEE74A6"/>
    <w:rsid w:val="5AEF6EF7"/>
    <w:rsid w:val="5AF0321E"/>
    <w:rsid w:val="5AF04DCA"/>
    <w:rsid w:val="5AF076C2"/>
    <w:rsid w:val="5AF2003F"/>
    <w:rsid w:val="5AF2343A"/>
    <w:rsid w:val="5AF251E8"/>
    <w:rsid w:val="5AF26F96"/>
    <w:rsid w:val="5AF32D0E"/>
    <w:rsid w:val="5AF34ABD"/>
    <w:rsid w:val="5AF47185"/>
    <w:rsid w:val="5AF53A87"/>
    <w:rsid w:val="5AF54CD9"/>
    <w:rsid w:val="5AF5523A"/>
    <w:rsid w:val="5AF727FF"/>
    <w:rsid w:val="5AF77E50"/>
    <w:rsid w:val="5AF80325"/>
    <w:rsid w:val="5AF820D3"/>
    <w:rsid w:val="5AF83EB1"/>
    <w:rsid w:val="5AF91AA9"/>
    <w:rsid w:val="5AF947C9"/>
    <w:rsid w:val="5AF95C18"/>
    <w:rsid w:val="5AFA22EF"/>
    <w:rsid w:val="5AFA6BFD"/>
    <w:rsid w:val="5AFB13A2"/>
    <w:rsid w:val="5AFB7380"/>
    <w:rsid w:val="5AFB7C61"/>
    <w:rsid w:val="5AFC1BC3"/>
    <w:rsid w:val="5AFC6067"/>
    <w:rsid w:val="5AFE1DDF"/>
    <w:rsid w:val="5AFF16B3"/>
    <w:rsid w:val="5AFF3461"/>
    <w:rsid w:val="5AFF70F5"/>
    <w:rsid w:val="5B002643"/>
    <w:rsid w:val="5B013F5E"/>
    <w:rsid w:val="5B0373F5"/>
    <w:rsid w:val="5B044F1C"/>
    <w:rsid w:val="5B0538E4"/>
    <w:rsid w:val="5B0647F0"/>
    <w:rsid w:val="5B073454"/>
    <w:rsid w:val="5B081706"/>
    <w:rsid w:val="5B084A0C"/>
    <w:rsid w:val="5B0867BA"/>
    <w:rsid w:val="5B092532"/>
    <w:rsid w:val="5B0A7A07"/>
    <w:rsid w:val="5B0B1E06"/>
    <w:rsid w:val="5B0D3DD0"/>
    <w:rsid w:val="5B0E7B48"/>
    <w:rsid w:val="5B0F614B"/>
    <w:rsid w:val="5B120263"/>
    <w:rsid w:val="5B12588A"/>
    <w:rsid w:val="5B127639"/>
    <w:rsid w:val="5B136F0D"/>
    <w:rsid w:val="5B152C85"/>
    <w:rsid w:val="5B172EA1"/>
    <w:rsid w:val="5B184523"/>
    <w:rsid w:val="5B1B6721"/>
    <w:rsid w:val="5B1C4013"/>
    <w:rsid w:val="5B1E0EC5"/>
    <w:rsid w:val="5B1E7D8B"/>
    <w:rsid w:val="5B1F1DFE"/>
    <w:rsid w:val="5B1F58B2"/>
    <w:rsid w:val="5B1F705C"/>
    <w:rsid w:val="5B21162A"/>
    <w:rsid w:val="5B242EC8"/>
    <w:rsid w:val="5B2555BE"/>
    <w:rsid w:val="5B264E92"/>
    <w:rsid w:val="5B2703BF"/>
    <w:rsid w:val="5B2A2BD4"/>
    <w:rsid w:val="5B2B24A8"/>
    <w:rsid w:val="5B2B4256"/>
    <w:rsid w:val="5B2D2AF0"/>
    <w:rsid w:val="5B2D6220"/>
    <w:rsid w:val="5B2E3D47"/>
    <w:rsid w:val="5B2F1F99"/>
    <w:rsid w:val="5B303F63"/>
    <w:rsid w:val="5B305D11"/>
    <w:rsid w:val="5B307ABF"/>
    <w:rsid w:val="5B316CA1"/>
    <w:rsid w:val="5B343A9F"/>
    <w:rsid w:val="5B351579"/>
    <w:rsid w:val="5B3752F1"/>
    <w:rsid w:val="5B3A093D"/>
    <w:rsid w:val="5B3A5B86"/>
    <w:rsid w:val="5B3B7CC5"/>
    <w:rsid w:val="5B3C1155"/>
    <w:rsid w:val="5B3C2907"/>
    <w:rsid w:val="5B3C46B5"/>
    <w:rsid w:val="5B3C6463"/>
    <w:rsid w:val="5B3E042E"/>
    <w:rsid w:val="5B3E21DC"/>
    <w:rsid w:val="5B3F1DB5"/>
    <w:rsid w:val="5B3F5F54"/>
    <w:rsid w:val="5B3F6646"/>
    <w:rsid w:val="5B412C47"/>
    <w:rsid w:val="5B413A7A"/>
    <w:rsid w:val="5B4377F2"/>
    <w:rsid w:val="5B44356A"/>
    <w:rsid w:val="5B445318"/>
    <w:rsid w:val="5B4517BC"/>
    <w:rsid w:val="5B461090"/>
    <w:rsid w:val="5B4672E2"/>
    <w:rsid w:val="5B484E08"/>
    <w:rsid w:val="5B490B80"/>
    <w:rsid w:val="5B4A5024"/>
    <w:rsid w:val="5B4A5B4F"/>
    <w:rsid w:val="5B4B2D92"/>
    <w:rsid w:val="5B4B66A7"/>
    <w:rsid w:val="5B4D241F"/>
    <w:rsid w:val="5B4D4167"/>
    <w:rsid w:val="5B4D68C3"/>
    <w:rsid w:val="5B4E6197"/>
    <w:rsid w:val="5B4F43E9"/>
    <w:rsid w:val="5B4F613B"/>
    <w:rsid w:val="5B501F0F"/>
    <w:rsid w:val="5B503CBD"/>
    <w:rsid w:val="5B505D0E"/>
    <w:rsid w:val="5B523ED9"/>
    <w:rsid w:val="5B535F4C"/>
    <w:rsid w:val="5B5428CE"/>
    <w:rsid w:val="5B547C51"/>
    <w:rsid w:val="5B555777"/>
    <w:rsid w:val="5B57329D"/>
    <w:rsid w:val="5B595267"/>
    <w:rsid w:val="5B5A1C0C"/>
    <w:rsid w:val="5B5B72AF"/>
    <w:rsid w:val="5B5C4D58"/>
    <w:rsid w:val="5B5C5B6E"/>
    <w:rsid w:val="5B5C6B06"/>
    <w:rsid w:val="5B5E0D4A"/>
    <w:rsid w:val="5B5E1D3B"/>
    <w:rsid w:val="5B5F7F9D"/>
    <w:rsid w:val="5B6065F6"/>
    <w:rsid w:val="5B610550"/>
    <w:rsid w:val="5B61411C"/>
    <w:rsid w:val="5B6232E6"/>
    <w:rsid w:val="5B630804"/>
    <w:rsid w:val="5B6339F0"/>
    <w:rsid w:val="5B634300"/>
    <w:rsid w:val="5B6360E6"/>
    <w:rsid w:val="5B637E94"/>
    <w:rsid w:val="5B647768"/>
    <w:rsid w:val="5B6555C2"/>
    <w:rsid w:val="5B6617F1"/>
    <w:rsid w:val="5B6634E0"/>
    <w:rsid w:val="5B6643C2"/>
    <w:rsid w:val="5B667984"/>
    <w:rsid w:val="5B6836FC"/>
    <w:rsid w:val="5B694D7F"/>
    <w:rsid w:val="5B6968E3"/>
    <w:rsid w:val="5B6A1223"/>
    <w:rsid w:val="5B6B6D49"/>
    <w:rsid w:val="5B6D2AC1"/>
    <w:rsid w:val="5B6D486F"/>
    <w:rsid w:val="5B6E2B54"/>
    <w:rsid w:val="5B6F05E7"/>
    <w:rsid w:val="5B6F6839"/>
    <w:rsid w:val="5B7025B1"/>
    <w:rsid w:val="5B70610D"/>
    <w:rsid w:val="5B706D49"/>
    <w:rsid w:val="5B710DE1"/>
    <w:rsid w:val="5B7200D7"/>
    <w:rsid w:val="5B721E85"/>
    <w:rsid w:val="5B740512"/>
    <w:rsid w:val="5B745BFD"/>
    <w:rsid w:val="5B750EEC"/>
    <w:rsid w:val="5B765175"/>
    <w:rsid w:val="5B775347"/>
    <w:rsid w:val="5B77749C"/>
    <w:rsid w:val="5B7976B8"/>
    <w:rsid w:val="5B7B51DE"/>
    <w:rsid w:val="5B7C0F56"/>
    <w:rsid w:val="5B7C3A17"/>
    <w:rsid w:val="5B7C65E8"/>
    <w:rsid w:val="5B7D11B9"/>
    <w:rsid w:val="5B7E0F08"/>
    <w:rsid w:val="5B7E4CCE"/>
    <w:rsid w:val="5B7F45A2"/>
    <w:rsid w:val="5B8338EA"/>
    <w:rsid w:val="5B8449DB"/>
    <w:rsid w:val="5B857E0A"/>
    <w:rsid w:val="5B871DD5"/>
    <w:rsid w:val="5B8816A9"/>
    <w:rsid w:val="5B8878FB"/>
    <w:rsid w:val="5B8A5421"/>
    <w:rsid w:val="5B8A71CF"/>
    <w:rsid w:val="5B8E03AF"/>
    <w:rsid w:val="5B8F0C89"/>
    <w:rsid w:val="5B8F47E5"/>
    <w:rsid w:val="5B8F6EDB"/>
    <w:rsid w:val="5B9067AF"/>
    <w:rsid w:val="5B914A01"/>
    <w:rsid w:val="5B922527"/>
    <w:rsid w:val="5B9242D5"/>
    <w:rsid w:val="5B9444F1"/>
    <w:rsid w:val="5B9462A0"/>
    <w:rsid w:val="5B955B74"/>
    <w:rsid w:val="5B962018"/>
    <w:rsid w:val="5B965066"/>
    <w:rsid w:val="5B975D90"/>
    <w:rsid w:val="5B991B08"/>
    <w:rsid w:val="5B991BA7"/>
    <w:rsid w:val="5B9B1B71"/>
    <w:rsid w:val="5B9B7CC7"/>
    <w:rsid w:val="5B9C6F02"/>
    <w:rsid w:val="5B9D7062"/>
    <w:rsid w:val="5B9E711E"/>
    <w:rsid w:val="5BA04C44"/>
    <w:rsid w:val="5BA069F2"/>
    <w:rsid w:val="5BA109BC"/>
    <w:rsid w:val="5BA12C7F"/>
    <w:rsid w:val="5BA17541"/>
    <w:rsid w:val="5BA26C0E"/>
    <w:rsid w:val="5BA30291"/>
    <w:rsid w:val="5BA325D9"/>
    <w:rsid w:val="5BA33255"/>
    <w:rsid w:val="5BA364E3"/>
    <w:rsid w:val="5BA44364"/>
    <w:rsid w:val="5BA76361"/>
    <w:rsid w:val="5BA858A7"/>
    <w:rsid w:val="5BA92D4B"/>
    <w:rsid w:val="5BAA2192"/>
    <w:rsid w:val="5BAA5AC3"/>
    <w:rsid w:val="5BAA7871"/>
    <w:rsid w:val="5BAB35E6"/>
    <w:rsid w:val="5BAB5397"/>
    <w:rsid w:val="5BAB7F25"/>
    <w:rsid w:val="5BAC183B"/>
    <w:rsid w:val="5BAC35E9"/>
    <w:rsid w:val="5BAD55B3"/>
    <w:rsid w:val="5BAD7361"/>
    <w:rsid w:val="5BAE68A6"/>
    <w:rsid w:val="5BAF30D9"/>
    <w:rsid w:val="5BB029AE"/>
    <w:rsid w:val="5BB16E51"/>
    <w:rsid w:val="5BB26726"/>
    <w:rsid w:val="5BB406F0"/>
    <w:rsid w:val="5BB46942"/>
    <w:rsid w:val="5BB73D3C"/>
    <w:rsid w:val="5BB92529"/>
    <w:rsid w:val="5BB97AB4"/>
    <w:rsid w:val="5BBB1A7E"/>
    <w:rsid w:val="5BBB7CD0"/>
    <w:rsid w:val="5BBC0EAA"/>
    <w:rsid w:val="5BBC25EB"/>
    <w:rsid w:val="5BBC75A4"/>
    <w:rsid w:val="5BBE7ADC"/>
    <w:rsid w:val="5BC00E43"/>
    <w:rsid w:val="5BC14BBB"/>
    <w:rsid w:val="5BC16969"/>
    <w:rsid w:val="5BC27567"/>
    <w:rsid w:val="5BC30933"/>
    <w:rsid w:val="5BC5369D"/>
    <w:rsid w:val="5BC621D1"/>
    <w:rsid w:val="5BC64949"/>
    <w:rsid w:val="5BC6762F"/>
    <w:rsid w:val="5BC8201E"/>
    <w:rsid w:val="5BC8375F"/>
    <w:rsid w:val="5BC87CF7"/>
    <w:rsid w:val="5BC934AE"/>
    <w:rsid w:val="5BCB0D3D"/>
    <w:rsid w:val="5BCB77E7"/>
    <w:rsid w:val="5BCC099F"/>
    <w:rsid w:val="5BCC3C8B"/>
    <w:rsid w:val="5BCD17B1"/>
    <w:rsid w:val="5BCD355F"/>
    <w:rsid w:val="5BCE5E90"/>
    <w:rsid w:val="5BCF0A61"/>
    <w:rsid w:val="5BCF667C"/>
    <w:rsid w:val="5BD01EF1"/>
    <w:rsid w:val="5BD20B76"/>
    <w:rsid w:val="5BD2772C"/>
    <w:rsid w:val="5BD30872"/>
    <w:rsid w:val="5BD40D92"/>
    <w:rsid w:val="5BD42B40"/>
    <w:rsid w:val="5BD448EE"/>
    <w:rsid w:val="5BD47131"/>
    <w:rsid w:val="5BD62414"/>
    <w:rsid w:val="5BD64622"/>
    <w:rsid w:val="5BD70683"/>
    <w:rsid w:val="5BD70E12"/>
    <w:rsid w:val="5BD743DE"/>
    <w:rsid w:val="5BD90156"/>
    <w:rsid w:val="5BD91F04"/>
    <w:rsid w:val="5BDA4433"/>
    <w:rsid w:val="5BDB5C7C"/>
    <w:rsid w:val="5BDC19F5"/>
    <w:rsid w:val="5BDC37A3"/>
    <w:rsid w:val="5BDD7C46"/>
    <w:rsid w:val="5BDE39BF"/>
    <w:rsid w:val="5BDE751B"/>
    <w:rsid w:val="5BDF731D"/>
    <w:rsid w:val="5BE002A5"/>
    <w:rsid w:val="5BE014E5"/>
    <w:rsid w:val="5BE0347B"/>
    <w:rsid w:val="5BE35796"/>
    <w:rsid w:val="5BE36688"/>
    <w:rsid w:val="5BE441FD"/>
    <w:rsid w:val="5BE56AFB"/>
    <w:rsid w:val="5BE663CF"/>
    <w:rsid w:val="5BE70AC5"/>
    <w:rsid w:val="5BE72873"/>
    <w:rsid w:val="5BE80399"/>
    <w:rsid w:val="5BE857C5"/>
    <w:rsid w:val="5BE865EB"/>
    <w:rsid w:val="5BEA2363"/>
    <w:rsid w:val="5BEA5EBF"/>
    <w:rsid w:val="5BEC1C38"/>
    <w:rsid w:val="5BEC2AC8"/>
    <w:rsid w:val="5BEC5723"/>
    <w:rsid w:val="5BEC7E8A"/>
    <w:rsid w:val="5BED3C02"/>
    <w:rsid w:val="5BED59B0"/>
    <w:rsid w:val="5BED775E"/>
    <w:rsid w:val="5BEE28A9"/>
    <w:rsid w:val="5BEF1728"/>
    <w:rsid w:val="5BF07652"/>
    <w:rsid w:val="5BF079BD"/>
    <w:rsid w:val="5BF12387"/>
    <w:rsid w:val="5BF16682"/>
    <w:rsid w:val="5BF31218"/>
    <w:rsid w:val="5BF325ED"/>
    <w:rsid w:val="5BF362D8"/>
    <w:rsid w:val="5BF3671B"/>
    <w:rsid w:val="5BF44F90"/>
    <w:rsid w:val="5BF62AB6"/>
    <w:rsid w:val="5BF70F8E"/>
    <w:rsid w:val="5BF84A80"/>
    <w:rsid w:val="5BF8660A"/>
    <w:rsid w:val="5BF94355"/>
    <w:rsid w:val="5BFB631F"/>
    <w:rsid w:val="5BFC5BF3"/>
    <w:rsid w:val="5BFD2097"/>
    <w:rsid w:val="5BFD30FD"/>
    <w:rsid w:val="5BFD5DBF"/>
    <w:rsid w:val="5BFE196B"/>
    <w:rsid w:val="5BFE5E0F"/>
    <w:rsid w:val="5BFE7BBD"/>
    <w:rsid w:val="5C001B87"/>
    <w:rsid w:val="5C003935"/>
    <w:rsid w:val="5C0056E3"/>
    <w:rsid w:val="5C010D1F"/>
    <w:rsid w:val="5C013209"/>
    <w:rsid w:val="5C0276AD"/>
    <w:rsid w:val="5C043425"/>
    <w:rsid w:val="5C044AF9"/>
    <w:rsid w:val="5C045110"/>
    <w:rsid w:val="5C050B30"/>
    <w:rsid w:val="5C052CF9"/>
    <w:rsid w:val="5C07081F"/>
    <w:rsid w:val="5C086021"/>
    <w:rsid w:val="5C092082"/>
    <w:rsid w:val="5C092D18"/>
    <w:rsid w:val="5C0C0A03"/>
    <w:rsid w:val="5C0C22DA"/>
    <w:rsid w:val="5C0C4088"/>
    <w:rsid w:val="5C0E333F"/>
    <w:rsid w:val="5C0F2E1E"/>
    <w:rsid w:val="5C0F3B78"/>
    <w:rsid w:val="5C0F5926"/>
    <w:rsid w:val="5C111180"/>
    <w:rsid w:val="5C11169E"/>
    <w:rsid w:val="5C115B42"/>
    <w:rsid w:val="5C124D16"/>
    <w:rsid w:val="5C125416"/>
    <w:rsid w:val="5C1473E0"/>
    <w:rsid w:val="5C166CB5"/>
    <w:rsid w:val="5C180C7F"/>
    <w:rsid w:val="5C190553"/>
    <w:rsid w:val="5C1949F7"/>
    <w:rsid w:val="5C1967A5"/>
    <w:rsid w:val="5C1A3C8F"/>
    <w:rsid w:val="5C1D0043"/>
    <w:rsid w:val="5C1D6295"/>
    <w:rsid w:val="5C205738"/>
    <w:rsid w:val="5C205D85"/>
    <w:rsid w:val="5C216BC7"/>
    <w:rsid w:val="5C221798"/>
    <w:rsid w:val="5C2238AB"/>
    <w:rsid w:val="5C225659"/>
    <w:rsid w:val="5C226C95"/>
    <w:rsid w:val="5C231CFC"/>
    <w:rsid w:val="5C233588"/>
    <w:rsid w:val="5C237623"/>
    <w:rsid w:val="5C2515ED"/>
    <w:rsid w:val="5C273ACF"/>
    <w:rsid w:val="5C281030"/>
    <w:rsid w:val="5C2825EE"/>
    <w:rsid w:val="5C2869E8"/>
    <w:rsid w:val="5C292E8C"/>
    <w:rsid w:val="5C294C3A"/>
    <w:rsid w:val="5C295359"/>
    <w:rsid w:val="5C2B3A75"/>
    <w:rsid w:val="5C2B7526"/>
    <w:rsid w:val="5C2C0289"/>
    <w:rsid w:val="5C2E04A2"/>
    <w:rsid w:val="5C2E2250"/>
    <w:rsid w:val="5C2F5FC8"/>
    <w:rsid w:val="5C2F7D76"/>
    <w:rsid w:val="5C3166BC"/>
    <w:rsid w:val="5C333BAD"/>
    <w:rsid w:val="5C335AB8"/>
    <w:rsid w:val="5C341831"/>
    <w:rsid w:val="5C34538D"/>
    <w:rsid w:val="5C3655A9"/>
    <w:rsid w:val="5C367357"/>
    <w:rsid w:val="5C380A0C"/>
    <w:rsid w:val="5C3810C1"/>
    <w:rsid w:val="5C3830CF"/>
    <w:rsid w:val="5C38658F"/>
    <w:rsid w:val="5C3B2BBF"/>
    <w:rsid w:val="5C3B671B"/>
    <w:rsid w:val="5C3D4BFC"/>
    <w:rsid w:val="5C3E5D23"/>
    <w:rsid w:val="5C3F26AF"/>
    <w:rsid w:val="5C4035E0"/>
    <w:rsid w:val="5C417408"/>
    <w:rsid w:val="5C425CFC"/>
    <w:rsid w:val="5C427AAA"/>
    <w:rsid w:val="5C441A74"/>
    <w:rsid w:val="5C4557EC"/>
    <w:rsid w:val="5C455FC2"/>
    <w:rsid w:val="5C471564"/>
    <w:rsid w:val="5C4834B3"/>
    <w:rsid w:val="5C492E08"/>
    <w:rsid w:val="5C4952DC"/>
    <w:rsid w:val="5C49708A"/>
    <w:rsid w:val="5C4B1054"/>
    <w:rsid w:val="5C4D1EBC"/>
    <w:rsid w:val="5C4D43FD"/>
    <w:rsid w:val="5C4D5E95"/>
    <w:rsid w:val="5C4D62FA"/>
    <w:rsid w:val="5C514191"/>
    <w:rsid w:val="5C515F3F"/>
    <w:rsid w:val="5C527136"/>
    <w:rsid w:val="5C5305C6"/>
    <w:rsid w:val="5C533A65"/>
    <w:rsid w:val="5C537F09"/>
    <w:rsid w:val="5C5477DD"/>
    <w:rsid w:val="5C55127E"/>
    <w:rsid w:val="5C563555"/>
    <w:rsid w:val="5C5679F9"/>
    <w:rsid w:val="5C567C46"/>
    <w:rsid w:val="5C58107B"/>
    <w:rsid w:val="5C583771"/>
    <w:rsid w:val="5C5872CD"/>
    <w:rsid w:val="5C5B0B6B"/>
    <w:rsid w:val="5C5B500F"/>
    <w:rsid w:val="5C5D0D87"/>
    <w:rsid w:val="5C5D48E3"/>
    <w:rsid w:val="5C5F173A"/>
    <w:rsid w:val="5C5F68AD"/>
    <w:rsid w:val="5C5F6B69"/>
    <w:rsid w:val="5C621EFA"/>
    <w:rsid w:val="5C641313"/>
    <w:rsid w:val="5C642116"/>
    <w:rsid w:val="5C645C72"/>
    <w:rsid w:val="5C653798"/>
    <w:rsid w:val="5C675762"/>
    <w:rsid w:val="5C693288"/>
    <w:rsid w:val="5C69772C"/>
    <w:rsid w:val="5C6B565D"/>
    <w:rsid w:val="5C6C0FCA"/>
    <w:rsid w:val="5C6E089F"/>
    <w:rsid w:val="5C71038F"/>
    <w:rsid w:val="5C71213D"/>
    <w:rsid w:val="5C7133B8"/>
    <w:rsid w:val="5C713B4F"/>
    <w:rsid w:val="5C715DA6"/>
    <w:rsid w:val="5C734107"/>
    <w:rsid w:val="5C75446B"/>
    <w:rsid w:val="5C761E49"/>
    <w:rsid w:val="5C7834CB"/>
    <w:rsid w:val="5C78796F"/>
    <w:rsid w:val="5C7906B8"/>
    <w:rsid w:val="5C7A36E7"/>
    <w:rsid w:val="5C7A6342"/>
    <w:rsid w:val="5C7B77D2"/>
    <w:rsid w:val="5C7C0C62"/>
    <w:rsid w:val="5C7C3148"/>
    <w:rsid w:val="5C7D248A"/>
    <w:rsid w:val="5C7D31D8"/>
    <w:rsid w:val="5C7D4F86"/>
    <w:rsid w:val="5C7E485A"/>
    <w:rsid w:val="5C7F2AAC"/>
    <w:rsid w:val="5C817C69"/>
    <w:rsid w:val="5C827377"/>
    <w:rsid w:val="5C84246B"/>
    <w:rsid w:val="5C846314"/>
    <w:rsid w:val="5C853E3A"/>
    <w:rsid w:val="5C855BE8"/>
    <w:rsid w:val="5C86208C"/>
    <w:rsid w:val="5C871960"/>
    <w:rsid w:val="5C8774B6"/>
    <w:rsid w:val="5C89392A"/>
    <w:rsid w:val="5C8E7193"/>
    <w:rsid w:val="5C8F33AB"/>
    <w:rsid w:val="5C8F6A67"/>
    <w:rsid w:val="5C901CA9"/>
    <w:rsid w:val="5C904CB9"/>
    <w:rsid w:val="5C913139"/>
    <w:rsid w:val="5C9245C9"/>
    <w:rsid w:val="5C930305"/>
    <w:rsid w:val="5C941ABA"/>
    <w:rsid w:val="5C950521"/>
    <w:rsid w:val="5C9522CF"/>
    <w:rsid w:val="5C961BA3"/>
    <w:rsid w:val="5C974299"/>
    <w:rsid w:val="5C9748F7"/>
    <w:rsid w:val="5C98043B"/>
    <w:rsid w:val="5C983B6D"/>
    <w:rsid w:val="5C98591B"/>
    <w:rsid w:val="5C9A5B38"/>
    <w:rsid w:val="5C9B365E"/>
    <w:rsid w:val="5C9C024C"/>
    <w:rsid w:val="5C9C18B0"/>
    <w:rsid w:val="5C9D2F32"/>
    <w:rsid w:val="5C9D73D6"/>
    <w:rsid w:val="5C9E4397"/>
    <w:rsid w:val="5C9E454D"/>
    <w:rsid w:val="5C9F314E"/>
    <w:rsid w:val="5CA00C74"/>
    <w:rsid w:val="5CA16EC6"/>
    <w:rsid w:val="5CA3168B"/>
    <w:rsid w:val="5CA40764"/>
    <w:rsid w:val="5CA50038"/>
    <w:rsid w:val="5CA52A3F"/>
    <w:rsid w:val="5CA60783"/>
    <w:rsid w:val="5CA61B2D"/>
    <w:rsid w:val="5CA8625A"/>
    <w:rsid w:val="5CAA564F"/>
    <w:rsid w:val="5CAB38A1"/>
    <w:rsid w:val="5CAC586B"/>
    <w:rsid w:val="5CAC7619"/>
    <w:rsid w:val="5CAC7D41"/>
    <w:rsid w:val="5CAE501B"/>
    <w:rsid w:val="5CAF2C65"/>
    <w:rsid w:val="5CB00EB7"/>
    <w:rsid w:val="5CB07109"/>
    <w:rsid w:val="5CB22E1D"/>
    <w:rsid w:val="5CB309A7"/>
    <w:rsid w:val="5CB44D92"/>
    <w:rsid w:val="5CB52971"/>
    <w:rsid w:val="5CB564CD"/>
    <w:rsid w:val="5CB62246"/>
    <w:rsid w:val="5CB63FF4"/>
    <w:rsid w:val="5CB71076"/>
    <w:rsid w:val="5CB85FBE"/>
    <w:rsid w:val="5CBA1D36"/>
    <w:rsid w:val="5CBB785C"/>
    <w:rsid w:val="5CBC7642"/>
    <w:rsid w:val="5CBD35D4"/>
    <w:rsid w:val="5CBF10FA"/>
    <w:rsid w:val="5CBF559E"/>
    <w:rsid w:val="5CC10AD7"/>
    <w:rsid w:val="5CC130C4"/>
    <w:rsid w:val="5CC2508E"/>
    <w:rsid w:val="5CC26AAB"/>
    <w:rsid w:val="5CC26E3C"/>
    <w:rsid w:val="5CC333F7"/>
    <w:rsid w:val="5CC44962"/>
    <w:rsid w:val="5CC74453"/>
    <w:rsid w:val="5CC901CB"/>
    <w:rsid w:val="5CCA7DBF"/>
    <w:rsid w:val="5CCB5CF1"/>
    <w:rsid w:val="5CCB7A9F"/>
    <w:rsid w:val="5CCC3817"/>
    <w:rsid w:val="5CCE3A33"/>
    <w:rsid w:val="5CCE758F"/>
    <w:rsid w:val="5CCF2D77"/>
    <w:rsid w:val="5CD050B5"/>
    <w:rsid w:val="5CD10E2D"/>
    <w:rsid w:val="5CD15DDE"/>
    <w:rsid w:val="5CD54DC2"/>
    <w:rsid w:val="5CD56B70"/>
    <w:rsid w:val="5CD8555F"/>
    <w:rsid w:val="5CD86660"/>
    <w:rsid w:val="5CDA23D8"/>
    <w:rsid w:val="5CDC1CAC"/>
    <w:rsid w:val="5CDC6150"/>
    <w:rsid w:val="5CDD5A18"/>
    <w:rsid w:val="5CDD77D2"/>
    <w:rsid w:val="5CDE7FFF"/>
    <w:rsid w:val="5CDF179C"/>
    <w:rsid w:val="5CE16980"/>
    <w:rsid w:val="5CE2128D"/>
    <w:rsid w:val="5CE24DE9"/>
    <w:rsid w:val="5CE46DB3"/>
    <w:rsid w:val="5CE57ED2"/>
    <w:rsid w:val="5CE60D7D"/>
    <w:rsid w:val="5CE643FD"/>
    <w:rsid w:val="5CE9261B"/>
    <w:rsid w:val="5CE96177"/>
    <w:rsid w:val="5CEB1EEF"/>
    <w:rsid w:val="5CEB6393"/>
    <w:rsid w:val="5CEE0DFB"/>
    <w:rsid w:val="5CEE19DF"/>
    <w:rsid w:val="5CEE23E1"/>
    <w:rsid w:val="5CEE7AF4"/>
    <w:rsid w:val="5CF27722"/>
    <w:rsid w:val="5CF30186"/>
    <w:rsid w:val="5CF30D95"/>
    <w:rsid w:val="5CF324D6"/>
    <w:rsid w:val="5CF35248"/>
    <w:rsid w:val="5CF40292"/>
    <w:rsid w:val="5CF54B1C"/>
    <w:rsid w:val="5CF60894"/>
    <w:rsid w:val="5CF60E57"/>
    <w:rsid w:val="5CF6176C"/>
    <w:rsid w:val="5CF74D38"/>
    <w:rsid w:val="5CF80AB0"/>
    <w:rsid w:val="5CF83777"/>
    <w:rsid w:val="5CFA0384"/>
    <w:rsid w:val="5CFA0C68"/>
    <w:rsid w:val="5CFA3D1B"/>
    <w:rsid w:val="5CFA65D6"/>
    <w:rsid w:val="5CFC40FC"/>
    <w:rsid w:val="5CFD1C22"/>
    <w:rsid w:val="5CFD7E74"/>
    <w:rsid w:val="5CFE60C6"/>
    <w:rsid w:val="5CFE75E9"/>
    <w:rsid w:val="5D0134C1"/>
    <w:rsid w:val="5D027239"/>
    <w:rsid w:val="5D041D1A"/>
    <w:rsid w:val="5D042FB1"/>
    <w:rsid w:val="5D047419"/>
    <w:rsid w:val="5D047455"/>
    <w:rsid w:val="5D052C7B"/>
    <w:rsid w:val="5D0631CD"/>
    <w:rsid w:val="5D063660"/>
    <w:rsid w:val="5D066D29"/>
    <w:rsid w:val="5D07069B"/>
    <w:rsid w:val="5D072AA1"/>
    <w:rsid w:val="5D086F45"/>
    <w:rsid w:val="5D0A3484"/>
    <w:rsid w:val="5D0B07E3"/>
    <w:rsid w:val="5D0B2591"/>
    <w:rsid w:val="5D0B5950"/>
    <w:rsid w:val="5D0D455B"/>
    <w:rsid w:val="5D0D4D06"/>
    <w:rsid w:val="5D0E2082"/>
    <w:rsid w:val="5D0F19FE"/>
    <w:rsid w:val="5D102E8E"/>
    <w:rsid w:val="5D136726"/>
    <w:rsid w:val="5D144E37"/>
    <w:rsid w:val="5D144F38"/>
    <w:rsid w:val="5D1458EA"/>
    <w:rsid w:val="5D156F6C"/>
    <w:rsid w:val="5D167EF7"/>
    <w:rsid w:val="5D177188"/>
    <w:rsid w:val="5D1A4582"/>
    <w:rsid w:val="5D1B7B11"/>
    <w:rsid w:val="5D1C02FB"/>
    <w:rsid w:val="5D1C479E"/>
    <w:rsid w:val="5D1C654D"/>
    <w:rsid w:val="5D1D4073"/>
    <w:rsid w:val="5D1F428F"/>
    <w:rsid w:val="5D1F7DEB"/>
    <w:rsid w:val="5D2229B0"/>
    <w:rsid w:val="5D2252A3"/>
    <w:rsid w:val="5D235B2D"/>
    <w:rsid w:val="5D2378DB"/>
    <w:rsid w:val="5D241304"/>
    <w:rsid w:val="5D2418A5"/>
    <w:rsid w:val="5D263C24"/>
    <w:rsid w:val="5D276544"/>
    <w:rsid w:val="5D276C9F"/>
    <w:rsid w:val="5D283143"/>
    <w:rsid w:val="5D290C69"/>
    <w:rsid w:val="5D292A17"/>
    <w:rsid w:val="5D296EBB"/>
    <w:rsid w:val="5D2B6790"/>
    <w:rsid w:val="5D2C42B6"/>
    <w:rsid w:val="5D2C7D48"/>
    <w:rsid w:val="5D2D075A"/>
    <w:rsid w:val="5D2D69AC"/>
    <w:rsid w:val="5D2E44D2"/>
    <w:rsid w:val="5D2F36E0"/>
    <w:rsid w:val="5D301C6A"/>
    <w:rsid w:val="5D303DA6"/>
    <w:rsid w:val="5D325D70"/>
    <w:rsid w:val="5D331AE8"/>
    <w:rsid w:val="5D352CFB"/>
    <w:rsid w:val="5D380EAD"/>
    <w:rsid w:val="5D395350"/>
    <w:rsid w:val="5D3C274B"/>
    <w:rsid w:val="5D3D5A17"/>
    <w:rsid w:val="5D3D64C3"/>
    <w:rsid w:val="5D3D6594"/>
    <w:rsid w:val="5D3E2967"/>
    <w:rsid w:val="5D3E333B"/>
    <w:rsid w:val="5D3E599D"/>
    <w:rsid w:val="5D3F5F0C"/>
    <w:rsid w:val="5D403C8D"/>
    <w:rsid w:val="5D415FB3"/>
    <w:rsid w:val="5D417D61"/>
    <w:rsid w:val="5D435D1D"/>
    <w:rsid w:val="5D443CF5"/>
    <w:rsid w:val="5D46181B"/>
    <w:rsid w:val="5D467A6D"/>
    <w:rsid w:val="5D485594"/>
    <w:rsid w:val="5D487342"/>
    <w:rsid w:val="5D4A130C"/>
    <w:rsid w:val="5D4B5084"/>
    <w:rsid w:val="5D4C0510"/>
    <w:rsid w:val="5D4C6DCF"/>
    <w:rsid w:val="5D4D6706"/>
    <w:rsid w:val="5D4E247E"/>
    <w:rsid w:val="5D4E646B"/>
    <w:rsid w:val="5D4F60A9"/>
    <w:rsid w:val="5D504448"/>
    <w:rsid w:val="5D506D8D"/>
    <w:rsid w:val="5D521F6E"/>
    <w:rsid w:val="5D535CE6"/>
    <w:rsid w:val="5D5418FE"/>
    <w:rsid w:val="5D5604BA"/>
    <w:rsid w:val="5D5615C2"/>
    <w:rsid w:val="5D5617A0"/>
    <w:rsid w:val="5D5757D7"/>
    <w:rsid w:val="5D577585"/>
    <w:rsid w:val="5D5850AB"/>
    <w:rsid w:val="5D5977A1"/>
    <w:rsid w:val="5D5A13D3"/>
    <w:rsid w:val="5D5A7075"/>
    <w:rsid w:val="5D5C103F"/>
    <w:rsid w:val="5D5C2DED"/>
    <w:rsid w:val="5D5C4B9B"/>
    <w:rsid w:val="5D5D6039"/>
    <w:rsid w:val="5D5F28DD"/>
    <w:rsid w:val="5D5F468B"/>
    <w:rsid w:val="5D5F6986"/>
    <w:rsid w:val="5D610403"/>
    <w:rsid w:val="5D635F29"/>
    <w:rsid w:val="5D641CA2"/>
    <w:rsid w:val="5D6453EC"/>
    <w:rsid w:val="5D654F9D"/>
    <w:rsid w:val="5D656145"/>
    <w:rsid w:val="5D66733F"/>
    <w:rsid w:val="5D674013"/>
    <w:rsid w:val="5D683540"/>
    <w:rsid w:val="5D68680F"/>
    <w:rsid w:val="5D6879E4"/>
    <w:rsid w:val="5D69161B"/>
    <w:rsid w:val="5D69550A"/>
    <w:rsid w:val="5D697A38"/>
    <w:rsid w:val="5D6A375C"/>
    <w:rsid w:val="5D6A7812"/>
    <w:rsid w:val="5D6B1282"/>
    <w:rsid w:val="5D6B2358"/>
    <w:rsid w:val="5D6B3425"/>
    <w:rsid w:val="5D6C282E"/>
    <w:rsid w:val="5D6D0B56"/>
    <w:rsid w:val="5D6D4FFA"/>
    <w:rsid w:val="5D6D6DA8"/>
    <w:rsid w:val="5D705732"/>
    <w:rsid w:val="5D706060"/>
    <w:rsid w:val="5D706225"/>
    <w:rsid w:val="5D716DC3"/>
    <w:rsid w:val="5D7243BE"/>
    <w:rsid w:val="5D72616D"/>
    <w:rsid w:val="5D735938"/>
    <w:rsid w:val="5D753EAF"/>
    <w:rsid w:val="5D755C5D"/>
    <w:rsid w:val="5D76203C"/>
    <w:rsid w:val="5D775E79"/>
    <w:rsid w:val="5D777C27"/>
    <w:rsid w:val="5D79399F"/>
    <w:rsid w:val="5D79574D"/>
    <w:rsid w:val="5D7A14C5"/>
    <w:rsid w:val="5D7A358E"/>
    <w:rsid w:val="5D7A7717"/>
    <w:rsid w:val="5D7C348F"/>
    <w:rsid w:val="5D7C523D"/>
    <w:rsid w:val="5D7F339F"/>
    <w:rsid w:val="5D7F6ADB"/>
    <w:rsid w:val="5D810AA5"/>
    <w:rsid w:val="5D814602"/>
    <w:rsid w:val="5D81714F"/>
    <w:rsid w:val="5D83037A"/>
    <w:rsid w:val="5D8331B0"/>
    <w:rsid w:val="5D8335F9"/>
    <w:rsid w:val="5D8365CC"/>
    <w:rsid w:val="5D844640"/>
    <w:rsid w:val="5D8506A1"/>
    <w:rsid w:val="5D852344"/>
    <w:rsid w:val="5D883BE2"/>
    <w:rsid w:val="5D885990"/>
    <w:rsid w:val="5D887B53"/>
    <w:rsid w:val="5D897022"/>
    <w:rsid w:val="5D8A5BAC"/>
    <w:rsid w:val="5D8B1942"/>
    <w:rsid w:val="5D8D2FA6"/>
    <w:rsid w:val="5D8D744A"/>
    <w:rsid w:val="5D8F0259"/>
    <w:rsid w:val="5D8F31C2"/>
    <w:rsid w:val="5D8F4F70"/>
    <w:rsid w:val="5D8F6D1E"/>
    <w:rsid w:val="5D931564"/>
    <w:rsid w:val="5D94032A"/>
    <w:rsid w:val="5D942587"/>
    <w:rsid w:val="5D944135"/>
    <w:rsid w:val="5D944335"/>
    <w:rsid w:val="5D9562FF"/>
    <w:rsid w:val="5D964551"/>
    <w:rsid w:val="5D9724E6"/>
    <w:rsid w:val="5D99194B"/>
    <w:rsid w:val="5D99435E"/>
    <w:rsid w:val="5D9953D6"/>
    <w:rsid w:val="5D995DEF"/>
    <w:rsid w:val="5D997B9D"/>
    <w:rsid w:val="5D9B1B67"/>
    <w:rsid w:val="5D9C143B"/>
    <w:rsid w:val="5D9D6927"/>
    <w:rsid w:val="5D9E1657"/>
    <w:rsid w:val="5D9E3405"/>
    <w:rsid w:val="5D9F3E18"/>
    <w:rsid w:val="5DA0717E"/>
    <w:rsid w:val="5DA32799"/>
    <w:rsid w:val="5DA327CA"/>
    <w:rsid w:val="5DA3771A"/>
    <w:rsid w:val="5DA43C29"/>
    <w:rsid w:val="5DA45399"/>
    <w:rsid w:val="5DA6050C"/>
    <w:rsid w:val="5DA9751B"/>
    <w:rsid w:val="5DAA13C6"/>
    <w:rsid w:val="5DAA3B58"/>
    <w:rsid w:val="5DAA7A9B"/>
    <w:rsid w:val="5DAA7FFC"/>
    <w:rsid w:val="5DAB5B22"/>
    <w:rsid w:val="5DAD53F7"/>
    <w:rsid w:val="5DAE3D5E"/>
    <w:rsid w:val="5DAF3EB2"/>
    <w:rsid w:val="5DAF4C1B"/>
    <w:rsid w:val="5DAF73C1"/>
    <w:rsid w:val="5DB04EE7"/>
    <w:rsid w:val="5DB23D5A"/>
    <w:rsid w:val="5DB30608"/>
    <w:rsid w:val="5DB42C29"/>
    <w:rsid w:val="5DB46785"/>
    <w:rsid w:val="5DB61824"/>
    <w:rsid w:val="5DB7095E"/>
    <w:rsid w:val="5DB76275"/>
    <w:rsid w:val="5DB80D11"/>
    <w:rsid w:val="5DB9023F"/>
    <w:rsid w:val="5DB91FED"/>
    <w:rsid w:val="5DB93D9B"/>
    <w:rsid w:val="5DBA7B13"/>
    <w:rsid w:val="5DBB5D65"/>
    <w:rsid w:val="5DBC1ADE"/>
    <w:rsid w:val="5DBC388C"/>
    <w:rsid w:val="5DBC7D30"/>
    <w:rsid w:val="5DBE13B2"/>
    <w:rsid w:val="5DBE5856"/>
    <w:rsid w:val="5DBF512A"/>
    <w:rsid w:val="5DC015CE"/>
    <w:rsid w:val="5DC2175C"/>
    <w:rsid w:val="5DC25B98"/>
    <w:rsid w:val="5DC310BE"/>
    <w:rsid w:val="5DC32E6C"/>
    <w:rsid w:val="5DC34C1A"/>
    <w:rsid w:val="5DC50992"/>
    <w:rsid w:val="5DC55312"/>
    <w:rsid w:val="5DC6470A"/>
    <w:rsid w:val="5DC664B8"/>
    <w:rsid w:val="5DC7295C"/>
    <w:rsid w:val="5DC76C94"/>
    <w:rsid w:val="5DC80482"/>
    <w:rsid w:val="5DC91353"/>
    <w:rsid w:val="5DCA244C"/>
    <w:rsid w:val="5DCA7D57"/>
    <w:rsid w:val="5DCB1D21"/>
    <w:rsid w:val="5DCC2E35"/>
    <w:rsid w:val="5DCD3CEB"/>
    <w:rsid w:val="5DCD3EA9"/>
    <w:rsid w:val="5DCD5A99"/>
    <w:rsid w:val="5DCF1811"/>
    <w:rsid w:val="5DD010E5"/>
    <w:rsid w:val="5DD07337"/>
    <w:rsid w:val="5DD13342"/>
    <w:rsid w:val="5DD15589"/>
    <w:rsid w:val="5DD21301"/>
    <w:rsid w:val="5DD21B0F"/>
    <w:rsid w:val="5DD230AF"/>
    <w:rsid w:val="5DD46E27"/>
    <w:rsid w:val="5DD5494D"/>
    <w:rsid w:val="5DD76917"/>
    <w:rsid w:val="5DD85B12"/>
    <w:rsid w:val="5DD961EC"/>
    <w:rsid w:val="5DDA133E"/>
    <w:rsid w:val="5DDB6408"/>
    <w:rsid w:val="5DDC3F2E"/>
    <w:rsid w:val="5DDC7D59"/>
    <w:rsid w:val="5DDE3802"/>
    <w:rsid w:val="5DDE7679"/>
    <w:rsid w:val="5DE2248A"/>
    <w:rsid w:val="5DE30E18"/>
    <w:rsid w:val="5DE352BC"/>
    <w:rsid w:val="5DE3706A"/>
    <w:rsid w:val="5DE51034"/>
    <w:rsid w:val="5DE762FC"/>
    <w:rsid w:val="5DE80B25"/>
    <w:rsid w:val="5DE84681"/>
    <w:rsid w:val="5DE86A07"/>
    <w:rsid w:val="5DE91E65"/>
    <w:rsid w:val="5DEA664B"/>
    <w:rsid w:val="5DEA7F80"/>
    <w:rsid w:val="5DEB5F1F"/>
    <w:rsid w:val="5DEC23C3"/>
    <w:rsid w:val="5DEC4171"/>
    <w:rsid w:val="5DED1C97"/>
    <w:rsid w:val="5DEE35FE"/>
    <w:rsid w:val="5DEE5DA8"/>
    <w:rsid w:val="5DEF4139"/>
    <w:rsid w:val="5DF00D84"/>
    <w:rsid w:val="5DF11787"/>
    <w:rsid w:val="5DF179D9"/>
    <w:rsid w:val="5DF23751"/>
    <w:rsid w:val="5DF254FF"/>
    <w:rsid w:val="5DF272AD"/>
    <w:rsid w:val="5DF47CB1"/>
    <w:rsid w:val="5DF50B4C"/>
    <w:rsid w:val="5DF51E50"/>
    <w:rsid w:val="5DF54E39"/>
    <w:rsid w:val="5DF66D9E"/>
    <w:rsid w:val="5DF70D68"/>
    <w:rsid w:val="5DF72B16"/>
    <w:rsid w:val="5DF87281"/>
    <w:rsid w:val="5DFB2606"/>
    <w:rsid w:val="5DFB4C7D"/>
    <w:rsid w:val="5DFB7343"/>
    <w:rsid w:val="5DFC1EDA"/>
    <w:rsid w:val="5DFC3365"/>
    <w:rsid w:val="5DFE20F6"/>
    <w:rsid w:val="5DFE3EA4"/>
    <w:rsid w:val="5E0019CA"/>
    <w:rsid w:val="5E007154"/>
    <w:rsid w:val="5E007C1C"/>
    <w:rsid w:val="5E010F3E"/>
    <w:rsid w:val="5E025830"/>
    <w:rsid w:val="5E0314BA"/>
    <w:rsid w:val="5E033269"/>
    <w:rsid w:val="5E053307"/>
    <w:rsid w:val="5E070FAB"/>
    <w:rsid w:val="5E08038A"/>
    <w:rsid w:val="5E082F75"/>
    <w:rsid w:val="5E0A0A9B"/>
    <w:rsid w:val="5E0A2849"/>
    <w:rsid w:val="5E0A7399"/>
    <w:rsid w:val="5E0B2D70"/>
    <w:rsid w:val="5E0B450A"/>
    <w:rsid w:val="5E0C4813"/>
    <w:rsid w:val="5E0D0F4A"/>
    <w:rsid w:val="5E0F1C0D"/>
    <w:rsid w:val="5E0F7E5F"/>
    <w:rsid w:val="5E115985"/>
    <w:rsid w:val="5E116998"/>
    <w:rsid w:val="5E1355CA"/>
    <w:rsid w:val="5E145476"/>
    <w:rsid w:val="5E146A5A"/>
    <w:rsid w:val="5E167440"/>
    <w:rsid w:val="5E174F66"/>
    <w:rsid w:val="5E1831B8"/>
    <w:rsid w:val="5E196F30"/>
    <w:rsid w:val="5E197DFF"/>
    <w:rsid w:val="5E1A118B"/>
    <w:rsid w:val="5E1A76E4"/>
    <w:rsid w:val="5E1B261B"/>
    <w:rsid w:val="5E1B2CA8"/>
    <w:rsid w:val="5E1B6804"/>
    <w:rsid w:val="5E1C158A"/>
    <w:rsid w:val="5E1C4F9F"/>
    <w:rsid w:val="5E1C51EC"/>
    <w:rsid w:val="5E1E26DD"/>
    <w:rsid w:val="5E2062C5"/>
    <w:rsid w:val="5E224037"/>
    <w:rsid w:val="5E23390B"/>
    <w:rsid w:val="5E2356B9"/>
    <w:rsid w:val="5E25629E"/>
    <w:rsid w:val="5E2733FB"/>
    <w:rsid w:val="5E280F21"/>
    <w:rsid w:val="5E286360"/>
    <w:rsid w:val="5E2A4C99"/>
    <w:rsid w:val="5E2B3851"/>
    <w:rsid w:val="5E2C27BF"/>
    <w:rsid w:val="5E2C4717"/>
    <w:rsid w:val="5E2C6171"/>
    <w:rsid w:val="5E2D4789"/>
    <w:rsid w:val="5E2D734C"/>
    <w:rsid w:val="5E306A25"/>
    <w:rsid w:val="5E3074DA"/>
    <w:rsid w:val="5E316028"/>
    <w:rsid w:val="5E3174E0"/>
    <w:rsid w:val="5E323B4E"/>
    <w:rsid w:val="5E327412"/>
    <w:rsid w:val="5E331DA0"/>
    <w:rsid w:val="5E341674"/>
    <w:rsid w:val="5E343D6A"/>
    <w:rsid w:val="5E3478C6"/>
    <w:rsid w:val="5E361890"/>
    <w:rsid w:val="5E3653EC"/>
    <w:rsid w:val="5E370D27"/>
    <w:rsid w:val="5E373284"/>
    <w:rsid w:val="5E39312E"/>
    <w:rsid w:val="5E394EDC"/>
    <w:rsid w:val="5E3A6B41"/>
    <w:rsid w:val="5E3B0C54"/>
    <w:rsid w:val="5E3D07CA"/>
    <w:rsid w:val="5E3D49CC"/>
    <w:rsid w:val="5E3E6996"/>
    <w:rsid w:val="5E3F0130"/>
    <w:rsid w:val="5E40626B"/>
    <w:rsid w:val="5E437B09"/>
    <w:rsid w:val="5E443FAD"/>
    <w:rsid w:val="5E446EBF"/>
    <w:rsid w:val="5E473A9D"/>
    <w:rsid w:val="5E484209"/>
    <w:rsid w:val="5E4915C3"/>
    <w:rsid w:val="5E4A0E97"/>
    <w:rsid w:val="5E4C2E61"/>
    <w:rsid w:val="5E4D0988"/>
    <w:rsid w:val="5E4D2736"/>
    <w:rsid w:val="5E4E007B"/>
    <w:rsid w:val="5E4E6BDA"/>
    <w:rsid w:val="5E525F9E"/>
    <w:rsid w:val="5E53117C"/>
    <w:rsid w:val="5E540585"/>
    <w:rsid w:val="5E543AC4"/>
    <w:rsid w:val="5E547F68"/>
    <w:rsid w:val="5E563CE0"/>
    <w:rsid w:val="5E56783C"/>
    <w:rsid w:val="5E5841EB"/>
    <w:rsid w:val="5E587A58"/>
    <w:rsid w:val="5E5925BD"/>
    <w:rsid w:val="5E593D11"/>
    <w:rsid w:val="5E59557E"/>
    <w:rsid w:val="5E59732C"/>
    <w:rsid w:val="5E5B4E53"/>
    <w:rsid w:val="5E5C2D0D"/>
    <w:rsid w:val="5E5E1C13"/>
    <w:rsid w:val="5E5E35FC"/>
    <w:rsid w:val="5E5E4943"/>
    <w:rsid w:val="5E5F0DE7"/>
    <w:rsid w:val="5E6006BB"/>
    <w:rsid w:val="5E604B5F"/>
    <w:rsid w:val="5E613959"/>
    <w:rsid w:val="5E613E7A"/>
    <w:rsid w:val="5E6170C1"/>
    <w:rsid w:val="5E622685"/>
    <w:rsid w:val="5E6230CD"/>
    <w:rsid w:val="5E623282"/>
    <w:rsid w:val="5E623438"/>
    <w:rsid w:val="5E6261E1"/>
    <w:rsid w:val="5E631F59"/>
    <w:rsid w:val="5E6463FD"/>
    <w:rsid w:val="5E654E72"/>
    <w:rsid w:val="5E666265"/>
    <w:rsid w:val="5E6677EE"/>
    <w:rsid w:val="5E672E0C"/>
    <w:rsid w:val="5E684600"/>
    <w:rsid w:val="5E6957C1"/>
    <w:rsid w:val="5E6A153A"/>
    <w:rsid w:val="5E6C3504"/>
    <w:rsid w:val="5E6C52B2"/>
    <w:rsid w:val="5E6C7060"/>
    <w:rsid w:val="5E6F4DA2"/>
    <w:rsid w:val="5E7058AA"/>
    <w:rsid w:val="5E705A5F"/>
    <w:rsid w:val="5E710B1A"/>
    <w:rsid w:val="5E714AFD"/>
    <w:rsid w:val="5E734892"/>
    <w:rsid w:val="5E754F77"/>
    <w:rsid w:val="5E76420C"/>
    <w:rsid w:val="5E766130"/>
    <w:rsid w:val="5E783C56"/>
    <w:rsid w:val="5E785A05"/>
    <w:rsid w:val="5E79177D"/>
    <w:rsid w:val="5E7A5C21"/>
    <w:rsid w:val="5E7A79CF"/>
    <w:rsid w:val="5E7E2E48"/>
    <w:rsid w:val="5E7E4A0C"/>
    <w:rsid w:val="5E7E6E85"/>
    <w:rsid w:val="5E7E77C4"/>
    <w:rsid w:val="5E800D5D"/>
    <w:rsid w:val="5E8048B9"/>
    <w:rsid w:val="5E806C04"/>
    <w:rsid w:val="5E8230D2"/>
    <w:rsid w:val="5E8343A9"/>
    <w:rsid w:val="5E84084D"/>
    <w:rsid w:val="5E840EA0"/>
    <w:rsid w:val="5E8425FB"/>
    <w:rsid w:val="5E847FBB"/>
    <w:rsid w:val="5E851C93"/>
    <w:rsid w:val="5E8545C5"/>
    <w:rsid w:val="5E856373"/>
    <w:rsid w:val="5E875C48"/>
    <w:rsid w:val="5E8819C0"/>
    <w:rsid w:val="5E8954E8"/>
    <w:rsid w:val="5E895E64"/>
    <w:rsid w:val="5E89726E"/>
    <w:rsid w:val="5E8A398A"/>
    <w:rsid w:val="5E8C5954"/>
    <w:rsid w:val="5E8C7702"/>
    <w:rsid w:val="5E8D2BCF"/>
    <w:rsid w:val="5E8D7DD9"/>
    <w:rsid w:val="5E8F0FA0"/>
    <w:rsid w:val="5E8F3DCD"/>
    <w:rsid w:val="5E916AC6"/>
    <w:rsid w:val="5E921635"/>
    <w:rsid w:val="5E923E8F"/>
    <w:rsid w:val="5E93283E"/>
    <w:rsid w:val="5E954808"/>
    <w:rsid w:val="5E9640DD"/>
    <w:rsid w:val="5E987E55"/>
    <w:rsid w:val="5E993BCD"/>
    <w:rsid w:val="5E9A1E1F"/>
    <w:rsid w:val="5E9B4F41"/>
    <w:rsid w:val="5E9B5B97"/>
    <w:rsid w:val="5E9C444A"/>
    <w:rsid w:val="5E9C4B6B"/>
    <w:rsid w:val="5E9C63D1"/>
    <w:rsid w:val="5E9D36BD"/>
    <w:rsid w:val="5E9F3A68"/>
    <w:rsid w:val="5E9F5687"/>
    <w:rsid w:val="5EA031AD"/>
    <w:rsid w:val="5EA06D09"/>
    <w:rsid w:val="5EA13984"/>
    <w:rsid w:val="5EA20CD3"/>
    <w:rsid w:val="5EA22243"/>
    <w:rsid w:val="5EA22A81"/>
    <w:rsid w:val="5EA345D2"/>
    <w:rsid w:val="5EA467FA"/>
    <w:rsid w:val="5EA70098"/>
    <w:rsid w:val="5EA74583"/>
    <w:rsid w:val="5EA860B5"/>
    <w:rsid w:val="5EAB7548"/>
    <w:rsid w:val="5EAC0A97"/>
    <w:rsid w:val="5EAC3900"/>
    <w:rsid w:val="5EAE1426"/>
    <w:rsid w:val="5EAE58CA"/>
    <w:rsid w:val="5EB108A8"/>
    <w:rsid w:val="5EB10F16"/>
    <w:rsid w:val="5EB14C3F"/>
    <w:rsid w:val="5EB17167"/>
    <w:rsid w:val="5EB36A3D"/>
    <w:rsid w:val="5EB56C59"/>
    <w:rsid w:val="5EB61B49"/>
    <w:rsid w:val="5EB6477F"/>
    <w:rsid w:val="5EB76CB2"/>
    <w:rsid w:val="5EB822A5"/>
    <w:rsid w:val="5EB84053"/>
    <w:rsid w:val="5EB86749"/>
    <w:rsid w:val="5EB97DCB"/>
    <w:rsid w:val="5EBA426F"/>
    <w:rsid w:val="5EBB04B7"/>
    <w:rsid w:val="5EBB3B43"/>
    <w:rsid w:val="5EBD3D5F"/>
    <w:rsid w:val="5EBD5B0D"/>
    <w:rsid w:val="5EBD6E4B"/>
    <w:rsid w:val="5EBF1885"/>
    <w:rsid w:val="5EBF3633"/>
    <w:rsid w:val="5EC073AC"/>
    <w:rsid w:val="5EC155FD"/>
    <w:rsid w:val="5EC23124"/>
    <w:rsid w:val="5EC40C4A"/>
    <w:rsid w:val="5EC455DD"/>
    <w:rsid w:val="5EC549C2"/>
    <w:rsid w:val="5EC62C14"/>
    <w:rsid w:val="5EC64CF9"/>
    <w:rsid w:val="5EC944B2"/>
    <w:rsid w:val="5ECA1FD8"/>
    <w:rsid w:val="5ECB647C"/>
    <w:rsid w:val="5ECE1AC8"/>
    <w:rsid w:val="5ECE7D1A"/>
    <w:rsid w:val="5ED03A93"/>
    <w:rsid w:val="5ED13367"/>
    <w:rsid w:val="5ED2780B"/>
    <w:rsid w:val="5ED370DF"/>
    <w:rsid w:val="5ED502B1"/>
    <w:rsid w:val="5ED54548"/>
    <w:rsid w:val="5ED54C05"/>
    <w:rsid w:val="5ED5642E"/>
    <w:rsid w:val="5ED56A95"/>
    <w:rsid w:val="5ED74E21"/>
    <w:rsid w:val="5ED83A53"/>
    <w:rsid w:val="5ED94888"/>
    <w:rsid w:val="5ED97AB4"/>
    <w:rsid w:val="5EDB41E5"/>
    <w:rsid w:val="5EDC2D1E"/>
    <w:rsid w:val="5EDC3864"/>
    <w:rsid w:val="5EDE0D55"/>
    <w:rsid w:val="5EE017FC"/>
    <w:rsid w:val="5EE1310A"/>
    <w:rsid w:val="5EE17A4E"/>
    <w:rsid w:val="5EE25574"/>
    <w:rsid w:val="5EE404E3"/>
    <w:rsid w:val="5EE40F07"/>
    <w:rsid w:val="5EE412EC"/>
    <w:rsid w:val="5EE41FF6"/>
    <w:rsid w:val="5EE4309A"/>
    <w:rsid w:val="5EE44BC7"/>
    <w:rsid w:val="5EE44E48"/>
    <w:rsid w:val="5EE5015A"/>
    <w:rsid w:val="5EE54982"/>
    <w:rsid w:val="5EE613CD"/>
    <w:rsid w:val="5EE70DDC"/>
    <w:rsid w:val="5EE94B54"/>
    <w:rsid w:val="5EEA5E68"/>
    <w:rsid w:val="5EEB4428"/>
    <w:rsid w:val="5EEC1F4F"/>
    <w:rsid w:val="5EEE5CC7"/>
    <w:rsid w:val="5EF01A3F"/>
    <w:rsid w:val="5EF13A09"/>
    <w:rsid w:val="5EF3065B"/>
    <w:rsid w:val="5EF3152F"/>
    <w:rsid w:val="5EF37781"/>
    <w:rsid w:val="5EF55B4C"/>
    <w:rsid w:val="5EF64B7B"/>
    <w:rsid w:val="5EF6776F"/>
    <w:rsid w:val="5EF71FFE"/>
    <w:rsid w:val="5EF77271"/>
    <w:rsid w:val="5EF808F3"/>
    <w:rsid w:val="5EF86B45"/>
    <w:rsid w:val="5EF86DE5"/>
    <w:rsid w:val="5EF944CD"/>
    <w:rsid w:val="5EFA466C"/>
    <w:rsid w:val="5EFB03E4"/>
    <w:rsid w:val="5EFD23AE"/>
    <w:rsid w:val="5EFD3389"/>
    <w:rsid w:val="5EFD415C"/>
    <w:rsid w:val="5EFD42DE"/>
    <w:rsid w:val="5EFE033F"/>
    <w:rsid w:val="5F002AEF"/>
    <w:rsid w:val="5F021772"/>
    <w:rsid w:val="5F02451D"/>
    <w:rsid w:val="5F02557F"/>
    <w:rsid w:val="5F037243"/>
    <w:rsid w:val="5F042A70"/>
    <w:rsid w:val="5F053010"/>
    <w:rsid w:val="5F053F00"/>
    <w:rsid w:val="5F055641"/>
    <w:rsid w:val="5F061262"/>
    <w:rsid w:val="5F076D88"/>
    <w:rsid w:val="5F0813F1"/>
    <w:rsid w:val="5F085DA4"/>
    <w:rsid w:val="5F096992"/>
    <w:rsid w:val="5F0B387C"/>
    <w:rsid w:val="5F0C439F"/>
    <w:rsid w:val="5F0D0843"/>
    <w:rsid w:val="5F0D1CD2"/>
    <w:rsid w:val="5F0F753F"/>
    <w:rsid w:val="5F100333"/>
    <w:rsid w:val="5F102754"/>
    <w:rsid w:val="5F1119B5"/>
    <w:rsid w:val="5F1167D9"/>
    <w:rsid w:val="5F125E59"/>
    <w:rsid w:val="5F13572D"/>
    <w:rsid w:val="5F137C44"/>
    <w:rsid w:val="5F16521D"/>
    <w:rsid w:val="5F180F96"/>
    <w:rsid w:val="5F1871E8"/>
    <w:rsid w:val="5F1A6ABC"/>
    <w:rsid w:val="5F1C0A86"/>
    <w:rsid w:val="5F1C2834"/>
    <w:rsid w:val="5F1C2B34"/>
    <w:rsid w:val="5F1C6CD8"/>
    <w:rsid w:val="5F1D47FE"/>
    <w:rsid w:val="5F1D65AC"/>
    <w:rsid w:val="5F1E2284"/>
    <w:rsid w:val="5F1E295A"/>
    <w:rsid w:val="5F1F0576"/>
    <w:rsid w:val="5F1F40D2"/>
    <w:rsid w:val="5F2176AD"/>
    <w:rsid w:val="5F217E4A"/>
    <w:rsid w:val="5F225970"/>
    <w:rsid w:val="5F227739"/>
    <w:rsid w:val="5F2416E8"/>
    <w:rsid w:val="5F24793A"/>
    <w:rsid w:val="5F2636B2"/>
    <w:rsid w:val="5F275E09"/>
    <w:rsid w:val="5F2913F5"/>
    <w:rsid w:val="5F2931A3"/>
    <w:rsid w:val="5F294A3B"/>
    <w:rsid w:val="5F294F51"/>
    <w:rsid w:val="5F2A478A"/>
    <w:rsid w:val="5F2B0CC9"/>
    <w:rsid w:val="5F2D2C93"/>
    <w:rsid w:val="5F2D33BC"/>
    <w:rsid w:val="5F2D4A41"/>
    <w:rsid w:val="5F2E6A0B"/>
    <w:rsid w:val="5F30008D"/>
    <w:rsid w:val="5F306A80"/>
    <w:rsid w:val="5F313E05"/>
    <w:rsid w:val="5F334021"/>
    <w:rsid w:val="5F335DCF"/>
    <w:rsid w:val="5F337B7D"/>
    <w:rsid w:val="5F3429E7"/>
    <w:rsid w:val="5F3545E4"/>
    <w:rsid w:val="5F357D99"/>
    <w:rsid w:val="5F36141C"/>
    <w:rsid w:val="5F374C3D"/>
    <w:rsid w:val="5F3758C0"/>
    <w:rsid w:val="5F3758FE"/>
    <w:rsid w:val="5F37766E"/>
    <w:rsid w:val="5F385194"/>
    <w:rsid w:val="5F386996"/>
    <w:rsid w:val="5F3A0F0C"/>
    <w:rsid w:val="5F3A53B0"/>
    <w:rsid w:val="5F3C1128"/>
    <w:rsid w:val="5F3C2ED6"/>
    <w:rsid w:val="5F3C4C84"/>
    <w:rsid w:val="5F3D09FC"/>
    <w:rsid w:val="5F3D27AA"/>
    <w:rsid w:val="5F3F4774"/>
    <w:rsid w:val="5F3F5579"/>
    <w:rsid w:val="5F3F6522"/>
    <w:rsid w:val="5F3F6C61"/>
    <w:rsid w:val="5F405520"/>
    <w:rsid w:val="5F411581"/>
    <w:rsid w:val="5F42509B"/>
    <w:rsid w:val="5F426012"/>
    <w:rsid w:val="5F427DC1"/>
    <w:rsid w:val="5F444B2A"/>
    <w:rsid w:val="5F447FDD"/>
    <w:rsid w:val="5F486883"/>
    <w:rsid w:val="5F49114F"/>
    <w:rsid w:val="5F491BD1"/>
    <w:rsid w:val="5F4955F3"/>
    <w:rsid w:val="5F4A3D74"/>
    <w:rsid w:val="5F4B3AE6"/>
    <w:rsid w:val="5F4B5204"/>
    <w:rsid w:val="5F4C0C3F"/>
    <w:rsid w:val="5F4D1362"/>
    <w:rsid w:val="5F4E2C09"/>
    <w:rsid w:val="5F4F0E5B"/>
    <w:rsid w:val="5F4F1FDB"/>
    <w:rsid w:val="5F5024DD"/>
    <w:rsid w:val="5F506981"/>
    <w:rsid w:val="5F50744C"/>
    <w:rsid w:val="5F5226F9"/>
    <w:rsid w:val="5F5244A8"/>
    <w:rsid w:val="5F546472"/>
    <w:rsid w:val="5F547908"/>
    <w:rsid w:val="5F562317"/>
    <w:rsid w:val="5F571ABE"/>
    <w:rsid w:val="5F57386C"/>
    <w:rsid w:val="5F585836"/>
    <w:rsid w:val="5F5875E4"/>
    <w:rsid w:val="5F592AFE"/>
    <w:rsid w:val="5F5A0C98"/>
    <w:rsid w:val="5F5A335C"/>
    <w:rsid w:val="5F5C0E82"/>
    <w:rsid w:val="5F5C5326"/>
    <w:rsid w:val="5F5C70D4"/>
    <w:rsid w:val="5F5C727F"/>
    <w:rsid w:val="5F5D5FEB"/>
    <w:rsid w:val="5F5E109E"/>
    <w:rsid w:val="5F5E3BB3"/>
    <w:rsid w:val="5F5F0972"/>
    <w:rsid w:val="5F5F785A"/>
    <w:rsid w:val="5F610B8F"/>
    <w:rsid w:val="5F64242D"/>
    <w:rsid w:val="5F6441DB"/>
    <w:rsid w:val="5F645F89"/>
    <w:rsid w:val="5F655DAB"/>
    <w:rsid w:val="5F666149"/>
    <w:rsid w:val="5F6D12E1"/>
    <w:rsid w:val="5F6D308F"/>
    <w:rsid w:val="5F6D7533"/>
    <w:rsid w:val="5F6F45FF"/>
    <w:rsid w:val="5F6F47FD"/>
    <w:rsid w:val="5F73441E"/>
    <w:rsid w:val="5F7408C2"/>
    <w:rsid w:val="5F742670"/>
    <w:rsid w:val="5F767659"/>
    <w:rsid w:val="5F795ED8"/>
    <w:rsid w:val="5F796DF2"/>
    <w:rsid w:val="5F797C86"/>
    <w:rsid w:val="5F7A1712"/>
    <w:rsid w:val="5F7A1C50"/>
    <w:rsid w:val="5F7A755A"/>
    <w:rsid w:val="5F7C7776"/>
    <w:rsid w:val="5F816B3B"/>
    <w:rsid w:val="5F830B05"/>
    <w:rsid w:val="5F8328B3"/>
    <w:rsid w:val="5F8403D9"/>
    <w:rsid w:val="5F84662B"/>
    <w:rsid w:val="5F867FE8"/>
    <w:rsid w:val="5F88611B"/>
    <w:rsid w:val="5F893C41"/>
    <w:rsid w:val="5F8A1DD7"/>
    <w:rsid w:val="5F8A7177"/>
    <w:rsid w:val="5F8D4FB7"/>
    <w:rsid w:val="5F8D54E0"/>
    <w:rsid w:val="5F8D7E89"/>
    <w:rsid w:val="5F8E2BC9"/>
    <w:rsid w:val="5F8E3006"/>
    <w:rsid w:val="5F8F74AA"/>
    <w:rsid w:val="5F903222"/>
    <w:rsid w:val="5F906D7E"/>
    <w:rsid w:val="5F9100A0"/>
    <w:rsid w:val="5F922AF6"/>
    <w:rsid w:val="5F93061C"/>
    <w:rsid w:val="5F942D12"/>
    <w:rsid w:val="5F9439FA"/>
    <w:rsid w:val="5F954394"/>
    <w:rsid w:val="5F9668CA"/>
    <w:rsid w:val="5F97010C"/>
    <w:rsid w:val="5F9958C6"/>
    <w:rsid w:val="5F9A0CFC"/>
    <w:rsid w:val="5F9A3692"/>
    <w:rsid w:val="5F9C5723"/>
    <w:rsid w:val="5F9E593F"/>
    <w:rsid w:val="5F9F3465"/>
    <w:rsid w:val="5FA12D39"/>
    <w:rsid w:val="5FA3091E"/>
    <w:rsid w:val="5FA31608"/>
    <w:rsid w:val="5FA41DAE"/>
    <w:rsid w:val="5FA45185"/>
    <w:rsid w:val="5FA62A45"/>
    <w:rsid w:val="5FA8056B"/>
    <w:rsid w:val="5FA95EAA"/>
    <w:rsid w:val="5FA97E40"/>
    <w:rsid w:val="5FAA6092"/>
    <w:rsid w:val="5FAE5456"/>
    <w:rsid w:val="5FAF32F9"/>
    <w:rsid w:val="5FB00B8B"/>
    <w:rsid w:val="5FB213EA"/>
    <w:rsid w:val="5FB21F35"/>
    <w:rsid w:val="5FB23198"/>
    <w:rsid w:val="5FB24F46"/>
    <w:rsid w:val="5FB33232"/>
    <w:rsid w:val="5FB40CBE"/>
    <w:rsid w:val="5FB5188F"/>
    <w:rsid w:val="5FB567E4"/>
    <w:rsid w:val="5FB816B4"/>
    <w:rsid w:val="5FB868C7"/>
    <w:rsid w:val="5FB923CE"/>
    <w:rsid w:val="5FB92779"/>
    <w:rsid w:val="5FBA587D"/>
    <w:rsid w:val="5FBB1776"/>
    <w:rsid w:val="5FBC7B73"/>
    <w:rsid w:val="5FBF1411"/>
    <w:rsid w:val="5FC1162D"/>
    <w:rsid w:val="5FC15189"/>
    <w:rsid w:val="5FC37153"/>
    <w:rsid w:val="5FC44C79"/>
    <w:rsid w:val="5FC52ECB"/>
    <w:rsid w:val="5FC609F2"/>
    <w:rsid w:val="5FCA669A"/>
    <w:rsid w:val="5FCA6734"/>
    <w:rsid w:val="5FCB38CD"/>
    <w:rsid w:val="5FCD3B8B"/>
    <w:rsid w:val="5FCE4BE3"/>
    <w:rsid w:val="5FD17AC2"/>
    <w:rsid w:val="5FD21144"/>
    <w:rsid w:val="5FD4310E"/>
    <w:rsid w:val="5FD44EBD"/>
    <w:rsid w:val="5FD56E87"/>
    <w:rsid w:val="5FD64C3D"/>
    <w:rsid w:val="5FD70E51"/>
    <w:rsid w:val="5FD7780E"/>
    <w:rsid w:val="5FD90725"/>
    <w:rsid w:val="5FD924D3"/>
    <w:rsid w:val="5FDA449D"/>
    <w:rsid w:val="5FDB0843"/>
    <w:rsid w:val="5FDB26EF"/>
    <w:rsid w:val="5FDC0AAF"/>
    <w:rsid w:val="5FDC6467"/>
    <w:rsid w:val="5FDD6614"/>
    <w:rsid w:val="5FDE21DF"/>
    <w:rsid w:val="5FDE33CF"/>
    <w:rsid w:val="5FDF108A"/>
    <w:rsid w:val="5FE01AB3"/>
    <w:rsid w:val="5FE05EC6"/>
    <w:rsid w:val="5FE07430"/>
    <w:rsid w:val="5FE1582B"/>
    <w:rsid w:val="5FE1616A"/>
    <w:rsid w:val="5FE175D9"/>
    <w:rsid w:val="5FE23C7A"/>
    <w:rsid w:val="5FE329E6"/>
    <w:rsid w:val="5FE33352"/>
    <w:rsid w:val="5FE47432"/>
    <w:rsid w:val="5FE52BB1"/>
    <w:rsid w:val="5FE64BF0"/>
    <w:rsid w:val="5FE660CB"/>
    <w:rsid w:val="5FEA0B84"/>
    <w:rsid w:val="5FEA294A"/>
    <w:rsid w:val="5FEA46E0"/>
    <w:rsid w:val="5FEB4543"/>
    <w:rsid w:val="5FEB7114"/>
    <w:rsid w:val="5FEC48FC"/>
    <w:rsid w:val="5FEC59D3"/>
    <w:rsid w:val="5FED2422"/>
    <w:rsid w:val="5FED5F7E"/>
    <w:rsid w:val="5FF12800"/>
    <w:rsid w:val="5FF53085"/>
    <w:rsid w:val="5FF612D7"/>
    <w:rsid w:val="5FF7504F"/>
    <w:rsid w:val="5FF82C8D"/>
    <w:rsid w:val="5FF83899"/>
    <w:rsid w:val="5FF86B47"/>
    <w:rsid w:val="5FF90DC7"/>
    <w:rsid w:val="5FF92B75"/>
    <w:rsid w:val="5FFB4B3F"/>
    <w:rsid w:val="5FFC08B7"/>
    <w:rsid w:val="5FFD7DE8"/>
    <w:rsid w:val="5FFE1F39"/>
    <w:rsid w:val="5FFE462F"/>
    <w:rsid w:val="5FFE7904"/>
    <w:rsid w:val="5FFF3E49"/>
    <w:rsid w:val="5FFF5CB2"/>
    <w:rsid w:val="5FFF6A1A"/>
    <w:rsid w:val="60002155"/>
    <w:rsid w:val="60003F04"/>
    <w:rsid w:val="6000600D"/>
    <w:rsid w:val="60017C7C"/>
    <w:rsid w:val="60025ECE"/>
    <w:rsid w:val="60031C46"/>
    <w:rsid w:val="6005151A"/>
    <w:rsid w:val="600557A3"/>
    <w:rsid w:val="60063D1C"/>
    <w:rsid w:val="60065292"/>
    <w:rsid w:val="600734E4"/>
    <w:rsid w:val="60082DB8"/>
    <w:rsid w:val="60096C1C"/>
    <w:rsid w:val="600A0F5C"/>
    <w:rsid w:val="600A2FD4"/>
    <w:rsid w:val="600A3B2D"/>
    <w:rsid w:val="600A4D82"/>
    <w:rsid w:val="600B23EC"/>
    <w:rsid w:val="600B28A8"/>
    <w:rsid w:val="600B4656"/>
    <w:rsid w:val="600D78DD"/>
    <w:rsid w:val="600E6318"/>
    <w:rsid w:val="600F05EB"/>
    <w:rsid w:val="600F0792"/>
    <w:rsid w:val="600F2399"/>
    <w:rsid w:val="600F2C0B"/>
    <w:rsid w:val="60107EBF"/>
    <w:rsid w:val="601100EB"/>
    <w:rsid w:val="60114363"/>
    <w:rsid w:val="60116111"/>
    <w:rsid w:val="60122565"/>
    <w:rsid w:val="6014175D"/>
    <w:rsid w:val="60146320"/>
    <w:rsid w:val="60147EE7"/>
    <w:rsid w:val="60161979"/>
    <w:rsid w:val="60163727"/>
    <w:rsid w:val="601A0A51"/>
    <w:rsid w:val="601B2AEB"/>
    <w:rsid w:val="601C6864"/>
    <w:rsid w:val="601D6342"/>
    <w:rsid w:val="601E438A"/>
    <w:rsid w:val="602045A6"/>
    <w:rsid w:val="60213E7A"/>
    <w:rsid w:val="6022031E"/>
    <w:rsid w:val="602229B7"/>
    <w:rsid w:val="60233244"/>
    <w:rsid w:val="60235E44"/>
    <w:rsid w:val="602776E2"/>
    <w:rsid w:val="602970B6"/>
    <w:rsid w:val="602A5424"/>
    <w:rsid w:val="602A71D2"/>
    <w:rsid w:val="602C2F4B"/>
    <w:rsid w:val="602C4CF9"/>
    <w:rsid w:val="602D0A71"/>
    <w:rsid w:val="602D4904"/>
    <w:rsid w:val="602D71A5"/>
    <w:rsid w:val="602F2A3B"/>
    <w:rsid w:val="603040BD"/>
    <w:rsid w:val="6031230F"/>
    <w:rsid w:val="603242D9"/>
    <w:rsid w:val="60326087"/>
    <w:rsid w:val="60327E35"/>
    <w:rsid w:val="60341DFF"/>
    <w:rsid w:val="60342E35"/>
    <w:rsid w:val="60343BAD"/>
    <w:rsid w:val="6034712F"/>
    <w:rsid w:val="60360B52"/>
    <w:rsid w:val="60363DC9"/>
    <w:rsid w:val="60365B77"/>
    <w:rsid w:val="603718EF"/>
    <w:rsid w:val="6037369D"/>
    <w:rsid w:val="6037544B"/>
    <w:rsid w:val="60377FF6"/>
    <w:rsid w:val="60395667"/>
    <w:rsid w:val="603957F6"/>
    <w:rsid w:val="60396BAB"/>
    <w:rsid w:val="60397415"/>
    <w:rsid w:val="603B13E0"/>
    <w:rsid w:val="603B14CB"/>
    <w:rsid w:val="603D5158"/>
    <w:rsid w:val="603D6F06"/>
    <w:rsid w:val="603E2C7E"/>
    <w:rsid w:val="603E67DA"/>
    <w:rsid w:val="603F3257"/>
    <w:rsid w:val="604069F6"/>
    <w:rsid w:val="604162CA"/>
    <w:rsid w:val="604167CD"/>
    <w:rsid w:val="6042451C"/>
    <w:rsid w:val="60427B6A"/>
    <w:rsid w:val="604310ED"/>
    <w:rsid w:val="60433DF0"/>
    <w:rsid w:val="604364E6"/>
    <w:rsid w:val="604638E0"/>
    <w:rsid w:val="60464ED1"/>
    <w:rsid w:val="60465003"/>
    <w:rsid w:val="60477D84"/>
    <w:rsid w:val="6048238E"/>
    <w:rsid w:val="604858AA"/>
    <w:rsid w:val="604A3A09"/>
    <w:rsid w:val="604C7149"/>
    <w:rsid w:val="604F09E7"/>
    <w:rsid w:val="604F3361"/>
    <w:rsid w:val="604F3526"/>
    <w:rsid w:val="604F6C39"/>
    <w:rsid w:val="60503A82"/>
    <w:rsid w:val="60511C70"/>
    <w:rsid w:val="6051650D"/>
    <w:rsid w:val="605424A1"/>
    <w:rsid w:val="60545FFD"/>
    <w:rsid w:val="60554D72"/>
    <w:rsid w:val="60566219"/>
    <w:rsid w:val="60575AEE"/>
    <w:rsid w:val="60583D40"/>
    <w:rsid w:val="60591866"/>
    <w:rsid w:val="605B3830"/>
    <w:rsid w:val="605B55DE"/>
    <w:rsid w:val="605B738C"/>
    <w:rsid w:val="605C4EB2"/>
    <w:rsid w:val="605D3104"/>
    <w:rsid w:val="605E50CE"/>
    <w:rsid w:val="605E53B0"/>
    <w:rsid w:val="606063AF"/>
    <w:rsid w:val="60606C05"/>
    <w:rsid w:val="6062696C"/>
    <w:rsid w:val="606326E4"/>
    <w:rsid w:val="60634492"/>
    <w:rsid w:val="60636240"/>
    <w:rsid w:val="60636F96"/>
    <w:rsid w:val="606424E0"/>
    <w:rsid w:val="60646B56"/>
    <w:rsid w:val="60675917"/>
    <w:rsid w:val="60680F20"/>
    <w:rsid w:val="60681AA9"/>
    <w:rsid w:val="60695F4D"/>
    <w:rsid w:val="60697694"/>
    <w:rsid w:val="60697C8D"/>
    <w:rsid w:val="606A3A73"/>
    <w:rsid w:val="606A5821"/>
    <w:rsid w:val="606A75CF"/>
    <w:rsid w:val="606B69F7"/>
    <w:rsid w:val="606C77EB"/>
    <w:rsid w:val="606D2C19"/>
    <w:rsid w:val="606D5311"/>
    <w:rsid w:val="606D74B6"/>
    <w:rsid w:val="606E1F64"/>
    <w:rsid w:val="606E3563"/>
    <w:rsid w:val="606E61E9"/>
    <w:rsid w:val="606F2E37"/>
    <w:rsid w:val="6071095D"/>
    <w:rsid w:val="60712CDB"/>
    <w:rsid w:val="60714E01"/>
    <w:rsid w:val="60716BAF"/>
    <w:rsid w:val="60730B79"/>
    <w:rsid w:val="60736A8B"/>
    <w:rsid w:val="60742E16"/>
    <w:rsid w:val="607448F1"/>
    <w:rsid w:val="607466A0"/>
    <w:rsid w:val="60747F1B"/>
    <w:rsid w:val="60793CB6"/>
    <w:rsid w:val="60795A64"/>
    <w:rsid w:val="607A288B"/>
    <w:rsid w:val="607A54CE"/>
    <w:rsid w:val="607A6509"/>
    <w:rsid w:val="607B17DC"/>
    <w:rsid w:val="607B521D"/>
    <w:rsid w:val="607D065B"/>
    <w:rsid w:val="607D5554"/>
    <w:rsid w:val="607D6F26"/>
    <w:rsid w:val="607E307A"/>
    <w:rsid w:val="607E751E"/>
    <w:rsid w:val="608060CC"/>
    <w:rsid w:val="60806DF2"/>
    <w:rsid w:val="60822B6A"/>
    <w:rsid w:val="60824919"/>
    <w:rsid w:val="608368E3"/>
    <w:rsid w:val="60844B35"/>
    <w:rsid w:val="60854409"/>
    <w:rsid w:val="60870181"/>
    <w:rsid w:val="608763D3"/>
    <w:rsid w:val="60883EF9"/>
    <w:rsid w:val="60885CA7"/>
    <w:rsid w:val="60886BF6"/>
    <w:rsid w:val="6089214B"/>
    <w:rsid w:val="60894EB2"/>
    <w:rsid w:val="608A42BB"/>
    <w:rsid w:val="608A7C71"/>
    <w:rsid w:val="608B350E"/>
    <w:rsid w:val="608B6453"/>
    <w:rsid w:val="608C39E9"/>
    <w:rsid w:val="608C5797"/>
    <w:rsid w:val="608F34D9"/>
    <w:rsid w:val="608F7035"/>
    <w:rsid w:val="609076F3"/>
    <w:rsid w:val="60912DAE"/>
    <w:rsid w:val="60917251"/>
    <w:rsid w:val="60932FCA"/>
    <w:rsid w:val="60946B72"/>
    <w:rsid w:val="609520D5"/>
    <w:rsid w:val="60961E24"/>
    <w:rsid w:val="60966616"/>
    <w:rsid w:val="6098045A"/>
    <w:rsid w:val="60997EB4"/>
    <w:rsid w:val="609B1E7E"/>
    <w:rsid w:val="609B3C2C"/>
    <w:rsid w:val="609B59DA"/>
    <w:rsid w:val="609D79A4"/>
    <w:rsid w:val="609E54CA"/>
    <w:rsid w:val="609E5A0A"/>
    <w:rsid w:val="60A02511"/>
    <w:rsid w:val="60A07495"/>
    <w:rsid w:val="60A24FBB"/>
    <w:rsid w:val="60A30D33"/>
    <w:rsid w:val="60A41A75"/>
    <w:rsid w:val="60A52CFD"/>
    <w:rsid w:val="60A54AAB"/>
    <w:rsid w:val="60A56859"/>
    <w:rsid w:val="60A57731"/>
    <w:rsid w:val="60A6305A"/>
    <w:rsid w:val="60A646A2"/>
    <w:rsid w:val="60A70823"/>
    <w:rsid w:val="60A709E9"/>
    <w:rsid w:val="60A72DA9"/>
    <w:rsid w:val="60AC7BE7"/>
    <w:rsid w:val="60AD570E"/>
    <w:rsid w:val="60AE1157"/>
    <w:rsid w:val="60AE1BB1"/>
    <w:rsid w:val="60AE7E03"/>
    <w:rsid w:val="60AF1486"/>
    <w:rsid w:val="60AF2097"/>
    <w:rsid w:val="60B028AD"/>
    <w:rsid w:val="60B116A2"/>
    <w:rsid w:val="60B13450"/>
    <w:rsid w:val="60B44CEE"/>
    <w:rsid w:val="60B46AEE"/>
    <w:rsid w:val="60B63FDF"/>
    <w:rsid w:val="60B8021A"/>
    <w:rsid w:val="60B80B71"/>
    <w:rsid w:val="60B8432C"/>
    <w:rsid w:val="60B847DE"/>
    <w:rsid w:val="60BA2960"/>
    <w:rsid w:val="60BC3363"/>
    <w:rsid w:val="60BD7BA0"/>
    <w:rsid w:val="60BE175D"/>
    <w:rsid w:val="60BE5A58"/>
    <w:rsid w:val="60BF5B6D"/>
    <w:rsid w:val="60BF6646"/>
    <w:rsid w:val="60C018E5"/>
    <w:rsid w:val="60C05441"/>
    <w:rsid w:val="60C07B37"/>
    <w:rsid w:val="60C2206A"/>
    <w:rsid w:val="60C2565D"/>
    <w:rsid w:val="60C72C73"/>
    <w:rsid w:val="60C84CB3"/>
    <w:rsid w:val="60CA4511"/>
    <w:rsid w:val="60CC2038"/>
    <w:rsid w:val="60CD7695"/>
    <w:rsid w:val="60CE4002"/>
    <w:rsid w:val="60CE7B5E"/>
    <w:rsid w:val="60CF1B28"/>
    <w:rsid w:val="60D10BE7"/>
    <w:rsid w:val="60D158A0"/>
    <w:rsid w:val="60D27678"/>
    <w:rsid w:val="60D27DC3"/>
    <w:rsid w:val="60D333C6"/>
    <w:rsid w:val="60D40EEC"/>
    <w:rsid w:val="60D41DC6"/>
    <w:rsid w:val="60D55390"/>
    <w:rsid w:val="60D62EB6"/>
    <w:rsid w:val="60D67AA4"/>
    <w:rsid w:val="60D96503"/>
    <w:rsid w:val="60DA70C8"/>
    <w:rsid w:val="60DB04CD"/>
    <w:rsid w:val="60DC2CC3"/>
    <w:rsid w:val="60DC3129"/>
    <w:rsid w:val="60DD45B9"/>
    <w:rsid w:val="60DF620F"/>
    <w:rsid w:val="60E03D35"/>
    <w:rsid w:val="60E07891"/>
    <w:rsid w:val="60E16353"/>
    <w:rsid w:val="60E27AAD"/>
    <w:rsid w:val="60E41009"/>
    <w:rsid w:val="60E42D4B"/>
    <w:rsid w:val="60E47381"/>
    <w:rsid w:val="60E5134B"/>
    <w:rsid w:val="60E549EE"/>
    <w:rsid w:val="60E72E0D"/>
    <w:rsid w:val="60E750C3"/>
    <w:rsid w:val="60E767F4"/>
    <w:rsid w:val="60E8429D"/>
    <w:rsid w:val="60E94998"/>
    <w:rsid w:val="60EA0710"/>
    <w:rsid w:val="60EB004D"/>
    <w:rsid w:val="60EB4BB4"/>
    <w:rsid w:val="60EC2EEB"/>
    <w:rsid w:val="60EE0200"/>
    <w:rsid w:val="60EE1D70"/>
    <w:rsid w:val="60EE1FAE"/>
    <w:rsid w:val="60EE6452"/>
    <w:rsid w:val="60EF0A8D"/>
    <w:rsid w:val="60EF5D26"/>
    <w:rsid w:val="60F021CA"/>
    <w:rsid w:val="60F03E6D"/>
    <w:rsid w:val="60F03F78"/>
    <w:rsid w:val="60F15F42"/>
    <w:rsid w:val="60F33A68"/>
    <w:rsid w:val="60F4333C"/>
    <w:rsid w:val="60F43F81"/>
    <w:rsid w:val="60F577E0"/>
    <w:rsid w:val="60F63558"/>
    <w:rsid w:val="60F65306"/>
    <w:rsid w:val="60F670B5"/>
    <w:rsid w:val="60F732F5"/>
    <w:rsid w:val="60F8107F"/>
    <w:rsid w:val="60F811C1"/>
    <w:rsid w:val="60F90953"/>
    <w:rsid w:val="60F95222"/>
    <w:rsid w:val="60FA4DF7"/>
    <w:rsid w:val="60FB0B6F"/>
    <w:rsid w:val="60FB291D"/>
    <w:rsid w:val="60FB46CB"/>
    <w:rsid w:val="60FB7B42"/>
    <w:rsid w:val="60FD0443"/>
    <w:rsid w:val="60FD6695"/>
    <w:rsid w:val="60FE7C04"/>
    <w:rsid w:val="60FF41BB"/>
    <w:rsid w:val="60FF56E8"/>
    <w:rsid w:val="60FF6494"/>
    <w:rsid w:val="61007F33"/>
    <w:rsid w:val="61016185"/>
    <w:rsid w:val="61023899"/>
    <w:rsid w:val="61023CAB"/>
    <w:rsid w:val="61037A48"/>
    <w:rsid w:val="610409C1"/>
    <w:rsid w:val="61045C75"/>
    <w:rsid w:val="610537C5"/>
    <w:rsid w:val="6105554A"/>
    <w:rsid w:val="610572F8"/>
    <w:rsid w:val="6106379C"/>
    <w:rsid w:val="61067861"/>
    <w:rsid w:val="610712C2"/>
    <w:rsid w:val="61077514"/>
    <w:rsid w:val="61080CB6"/>
    <w:rsid w:val="610935D6"/>
    <w:rsid w:val="610A2B60"/>
    <w:rsid w:val="610A4AE1"/>
    <w:rsid w:val="610B0DB2"/>
    <w:rsid w:val="610B5D8F"/>
    <w:rsid w:val="610C0686"/>
    <w:rsid w:val="610C68D8"/>
    <w:rsid w:val="610E08A2"/>
    <w:rsid w:val="610E2650"/>
    <w:rsid w:val="610E3530"/>
    <w:rsid w:val="61105B00"/>
    <w:rsid w:val="611063C8"/>
    <w:rsid w:val="61112A82"/>
    <w:rsid w:val="6113099A"/>
    <w:rsid w:val="61135EB8"/>
    <w:rsid w:val="6114688D"/>
    <w:rsid w:val="6116093D"/>
    <w:rsid w:val="61161505"/>
    <w:rsid w:val="611724E2"/>
    <w:rsid w:val="61173D6D"/>
    <w:rsid w:val="611759A9"/>
    <w:rsid w:val="61181721"/>
    <w:rsid w:val="61181C3B"/>
    <w:rsid w:val="611834CF"/>
    <w:rsid w:val="6119480C"/>
    <w:rsid w:val="611A0140"/>
    <w:rsid w:val="611A2DA3"/>
    <w:rsid w:val="611A43B1"/>
    <w:rsid w:val="611A5C9C"/>
    <w:rsid w:val="611A5DAC"/>
    <w:rsid w:val="611B3CDB"/>
    <w:rsid w:val="611B4D6D"/>
    <w:rsid w:val="611B6B1B"/>
    <w:rsid w:val="611C24EC"/>
    <w:rsid w:val="611C2FBF"/>
    <w:rsid w:val="611F37CF"/>
    <w:rsid w:val="61204131"/>
    <w:rsid w:val="6122434D"/>
    <w:rsid w:val="61261C8D"/>
    <w:rsid w:val="61265BEC"/>
    <w:rsid w:val="612A58C1"/>
    <w:rsid w:val="612B6C21"/>
    <w:rsid w:val="612C0D28"/>
    <w:rsid w:val="612E684E"/>
    <w:rsid w:val="612E72BF"/>
    <w:rsid w:val="612F3E61"/>
    <w:rsid w:val="61300818"/>
    <w:rsid w:val="613025C6"/>
    <w:rsid w:val="613100ED"/>
    <w:rsid w:val="61312A93"/>
    <w:rsid w:val="6131350D"/>
    <w:rsid w:val="61330309"/>
    <w:rsid w:val="61333E65"/>
    <w:rsid w:val="613528A4"/>
    <w:rsid w:val="61377DF9"/>
    <w:rsid w:val="6138147B"/>
    <w:rsid w:val="61384237"/>
    <w:rsid w:val="613921C4"/>
    <w:rsid w:val="613A3445"/>
    <w:rsid w:val="613B0F6B"/>
    <w:rsid w:val="613C488D"/>
    <w:rsid w:val="613D1187"/>
    <w:rsid w:val="613D138B"/>
    <w:rsid w:val="613D4CE3"/>
    <w:rsid w:val="613F49E8"/>
    <w:rsid w:val="614001E3"/>
    <w:rsid w:val="61430134"/>
    <w:rsid w:val="614442C4"/>
    <w:rsid w:val="6146003C"/>
    <w:rsid w:val="61481242"/>
    <w:rsid w:val="61483DB4"/>
    <w:rsid w:val="61490A69"/>
    <w:rsid w:val="6149117C"/>
    <w:rsid w:val="614975D9"/>
    <w:rsid w:val="61497B2C"/>
    <w:rsid w:val="614B38A4"/>
    <w:rsid w:val="614B4ACA"/>
    <w:rsid w:val="614B5652"/>
    <w:rsid w:val="614B688F"/>
    <w:rsid w:val="614C4F26"/>
    <w:rsid w:val="614D13CA"/>
    <w:rsid w:val="614E087A"/>
    <w:rsid w:val="614E5143"/>
    <w:rsid w:val="61502C69"/>
    <w:rsid w:val="6151078F"/>
    <w:rsid w:val="6151253D"/>
    <w:rsid w:val="61532759"/>
    <w:rsid w:val="615362B5"/>
    <w:rsid w:val="615434A5"/>
    <w:rsid w:val="6155202D"/>
    <w:rsid w:val="615558AB"/>
    <w:rsid w:val="615564D1"/>
    <w:rsid w:val="61565DA5"/>
    <w:rsid w:val="61572249"/>
    <w:rsid w:val="61573FF7"/>
    <w:rsid w:val="615838CB"/>
    <w:rsid w:val="6158615C"/>
    <w:rsid w:val="615C33BC"/>
    <w:rsid w:val="615C5A4F"/>
    <w:rsid w:val="615C785F"/>
    <w:rsid w:val="615E238B"/>
    <w:rsid w:val="615E35D8"/>
    <w:rsid w:val="615F2EAC"/>
    <w:rsid w:val="61614E76"/>
    <w:rsid w:val="616218C1"/>
    <w:rsid w:val="61630BEE"/>
    <w:rsid w:val="61642270"/>
    <w:rsid w:val="616423A3"/>
    <w:rsid w:val="61643B1B"/>
    <w:rsid w:val="61655B26"/>
    <w:rsid w:val="616617D0"/>
    <w:rsid w:val="6166248C"/>
    <w:rsid w:val="6166544F"/>
    <w:rsid w:val="61665FE8"/>
    <w:rsid w:val="61671D60"/>
    <w:rsid w:val="61693D2A"/>
    <w:rsid w:val="616B2973"/>
    <w:rsid w:val="616B7AA3"/>
    <w:rsid w:val="616C7377"/>
    <w:rsid w:val="61706E67"/>
    <w:rsid w:val="6171498D"/>
    <w:rsid w:val="61730705"/>
    <w:rsid w:val="617526CF"/>
    <w:rsid w:val="61761FA3"/>
    <w:rsid w:val="61776447"/>
    <w:rsid w:val="61783F6D"/>
    <w:rsid w:val="61794F77"/>
    <w:rsid w:val="61797B48"/>
    <w:rsid w:val="617A1A94"/>
    <w:rsid w:val="617A5F38"/>
    <w:rsid w:val="617B022B"/>
    <w:rsid w:val="617C1CB0"/>
    <w:rsid w:val="617C3A5E"/>
    <w:rsid w:val="617D70E4"/>
    <w:rsid w:val="617E2342"/>
    <w:rsid w:val="617F70AA"/>
    <w:rsid w:val="61811074"/>
    <w:rsid w:val="61813BF8"/>
    <w:rsid w:val="61826B9A"/>
    <w:rsid w:val="61840B64"/>
    <w:rsid w:val="618446C0"/>
    <w:rsid w:val="61846571"/>
    <w:rsid w:val="6186668A"/>
    <w:rsid w:val="618741B1"/>
    <w:rsid w:val="61880654"/>
    <w:rsid w:val="618835DC"/>
    <w:rsid w:val="618B1F5D"/>
    <w:rsid w:val="618C105B"/>
    <w:rsid w:val="618E553F"/>
    <w:rsid w:val="618F6AAB"/>
    <w:rsid w:val="619012B7"/>
    <w:rsid w:val="619035F0"/>
    <w:rsid w:val="61905CFF"/>
    <w:rsid w:val="61932B55"/>
    <w:rsid w:val="61952D71"/>
    <w:rsid w:val="61954B1F"/>
    <w:rsid w:val="619568CD"/>
    <w:rsid w:val="619844A4"/>
    <w:rsid w:val="619863BE"/>
    <w:rsid w:val="61987D83"/>
    <w:rsid w:val="61994561"/>
    <w:rsid w:val="61994610"/>
    <w:rsid w:val="619A0388"/>
    <w:rsid w:val="619A2136"/>
    <w:rsid w:val="619B7DA6"/>
    <w:rsid w:val="619C1A0A"/>
    <w:rsid w:val="619C4100"/>
    <w:rsid w:val="619C7C5C"/>
    <w:rsid w:val="619E09FC"/>
    <w:rsid w:val="619E175B"/>
    <w:rsid w:val="61A11716"/>
    <w:rsid w:val="61A145D6"/>
    <w:rsid w:val="61A3723C"/>
    <w:rsid w:val="61A37367"/>
    <w:rsid w:val="61A41674"/>
    <w:rsid w:val="61A60ADB"/>
    <w:rsid w:val="61A62889"/>
    <w:rsid w:val="61A75A1C"/>
    <w:rsid w:val="61A82AA5"/>
    <w:rsid w:val="61A84853"/>
    <w:rsid w:val="61A86601"/>
    <w:rsid w:val="61A905CB"/>
    <w:rsid w:val="61A91794"/>
    <w:rsid w:val="61A92379"/>
    <w:rsid w:val="61A94127"/>
    <w:rsid w:val="61A954E6"/>
    <w:rsid w:val="61AB31C8"/>
    <w:rsid w:val="61AB4343"/>
    <w:rsid w:val="61AB7E06"/>
    <w:rsid w:val="61AB7E9F"/>
    <w:rsid w:val="61AD1E69"/>
    <w:rsid w:val="61AE52F7"/>
    <w:rsid w:val="61AE78D5"/>
    <w:rsid w:val="61AE798F"/>
    <w:rsid w:val="61AF3E33"/>
    <w:rsid w:val="61AF6277"/>
    <w:rsid w:val="61B054B5"/>
    <w:rsid w:val="61B227FB"/>
    <w:rsid w:val="61B31169"/>
    <w:rsid w:val="61B41449"/>
    <w:rsid w:val="61B50D1E"/>
    <w:rsid w:val="61B53A89"/>
    <w:rsid w:val="61B551C2"/>
    <w:rsid w:val="61B72CE8"/>
    <w:rsid w:val="61B74A96"/>
    <w:rsid w:val="61B825BC"/>
    <w:rsid w:val="61B9586C"/>
    <w:rsid w:val="61BA27D8"/>
    <w:rsid w:val="61BA389A"/>
    <w:rsid w:val="61BA4586"/>
    <w:rsid w:val="61BC02FE"/>
    <w:rsid w:val="61BD221B"/>
    <w:rsid w:val="61BF1B9C"/>
    <w:rsid w:val="61BF1E92"/>
    <w:rsid w:val="61BF7DEE"/>
    <w:rsid w:val="61C15914"/>
    <w:rsid w:val="61C41CD1"/>
    <w:rsid w:val="61C4285B"/>
    <w:rsid w:val="61C471B3"/>
    <w:rsid w:val="61C55405"/>
    <w:rsid w:val="61C64CD9"/>
    <w:rsid w:val="61C6532F"/>
    <w:rsid w:val="61C6614F"/>
    <w:rsid w:val="61C674AB"/>
    <w:rsid w:val="61C70EBD"/>
    <w:rsid w:val="61C7428D"/>
    <w:rsid w:val="61C80A51"/>
    <w:rsid w:val="61C80A6F"/>
    <w:rsid w:val="61C84EF5"/>
    <w:rsid w:val="61C91EFF"/>
    <w:rsid w:val="61C947C9"/>
    <w:rsid w:val="61C96577"/>
    <w:rsid w:val="61CB22EF"/>
    <w:rsid w:val="61CB6485"/>
    <w:rsid w:val="61CD250B"/>
    <w:rsid w:val="61CD42B9"/>
    <w:rsid w:val="61CD6067"/>
    <w:rsid w:val="61CE5D71"/>
    <w:rsid w:val="61D01DD2"/>
    <w:rsid w:val="61D05B58"/>
    <w:rsid w:val="61D07906"/>
    <w:rsid w:val="61D17CAD"/>
    <w:rsid w:val="61D23591"/>
    <w:rsid w:val="61D2367E"/>
    <w:rsid w:val="61D246F2"/>
    <w:rsid w:val="61D373F6"/>
    <w:rsid w:val="61D513C0"/>
    <w:rsid w:val="61D5316E"/>
    <w:rsid w:val="61D54F1C"/>
    <w:rsid w:val="61D70C94"/>
    <w:rsid w:val="61D90FCD"/>
    <w:rsid w:val="61DC44FC"/>
    <w:rsid w:val="61DE0274"/>
    <w:rsid w:val="61DE2C95"/>
    <w:rsid w:val="61DE64C6"/>
    <w:rsid w:val="61DF3D69"/>
    <w:rsid w:val="61DF468F"/>
    <w:rsid w:val="61DF5D9B"/>
    <w:rsid w:val="61E0223F"/>
    <w:rsid w:val="61E17D65"/>
    <w:rsid w:val="61E274BC"/>
    <w:rsid w:val="61E32F96"/>
    <w:rsid w:val="61E3588B"/>
    <w:rsid w:val="61E37639"/>
    <w:rsid w:val="61E442A7"/>
    <w:rsid w:val="61E57855"/>
    <w:rsid w:val="61E635CD"/>
    <w:rsid w:val="61E6537B"/>
    <w:rsid w:val="61E67129"/>
    <w:rsid w:val="61E80393"/>
    <w:rsid w:val="61E81904"/>
    <w:rsid w:val="61E81B77"/>
    <w:rsid w:val="61E824DC"/>
    <w:rsid w:val="61E86668"/>
    <w:rsid w:val="61E95D5F"/>
    <w:rsid w:val="61EB0BE3"/>
    <w:rsid w:val="61EB2991"/>
    <w:rsid w:val="61EC3265"/>
    <w:rsid w:val="61ED30A5"/>
    <w:rsid w:val="61EE5FDE"/>
    <w:rsid w:val="61EE729E"/>
    <w:rsid w:val="61EF2482"/>
    <w:rsid w:val="61F05D57"/>
    <w:rsid w:val="61F07FA8"/>
    <w:rsid w:val="61F23D20"/>
    <w:rsid w:val="61F25ACE"/>
    <w:rsid w:val="61F335F4"/>
    <w:rsid w:val="61F45CEA"/>
    <w:rsid w:val="61F47A98"/>
    <w:rsid w:val="61F50F1C"/>
    <w:rsid w:val="61F623AC"/>
    <w:rsid w:val="61F71336"/>
    <w:rsid w:val="61F736C3"/>
    <w:rsid w:val="61F74F7D"/>
    <w:rsid w:val="61F77588"/>
    <w:rsid w:val="61F93DC3"/>
    <w:rsid w:val="61F950AE"/>
    <w:rsid w:val="61F9738B"/>
    <w:rsid w:val="61FA48B8"/>
    <w:rsid w:val="61FB4D8E"/>
    <w:rsid w:val="61FB61B5"/>
    <w:rsid w:val="61FE0917"/>
    <w:rsid w:val="61FE4473"/>
    <w:rsid w:val="6200468F"/>
    <w:rsid w:val="62013F63"/>
    <w:rsid w:val="62031A89"/>
    <w:rsid w:val="6203740B"/>
    <w:rsid w:val="62061579"/>
    <w:rsid w:val="62065A1D"/>
    <w:rsid w:val="620677CB"/>
    <w:rsid w:val="62074A10"/>
    <w:rsid w:val="620852F1"/>
    <w:rsid w:val="62085F01"/>
    <w:rsid w:val="6208709F"/>
    <w:rsid w:val="62087ACE"/>
    <w:rsid w:val="620A1069"/>
    <w:rsid w:val="620B1CB1"/>
    <w:rsid w:val="620B4DE2"/>
    <w:rsid w:val="620C3034"/>
    <w:rsid w:val="620D0B5A"/>
    <w:rsid w:val="620D46B6"/>
    <w:rsid w:val="620D6DAC"/>
    <w:rsid w:val="620E0E47"/>
    <w:rsid w:val="620F3203"/>
    <w:rsid w:val="620F6680"/>
    <w:rsid w:val="621041A6"/>
    <w:rsid w:val="62105B23"/>
    <w:rsid w:val="6211064A"/>
    <w:rsid w:val="62123618"/>
    <w:rsid w:val="621243C2"/>
    <w:rsid w:val="62141908"/>
    <w:rsid w:val="62141EE8"/>
    <w:rsid w:val="62143C96"/>
    <w:rsid w:val="62145A44"/>
    <w:rsid w:val="62147075"/>
    <w:rsid w:val="62157A0E"/>
    <w:rsid w:val="62161F3E"/>
    <w:rsid w:val="62165C60"/>
    <w:rsid w:val="62195750"/>
    <w:rsid w:val="62196E86"/>
    <w:rsid w:val="621974FF"/>
    <w:rsid w:val="621A6DD3"/>
    <w:rsid w:val="621B3277"/>
    <w:rsid w:val="621C6FEF"/>
    <w:rsid w:val="621E2D67"/>
    <w:rsid w:val="621F43E9"/>
    <w:rsid w:val="6220088D"/>
    <w:rsid w:val="6220263B"/>
    <w:rsid w:val="62206ADF"/>
    <w:rsid w:val="62221679"/>
    <w:rsid w:val="62223F30"/>
    <w:rsid w:val="62227F38"/>
    <w:rsid w:val="6223037D"/>
    <w:rsid w:val="622313C8"/>
    <w:rsid w:val="62265BF1"/>
    <w:rsid w:val="622814F0"/>
    <w:rsid w:val="62287742"/>
    <w:rsid w:val="622B0FE0"/>
    <w:rsid w:val="622C5484"/>
    <w:rsid w:val="622D504B"/>
    <w:rsid w:val="622D6B06"/>
    <w:rsid w:val="622F0AD0"/>
    <w:rsid w:val="622F287E"/>
    <w:rsid w:val="622F6D22"/>
    <w:rsid w:val="623065F6"/>
    <w:rsid w:val="62307304"/>
    <w:rsid w:val="62326A29"/>
    <w:rsid w:val="6233011F"/>
    <w:rsid w:val="62344338"/>
    <w:rsid w:val="62357B32"/>
    <w:rsid w:val="623600B0"/>
    <w:rsid w:val="62377985"/>
    <w:rsid w:val="623A1223"/>
    <w:rsid w:val="623B56C7"/>
    <w:rsid w:val="623C734E"/>
    <w:rsid w:val="623E6F65"/>
    <w:rsid w:val="623F0BA1"/>
    <w:rsid w:val="623F140B"/>
    <w:rsid w:val="623F6839"/>
    <w:rsid w:val="62400DDA"/>
    <w:rsid w:val="62402CDD"/>
    <w:rsid w:val="62410763"/>
    <w:rsid w:val="62426A55"/>
    <w:rsid w:val="624327CD"/>
    <w:rsid w:val="62432EF2"/>
    <w:rsid w:val="6243457B"/>
    <w:rsid w:val="62443583"/>
    <w:rsid w:val="624520A2"/>
    <w:rsid w:val="62464F99"/>
    <w:rsid w:val="62465009"/>
    <w:rsid w:val="62467BC8"/>
    <w:rsid w:val="6247406C"/>
    <w:rsid w:val="6247504A"/>
    <w:rsid w:val="624755C1"/>
    <w:rsid w:val="62481B92"/>
    <w:rsid w:val="62483940"/>
    <w:rsid w:val="624A5CB4"/>
    <w:rsid w:val="624B3430"/>
    <w:rsid w:val="624D30C1"/>
    <w:rsid w:val="624F2F20"/>
    <w:rsid w:val="624F4CCE"/>
    <w:rsid w:val="62513DB2"/>
    <w:rsid w:val="62514EEA"/>
    <w:rsid w:val="62554E07"/>
    <w:rsid w:val="62562501"/>
    <w:rsid w:val="625642AF"/>
    <w:rsid w:val="62571DD5"/>
    <w:rsid w:val="62581748"/>
    <w:rsid w:val="62586279"/>
    <w:rsid w:val="625B18C5"/>
    <w:rsid w:val="625B3673"/>
    <w:rsid w:val="625B7B17"/>
    <w:rsid w:val="625C563D"/>
    <w:rsid w:val="625C73EB"/>
    <w:rsid w:val="625E13B5"/>
    <w:rsid w:val="625E3163"/>
    <w:rsid w:val="625E7607"/>
    <w:rsid w:val="625F161B"/>
    <w:rsid w:val="62606EDB"/>
    <w:rsid w:val="62612C54"/>
    <w:rsid w:val="62620EA5"/>
    <w:rsid w:val="62630956"/>
    <w:rsid w:val="62634C1E"/>
    <w:rsid w:val="6264142C"/>
    <w:rsid w:val="62650996"/>
    <w:rsid w:val="62652744"/>
    <w:rsid w:val="626544F2"/>
    <w:rsid w:val="6265548D"/>
    <w:rsid w:val="626764BC"/>
    <w:rsid w:val="626A5A45"/>
    <w:rsid w:val="626B70B7"/>
    <w:rsid w:val="626C5880"/>
    <w:rsid w:val="626C62F0"/>
    <w:rsid w:val="626D1570"/>
    <w:rsid w:val="626D33A6"/>
    <w:rsid w:val="626D76EE"/>
    <w:rsid w:val="626D784A"/>
    <w:rsid w:val="626E02DB"/>
    <w:rsid w:val="626F711E"/>
    <w:rsid w:val="627209BD"/>
    <w:rsid w:val="627226A5"/>
    <w:rsid w:val="62740BD9"/>
    <w:rsid w:val="62743273"/>
    <w:rsid w:val="62744735"/>
    <w:rsid w:val="627477E0"/>
    <w:rsid w:val="627523B1"/>
    <w:rsid w:val="627604AD"/>
    <w:rsid w:val="627735A5"/>
    <w:rsid w:val="627819D5"/>
    <w:rsid w:val="62782477"/>
    <w:rsid w:val="62783A56"/>
    <w:rsid w:val="62783BF5"/>
    <w:rsid w:val="6279041A"/>
    <w:rsid w:val="62791D4B"/>
    <w:rsid w:val="627B1F67"/>
    <w:rsid w:val="627B5AC3"/>
    <w:rsid w:val="627D1FD3"/>
    <w:rsid w:val="627E48A2"/>
    <w:rsid w:val="627E7362"/>
    <w:rsid w:val="6280036F"/>
    <w:rsid w:val="6280132C"/>
    <w:rsid w:val="62866790"/>
    <w:rsid w:val="62866DA4"/>
    <w:rsid w:val="6287090C"/>
    <w:rsid w:val="628726BA"/>
    <w:rsid w:val="628A03FC"/>
    <w:rsid w:val="628C0638"/>
    <w:rsid w:val="628C7CD0"/>
    <w:rsid w:val="628D3A49"/>
    <w:rsid w:val="628E1C9B"/>
    <w:rsid w:val="628E2720"/>
    <w:rsid w:val="628E7604"/>
    <w:rsid w:val="628F3483"/>
    <w:rsid w:val="62906FB9"/>
    <w:rsid w:val="62917095"/>
    <w:rsid w:val="6292105F"/>
    <w:rsid w:val="62922E0D"/>
    <w:rsid w:val="629372B1"/>
    <w:rsid w:val="62954A01"/>
    <w:rsid w:val="629628FD"/>
    <w:rsid w:val="62970A67"/>
    <w:rsid w:val="62974752"/>
    <w:rsid w:val="62975F54"/>
    <w:rsid w:val="62980CCF"/>
    <w:rsid w:val="6299063F"/>
    <w:rsid w:val="629917AC"/>
    <w:rsid w:val="629923ED"/>
    <w:rsid w:val="629A680B"/>
    <w:rsid w:val="629B43B7"/>
    <w:rsid w:val="629B6165"/>
    <w:rsid w:val="629B7F14"/>
    <w:rsid w:val="629C012D"/>
    <w:rsid w:val="629C4E5A"/>
    <w:rsid w:val="629D15BD"/>
    <w:rsid w:val="629D5835"/>
    <w:rsid w:val="629E388E"/>
    <w:rsid w:val="62A0335F"/>
    <w:rsid w:val="62A03956"/>
    <w:rsid w:val="62A17C51"/>
    <w:rsid w:val="62A212A2"/>
    <w:rsid w:val="62A3326C"/>
    <w:rsid w:val="62A52B40"/>
    <w:rsid w:val="62A56FE4"/>
    <w:rsid w:val="62A63DB0"/>
    <w:rsid w:val="62A72D5C"/>
    <w:rsid w:val="62A73AFF"/>
    <w:rsid w:val="62A768B8"/>
    <w:rsid w:val="62AA3BC1"/>
    <w:rsid w:val="62AC0373"/>
    <w:rsid w:val="62AC2121"/>
    <w:rsid w:val="62AC3ECF"/>
    <w:rsid w:val="62AE40EB"/>
    <w:rsid w:val="62AF7E63"/>
    <w:rsid w:val="62B0590C"/>
    <w:rsid w:val="62B114E5"/>
    <w:rsid w:val="62B21984"/>
    <w:rsid w:val="62B2525D"/>
    <w:rsid w:val="62B31701"/>
    <w:rsid w:val="62B47227"/>
    <w:rsid w:val="62B60CD4"/>
    <w:rsid w:val="62B72874"/>
    <w:rsid w:val="62B8423B"/>
    <w:rsid w:val="62B86D17"/>
    <w:rsid w:val="62BB2364"/>
    <w:rsid w:val="62BC3405"/>
    <w:rsid w:val="62BC5FD6"/>
    <w:rsid w:val="62BD432E"/>
    <w:rsid w:val="62BE10FC"/>
    <w:rsid w:val="62BE2DF9"/>
    <w:rsid w:val="62BF3354"/>
    <w:rsid w:val="62C04957"/>
    <w:rsid w:val="62C0797A"/>
    <w:rsid w:val="62C13132"/>
    <w:rsid w:val="62C1708F"/>
    <w:rsid w:val="62C21041"/>
    <w:rsid w:val="62C236F2"/>
    <w:rsid w:val="62C27B96"/>
    <w:rsid w:val="62C30962"/>
    <w:rsid w:val="62C332D8"/>
    <w:rsid w:val="62C3746A"/>
    <w:rsid w:val="62C423F5"/>
    <w:rsid w:val="62C456BC"/>
    <w:rsid w:val="62C51434"/>
    <w:rsid w:val="62C70D09"/>
    <w:rsid w:val="62C90F25"/>
    <w:rsid w:val="62CA6A4B"/>
    <w:rsid w:val="62CC27C3"/>
    <w:rsid w:val="62CC2EFA"/>
    <w:rsid w:val="62CC631F"/>
    <w:rsid w:val="62CD065B"/>
    <w:rsid w:val="62CE02E9"/>
    <w:rsid w:val="62CE460F"/>
    <w:rsid w:val="62CF134B"/>
    <w:rsid w:val="62CF4061"/>
    <w:rsid w:val="62CF7BBD"/>
    <w:rsid w:val="62D022B3"/>
    <w:rsid w:val="62D13F91"/>
    <w:rsid w:val="62D201FC"/>
    <w:rsid w:val="62D535D8"/>
    <w:rsid w:val="62D60F4C"/>
    <w:rsid w:val="62D653F0"/>
    <w:rsid w:val="62D77FFB"/>
    <w:rsid w:val="62D82F16"/>
    <w:rsid w:val="62D90A3C"/>
    <w:rsid w:val="62DA4EE0"/>
    <w:rsid w:val="62DB47B4"/>
    <w:rsid w:val="62DD052C"/>
    <w:rsid w:val="62DD1678"/>
    <w:rsid w:val="62DD677E"/>
    <w:rsid w:val="62E0001C"/>
    <w:rsid w:val="62E01DCA"/>
    <w:rsid w:val="62E06D1C"/>
    <w:rsid w:val="62E13C90"/>
    <w:rsid w:val="62E25B42"/>
    <w:rsid w:val="62E33669"/>
    <w:rsid w:val="62E55633"/>
    <w:rsid w:val="62E573E1"/>
    <w:rsid w:val="62E73159"/>
    <w:rsid w:val="62E80C7F"/>
    <w:rsid w:val="62E900A9"/>
    <w:rsid w:val="62E96ED1"/>
    <w:rsid w:val="62EC076F"/>
    <w:rsid w:val="62EC64BB"/>
    <w:rsid w:val="62EC6671"/>
    <w:rsid w:val="62EC7925"/>
    <w:rsid w:val="62EE2739"/>
    <w:rsid w:val="62EE3F20"/>
    <w:rsid w:val="62EF64B1"/>
    <w:rsid w:val="62EF7724"/>
    <w:rsid w:val="62F0280B"/>
    <w:rsid w:val="62F04EC6"/>
    <w:rsid w:val="62F12229"/>
    <w:rsid w:val="62F13FD7"/>
    <w:rsid w:val="62F16356"/>
    <w:rsid w:val="62F24C15"/>
    <w:rsid w:val="62F35EF9"/>
    <w:rsid w:val="62F35FA1"/>
    <w:rsid w:val="62F37D50"/>
    <w:rsid w:val="62F42A7B"/>
    <w:rsid w:val="62F45938"/>
    <w:rsid w:val="62F51D1A"/>
    <w:rsid w:val="62F53AC8"/>
    <w:rsid w:val="62F615EE"/>
    <w:rsid w:val="62F66167"/>
    <w:rsid w:val="62F675F7"/>
    <w:rsid w:val="62F67840"/>
    <w:rsid w:val="62F835B8"/>
    <w:rsid w:val="62F85366"/>
    <w:rsid w:val="62F87114"/>
    <w:rsid w:val="62F91C6B"/>
    <w:rsid w:val="62FB1FD9"/>
    <w:rsid w:val="62FB30A8"/>
    <w:rsid w:val="62FB4E56"/>
    <w:rsid w:val="62FB6C04"/>
    <w:rsid w:val="62FD297C"/>
    <w:rsid w:val="62FD472A"/>
    <w:rsid w:val="62FE04A2"/>
    <w:rsid w:val="62FF4946"/>
    <w:rsid w:val="63021A51"/>
    <w:rsid w:val="63021D41"/>
    <w:rsid w:val="630261E5"/>
    <w:rsid w:val="63027F93"/>
    <w:rsid w:val="63035AB9"/>
    <w:rsid w:val="63037C81"/>
    <w:rsid w:val="63040DEB"/>
    <w:rsid w:val="63041F5D"/>
    <w:rsid w:val="63042293"/>
    <w:rsid w:val="63070578"/>
    <w:rsid w:val="63071A4D"/>
    <w:rsid w:val="63097573"/>
    <w:rsid w:val="630A5099"/>
    <w:rsid w:val="630A5A6D"/>
    <w:rsid w:val="630B0D25"/>
    <w:rsid w:val="630B32EB"/>
    <w:rsid w:val="630C2BBF"/>
    <w:rsid w:val="630C7132"/>
    <w:rsid w:val="630E06E5"/>
    <w:rsid w:val="630E4B89"/>
    <w:rsid w:val="630E6937"/>
    <w:rsid w:val="6311467A"/>
    <w:rsid w:val="631303F2"/>
    <w:rsid w:val="63133F4E"/>
    <w:rsid w:val="63141A74"/>
    <w:rsid w:val="63147FAF"/>
    <w:rsid w:val="6315416A"/>
    <w:rsid w:val="63161C90"/>
    <w:rsid w:val="63180F23"/>
    <w:rsid w:val="631877B6"/>
    <w:rsid w:val="63192991"/>
    <w:rsid w:val="631A352E"/>
    <w:rsid w:val="631A52DC"/>
    <w:rsid w:val="631A5562"/>
    <w:rsid w:val="631B00C2"/>
    <w:rsid w:val="631B1054"/>
    <w:rsid w:val="631B2E02"/>
    <w:rsid w:val="631B72A6"/>
    <w:rsid w:val="631C1312"/>
    <w:rsid w:val="631C6192"/>
    <w:rsid w:val="631D27A2"/>
    <w:rsid w:val="631D301E"/>
    <w:rsid w:val="631D3129"/>
    <w:rsid w:val="631F6D97"/>
    <w:rsid w:val="632225B3"/>
    <w:rsid w:val="632425AC"/>
    <w:rsid w:val="632443AD"/>
    <w:rsid w:val="63253C81"/>
    <w:rsid w:val="632578BD"/>
    <w:rsid w:val="632717A7"/>
    <w:rsid w:val="63273E9D"/>
    <w:rsid w:val="63275C4B"/>
    <w:rsid w:val="632919C3"/>
    <w:rsid w:val="63292486"/>
    <w:rsid w:val="63293771"/>
    <w:rsid w:val="632A1297"/>
    <w:rsid w:val="632A1B43"/>
    <w:rsid w:val="632C3261"/>
    <w:rsid w:val="632F68AE"/>
    <w:rsid w:val="63302D52"/>
    <w:rsid w:val="63304B00"/>
    <w:rsid w:val="63310878"/>
    <w:rsid w:val="63316ACA"/>
    <w:rsid w:val="63350368"/>
    <w:rsid w:val="63381C06"/>
    <w:rsid w:val="633839B4"/>
    <w:rsid w:val="633A0C85"/>
    <w:rsid w:val="633A3BD0"/>
    <w:rsid w:val="633A772C"/>
    <w:rsid w:val="633B16F7"/>
    <w:rsid w:val="633B34A5"/>
    <w:rsid w:val="633D546F"/>
    <w:rsid w:val="633E24CC"/>
    <w:rsid w:val="63400ABB"/>
    <w:rsid w:val="63402869"/>
    <w:rsid w:val="63411AEC"/>
    <w:rsid w:val="63422A85"/>
    <w:rsid w:val="634344BD"/>
    <w:rsid w:val="63435BFE"/>
    <w:rsid w:val="634405AB"/>
    <w:rsid w:val="63442359"/>
    <w:rsid w:val="63452E4E"/>
    <w:rsid w:val="63464323"/>
    <w:rsid w:val="63465F7C"/>
    <w:rsid w:val="634738A3"/>
    <w:rsid w:val="63493E13"/>
    <w:rsid w:val="634A36E8"/>
    <w:rsid w:val="634B193A"/>
    <w:rsid w:val="634D6B20"/>
    <w:rsid w:val="634E4F86"/>
    <w:rsid w:val="634E61AC"/>
    <w:rsid w:val="635051A2"/>
    <w:rsid w:val="63521C37"/>
    <w:rsid w:val="63522B22"/>
    <w:rsid w:val="635527B8"/>
    <w:rsid w:val="63576530"/>
    <w:rsid w:val="63584F44"/>
    <w:rsid w:val="63586994"/>
    <w:rsid w:val="635A1B7D"/>
    <w:rsid w:val="635A7DCF"/>
    <w:rsid w:val="635B22A4"/>
    <w:rsid w:val="635B76A3"/>
    <w:rsid w:val="635C04E6"/>
    <w:rsid w:val="635C3B47"/>
    <w:rsid w:val="635C53DE"/>
    <w:rsid w:val="635D166D"/>
    <w:rsid w:val="635D341B"/>
    <w:rsid w:val="635E10C5"/>
    <w:rsid w:val="635E2806"/>
    <w:rsid w:val="635F7193"/>
    <w:rsid w:val="63604CB9"/>
    <w:rsid w:val="63620A31"/>
    <w:rsid w:val="63624ED5"/>
    <w:rsid w:val="63626C83"/>
    <w:rsid w:val="636447A9"/>
    <w:rsid w:val="636522D0"/>
    <w:rsid w:val="63657B08"/>
    <w:rsid w:val="636649C5"/>
    <w:rsid w:val="63691DC0"/>
    <w:rsid w:val="636A0DA9"/>
    <w:rsid w:val="636B1FDC"/>
    <w:rsid w:val="636B5B38"/>
    <w:rsid w:val="636E73D6"/>
    <w:rsid w:val="637013A0"/>
    <w:rsid w:val="63702FD9"/>
    <w:rsid w:val="63716EC6"/>
    <w:rsid w:val="6372210C"/>
    <w:rsid w:val="63732C3E"/>
    <w:rsid w:val="63754C08"/>
    <w:rsid w:val="63755744"/>
    <w:rsid w:val="637575FD"/>
    <w:rsid w:val="637644DD"/>
    <w:rsid w:val="6376734C"/>
    <w:rsid w:val="63770981"/>
    <w:rsid w:val="6377272F"/>
    <w:rsid w:val="63780255"/>
    <w:rsid w:val="6379138E"/>
    <w:rsid w:val="637A5D7B"/>
    <w:rsid w:val="637D1D0F"/>
    <w:rsid w:val="637D4C9F"/>
    <w:rsid w:val="637D586B"/>
    <w:rsid w:val="637D5D25"/>
    <w:rsid w:val="637E5ADD"/>
    <w:rsid w:val="637F3391"/>
    <w:rsid w:val="637F5A87"/>
    <w:rsid w:val="63807109"/>
    <w:rsid w:val="63814C5E"/>
    <w:rsid w:val="63815B9F"/>
    <w:rsid w:val="63864720"/>
    <w:rsid w:val="638702D0"/>
    <w:rsid w:val="6388493C"/>
    <w:rsid w:val="63894210"/>
    <w:rsid w:val="638A67B2"/>
    <w:rsid w:val="638A6C51"/>
    <w:rsid w:val="638B442C"/>
    <w:rsid w:val="638B7F88"/>
    <w:rsid w:val="638C3D00"/>
    <w:rsid w:val="638C5281"/>
    <w:rsid w:val="638C5AAE"/>
    <w:rsid w:val="638E1826"/>
    <w:rsid w:val="638E50AD"/>
    <w:rsid w:val="638E5CCA"/>
    <w:rsid w:val="638F6A62"/>
    <w:rsid w:val="6391323B"/>
    <w:rsid w:val="63921638"/>
    <w:rsid w:val="6392166F"/>
    <w:rsid w:val="63927568"/>
    <w:rsid w:val="63932A29"/>
    <w:rsid w:val="6393508F"/>
    <w:rsid w:val="63936E3D"/>
    <w:rsid w:val="639428D4"/>
    <w:rsid w:val="63944E5E"/>
    <w:rsid w:val="63950E07"/>
    <w:rsid w:val="63957059"/>
    <w:rsid w:val="6399204F"/>
    <w:rsid w:val="639926E5"/>
    <w:rsid w:val="639B20E8"/>
    <w:rsid w:val="639C03E7"/>
    <w:rsid w:val="639C3F43"/>
    <w:rsid w:val="639E415F"/>
    <w:rsid w:val="63A159FD"/>
    <w:rsid w:val="63A30F39"/>
    <w:rsid w:val="63A4104A"/>
    <w:rsid w:val="63A454EE"/>
    <w:rsid w:val="63A50E63"/>
    <w:rsid w:val="63A63014"/>
    <w:rsid w:val="63A80D4A"/>
    <w:rsid w:val="63A81F60"/>
    <w:rsid w:val="63A86D8C"/>
    <w:rsid w:val="63A9366A"/>
    <w:rsid w:val="63A948B2"/>
    <w:rsid w:val="63AB23D8"/>
    <w:rsid w:val="63AC1FBF"/>
    <w:rsid w:val="63AD43A2"/>
    <w:rsid w:val="63AE604C"/>
    <w:rsid w:val="63B0096C"/>
    <w:rsid w:val="63B219B9"/>
    <w:rsid w:val="63B23767"/>
    <w:rsid w:val="63B249CD"/>
    <w:rsid w:val="63B3128D"/>
    <w:rsid w:val="63B472ED"/>
    <w:rsid w:val="63B53257"/>
    <w:rsid w:val="63B55005"/>
    <w:rsid w:val="63B65F1F"/>
    <w:rsid w:val="63B75C6E"/>
    <w:rsid w:val="63BA6ABF"/>
    <w:rsid w:val="63BB0188"/>
    <w:rsid w:val="63BC45E5"/>
    <w:rsid w:val="63BC6393"/>
    <w:rsid w:val="63BD210C"/>
    <w:rsid w:val="63BD46B1"/>
    <w:rsid w:val="63BE035D"/>
    <w:rsid w:val="63BF2E3F"/>
    <w:rsid w:val="63BF40D6"/>
    <w:rsid w:val="63BF6E6F"/>
    <w:rsid w:val="63BF7C1B"/>
    <w:rsid w:val="63BF7C32"/>
    <w:rsid w:val="63C17E4E"/>
    <w:rsid w:val="63C30523"/>
    <w:rsid w:val="63C34FF8"/>
    <w:rsid w:val="63C35974"/>
    <w:rsid w:val="63C44CB1"/>
    <w:rsid w:val="63C65002"/>
    <w:rsid w:val="63C65464"/>
    <w:rsid w:val="63C67212"/>
    <w:rsid w:val="63C82F8A"/>
    <w:rsid w:val="63C86DC4"/>
    <w:rsid w:val="63C872E4"/>
    <w:rsid w:val="63C879BB"/>
    <w:rsid w:val="63CB65D6"/>
    <w:rsid w:val="63CD67F3"/>
    <w:rsid w:val="63CE4319"/>
    <w:rsid w:val="63CE5636"/>
    <w:rsid w:val="63D064BE"/>
    <w:rsid w:val="63D25BB7"/>
    <w:rsid w:val="63D27965"/>
    <w:rsid w:val="63D3192F"/>
    <w:rsid w:val="63D336DD"/>
    <w:rsid w:val="63D40E7F"/>
    <w:rsid w:val="63D47B81"/>
    <w:rsid w:val="63D57455"/>
    <w:rsid w:val="63D61E2D"/>
    <w:rsid w:val="63D74F7B"/>
    <w:rsid w:val="63D77671"/>
    <w:rsid w:val="63D80CF3"/>
    <w:rsid w:val="63D86F45"/>
    <w:rsid w:val="63D94833"/>
    <w:rsid w:val="63D95197"/>
    <w:rsid w:val="63DA4A6C"/>
    <w:rsid w:val="63DC4C88"/>
    <w:rsid w:val="63DD630A"/>
    <w:rsid w:val="63DE27AE"/>
    <w:rsid w:val="63E03C05"/>
    <w:rsid w:val="63E15DFA"/>
    <w:rsid w:val="63E36016"/>
    <w:rsid w:val="63E37DC4"/>
    <w:rsid w:val="63E43B3C"/>
    <w:rsid w:val="63E63410"/>
    <w:rsid w:val="63E80DAE"/>
    <w:rsid w:val="63E8362C"/>
    <w:rsid w:val="63E853DA"/>
    <w:rsid w:val="63E92F01"/>
    <w:rsid w:val="63E94CAF"/>
    <w:rsid w:val="63EA73A4"/>
    <w:rsid w:val="63EB4ECB"/>
    <w:rsid w:val="63EE0517"/>
    <w:rsid w:val="63EE6769"/>
    <w:rsid w:val="63EF496F"/>
    <w:rsid w:val="63F0603D"/>
    <w:rsid w:val="63F21DB5"/>
    <w:rsid w:val="63F21E60"/>
    <w:rsid w:val="63F26259"/>
    <w:rsid w:val="63F317FF"/>
    <w:rsid w:val="63F35B2D"/>
    <w:rsid w:val="63F61C71"/>
    <w:rsid w:val="63F64E5D"/>
    <w:rsid w:val="63F7386F"/>
    <w:rsid w:val="63F7561D"/>
    <w:rsid w:val="63F975E8"/>
    <w:rsid w:val="63FA3360"/>
    <w:rsid w:val="63FA6EBC"/>
    <w:rsid w:val="63FB4653"/>
    <w:rsid w:val="63FC2C34"/>
    <w:rsid w:val="63FC70D8"/>
    <w:rsid w:val="63FD075A"/>
    <w:rsid w:val="63FD6D10"/>
    <w:rsid w:val="63FE2FD4"/>
    <w:rsid w:val="63FE69AC"/>
    <w:rsid w:val="63FE6A4C"/>
    <w:rsid w:val="63FF0976"/>
    <w:rsid w:val="640058F4"/>
    <w:rsid w:val="640064DA"/>
    <w:rsid w:val="640104C5"/>
    <w:rsid w:val="6401649C"/>
    <w:rsid w:val="64025D70"/>
    <w:rsid w:val="64033FC2"/>
    <w:rsid w:val="640359B6"/>
    <w:rsid w:val="64045CC1"/>
    <w:rsid w:val="64045DDD"/>
    <w:rsid w:val="64046E46"/>
    <w:rsid w:val="64063AB3"/>
    <w:rsid w:val="64065861"/>
    <w:rsid w:val="64085A7D"/>
    <w:rsid w:val="640B2E77"/>
    <w:rsid w:val="640B731B"/>
    <w:rsid w:val="640C3E97"/>
    <w:rsid w:val="640D3093"/>
    <w:rsid w:val="640F6E0B"/>
    <w:rsid w:val="640F7046"/>
    <w:rsid w:val="6410048D"/>
    <w:rsid w:val="64103A36"/>
    <w:rsid w:val="64104931"/>
    <w:rsid w:val="64104A9D"/>
    <w:rsid w:val="641066DF"/>
    <w:rsid w:val="64137F7D"/>
    <w:rsid w:val="641445D3"/>
    <w:rsid w:val="641451FA"/>
    <w:rsid w:val="641461CF"/>
    <w:rsid w:val="64156DF9"/>
    <w:rsid w:val="64191A38"/>
    <w:rsid w:val="641A130C"/>
    <w:rsid w:val="641B57B0"/>
    <w:rsid w:val="641B7F30"/>
    <w:rsid w:val="641C209D"/>
    <w:rsid w:val="641C398C"/>
    <w:rsid w:val="641C5084"/>
    <w:rsid w:val="641C6E32"/>
    <w:rsid w:val="641E2BAA"/>
    <w:rsid w:val="641F4B74"/>
    <w:rsid w:val="641F6922"/>
    <w:rsid w:val="6421003F"/>
    <w:rsid w:val="642108EC"/>
    <w:rsid w:val="64216B3E"/>
    <w:rsid w:val="64224F28"/>
    <w:rsid w:val="64225C2F"/>
    <w:rsid w:val="642503DD"/>
    <w:rsid w:val="64265F03"/>
    <w:rsid w:val="64296C4C"/>
    <w:rsid w:val="642A59F3"/>
    <w:rsid w:val="642B3519"/>
    <w:rsid w:val="642B52C7"/>
    <w:rsid w:val="642D7291"/>
    <w:rsid w:val="642F125B"/>
    <w:rsid w:val="642F3009"/>
    <w:rsid w:val="643028DD"/>
    <w:rsid w:val="64302CE5"/>
    <w:rsid w:val="64306D81"/>
    <w:rsid w:val="64340620"/>
    <w:rsid w:val="643464E9"/>
    <w:rsid w:val="64346872"/>
    <w:rsid w:val="64354398"/>
    <w:rsid w:val="64362CFA"/>
    <w:rsid w:val="64371EBE"/>
    <w:rsid w:val="64381A24"/>
    <w:rsid w:val="643855E9"/>
    <w:rsid w:val="64385FA0"/>
    <w:rsid w:val="64395C36"/>
    <w:rsid w:val="643979E4"/>
    <w:rsid w:val="643A4CE2"/>
    <w:rsid w:val="643B38A3"/>
    <w:rsid w:val="643B7181"/>
    <w:rsid w:val="643C74D4"/>
    <w:rsid w:val="643D3C94"/>
    <w:rsid w:val="643E4FFA"/>
    <w:rsid w:val="64406FC4"/>
    <w:rsid w:val="64414AEB"/>
    <w:rsid w:val="64432611"/>
    <w:rsid w:val="64436AB5"/>
    <w:rsid w:val="6445282D"/>
    <w:rsid w:val="644840CB"/>
    <w:rsid w:val="64495A4D"/>
    <w:rsid w:val="644A1BF1"/>
    <w:rsid w:val="644A52D4"/>
    <w:rsid w:val="644A7E43"/>
    <w:rsid w:val="644B3C9B"/>
    <w:rsid w:val="644B5969"/>
    <w:rsid w:val="644D348F"/>
    <w:rsid w:val="644D5C13"/>
    <w:rsid w:val="644D7933"/>
    <w:rsid w:val="644E0CF8"/>
    <w:rsid w:val="644F5459"/>
    <w:rsid w:val="644F7208"/>
    <w:rsid w:val="64513D0C"/>
    <w:rsid w:val="64520AA6"/>
    <w:rsid w:val="6453191B"/>
    <w:rsid w:val="64537D6D"/>
    <w:rsid w:val="64542A70"/>
    <w:rsid w:val="6454481E"/>
    <w:rsid w:val="645666EE"/>
    <w:rsid w:val="645667E8"/>
    <w:rsid w:val="64572560"/>
    <w:rsid w:val="645879F0"/>
    <w:rsid w:val="64587FD2"/>
    <w:rsid w:val="64591E34"/>
    <w:rsid w:val="6459506F"/>
    <w:rsid w:val="645962D8"/>
    <w:rsid w:val="64596B4E"/>
    <w:rsid w:val="64596EBA"/>
    <w:rsid w:val="645A5BAC"/>
    <w:rsid w:val="645C1924"/>
    <w:rsid w:val="645C2C58"/>
    <w:rsid w:val="645D39F0"/>
    <w:rsid w:val="64602371"/>
    <w:rsid w:val="64610CE9"/>
    <w:rsid w:val="64630CF2"/>
    <w:rsid w:val="64632CB3"/>
    <w:rsid w:val="64661F71"/>
    <w:rsid w:val="646627A3"/>
    <w:rsid w:val="646709F5"/>
    <w:rsid w:val="64671D6D"/>
    <w:rsid w:val="646802C9"/>
    <w:rsid w:val="64680734"/>
    <w:rsid w:val="64680B03"/>
    <w:rsid w:val="64682077"/>
    <w:rsid w:val="646A2293"/>
    <w:rsid w:val="646A5DEF"/>
    <w:rsid w:val="646B6BB1"/>
    <w:rsid w:val="646B7DB9"/>
    <w:rsid w:val="646D1D84"/>
    <w:rsid w:val="646D28A2"/>
    <w:rsid w:val="646D3B32"/>
    <w:rsid w:val="646F3406"/>
    <w:rsid w:val="646F486F"/>
    <w:rsid w:val="64706B3D"/>
    <w:rsid w:val="6470717E"/>
    <w:rsid w:val="647153D0"/>
    <w:rsid w:val="64737FA7"/>
    <w:rsid w:val="64740A1C"/>
    <w:rsid w:val="647612B4"/>
    <w:rsid w:val="64765E04"/>
    <w:rsid w:val="6477050C"/>
    <w:rsid w:val="64772F11"/>
    <w:rsid w:val="647901D6"/>
    <w:rsid w:val="64790728"/>
    <w:rsid w:val="64794284"/>
    <w:rsid w:val="647C1FC7"/>
    <w:rsid w:val="647C3D75"/>
    <w:rsid w:val="647D1899"/>
    <w:rsid w:val="647E189B"/>
    <w:rsid w:val="647E58FA"/>
    <w:rsid w:val="64801AB7"/>
    <w:rsid w:val="64803865"/>
    <w:rsid w:val="64805613"/>
    <w:rsid w:val="64813139"/>
    <w:rsid w:val="6482427B"/>
    <w:rsid w:val="64833FCA"/>
    <w:rsid w:val="64835103"/>
    <w:rsid w:val="648414D5"/>
    <w:rsid w:val="64852C29"/>
    <w:rsid w:val="6485390B"/>
    <w:rsid w:val="64855C0F"/>
    <w:rsid w:val="64855DC5"/>
    <w:rsid w:val="6486074F"/>
    <w:rsid w:val="6486294B"/>
    <w:rsid w:val="6486408C"/>
    <w:rsid w:val="64872E45"/>
    <w:rsid w:val="6488096B"/>
    <w:rsid w:val="648A46E4"/>
    <w:rsid w:val="648A6492"/>
    <w:rsid w:val="648B3FB8"/>
    <w:rsid w:val="648B5DEB"/>
    <w:rsid w:val="648C220A"/>
    <w:rsid w:val="648C311A"/>
    <w:rsid w:val="648D1ADE"/>
    <w:rsid w:val="648F1CFA"/>
    <w:rsid w:val="648F3AA8"/>
    <w:rsid w:val="6490513E"/>
    <w:rsid w:val="64907D0F"/>
    <w:rsid w:val="649165CE"/>
    <w:rsid w:val="649317EA"/>
    <w:rsid w:val="649410BE"/>
    <w:rsid w:val="64942E6C"/>
    <w:rsid w:val="649477F5"/>
    <w:rsid w:val="64947B20"/>
    <w:rsid w:val="64950FB0"/>
    <w:rsid w:val="64957EB7"/>
    <w:rsid w:val="64963088"/>
    <w:rsid w:val="64964E36"/>
    <w:rsid w:val="64970BAF"/>
    <w:rsid w:val="64992B79"/>
    <w:rsid w:val="649A0DC1"/>
    <w:rsid w:val="649B41FB"/>
    <w:rsid w:val="649B4AC0"/>
    <w:rsid w:val="649D0E83"/>
    <w:rsid w:val="649F6755"/>
    <w:rsid w:val="64A04C33"/>
    <w:rsid w:val="64A05CB5"/>
    <w:rsid w:val="64A07804"/>
    <w:rsid w:val="64A137DB"/>
    <w:rsid w:val="64A31301"/>
    <w:rsid w:val="64A32DC1"/>
    <w:rsid w:val="64A64DD9"/>
    <w:rsid w:val="64A77044"/>
    <w:rsid w:val="64A83900"/>
    <w:rsid w:val="64A93EF7"/>
    <w:rsid w:val="64AA08E2"/>
    <w:rsid w:val="64AA248B"/>
    <w:rsid w:val="64AA2690"/>
    <w:rsid w:val="64AB2BA7"/>
    <w:rsid w:val="64AB7CB9"/>
    <w:rsid w:val="64AC465A"/>
    <w:rsid w:val="64AD03D2"/>
    <w:rsid w:val="64AE06C7"/>
    <w:rsid w:val="64AF414A"/>
    <w:rsid w:val="64B053A7"/>
    <w:rsid w:val="64B13A1E"/>
    <w:rsid w:val="64B17EC2"/>
    <w:rsid w:val="64B33C3A"/>
    <w:rsid w:val="64B41760"/>
    <w:rsid w:val="64B452BD"/>
    <w:rsid w:val="64B559C9"/>
    <w:rsid w:val="64B67287"/>
    <w:rsid w:val="64B81251"/>
    <w:rsid w:val="64B85A8B"/>
    <w:rsid w:val="64B928D3"/>
    <w:rsid w:val="64B96D77"/>
    <w:rsid w:val="64BB2AEF"/>
    <w:rsid w:val="64BC415B"/>
    <w:rsid w:val="64BD61A8"/>
    <w:rsid w:val="64BD6867"/>
    <w:rsid w:val="64BE438D"/>
    <w:rsid w:val="64C00105"/>
    <w:rsid w:val="64C056AD"/>
    <w:rsid w:val="64C16393"/>
    <w:rsid w:val="64C32B9E"/>
    <w:rsid w:val="64C37BF6"/>
    <w:rsid w:val="64C5571C"/>
    <w:rsid w:val="64C67DDE"/>
    <w:rsid w:val="64C86FBA"/>
    <w:rsid w:val="64CD45D0"/>
    <w:rsid w:val="64CD637E"/>
    <w:rsid w:val="64CF321D"/>
    <w:rsid w:val="64D051A2"/>
    <w:rsid w:val="64D13A61"/>
    <w:rsid w:val="64D21BE7"/>
    <w:rsid w:val="64D25334"/>
    <w:rsid w:val="64D37E39"/>
    <w:rsid w:val="64D57287"/>
    <w:rsid w:val="64D616D7"/>
    <w:rsid w:val="64D67929"/>
    <w:rsid w:val="64D8544F"/>
    <w:rsid w:val="64D911C7"/>
    <w:rsid w:val="64D92F75"/>
    <w:rsid w:val="64DB0A9B"/>
    <w:rsid w:val="64DB4F3F"/>
    <w:rsid w:val="64DB6CED"/>
    <w:rsid w:val="64DC646B"/>
    <w:rsid w:val="64DD2A65"/>
    <w:rsid w:val="64DD4BDC"/>
    <w:rsid w:val="64DE058B"/>
    <w:rsid w:val="64DF4A2F"/>
    <w:rsid w:val="64E04304"/>
    <w:rsid w:val="64E068FD"/>
    <w:rsid w:val="64E13556"/>
    <w:rsid w:val="64E21E2A"/>
    <w:rsid w:val="64E35BA2"/>
    <w:rsid w:val="64E5191A"/>
    <w:rsid w:val="64E70858"/>
    <w:rsid w:val="64E77440"/>
    <w:rsid w:val="64E9765C"/>
    <w:rsid w:val="64EA5182"/>
    <w:rsid w:val="64EC50EB"/>
    <w:rsid w:val="64ED07CF"/>
    <w:rsid w:val="64EE6A20"/>
    <w:rsid w:val="64EF2799"/>
    <w:rsid w:val="64EF4547"/>
    <w:rsid w:val="64F14763"/>
    <w:rsid w:val="64F15C1C"/>
    <w:rsid w:val="64F34037"/>
    <w:rsid w:val="64F47DAF"/>
    <w:rsid w:val="64F733FB"/>
    <w:rsid w:val="64F9082A"/>
    <w:rsid w:val="64F93617"/>
    <w:rsid w:val="64F97173"/>
    <w:rsid w:val="64FB113D"/>
    <w:rsid w:val="64FB2EEB"/>
    <w:rsid w:val="64FB6CCD"/>
    <w:rsid w:val="64FE22BB"/>
    <w:rsid w:val="64FE478A"/>
    <w:rsid w:val="64FF0C2E"/>
    <w:rsid w:val="650049A6"/>
    <w:rsid w:val="65006754"/>
    <w:rsid w:val="6502071E"/>
    <w:rsid w:val="65026BA0"/>
    <w:rsid w:val="65030030"/>
    <w:rsid w:val="650368EF"/>
    <w:rsid w:val="65037FF2"/>
    <w:rsid w:val="65043CB2"/>
    <w:rsid w:val="65046244"/>
    <w:rsid w:val="65051A06"/>
    <w:rsid w:val="65053D6A"/>
    <w:rsid w:val="6507350E"/>
    <w:rsid w:val="6507446B"/>
    <w:rsid w:val="65075D34"/>
    <w:rsid w:val="65077AE2"/>
    <w:rsid w:val="65077E41"/>
    <w:rsid w:val="65085608"/>
    <w:rsid w:val="6509385A"/>
    <w:rsid w:val="650A67C2"/>
    <w:rsid w:val="650A75D2"/>
    <w:rsid w:val="650B7C52"/>
    <w:rsid w:val="650C284B"/>
    <w:rsid w:val="650C334B"/>
    <w:rsid w:val="650C6EA7"/>
    <w:rsid w:val="650E0C81"/>
    <w:rsid w:val="650E0E71"/>
    <w:rsid w:val="650E70C3"/>
    <w:rsid w:val="650F4BE9"/>
    <w:rsid w:val="650F6997"/>
    <w:rsid w:val="65110961"/>
    <w:rsid w:val="651306B2"/>
    <w:rsid w:val="651346D9"/>
    <w:rsid w:val="65137B25"/>
    <w:rsid w:val="651421FF"/>
    <w:rsid w:val="65143FAD"/>
    <w:rsid w:val="651569E0"/>
    <w:rsid w:val="65167D25"/>
    <w:rsid w:val="65183A9D"/>
    <w:rsid w:val="65187685"/>
    <w:rsid w:val="651915C4"/>
    <w:rsid w:val="651A5C9C"/>
    <w:rsid w:val="651B0DC3"/>
    <w:rsid w:val="651B358E"/>
    <w:rsid w:val="651D5558"/>
    <w:rsid w:val="651D7306"/>
    <w:rsid w:val="651F4912"/>
    <w:rsid w:val="651F60C8"/>
    <w:rsid w:val="65202952"/>
    <w:rsid w:val="65206DF6"/>
    <w:rsid w:val="65224A49"/>
    <w:rsid w:val="652266CA"/>
    <w:rsid w:val="65242442"/>
    <w:rsid w:val="6525440C"/>
    <w:rsid w:val="652561BA"/>
    <w:rsid w:val="65257F68"/>
    <w:rsid w:val="65270184"/>
    <w:rsid w:val="6528717A"/>
    <w:rsid w:val="6529060A"/>
    <w:rsid w:val="65293EFC"/>
    <w:rsid w:val="65297A59"/>
    <w:rsid w:val="652A1A23"/>
    <w:rsid w:val="652D2A15"/>
    <w:rsid w:val="652E32C1"/>
    <w:rsid w:val="65312DB1"/>
    <w:rsid w:val="6531690D"/>
    <w:rsid w:val="65323ACD"/>
    <w:rsid w:val="65331F13"/>
    <w:rsid w:val="65334B65"/>
    <w:rsid w:val="653528A1"/>
    <w:rsid w:val="6536177E"/>
    <w:rsid w:val="65362175"/>
    <w:rsid w:val="65363F24"/>
    <w:rsid w:val="65372C0E"/>
    <w:rsid w:val="65386C6F"/>
    <w:rsid w:val="65387C9C"/>
    <w:rsid w:val="653A1489"/>
    <w:rsid w:val="653A1C66"/>
    <w:rsid w:val="653A7EB8"/>
    <w:rsid w:val="653B3C30"/>
    <w:rsid w:val="653B778C"/>
    <w:rsid w:val="653D3504"/>
    <w:rsid w:val="653E3E09"/>
    <w:rsid w:val="653F727C"/>
    <w:rsid w:val="65404DA2"/>
    <w:rsid w:val="65411462"/>
    <w:rsid w:val="65420B1A"/>
    <w:rsid w:val="65444892"/>
    <w:rsid w:val="65445212"/>
    <w:rsid w:val="6546685C"/>
    <w:rsid w:val="654752D4"/>
    <w:rsid w:val="65476131"/>
    <w:rsid w:val="65476500"/>
    <w:rsid w:val="65486764"/>
    <w:rsid w:val="654900FB"/>
    <w:rsid w:val="65491EA9"/>
    <w:rsid w:val="654A27C5"/>
    <w:rsid w:val="654B2514"/>
    <w:rsid w:val="654B3E73"/>
    <w:rsid w:val="654C1999"/>
    <w:rsid w:val="654C7BEB"/>
    <w:rsid w:val="654E3963"/>
    <w:rsid w:val="654F3A66"/>
    <w:rsid w:val="654F78F7"/>
    <w:rsid w:val="654F790E"/>
    <w:rsid w:val="65510D5D"/>
    <w:rsid w:val="65515201"/>
    <w:rsid w:val="6551749A"/>
    <w:rsid w:val="65520088"/>
    <w:rsid w:val="65532D27"/>
    <w:rsid w:val="65556197"/>
    <w:rsid w:val="655645C6"/>
    <w:rsid w:val="65566374"/>
    <w:rsid w:val="655820EC"/>
    <w:rsid w:val="65586259"/>
    <w:rsid w:val="65586590"/>
    <w:rsid w:val="655B1BDC"/>
    <w:rsid w:val="655B398A"/>
    <w:rsid w:val="655B4BDA"/>
    <w:rsid w:val="655C05DD"/>
    <w:rsid w:val="655C6080"/>
    <w:rsid w:val="655D3BA6"/>
    <w:rsid w:val="655E1537"/>
    <w:rsid w:val="655E5344"/>
    <w:rsid w:val="655F16CC"/>
    <w:rsid w:val="65605444"/>
    <w:rsid w:val="656211BC"/>
    <w:rsid w:val="65622F6B"/>
    <w:rsid w:val="65624D19"/>
    <w:rsid w:val="65626DAD"/>
    <w:rsid w:val="6562740E"/>
    <w:rsid w:val="65644F35"/>
    <w:rsid w:val="65652A5B"/>
    <w:rsid w:val="65660CAD"/>
    <w:rsid w:val="65670581"/>
    <w:rsid w:val="65685D4E"/>
    <w:rsid w:val="65694555"/>
    <w:rsid w:val="656960A7"/>
    <w:rsid w:val="656B62C3"/>
    <w:rsid w:val="656C41F2"/>
    <w:rsid w:val="656C4C34"/>
    <w:rsid w:val="656C5B5F"/>
    <w:rsid w:val="656D3B1C"/>
    <w:rsid w:val="656E190F"/>
    <w:rsid w:val="656E7B61"/>
    <w:rsid w:val="656F0C66"/>
    <w:rsid w:val="656F1F75"/>
    <w:rsid w:val="65736F26"/>
    <w:rsid w:val="65744A4C"/>
    <w:rsid w:val="65757142"/>
    <w:rsid w:val="657607C4"/>
    <w:rsid w:val="65764C68"/>
    <w:rsid w:val="65766A16"/>
    <w:rsid w:val="65785AD2"/>
    <w:rsid w:val="657A02B4"/>
    <w:rsid w:val="657A6506"/>
    <w:rsid w:val="657B402C"/>
    <w:rsid w:val="657D1B52"/>
    <w:rsid w:val="657D324E"/>
    <w:rsid w:val="657D7DA4"/>
    <w:rsid w:val="65800C31"/>
    <w:rsid w:val="65813D24"/>
    <w:rsid w:val="65815634"/>
    <w:rsid w:val="6582360D"/>
    <w:rsid w:val="6582446A"/>
    <w:rsid w:val="65847407"/>
    <w:rsid w:val="658630FD"/>
    <w:rsid w:val="65864EAB"/>
    <w:rsid w:val="65865E9F"/>
    <w:rsid w:val="658729D1"/>
    <w:rsid w:val="6587477F"/>
    <w:rsid w:val="658824B6"/>
    <w:rsid w:val="65882DCF"/>
    <w:rsid w:val="6589499B"/>
    <w:rsid w:val="658B0713"/>
    <w:rsid w:val="658B6F7C"/>
    <w:rsid w:val="658E1FB1"/>
    <w:rsid w:val="658E5B0E"/>
    <w:rsid w:val="65902389"/>
    <w:rsid w:val="65905D2A"/>
    <w:rsid w:val="65913850"/>
    <w:rsid w:val="65920F76"/>
    <w:rsid w:val="659550EE"/>
    <w:rsid w:val="659770B8"/>
    <w:rsid w:val="65984BDE"/>
    <w:rsid w:val="6599343B"/>
    <w:rsid w:val="659A0956"/>
    <w:rsid w:val="659A600C"/>
    <w:rsid w:val="659D3FA3"/>
    <w:rsid w:val="659F7D1B"/>
    <w:rsid w:val="65A11CE5"/>
    <w:rsid w:val="65A13A93"/>
    <w:rsid w:val="65A25A5D"/>
    <w:rsid w:val="65A370BE"/>
    <w:rsid w:val="65A4271E"/>
    <w:rsid w:val="65A45331"/>
    <w:rsid w:val="65A50175"/>
    <w:rsid w:val="65A610A9"/>
    <w:rsid w:val="65A672FB"/>
    <w:rsid w:val="65A74978"/>
    <w:rsid w:val="65A90B99"/>
    <w:rsid w:val="65A95A9E"/>
    <w:rsid w:val="65A96DEB"/>
    <w:rsid w:val="65AA5B01"/>
    <w:rsid w:val="65AA7E46"/>
    <w:rsid w:val="65AC068A"/>
    <w:rsid w:val="65AC2438"/>
    <w:rsid w:val="65AD56FF"/>
    <w:rsid w:val="65AD68DC"/>
    <w:rsid w:val="65AE4402"/>
    <w:rsid w:val="65B0017A"/>
    <w:rsid w:val="65B00232"/>
    <w:rsid w:val="65B03CD6"/>
    <w:rsid w:val="65B12E03"/>
    <w:rsid w:val="65B25CA0"/>
    <w:rsid w:val="65B337C6"/>
    <w:rsid w:val="65B35574"/>
    <w:rsid w:val="65B41784"/>
    <w:rsid w:val="65B55790"/>
    <w:rsid w:val="65B668C9"/>
    <w:rsid w:val="65B70105"/>
    <w:rsid w:val="65B71508"/>
    <w:rsid w:val="65B81595"/>
    <w:rsid w:val="65B8702E"/>
    <w:rsid w:val="65BA2DA7"/>
    <w:rsid w:val="65BC08CD"/>
    <w:rsid w:val="65BC7F16"/>
    <w:rsid w:val="65BD20CA"/>
    <w:rsid w:val="65BD2897"/>
    <w:rsid w:val="65BD4645"/>
    <w:rsid w:val="65BE3CC6"/>
    <w:rsid w:val="65BF216B"/>
    <w:rsid w:val="65BF660F"/>
    <w:rsid w:val="65BF6897"/>
    <w:rsid w:val="65C02008"/>
    <w:rsid w:val="65C21C5B"/>
    <w:rsid w:val="65C23A09"/>
    <w:rsid w:val="65C41AE8"/>
    <w:rsid w:val="65C43C25"/>
    <w:rsid w:val="65C459D3"/>
    <w:rsid w:val="65C502FA"/>
    <w:rsid w:val="65C50FC8"/>
    <w:rsid w:val="65C6174B"/>
    <w:rsid w:val="65C6799D"/>
    <w:rsid w:val="65C71020"/>
    <w:rsid w:val="65C854C3"/>
    <w:rsid w:val="65CB6D62"/>
    <w:rsid w:val="65CC4888"/>
    <w:rsid w:val="65CD0D2C"/>
    <w:rsid w:val="65CF68B5"/>
    <w:rsid w:val="65D025CA"/>
    <w:rsid w:val="65D04378"/>
    <w:rsid w:val="65D06126"/>
    <w:rsid w:val="65D10D21"/>
    <w:rsid w:val="65D11E9E"/>
    <w:rsid w:val="65D1387D"/>
    <w:rsid w:val="65D379C4"/>
    <w:rsid w:val="65D47873"/>
    <w:rsid w:val="65D54C8C"/>
    <w:rsid w:val="65D74B1E"/>
    <w:rsid w:val="65D75707"/>
    <w:rsid w:val="65D76468"/>
    <w:rsid w:val="65D8147F"/>
    <w:rsid w:val="65D8322D"/>
    <w:rsid w:val="65DA1AC6"/>
    <w:rsid w:val="65DA73CC"/>
    <w:rsid w:val="65DA7444"/>
    <w:rsid w:val="65DC5DBF"/>
    <w:rsid w:val="65DD0843"/>
    <w:rsid w:val="65DE32B0"/>
    <w:rsid w:val="65DF280D"/>
    <w:rsid w:val="65DF45BB"/>
    <w:rsid w:val="65E120E1"/>
    <w:rsid w:val="65E240AB"/>
    <w:rsid w:val="65E46075"/>
    <w:rsid w:val="65E5170B"/>
    <w:rsid w:val="65E676F8"/>
    <w:rsid w:val="65E73470"/>
    <w:rsid w:val="65E9368C"/>
    <w:rsid w:val="65E9543A"/>
    <w:rsid w:val="65EB11B2"/>
    <w:rsid w:val="65EB7404"/>
    <w:rsid w:val="65EC0A86"/>
    <w:rsid w:val="65ED1915"/>
    <w:rsid w:val="65ED3AA5"/>
    <w:rsid w:val="65ED4F2A"/>
    <w:rsid w:val="65EE2A50"/>
    <w:rsid w:val="65EE47FE"/>
    <w:rsid w:val="65EF0BA9"/>
    <w:rsid w:val="65F067C8"/>
    <w:rsid w:val="65F35787"/>
    <w:rsid w:val="65F52043"/>
    <w:rsid w:val="65F84499"/>
    <w:rsid w:val="65F8567D"/>
    <w:rsid w:val="65F91B21"/>
    <w:rsid w:val="65F938CF"/>
    <w:rsid w:val="65F9492B"/>
    <w:rsid w:val="65FB00E6"/>
    <w:rsid w:val="65FB4C68"/>
    <w:rsid w:val="65FC6F1B"/>
    <w:rsid w:val="65FD4B0A"/>
    <w:rsid w:val="65FE0EE5"/>
    <w:rsid w:val="65FE7137"/>
    <w:rsid w:val="65FF07B9"/>
    <w:rsid w:val="65FF2424"/>
    <w:rsid w:val="65FF4C5D"/>
    <w:rsid w:val="6601121B"/>
    <w:rsid w:val="66012783"/>
    <w:rsid w:val="66014531"/>
    <w:rsid w:val="660226AB"/>
    <w:rsid w:val="66024B2B"/>
    <w:rsid w:val="660302A1"/>
    <w:rsid w:val="66033247"/>
    <w:rsid w:val="660364FC"/>
    <w:rsid w:val="660404C6"/>
    <w:rsid w:val="660409AD"/>
    <w:rsid w:val="66042274"/>
    <w:rsid w:val="66044022"/>
    <w:rsid w:val="66067D9A"/>
    <w:rsid w:val="660724BC"/>
    <w:rsid w:val="660758C0"/>
    <w:rsid w:val="66083B12"/>
    <w:rsid w:val="66092364"/>
    <w:rsid w:val="660B3602"/>
    <w:rsid w:val="660B53B0"/>
    <w:rsid w:val="660B715E"/>
    <w:rsid w:val="660C43EA"/>
    <w:rsid w:val="660C63EF"/>
    <w:rsid w:val="660D5738"/>
    <w:rsid w:val="660D737A"/>
    <w:rsid w:val="660F6181"/>
    <w:rsid w:val="66100C18"/>
    <w:rsid w:val="661029C7"/>
    <w:rsid w:val="66106E6A"/>
    <w:rsid w:val="661070A1"/>
    <w:rsid w:val="6611613F"/>
    <w:rsid w:val="661324B7"/>
    <w:rsid w:val="66133630"/>
    <w:rsid w:val="66144AC0"/>
    <w:rsid w:val="6615622F"/>
    <w:rsid w:val="66157FDD"/>
    <w:rsid w:val="661701F9"/>
    <w:rsid w:val="6617368A"/>
    <w:rsid w:val="661848D1"/>
    <w:rsid w:val="66192D9C"/>
    <w:rsid w:val="66195D61"/>
    <w:rsid w:val="661A3845"/>
    <w:rsid w:val="661C580F"/>
    <w:rsid w:val="661D0A78"/>
    <w:rsid w:val="661D1F1E"/>
    <w:rsid w:val="661D72B3"/>
    <w:rsid w:val="661E1587"/>
    <w:rsid w:val="661E3335"/>
    <w:rsid w:val="661F1BD3"/>
    <w:rsid w:val="661F70AE"/>
    <w:rsid w:val="66216982"/>
    <w:rsid w:val="662326FA"/>
    <w:rsid w:val="66240220"/>
    <w:rsid w:val="662446C4"/>
    <w:rsid w:val="66267244"/>
    <w:rsid w:val="662704FC"/>
    <w:rsid w:val="66275ABF"/>
    <w:rsid w:val="662841B4"/>
    <w:rsid w:val="66287D10"/>
    <w:rsid w:val="66293A88"/>
    <w:rsid w:val="662B0176"/>
    <w:rsid w:val="662B08ED"/>
    <w:rsid w:val="662D6DA8"/>
    <w:rsid w:val="662E541A"/>
    <w:rsid w:val="66304E17"/>
    <w:rsid w:val="66320049"/>
    <w:rsid w:val="66331170"/>
    <w:rsid w:val="663366B5"/>
    <w:rsid w:val="66344907"/>
    <w:rsid w:val="6635249D"/>
    <w:rsid w:val="66372649"/>
    <w:rsid w:val="66377F53"/>
    <w:rsid w:val="66383B3B"/>
    <w:rsid w:val="6639016F"/>
    <w:rsid w:val="66391F1D"/>
    <w:rsid w:val="663A283E"/>
    <w:rsid w:val="663A3EE7"/>
    <w:rsid w:val="663A5C95"/>
    <w:rsid w:val="663C1A0D"/>
    <w:rsid w:val="663C7C5F"/>
    <w:rsid w:val="663D4F52"/>
    <w:rsid w:val="663D599B"/>
    <w:rsid w:val="663E515C"/>
    <w:rsid w:val="663F14FE"/>
    <w:rsid w:val="664166AE"/>
    <w:rsid w:val="664408C2"/>
    <w:rsid w:val="6645502F"/>
    <w:rsid w:val="6646288C"/>
    <w:rsid w:val="664803B2"/>
    <w:rsid w:val="66482160"/>
    <w:rsid w:val="664839B0"/>
    <w:rsid w:val="6648501B"/>
    <w:rsid w:val="66487045"/>
    <w:rsid w:val="66495ED8"/>
    <w:rsid w:val="664A1839"/>
    <w:rsid w:val="664D2080"/>
    <w:rsid w:val="664D37C1"/>
    <w:rsid w:val="664F0CB2"/>
    <w:rsid w:val="6650370B"/>
    <w:rsid w:val="665054B9"/>
    <w:rsid w:val="66521231"/>
    <w:rsid w:val="66522FDF"/>
    <w:rsid w:val="66540B05"/>
    <w:rsid w:val="66546D57"/>
    <w:rsid w:val="6655119C"/>
    <w:rsid w:val="66560AC6"/>
    <w:rsid w:val="665705F5"/>
    <w:rsid w:val="665723A3"/>
    <w:rsid w:val="66576847"/>
    <w:rsid w:val="66591343"/>
    <w:rsid w:val="665925BF"/>
    <w:rsid w:val="6659436D"/>
    <w:rsid w:val="6659611C"/>
    <w:rsid w:val="665E0BAB"/>
    <w:rsid w:val="665E1984"/>
    <w:rsid w:val="665E5BD6"/>
    <w:rsid w:val="665E7BD6"/>
    <w:rsid w:val="6660394E"/>
    <w:rsid w:val="66613222"/>
    <w:rsid w:val="666176C6"/>
    <w:rsid w:val="66633372"/>
    <w:rsid w:val="6663343E"/>
    <w:rsid w:val="66633B2F"/>
    <w:rsid w:val="666351EC"/>
    <w:rsid w:val="66652D12"/>
    <w:rsid w:val="66660838"/>
    <w:rsid w:val="666703C9"/>
    <w:rsid w:val="66680A54"/>
    <w:rsid w:val="66682803"/>
    <w:rsid w:val="666845B1"/>
    <w:rsid w:val="666A3345"/>
    <w:rsid w:val="666B22F3"/>
    <w:rsid w:val="666B6D17"/>
    <w:rsid w:val="666D1BC7"/>
    <w:rsid w:val="666D606B"/>
    <w:rsid w:val="666F3B91"/>
    <w:rsid w:val="666F593F"/>
    <w:rsid w:val="66703722"/>
    <w:rsid w:val="66723681"/>
    <w:rsid w:val="66725FA1"/>
    <w:rsid w:val="66734CD3"/>
    <w:rsid w:val="66742F55"/>
    <w:rsid w:val="66754F1F"/>
    <w:rsid w:val="66763171"/>
    <w:rsid w:val="66772A46"/>
    <w:rsid w:val="667778D8"/>
    <w:rsid w:val="6678134D"/>
    <w:rsid w:val="66791959"/>
    <w:rsid w:val="66793A1E"/>
    <w:rsid w:val="667A42E4"/>
    <w:rsid w:val="6680153D"/>
    <w:rsid w:val="66801701"/>
    <w:rsid w:val="668138C4"/>
    <w:rsid w:val="66826C25"/>
    <w:rsid w:val="66826DDA"/>
    <w:rsid w:val="668313EA"/>
    <w:rsid w:val="66833198"/>
    <w:rsid w:val="6686712D"/>
    <w:rsid w:val="6687372F"/>
    <w:rsid w:val="66882EA5"/>
    <w:rsid w:val="66886A01"/>
    <w:rsid w:val="668A0AEE"/>
    <w:rsid w:val="668B029F"/>
    <w:rsid w:val="668B5AF9"/>
    <w:rsid w:val="668B64F1"/>
    <w:rsid w:val="668C3BDE"/>
    <w:rsid w:val="668C4743"/>
    <w:rsid w:val="668D30D8"/>
    <w:rsid w:val="668D4017"/>
    <w:rsid w:val="66903B07"/>
    <w:rsid w:val="669058B5"/>
    <w:rsid w:val="66921EF4"/>
    <w:rsid w:val="6692787F"/>
    <w:rsid w:val="66933384"/>
    <w:rsid w:val="66947B1D"/>
    <w:rsid w:val="66961D05"/>
    <w:rsid w:val="66963446"/>
    <w:rsid w:val="66967370"/>
    <w:rsid w:val="669730E8"/>
    <w:rsid w:val="66990C0E"/>
    <w:rsid w:val="66993D4C"/>
    <w:rsid w:val="66993F11"/>
    <w:rsid w:val="669B4986"/>
    <w:rsid w:val="669C06FE"/>
    <w:rsid w:val="669C425A"/>
    <w:rsid w:val="669D1BD8"/>
    <w:rsid w:val="669E4620"/>
    <w:rsid w:val="669E5062"/>
    <w:rsid w:val="669E6224"/>
    <w:rsid w:val="669F3D94"/>
    <w:rsid w:val="669F3F4A"/>
    <w:rsid w:val="66A001EE"/>
    <w:rsid w:val="66A31A8D"/>
    <w:rsid w:val="66A337D0"/>
    <w:rsid w:val="66A355E9"/>
    <w:rsid w:val="66A44309"/>
    <w:rsid w:val="66A56C29"/>
    <w:rsid w:val="66A65723"/>
    <w:rsid w:val="66A82BFF"/>
    <w:rsid w:val="66A852F5"/>
    <w:rsid w:val="66A8585B"/>
    <w:rsid w:val="66AA2E1B"/>
    <w:rsid w:val="66AA4BC9"/>
    <w:rsid w:val="66AB0941"/>
    <w:rsid w:val="66AB0DB4"/>
    <w:rsid w:val="66AB384D"/>
    <w:rsid w:val="66AC1952"/>
    <w:rsid w:val="66AC6B93"/>
    <w:rsid w:val="66AC783F"/>
    <w:rsid w:val="66AD290B"/>
    <w:rsid w:val="66AD46B9"/>
    <w:rsid w:val="66AD68DD"/>
    <w:rsid w:val="66AF21DF"/>
    <w:rsid w:val="66B028AC"/>
    <w:rsid w:val="66B07D06"/>
    <w:rsid w:val="66B141AA"/>
    <w:rsid w:val="66B21CD0"/>
    <w:rsid w:val="66B23A7E"/>
    <w:rsid w:val="66B2655C"/>
    <w:rsid w:val="66B27F22"/>
    <w:rsid w:val="66B43C9A"/>
    <w:rsid w:val="66B45A48"/>
    <w:rsid w:val="66B5531C"/>
    <w:rsid w:val="66B612EF"/>
    <w:rsid w:val="66B6356E"/>
    <w:rsid w:val="66B71EC0"/>
    <w:rsid w:val="66B772E6"/>
    <w:rsid w:val="66B912B0"/>
    <w:rsid w:val="66B9305E"/>
    <w:rsid w:val="66B94E0C"/>
    <w:rsid w:val="66BA4071"/>
    <w:rsid w:val="66BB0B84"/>
    <w:rsid w:val="66BC1CB0"/>
    <w:rsid w:val="66BC2B4E"/>
    <w:rsid w:val="66BD5B82"/>
    <w:rsid w:val="66BE2BFF"/>
    <w:rsid w:val="66BE7558"/>
    <w:rsid w:val="66BE7A81"/>
    <w:rsid w:val="66C03831"/>
    <w:rsid w:val="66C043ED"/>
    <w:rsid w:val="66C11F13"/>
    <w:rsid w:val="66C57C55"/>
    <w:rsid w:val="66C67529"/>
    <w:rsid w:val="66C739CD"/>
    <w:rsid w:val="66C814F3"/>
    <w:rsid w:val="66C9448E"/>
    <w:rsid w:val="66CB20A8"/>
    <w:rsid w:val="66CC0FE3"/>
    <w:rsid w:val="66CC2D91"/>
    <w:rsid w:val="66CC48EC"/>
    <w:rsid w:val="66CD329D"/>
    <w:rsid w:val="66CD49A5"/>
    <w:rsid w:val="66CD4D5B"/>
    <w:rsid w:val="66CE5E35"/>
    <w:rsid w:val="66CE7800"/>
    <w:rsid w:val="66CF2882"/>
    <w:rsid w:val="66CF63DE"/>
    <w:rsid w:val="66D02156"/>
    <w:rsid w:val="66D22755"/>
    <w:rsid w:val="66D25ECE"/>
    <w:rsid w:val="66D41C46"/>
    <w:rsid w:val="66D439F4"/>
    <w:rsid w:val="66D47E98"/>
    <w:rsid w:val="66D63C10"/>
    <w:rsid w:val="66D659BE"/>
    <w:rsid w:val="66D71736"/>
    <w:rsid w:val="66D954AE"/>
    <w:rsid w:val="66DA4365"/>
    <w:rsid w:val="66DC1E93"/>
    <w:rsid w:val="66DC300A"/>
    <w:rsid w:val="66DC6D4D"/>
    <w:rsid w:val="66DE0D17"/>
    <w:rsid w:val="66E005EB"/>
    <w:rsid w:val="66E0683D"/>
    <w:rsid w:val="66E14363"/>
    <w:rsid w:val="66E14B8A"/>
    <w:rsid w:val="66E16111"/>
    <w:rsid w:val="66E300DB"/>
    <w:rsid w:val="66E3030C"/>
    <w:rsid w:val="66E3632D"/>
    <w:rsid w:val="66E520A5"/>
    <w:rsid w:val="66E53E53"/>
    <w:rsid w:val="66E5629C"/>
    <w:rsid w:val="66E71979"/>
    <w:rsid w:val="66E7446A"/>
    <w:rsid w:val="66E77BCB"/>
    <w:rsid w:val="66E86EAD"/>
    <w:rsid w:val="66E8749F"/>
    <w:rsid w:val="66E96F94"/>
    <w:rsid w:val="66EA1469"/>
    <w:rsid w:val="66EC13BE"/>
    <w:rsid w:val="66EC51E2"/>
    <w:rsid w:val="66EF1480"/>
    <w:rsid w:val="66F347C2"/>
    <w:rsid w:val="66F37E01"/>
    <w:rsid w:val="66F422E8"/>
    <w:rsid w:val="66F52E78"/>
    <w:rsid w:val="66F552F2"/>
    <w:rsid w:val="66F61BAB"/>
    <w:rsid w:val="66F66060"/>
    <w:rsid w:val="66F66782"/>
    <w:rsid w:val="66F7131F"/>
    <w:rsid w:val="66F77C12"/>
    <w:rsid w:val="66F81DD8"/>
    <w:rsid w:val="66F916AD"/>
    <w:rsid w:val="66F9345B"/>
    <w:rsid w:val="66F95B50"/>
    <w:rsid w:val="66FC2F4B"/>
    <w:rsid w:val="66FC4ACF"/>
    <w:rsid w:val="66FD472E"/>
    <w:rsid w:val="66FD73EF"/>
    <w:rsid w:val="66FF0F75"/>
    <w:rsid w:val="6702174D"/>
    <w:rsid w:val="67024FEE"/>
    <w:rsid w:val="6703077D"/>
    <w:rsid w:val="6703252B"/>
    <w:rsid w:val="670342D9"/>
    <w:rsid w:val="67035B76"/>
    <w:rsid w:val="670361B5"/>
    <w:rsid w:val="67047645"/>
    <w:rsid w:val="67065B78"/>
    <w:rsid w:val="6707201B"/>
    <w:rsid w:val="67075FC6"/>
    <w:rsid w:val="670808CA"/>
    <w:rsid w:val="67081BBE"/>
    <w:rsid w:val="670A1B0C"/>
    <w:rsid w:val="670A5668"/>
    <w:rsid w:val="670A6D87"/>
    <w:rsid w:val="670D4B76"/>
    <w:rsid w:val="670E32C8"/>
    <w:rsid w:val="670F0ED0"/>
    <w:rsid w:val="670F2C7E"/>
    <w:rsid w:val="670F7122"/>
    <w:rsid w:val="67111C49"/>
    <w:rsid w:val="671129B9"/>
    <w:rsid w:val="67112E9A"/>
    <w:rsid w:val="6711338A"/>
    <w:rsid w:val="671169F6"/>
    <w:rsid w:val="671250BE"/>
    <w:rsid w:val="671309C0"/>
    <w:rsid w:val="67136C12"/>
    <w:rsid w:val="67144738"/>
    <w:rsid w:val="671505CA"/>
    <w:rsid w:val="6716400D"/>
    <w:rsid w:val="67175ABB"/>
    <w:rsid w:val="671771FC"/>
    <w:rsid w:val="67177D85"/>
    <w:rsid w:val="67183D31"/>
    <w:rsid w:val="671B5AC7"/>
    <w:rsid w:val="671B645D"/>
    <w:rsid w:val="671C049D"/>
    <w:rsid w:val="671E1113"/>
    <w:rsid w:val="671E44FE"/>
    <w:rsid w:val="671E7365"/>
    <w:rsid w:val="671F424D"/>
    <w:rsid w:val="671F55B7"/>
    <w:rsid w:val="671F6DCE"/>
    <w:rsid w:val="6723497B"/>
    <w:rsid w:val="67241800"/>
    <w:rsid w:val="6727446C"/>
    <w:rsid w:val="672755B0"/>
    <w:rsid w:val="67281F92"/>
    <w:rsid w:val="67283D40"/>
    <w:rsid w:val="672A1360"/>
    <w:rsid w:val="672A3F5C"/>
    <w:rsid w:val="672A5D0A"/>
    <w:rsid w:val="672A73B6"/>
    <w:rsid w:val="672A7AB8"/>
    <w:rsid w:val="672C7F92"/>
    <w:rsid w:val="672D1356"/>
    <w:rsid w:val="672D5AF5"/>
    <w:rsid w:val="672E0F80"/>
    <w:rsid w:val="67307DA3"/>
    <w:rsid w:val="67312975"/>
    <w:rsid w:val="673152EA"/>
    <w:rsid w:val="67317098"/>
    <w:rsid w:val="6732662B"/>
    <w:rsid w:val="6732696D"/>
    <w:rsid w:val="67334BBF"/>
    <w:rsid w:val="67335249"/>
    <w:rsid w:val="67351044"/>
    <w:rsid w:val="673624D4"/>
    <w:rsid w:val="67362901"/>
    <w:rsid w:val="673646AF"/>
    <w:rsid w:val="6736645D"/>
    <w:rsid w:val="6736719C"/>
    <w:rsid w:val="673821D5"/>
    <w:rsid w:val="67395F4D"/>
    <w:rsid w:val="673A630A"/>
    <w:rsid w:val="673B1CC5"/>
    <w:rsid w:val="673B3590"/>
    <w:rsid w:val="673B3A73"/>
    <w:rsid w:val="673B50AF"/>
    <w:rsid w:val="673B7F17"/>
    <w:rsid w:val="673E3563"/>
    <w:rsid w:val="673F3837"/>
    <w:rsid w:val="673F7A07"/>
    <w:rsid w:val="674072DB"/>
    <w:rsid w:val="67412203"/>
    <w:rsid w:val="674212A6"/>
    <w:rsid w:val="67423054"/>
    <w:rsid w:val="67424E02"/>
    <w:rsid w:val="6744501E"/>
    <w:rsid w:val="674522B1"/>
    <w:rsid w:val="67461FC9"/>
    <w:rsid w:val="674669D6"/>
    <w:rsid w:val="67472418"/>
    <w:rsid w:val="67486190"/>
    <w:rsid w:val="674943E2"/>
    <w:rsid w:val="674A1F08"/>
    <w:rsid w:val="674B7147"/>
    <w:rsid w:val="674C3ED2"/>
    <w:rsid w:val="674D72CB"/>
    <w:rsid w:val="674E1E9C"/>
    <w:rsid w:val="674E7C4A"/>
    <w:rsid w:val="674F751F"/>
    <w:rsid w:val="675039C2"/>
    <w:rsid w:val="675114E9"/>
    <w:rsid w:val="67515045"/>
    <w:rsid w:val="675367A9"/>
    <w:rsid w:val="675608AD"/>
    <w:rsid w:val="675746BF"/>
    <w:rsid w:val="67584625"/>
    <w:rsid w:val="675863D3"/>
    <w:rsid w:val="675A043F"/>
    <w:rsid w:val="675B2367"/>
    <w:rsid w:val="675B4115"/>
    <w:rsid w:val="675B44A0"/>
    <w:rsid w:val="675B5EC3"/>
    <w:rsid w:val="675C1FE9"/>
    <w:rsid w:val="675D1C3B"/>
    <w:rsid w:val="675D60DF"/>
    <w:rsid w:val="675D7CA3"/>
    <w:rsid w:val="675E2E21"/>
    <w:rsid w:val="675E48FC"/>
    <w:rsid w:val="676034DA"/>
    <w:rsid w:val="676035E0"/>
    <w:rsid w:val="6764746E"/>
    <w:rsid w:val="67654F94"/>
    <w:rsid w:val="67663B2A"/>
    <w:rsid w:val="67671600"/>
    <w:rsid w:val="676745C7"/>
    <w:rsid w:val="67674868"/>
    <w:rsid w:val="67683671"/>
    <w:rsid w:val="676905E0"/>
    <w:rsid w:val="676A25AA"/>
    <w:rsid w:val="676A4358"/>
    <w:rsid w:val="676A47C6"/>
    <w:rsid w:val="676A7F34"/>
    <w:rsid w:val="676C00D0"/>
    <w:rsid w:val="676C1E7F"/>
    <w:rsid w:val="676E3E49"/>
    <w:rsid w:val="676F196F"/>
    <w:rsid w:val="676F7BC1"/>
    <w:rsid w:val="67705236"/>
    <w:rsid w:val="67705E13"/>
    <w:rsid w:val="677156E7"/>
    <w:rsid w:val="6773320D"/>
    <w:rsid w:val="67760F4F"/>
    <w:rsid w:val="677610A8"/>
    <w:rsid w:val="67766731"/>
    <w:rsid w:val="6779459B"/>
    <w:rsid w:val="677B47B7"/>
    <w:rsid w:val="677B6565"/>
    <w:rsid w:val="677D0530"/>
    <w:rsid w:val="677D22DE"/>
    <w:rsid w:val="677F6056"/>
    <w:rsid w:val="677F7E04"/>
    <w:rsid w:val="67801DCE"/>
    <w:rsid w:val="678040C1"/>
    <w:rsid w:val="678418BE"/>
    <w:rsid w:val="6784541A"/>
    <w:rsid w:val="67847453"/>
    <w:rsid w:val="67851192"/>
    <w:rsid w:val="67852F40"/>
    <w:rsid w:val="67874F0A"/>
    <w:rsid w:val="67876CB8"/>
    <w:rsid w:val="67880B89"/>
    <w:rsid w:val="67890C82"/>
    <w:rsid w:val="67892A30"/>
    <w:rsid w:val="67896ED4"/>
    <w:rsid w:val="678A0557"/>
    <w:rsid w:val="678C06FD"/>
    <w:rsid w:val="678C6E29"/>
    <w:rsid w:val="678F5A5E"/>
    <w:rsid w:val="679124B9"/>
    <w:rsid w:val="67917B37"/>
    <w:rsid w:val="679259FF"/>
    <w:rsid w:val="67931B01"/>
    <w:rsid w:val="679338AF"/>
    <w:rsid w:val="6793565D"/>
    <w:rsid w:val="679413D5"/>
    <w:rsid w:val="67965B4A"/>
    <w:rsid w:val="67966EFB"/>
    <w:rsid w:val="67982C74"/>
    <w:rsid w:val="67987117"/>
    <w:rsid w:val="679A4C3E"/>
    <w:rsid w:val="679D028A"/>
    <w:rsid w:val="679D472E"/>
    <w:rsid w:val="679F04A6"/>
    <w:rsid w:val="67A1421E"/>
    <w:rsid w:val="67A21D44"/>
    <w:rsid w:val="67A27F96"/>
    <w:rsid w:val="67A36FC6"/>
    <w:rsid w:val="67A400BF"/>
    <w:rsid w:val="67A4786A"/>
    <w:rsid w:val="67A55390"/>
    <w:rsid w:val="67A71109"/>
    <w:rsid w:val="67A7735B"/>
    <w:rsid w:val="67A930D3"/>
    <w:rsid w:val="67A96C2F"/>
    <w:rsid w:val="67AB6E4B"/>
    <w:rsid w:val="67AC1177"/>
    <w:rsid w:val="67AC4971"/>
    <w:rsid w:val="67AD3D48"/>
    <w:rsid w:val="67AE5A44"/>
    <w:rsid w:val="67B04461"/>
    <w:rsid w:val="67B13B59"/>
    <w:rsid w:val="67B51A77"/>
    <w:rsid w:val="67B53825"/>
    <w:rsid w:val="67B657F0"/>
    <w:rsid w:val="67B6759E"/>
    <w:rsid w:val="67B72B89"/>
    <w:rsid w:val="67B80E5B"/>
    <w:rsid w:val="67BB4BB4"/>
    <w:rsid w:val="67BB4F53"/>
    <w:rsid w:val="67BC1058"/>
    <w:rsid w:val="67BD6B7E"/>
    <w:rsid w:val="67BE358C"/>
    <w:rsid w:val="67BF11A0"/>
    <w:rsid w:val="67BF28F6"/>
    <w:rsid w:val="67BF46A4"/>
    <w:rsid w:val="67BF4A1C"/>
    <w:rsid w:val="67BF5B9B"/>
    <w:rsid w:val="67C01797"/>
    <w:rsid w:val="67C021CA"/>
    <w:rsid w:val="67C03DCB"/>
    <w:rsid w:val="67C15585"/>
    <w:rsid w:val="67C22271"/>
    <w:rsid w:val="67C24194"/>
    <w:rsid w:val="67C27CF0"/>
    <w:rsid w:val="67C40077"/>
    <w:rsid w:val="67C41CBB"/>
    <w:rsid w:val="67C43A69"/>
    <w:rsid w:val="67C63C85"/>
    <w:rsid w:val="67C717AB"/>
    <w:rsid w:val="67C73559"/>
    <w:rsid w:val="67C75EE8"/>
    <w:rsid w:val="67C80950"/>
    <w:rsid w:val="67CA3270"/>
    <w:rsid w:val="67CB74E6"/>
    <w:rsid w:val="67CC0B6F"/>
    <w:rsid w:val="67CD5013"/>
    <w:rsid w:val="67CE2B39"/>
    <w:rsid w:val="67CE48E7"/>
    <w:rsid w:val="67D0240D"/>
    <w:rsid w:val="67D068B1"/>
    <w:rsid w:val="67D143D7"/>
    <w:rsid w:val="67D22629"/>
    <w:rsid w:val="67D32FC7"/>
    <w:rsid w:val="67D363A2"/>
    <w:rsid w:val="67D6379C"/>
    <w:rsid w:val="67D75874"/>
    <w:rsid w:val="67D77C40"/>
    <w:rsid w:val="67D86D3B"/>
    <w:rsid w:val="67DA14DE"/>
    <w:rsid w:val="67DA7730"/>
    <w:rsid w:val="67DB076F"/>
    <w:rsid w:val="67DD0FCE"/>
    <w:rsid w:val="67DD1452"/>
    <w:rsid w:val="67DD1EAC"/>
    <w:rsid w:val="67DD2D7C"/>
    <w:rsid w:val="67DF4D46"/>
    <w:rsid w:val="67E10ABE"/>
    <w:rsid w:val="67E1286C"/>
    <w:rsid w:val="67E265E5"/>
    <w:rsid w:val="67E45EB9"/>
    <w:rsid w:val="67E469E8"/>
    <w:rsid w:val="67E601AA"/>
    <w:rsid w:val="67E73BFB"/>
    <w:rsid w:val="67E759A9"/>
    <w:rsid w:val="67E768AA"/>
    <w:rsid w:val="67E81E4D"/>
    <w:rsid w:val="67E90086"/>
    <w:rsid w:val="67E934CF"/>
    <w:rsid w:val="67E97973"/>
    <w:rsid w:val="67E97C88"/>
    <w:rsid w:val="67EA1118"/>
    <w:rsid w:val="67EB7247"/>
    <w:rsid w:val="67EC1211"/>
    <w:rsid w:val="67EC234C"/>
    <w:rsid w:val="67EC2FBF"/>
    <w:rsid w:val="67EE0AE5"/>
    <w:rsid w:val="67EE31DB"/>
    <w:rsid w:val="67F00D02"/>
    <w:rsid w:val="67F016B1"/>
    <w:rsid w:val="67F0485E"/>
    <w:rsid w:val="67F23658"/>
    <w:rsid w:val="67F26828"/>
    <w:rsid w:val="67F405B1"/>
    <w:rsid w:val="67F56318"/>
    <w:rsid w:val="67F72090"/>
    <w:rsid w:val="67F7371C"/>
    <w:rsid w:val="67F81964"/>
    <w:rsid w:val="67F85DF9"/>
    <w:rsid w:val="67F85E08"/>
    <w:rsid w:val="67F87BB6"/>
    <w:rsid w:val="67FA1B80"/>
    <w:rsid w:val="67FA56DC"/>
    <w:rsid w:val="67FB3202"/>
    <w:rsid w:val="67FC1454"/>
    <w:rsid w:val="67FC352D"/>
    <w:rsid w:val="67FD341E"/>
    <w:rsid w:val="67FD51CC"/>
    <w:rsid w:val="67FD6F7B"/>
    <w:rsid w:val="67FE0A1E"/>
    <w:rsid w:val="67FF0F45"/>
    <w:rsid w:val="68014CBD"/>
    <w:rsid w:val="680227E3"/>
    <w:rsid w:val="68040309"/>
    <w:rsid w:val="6804655B"/>
    <w:rsid w:val="68046C31"/>
    <w:rsid w:val="68060525"/>
    <w:rsid w:val="68060D49"/>
    <w:rsid w:val="680622D3"/>
    <w:rsid w:val="68064081"/>
    <w:rsid w:val="6808604B"/>
    <w:rsid w:val="6809591F"/>
    <w:rsid w:val="680B1697"/>
    <w:rsid w:val="680B2381"/>
    <w:rsid w:val="680B5B3B"/>
    <w:rsid w:val="680C5410"/>
    <w:rsid w:val="680D18B3"/>
    <w:rsid w:val="680E0513"/>
    <w:rsid w:val="680E2F36"/>
    <w:rsid w:val="68106CAE"/>
    <w:rsid w:val="68112462"/>
    <w:rsid w:val="68120324"/>
    <w:rsid w:val="68126ECA"/>
    <w:rsid w:val="68132EF5"/>
    <w:rsid w:val="681349F0"/>
    <w:rsid w:val="68134AF3"/>
    <w:rsid w:val="68150768"/>
    <w:rsid w:val="681542C4"/>
    <w:rsid w:val="6818150B"/>
    <w:rsid w:val="681816C1"/>
    <w:rsid w:val="68182006"/>
    <w:rsid w:val="68190258"/>
    <w:rsid w:val="681D5437"/>
    <w:rsid w:val="681E0008"/>
    <w:rsid w:val="68204069"/>
    <w:rsid w:val="68212C69"/>
    <w:rsid w:val="6821710D"/>
    <w:rsid w:val="68224C33"/>
    <w:rsid w:val="682269E1"/>
    <w:rsid w:val="68232E85"/>
    <w:rsid w:val="682360DE"/>
    <w:rsid w:val="682409AB"/>
    <w:rsid w:val="68242739"/>
    <w:rsid w:val="68242759"/>
    <w:rsid w:val="682441BA"/>
    <w:rsid w:val="68262975"/>
    <w:rsid w:val="682810BA"/>
    <w:rsid w:val="68292528"/>
    <w:rsid w:val="6829511B"/>
    <w:rsid w:val="682B1D3A"/>
    <w:rsid w:val="682B3AE8"/>
    <w:rsid w:val="682B7F8C"/>
    <w:rsid w:val="682D5AB2"/>
    <w:rsid w:val="682D666D"/>
    <w:rsid w:val="682D7860"/>
    <w:rsid w:val="683010FE"/>
    <w:rsid w:val="6830241D"/>
    <w:rsid w:val="68307350"/>
    <w:rsid w:val="68307BE6"/>
    <w:rsid w:val="6832131A"/>
    <w:rsid w:val="683230C8"/>
    <w:rsid w:val="68324E76"/>
    <w:rsid w:val="6834222E"/>
    <w:rsid w:val="6834396F"/>
    <w:rsid w:val="68352BB8"/>
    <w:rsid w:val="683647B6"/>
    <w:rsid w:val="68365042"/>
    <w:rsid w:val="68376930"/>
    <w:rsid w:val="683873CB"/>
    <w:rsid w:val="683A01CF"/>
    <w:rsid w:val="683A3BAA"/>
    <w:rsid w:val="683A6906"/>
    <w:rsid w:val="683B0973"/>
    <w:rsid w:val="683B1EFE"/>
    <w:rsid w:val="683C09C0"/>
    <w:rsid w:val="683C3F47"/>
    <w:rsid w:val="683D381B"/>
    <w:rsid w:val="683E1A6D"/>
    <w:rsid w:val="683F3A37"/>
    <w:rsid w:val="68420E31"/>
    <w:rsid w:val="68430937"/>
    <w:rsid w:val="68437083"/>
    <w:rsid w:val="68444BA9"/>
    <w:rsid w:val="684626D0"/>
    <w:rsid w:val="68464DC5"/>
    <w:rsid w:val="68466B73"/>
    <w:rsid w:val="68476448"/>
    <w:rsid w:val="684828EC"/>
    <w:rsid w:val="68490412"/>
    <w:rsid w:val="684921C0"/>
    <w:rsid w:val="684B5F38"/>
    <w:rsid w:val="684D1CB0"/>
    <w:rsid w:val="684D3A5E"/>
    <w:rsid w:val="684D4516"/>
    <w:rsid w:val="684D7F02"/>
    <w:rsid w:val="685017A0"/>
    <w:rsid w:val="6850354E"/>
    <w:rsid w:val="685132CA"/>
    <w:rsid w:val="68522DA9"/>
    <w:rsid w:val="6853303E"/>
    <w:rsid w:val="68550B65"/>
    <w:rsid w:val="68556DB7"/>
    <w:rsid w:val="68570D81"/>
    <w:rsid w:val="685748DD"/>
    <w:rsid w:val="68580655"/>
    <w:rsid w:val="685A261F"/>
    <w:rsid w:val="685A43CD"/>
    <w:rsid w:val="685B55E0"/>
    <w:rsid w:val="685C6397"/>
    <w:rsid w:val="685D0811"/>
    <w:rsid w:val="685D1DC9"/>
    <w:rsid w:val="685E5C6B"/>
    <w:rsid w:val="685F43C3"/>
    <w:rsid w:val="6860298C"/>
    <w:rsid w:val="686139AD"/>
    <w:rsid w:val="68615086"/>
    <w:rsid w:val="68617509"/>
    <w:rsid w:val="686427E3"/>
    <w:rsid w:val="6864524C"/>
    <w:rsid w:val="68646FFA"/>
    <w:rsid w:val="68660FC4"/>
    <w:rsid w:val="68662D72"/>
    <w:rsid w:val="68664B20"/>
    <w:rsid w:val="68677C8E"/>
    <w:rsid w:val="68680898"/>
    <w:rsid w:val="68692862"/>
    <w:rsid w:val="68696EF2"/>
    <w:rsid w:val="686A0AB4"/>
    <w:rsid w:val="686B0388"/>
    <w:rsid w:val="686B65DA"/>
    <w:rsid w:val="686C4C8A"/>
    <w:rsid w:val="686E1C26"/>
    <w:rsid w:val="68703BF0"/>
    <w:rsid w:val="68713911"/>
    <w:rsid w:val="687234C5"/>
    <w:rsid w:val="68736231"/>
    <w:rsid w:val="687436E1"/>
    <w:rsid w:val="68751207"/>
    <w:rsid w:val="68751AA8"/>
    <w:rsid w:val="6875280B"/>
    <w:rsid w:val="68752FB5"/>
    <w:rsid w:val="68757459"/>
    <w:rsid w:val="68761FE1"/>
    <w:rsid w:val="687731D1"/>
    <w:rsid w:val="68784853"/>
    <w:rsid w:val="68790CF7"/>
    <w:rsid w:val="687920A3"/>
    <w:rsid w:val="68792AA5"/>
    <w:rsid w:val="687952F0"/>
    <w:rsid w:val="687A05CB"/>
    <w:rsid w:val="687A43F8"/>
    <w:rsid w:val="687A4A6F"/>
    <w:rsid w:val="687C216C"/>
    <w:rsid w:val="687D3AD2"/>
    <w:rsid w:val="687E00BB"/>
    <w:rsid w:val="687E0F07"/>
    <w:rsid w:val="687E1949"/>
    <w:rsid w:val="687E2481"/>
    <w:rsid w:val="687E630D"/>
    <w:rsid w:val="687F5BE1"/>
    <w:rsid w:val="687F5F15"/>
    <w:rsid w:val="688020CA"/>
    <w:rsid w:val="68805C64"/>
    <w:rsid w:val="68815DFE"/>
    <w:rsid w:val="68827AB3"/>
    <w:rsid w:val="68833155"/>
    <w:rsid w:val="68833924"/>
    <w:rsid w:val="688558EE"/>
    <w:rsid w:val="68863217"/>
    <w:rsid w:val="68863414"/>
    <w:rsid w:val="68880F3A"/>
    <w:rsid w:val="6888718C"/>
    <w:rsid w:val="688B27D8"/>
    <w:rsid w:val="688B4586"/>
    <w:rsid w:val="688D47A2"/>
    <w:rsid w:val="688D7571"/>
    <w:rsid w:val="688E0268"/>
    <w:rsid w:val="688E4077"/>
    <w:rsid w:val="68906041"/>
    <w:rsid w:val="689063CF"/>
    <w:rsid w:val="68907DEF"/>
    <w:rsid w:val="689217BA"/>
    <w:rsid w:val="68921DB9"/>
    <w:rsid w:val="68925130"/>
    <w:rsid w:val="689437B2"/>
    <w:rsid w:val="689453A6"/>
    <w:rsid w:val="6895013B"/>
    <w:rsid w:val="68955405"/>
    <w:rsid w:val="689615CB"/>
    <w:rsid w:val="6896419C"/>
    <w:rsid w:val="6897117D"/>
    <w:rsid w:val="68974562"/>
    <w:rsid w:val="68995944"/>
    <w:rsid w:val="689A2B1D"/>
    <w:rsid w:val="689A7ED6"/>
    <w:rsid w:val="689B286C"/>
    <w:rsid w:val="689B4CA6"/>
    <w:rsid w:val="689B622D"/>
    <w:rsid w:val="689B6EBF"/>
    <w:rsid w:val="689C1346"/>
    <w:rsid w:val="689C6793"/>
    <w:rsid w:val="689E250C"/>
    <w:rsid w:val="689E42BA"/>
    <w:rsid w:val="689F131E"/>
    <w:rsid w:val="68A13DAA"/>
    <w:rsid w:val="68A2273F"/>
    <w:rsid w:val="68A35D74"/>
    <w:rsid w:val="68A37B22"/>
    <w:rsid w:val="68A467A0"/>
    <w:rsid w:val="68A51180"/>
    <w:rsid w:val="68A5389A"/>
    <w:rsid w:val="68A613C0"/>
    <w:rsid w:val="68A75121"/>
    <w:rsid w:val="68A815DC"/>
    <w:rsid w:val="68A903C8"/>
    <w:rsid w:val="68AB69D7"/>
    <w:rsid w:val="68AD6BF3"/>
    <w:rsid w:val="68AF2172"/>
    <w:rsid w:val="68AF64C7"/>
    <w:rsid w:val="68B0223F"/>
    <w:rsid w:val="68B03FED"/>
    <w:rsid w:val="68B04D43"/>
    <w:rsid w:val="68B1654A"/>
    <w:rsid w:val="68B25FB7"/>
    <w:rsid w:val="68B27663"/>
    <w:rsid w:val="68B27D65"/>
    <w:rsid w:val="68B336C4"/>
    <w:rsid w:val="68B376D2"/>
    <w:rsid w:val="68B41D2F"/>
    <w:rsid w:val="68B47F81"/>
    <w:rsid w:val="68B57855"/>
    <w:rsid w:val="68B64949"/>
    <w:rsid w:val="68B67474"/>
    <w:rsid w:val="68B7537B"/>
    <w:rsid w:val="68B834D5"/>
    <w:rsid w:val="68B95597"/>
    <w:rsid w:val="68BA4E6C"/>
    <w:rsid w:val="68BC3CF0"/>
    <w:rsid w:val="68BC6E36"/>
    <w:rsid w:val="68BE495C"/>
    <w:rsid w:val="68BE5C06"/>
    <w:rsid w:val="68BF2482"/>
    <w:rsid w:val="68C006D4"/>
    <w:rsid w:val="68C06926"/>
    <w:rsid w:val="68C07391"/>
    <w:rsid w:val="68C12292"/>
    <w:rsid w:val="68C1444C"/>
    <w:rsid w:val="68C301C4"/>
    <w:rsid w:val="68C31F72"/>
    <w:rsid w:val="68C47A98"/>
    <w:rsid w:val="68C53F3C"/>
    <w:rsid w:val="68C64184"/>
    <w:rsid w:val="68C71B3A"/>
    <w:rsid w:val="68C74DCD"/>
    <w:rsid w:val="68C74F83"/>
    <w:rsid w:val="68C77CB4"/>
    <w:rsid w:val="68C815E2"/>
    <w:rsid w:val="68C857DA"/>
    <w:rsid w:val="68C87588"/>
    <w:rsid w:val="68CA1553"/>
    <w:rsid w:val="68CA50AF"/>
    <w:rsid w:val="68CB7079"/>
    <w:rsid w:val="68CC52CB"/>
    <w:rsid w:val="68CD1043"/>
    <w:rsid w:val="68CD2DF1"/>
    <w:rsid w:val="68CD4B9F"/>
    <w:rsid w:val="68D1407C"/>
    <w:rsid w:val="68D20407"/>
    <w:rsid w:val="68D4417F"/>
    <w:rsid w:val="68D51CA5"/>
    <w:rsid w:val="68D57089"/>
    <w:rsid w:val="68D73C6F"/>
    <w:rsid w:val="68D91796"/>
    <w:rsid w:val="68D93544"/>
    <w:rsid w:val="68DB72BC"/>
    <w:rsid w:val="68DC3034"/>
    <w:rsid w:val="68DD74D8"/>
    <w:rsid w:val="68DF1251"/>
    <w:rsid w:val="68E00D76"/>
    <w:rsid w:val="68E1064A"/>
    <w:rsid w:val="68E24AEE"/>
    <w:rsid w:val="68E343C2"/>
    <w:rsid w:val="68E36170"/>
    <w:rsid w:val="68E56825"/>
    <w:rsid w:val="68E63EB3"/>
    <w:rsid w:val="68E65C61"/>
    <w:rsid w:val="68E819D9"/>
    <w:rsid w:val="68E85E7D"/>
    <w:rsid w:val="68E915CB"/>
    <w:rsid w:val="68EB3277"/>
    <w:rsid w:val="68EC23C5"/>
    <w:rsid w:val="68ED3493"/>
    <w:rsid w:val="68ED6FEF"/>
    <w:rsid w:val="68EE188F"/>
    <w:rsid w:val="68EF0FB9"/>
    <w:rsid w:val="68EF2D67"/>
    <w:rsid w:val="68EF39C7"/>
    <w:rsid w:val="68F0088D"/>
    <w:rsid w:val="68F138E6"/>
    <w:rsid w:val="68F14A85"/>
    <w:rsid w:val="68F16ADF"/>
    <w:rsid w:val="68F22857"/>
    <w:rsid w:val="68F24605"/>
    <w:rsid w:val="68F32D76"/>
    <w:rsid w:val="68F3344C"/>
    <w:rsid w:val="68F44821"/>
    <w:rsid w:val="68F51E81"/>
    <w:rsid w:val="68F62348"/>
    <w:rsid w:val="68F760C0"/>
    <w:rsid w:val="68FA5E59"/>
    <w:rsid w:val="68FB170C"/>
    <w:rsid w:val="68FC0779"/>
    <w:rsid w:val="68FC7232"/>
    <w:rsid w:val="68FD5F3D"/>
    <w:rsid w:val="68FE744E"/>
    <w:rsid w:val="690031C6"/>
    <w:rsid w:val="69006D22"/>
    <w:rsid w:val="69034D43"/>
    <w:rsid w:val="6904039B"/>
    <w:rsid w:val="690507DD"/>
    <w:rsid w:val="69054339"/>
    <w:rsid w:val="69074555"/>
    <w:rsid w:val="6907588C"/>
    <w:rsid w:val="69076303"/>
    <w:rsid w:val="6908207B"/>
    <w:rsid w:val="69083E29"/>
    <w:rsid w:val="69085BD7"/>
    <w:rsid w:val="690A194F"/>
    <w:rsid w:val="690B0E8D"/>
    <w:rsid w:val="690B569D"/>
    <w:rsid w:val="690D7691"/>
    <w:rsid w:val="690F51B7"/>
    <w:rsid w:val="690F6F65"/>
    <w:rsid w:val="69111C5E"/>
    <w:rsid w:val="69117181"/>
    <w:rsid w:val="69120F50"/>
    <w:rsid w:val="69124CA8"/>
    <w:rsid w:val="69132EFA"/>
    <w:rsid w:val="69140A20"/>
    <w:rsid w:val="69146C72"/>
    <w:rsid w:val="69163295"/>
    <w:rsid w:val="691722BE"/>
    <w:rsid w:val="6917406C"/>
    <w:rsid w:val="69194288"/>
    <w:rsid w:val="69196036"/>
    <w:rsid w:val="691C78D4"/>
    <w:rsid w:val="691D5B26"/>
    <w:rsid w:val="691E189E"/>
    <w:rsid w:val="691E6A93"/>
    <w:rsid w:val="691F0616"/>
    <w:rsid w:val="691F2A27"/>
    <w:rsid w:val="69200ED4"/>
    <w:rsid w:val="69201173"/>
    <w:rsid w:val="692052EB"/>
    <w:rsid w:val="69205616"/>
    <w:rsid w:val="692073C4"/>
    <w:rsid w:val="69221585"/>
    <w:rsid w:val="69222494"/>
    <w:rsid w:val="6922313D"/>
    <w:rsid w:val="69230C63"/>
    <w:rsid w:val="69232A11"/>
    <w:rsid w:val="69233924"/>
    <w:rsid w:val="69261942"/>
    <w:rsid w:val="69270753"/>
    <w:rsid w:val="69272501"/>
    <w:rsid w:val="692844CB"/>
    <w:rsid w:val="692A1FF1"/>
    <w:rsid w:val="692A3D9F"/>
    <w:rsid w:val="692C58E1"/>
    <w:rsid w:val="692C5D69"/>
    <w:rsid w:val="692D181F"/>
    <w:rsid w:val="692D75A7"/>
    <w:rsid w:val="69310AF9"/>
    <w:rsid w:val="69313380"/>
    <w:rsid w:val="69320EA6"/>
    <w:rsid w:val="693275D5"/>
    <w:rsid w:val="693370F8"/>
    <w:rsid w:val="693410C2"/>
    <w:rsid w:val="693469CC"/>
    <w:rsid w:val="69390486"/>
    <w:rsid w:val="693966D8"/>
    <w:rsid w:val="6939728B"/>
    <w:rsid w:val="693B7D5A"/>
    <w:rsid w:val="693C63AF"/>
    <w:rsid w:val="693E784B"/>
    <w:rsid w:val="69401815"/>
    <w:rsid w:val="694105EE"/>
    <w:rsid w:val="69431305"/>
    <w:rsid w:val="69434E61"/>
    <w:rsid w:val="69435ADF"/>
    <w:rsid w:val="69456E2B"/>
    <w:rsid w:val="6946188F"/>
    <w:rsid w:val="694638A8"/>
    <w:rsid w:val="69472BA3"/>
    <w:rsid w:val="694D0401"/>
    <w:rsid w:val="694D5CE0"/>
    <w:rsid w:val="694D7A8E"/>
    <w:rsid w:val="694E3F32"/>
    <w:rsid w:val="694F1A58"/>
    <w:rsid w:val="694F3806"/>
    <w:rsid w:val="69523ED3"/>
    <w:rsid w:val="6958090C"/>
    <w:rsid w:val="69584637"/>
    <w:rsid w:val="695928D6"/>
    <w:rsid w:val="69594684"/>
    <w:rsid w:val="695A0B28"/>
    <w:rsid w:val="695B21AB"/>
    <w:rsid w:val="695C3AB5"/>
    <w:rsid w:val="695D23C7"/>
    <w:rsid w:val="695D4175"/>
    <w:rsid w:val="695D559D"/>
    <w:rsid w:val="695D5F23"/>
    <w:rsid w:val="695E1C9B"/>
    <w:rsid w:val="69603C65"/>
    <w:rsid w:val="696077C1"/>
    <w:rsid w:val="69620955"/>
    <w:rsid w:val="6962178B"/>
    <w:rsid w:val="69623539"/>
    <w:rsid w:val="69625975"/>
    <w:rsid w:val="69635503"/>
    <w:rsid w:val="696372B1"/>
    <w:rsid w:val="69643755"/>
    <w:rsid w:val="6964494B"/>
    <w:rsid w:val="69666AA9"/>
    <w:rsid w:val="696848C8"/>
    <w:rsid w:val="696A0640"/>
    <w:rsid w:val="696B6C9C"/>
    <w:rsid w:val="696C085C"/>
    <w:rsid w:val="696C260A"/>
    <w:rsid w:val="696E1F04"/>
    <w:rsid w:val="696E6382"/>
    <w:rsid w:val="696F3EA8"/>
    <w:rsid w:val="696F582C"/>
    <w:rsid w:val="69713A6A"/>
    <w:rsid w:val="69715E72"/>
    <w:rsid w:val="69715F8B"/>
    <w:rsid w:val="697414BE"/>
    <w:rsid w:val="6974326C"/>
    <w:rsid w:val="69746EBF"/>
    <w:rsid w:val="69766FE4"/>
    <w:rsid w:val="69780C95"/>
    <w:rsid w:val="69780FAF"/>
    <w:rsid w:val="69790883"/>
    <w:rsid w:val="697A2F79"/>
    <w:rsid w:val="697B0A9F"/>
    <w:rsid w:val="697B45FB"/>
    <w:rsid w:val="697C309E"/>
    <w:rsid w:val="697D4817"/>
    <w:rsid w:val="697F233D"/>
    <w:rsid w:val="69823BDB"/>
    <w:rsid w:val="69827F32"/>
    <w:rsid w:val="69845BA5"/>
    <w:rsid w:val="69847953"/>
    <w:rsid w:val="6985191D"/>
    <w:rsid w:val="6985242A"/>
    <w:rsid w:val="69855891"/>
    <w:rsid w:val="698711F2"/>
    <w:rsid w:val="69882D82"/>
    <w:rsid w:val="69884B3C"/>
    <w:rsid w:val="6989313D"/>
    <w:rsid w:val="698931BC"/>
    <w:rsid w:val="698C4A5A"/>
    <w:rsid w:val="698D01CC"/>
    <w:rsid w:val="698E07D2"/>
    <w:rsid w:val="698E2580"/>
    <w:rsid w:val="698E432E"/>
    <w:rsid w:val="698F00A6"/>
    <w:rsid w:val="698F6943"/>
    <w:rsid w:val="699102C2"/>
    <w:rsid w:val="699317E4"/>
    <w:rsid w:val="69937B96"/>
    <w:rsid w:val="6994390F"/>
    <w:rsid w:val="699456BD"/>
    <w:rsid w:val="69955974"/>
    <w:rsid w:val="69961C09"/>
    <w:rsid w:val="69967687"/>
    <w:rsid w:val="69981651"/>
    <w:rsid w:val="69990F25"/>
    <w:rsid w:val="699B4C9D"/>
    <w:rsid w:val="699B77F3"/>
    <w:rsid w:val="699C5F67"/>
    <w:rsid w:val="699E02E9"/>
    <w:rsid w:val="699F58C1"/>
    <w:rsid w:val="69A00D58"/>
    <w:rsid w:val="69A022B3"/>
    <w:rsid w:val="69A17079"/>
    <w:rsid w:val="69A25812"/>
    <w:rsid w:val="69A26638"/>
    <w:rsid w:val="69A36FF0"/>
    <w:rsid w:val="69A43B52"/>
    <w:rsid w:val="69A55B1C"/>
    <w:rsid w:val="69A753F0"/>
    <w:rsid w:val="69A7605A"/>
    <w:rsid w:val="69A91168"/>
    <w:rsid w:val="69AA3132"/>
    <w:rsid w:val="69AA3EF3"/>
    <w:rsid w:val="69AA4EE0"/>
    <w:rsid w:val="69AB75AC"/>
    <w:rsid w:val="69AC0C58"/>
    <w:rsid w:val="69AE2C22"/>
    <w:rsid w:val="69AE49D0"/>
    <w:rsid w:val="69AF0748"/>
    <w:rsid w:val="69AF2603"/>
    <w:rsid w:val="69AF5F2D"/>
    <w:rsid w:val="69B0699A"/>
    <w:rsid w:val="69B12712"/>
    <w:rsid w:val="69B144C0"/>
    <w:rsid w:val="69B30239"/>
    <w:rsid w:val="69B44F51"/>
    <w:rsid w:val="69B47B0D"/>
    <w:rsid w:val="69B5065E"/>
    <w:rsid w:val="69B53FB1"/>
    <w:rsid w:val="69B813AB"/>
    <w:rsid w:val="69B82389"/>
    <w:rsid w:val="69B875FD"/>
    <w:rsid w:val="69B87C08"/>
    <w:rsid w:val="69B95771"/>
    <w:rsid w:val="69B95CFC"/>
    <w:rsid w:val="69BA3375"/>
    <w:rsid w:val="69BB0E9B"/>
    <w:rsid w:val="69BD10B7"/>
    <w:rsid w:val="69BD2E65"/>
    <w:rsid w:val="69BD4C13"/>
    <w:rsid w:val="69BE2739"/>
    <w:rsid w:val="69BF2F1C"/>
    <w:rsid w:val="69BF42E1"/>
    <w:rsid w:val="69BF6BDD"/>
    <w:rsid w:val="69C02956"/>
    <w:rsid w:val="69C05C20"/>
    <w:rsid w:val="69C05F4E"/>
    <w:rsid w:val="69C12452"/>
    <w:rsid w:val="69C266CE"/>
    <w:rsid w:val="69C35833"/>
    <w:rsid w:val="69C37EA1"/>
    <w:rsid w:val="69C52D24"/>
    <w:rsid w:val="69C53AC8"/>
    <w:rsid w:val="69C67F6C"/>
    <w:rsid w:val="69C73CE4"/>
    <w:rsid w:val="69C74791"/>
    <w:rsid w:val="69C75A92"/>
    <w:rsid w:val="69C916A5"/>
    <w:rsid w:val="69C9180A"/>
    <w:rsid w:val="69C935B8"/>
    <w:rsid w:val="69C97F64"/>
    <w:rsid w:val="69CA7330"/>
    <w:rsid w:val="69CC30A8"/>
    <w:rsid w:val="69CC4E56"/>
    <w:rsid w:val="69CC6EE7"/>
    <w:rsid w:val="69CD14B6"/>
    <w:rsid w:val="69CD7925"/>
    <w:rsid w:val="69CF255B"/>
    <w:rsid w:val="69CF4947"/>
    <w:rsid w:val="69D07E37"/>
    <w:rsid w:val="69D1246D"/>
    <w:rsid w:val="69D302D8"/>
    <w:rsid w:val="69D361E5"/>
    <w:rsid w:val="69D41F5D"/>
    <w:rsid w:val="69D501AF"/>
    <w:rsid w:val="69D510D8"/>
    <w:rsid w:val="69D52819"/>
    <w:rsid w:val="69D56401"/>
    <w:rsid w:val="69D64EA5"/>
    <w:rsid w:val="69D81A4D"/>
    <w:rsid w:val="69D865C9"/>
    <w:rsid w:val="69DA7573"/>
    <w:rsid w:val="69DC03F6"/>
    <w:rsid w:val="69E06B54"/>
    <w:rsid w:val="69E14DA6"/>
    <w:rsid w:val="69E2467A"/>
    <w:rsid w:val="69E3747F"/>
    <w:rsid w:val="69E462AD"/>
    <w:rsid w:val="69E623BC"/>
    <w:rsid w:val="69EA09DE"/>
    <w:rsid w:val="69EB1ABC"/>
    <w:rsid w:val="69EB79D2"/>
    <w:rsid w:val="69EB7DC0"/>
    <w:rsid w:val="69EC54F9"/>
    <w:rsid w:val="69ED2126"/>
    <w:rsid w:val="69EE78DD"/>
    <w:rsid w:val="69F10D61"/>
    <w:rsid w:val="69F223CE"/>
    <w:rsid w:val="69F543AD"/>
    <w:rsid w:val="69F54873"/>
    <w:rsid w:val="69F65A80"/>
    <w:rsid w:val="69F66377"/>
    <w:rsid w:val="69F94604"/>
    <w:rsid w:val="69F96466"/>
    <w:rsid w:val="69FC1BE0"/>
    <w:rsid w:val="69FD14B4"/>
    <w:rsid w:val="69FD6E54"/>
    <w:rsid w:val="69FD7706"/>
    <w:rsid w:val="69FE02E4"/>
    <w:rsid w:val="69FE36D2"/>
    <w:rsid w:val="6A000277"/>
    <w:rsid w:val="6A002D52"/>
    <w:rsid w:val="6A0200F5"/>
    <w:rsid w:val="6A022F6E"/>
    <w:rsid w:val="6A040A94"/>
    <w:rsid w:val="6A050368"/>
    <w:rsid w:val="6A050B73"/>
    <w:rsid w:val="6A060264"/>
    <w:rsid w:val="6A06093A"/>
    <w:rsid w:val="6A060AF0"/>
    <w:rsid w:val="6A06480C"/>
    <w:rsid w:val="6A0665BA"/>
    <w:rsid w:val="6A070584"/>
    <w:rsid w:val="6A072332"/>
    <w:rsid w:val="6A072AD7"/>
    <w:rsid w:val="6A0740E0"/>
    <w:rsid w:val="6A077F06"/>
    <w:rsid w:val="6A086DE1"/>
    <w:rsid w:val="6A093665"/>
    <w:rsid w:val="6A0961EA"/>
    <w:rsid w:val="6A096B38"/>
    <w:rsid w:val="6A0A4204"/>
    <w:rsid w:val="6A0B1E23"/>
    <w:rsid w:val="6A0C3D78"/>
    <w:rsid w:val="6A0C7949"/>
    <w:rsid w:val="6A0D5208"/>
    <w:rsid w:val="6A100FD1"/>
    <w:rsid w:val="6A1011E7"/>
    <w:rsid w:val="6A102F95"/>
    <w:rsid w:val="6A1052CA"/>
    <w:rsid w:val="6A10568B"/>
    <w:rsid w:val="6A107439"/>
    <w:rsid w:val="6A132A85"/>
    <w:rsid w:val="6A154A4F"/>
    <w:rsid w:val="6A1567FD"/>
    <w:rsid w:val="6A162576"/>
    <w:rsid w:val="6A164324"/>
    <w:rsid w:val="6A18009C"/>
    <w:rsid w:val="6A184540"/>
    <w:rsid w:val="6A194EEC"/>
    <w:rsid w:val="6A1B06CD"/>
    <w:rsid w:val="6A1F142A"/>
    <w:rsid w:val="6A206E96"/>
    <w:rsid w:val="6A2151A2"/>
    <w:rsid w:val="6A237787"/>
    <w:rsid w:val="6A242AC7"/>
    <w:rsid w:val="6A242EE4"/>
    <w:rsid w:val="6A244C92"/>
    <w:rsid w:val="6A246A40"/>
    <w:rsid w:val="6A2473CA"/>
    <w:rsid w:val="6A2627B9"/>
    <w:rsid w:val="6A263414"/>
    <w:rsid w:val="6A266C5C"/>
    <w:rsid w:val="6A274783"/>
    <w:rsid w:val="6A294057"/>
    <w:rsid w:val="6A2B7DCF"/>
    <w:rsid w:val="6A2C1D99"/>
    <w:rsid w:val="6A2C5CCF"/>
    <w:rsid w:val="6A2D7FEB"/>
    <w:rsid w:val="6A2E5C82"/>
    <w:rsid w:val="6A303637"/>
    <w:rsid w:val="6A325601"/>
    <w:rsid w:val="6A3273AF"/>
    <w:rsid w:val="6A334ED5"/>
    <w:rsid w:val="6A3446C5"/>
    <w:rsid w:val="6A352F84"/>
    <w:rsid w:val="6A3550F2"/>
    <w:rsid w:val="6A355B55"/>
    <w:rsid w:val="6A371FDC"/>
    <w:rsid w:val="6A37294F"/>
    <w:rsid w:val="6A372C18"/>
    <w:rsid w:val="6A3824EC"/>
    <w:rsid w:val="6A383046"/>
    <w:rsid w:val="6A3D40E5"/>
    <w:rsid w:val="6A3D42E7"/>
    <w:rsid w:val="6A3D5D54"/>
    <w:rsid w:val="6A3F35D5"/>
    <w:rsid w:val="6A400097"/>
    <w:rsid w:val="6A413938"/>
    <w:rsid w:val="6A42336B"/>
    <w:rsid w:val="6A436A18"/>
    <w:rsid w:val="6A4470E3"/>
    <w:rsid w:val="6A4610AD"/>
    <w:rsid w:val="6A464572"/>
    <w:rsid w:val="6A484E25"/>
    <w:rsid w:val="6A49294B"/>
    <w:rsid w:val="6A493FCB"/>
    <w:rsid w:val="6A4964A7"/>
    <w:rsid w:val="6A4A545B"/>
    <w:rsid w:val="6A4B1265"/>
    <w:rsid w:val="6A4B221F"/>
    <w:rsid w:val="6A4C018E"/>
    <w:rsid w:val="6A4C5F97"/>
    <w:rsid w:val="6A4D1396"/>
    <w:rsid w:val="6A4D3DDC"/>
    <w:rsid w:val="6A4D41E9"/>
    <w:rsid w:val="6A4E1D0F"/>
    <w:rsid w:val="6A4E3B2B"/>
    <w:rsid w:val="6A4E61B3"/>
    <w:rsid w:val="6A4F6E29"/>
    <w:rsid w:val="6A5103A2"/>
    <w:rsid w:val="6A51101C"/>
    <w:rsid w:val="6A5135AE"/>
    <w:rsid w:val="6A53191B"/>
    <w:rsid w:val="6A53650D"/>
    <w:rsid w:val="6A537326"/>
    <w:rsid w:val="6A5512F0"/>
    <w:rsid w:val="6A554E4C"/>
    <w:rsid w:val="6A570BC4"/>
    <w:rsid w:val="6A57631E"/>
    <w:rsid w:val="6A577A5F"/>
    <w:rsid w:val="6A58493C"/>
    <w:rsid w:val="6A585B4A"/>
    <w:rsid w:val="6A590DE0"/>
    <w:rsid w:val="6A5A4B58"/>
    <w:rsid w:val="6A5A6906"/>
    <w:rsid w:val="6A5B188A"/>
    <w:rsid w:val="6A5B4C9F"/>
    <w:rsid w:val="6A5C442C"/>
    <w:rsid w:val="6A5C61DA"/>
    <w:rsid w:val="6A5F0ECB"/>
    <w:rsid w:val="6A5F3F1C"/>
    <w:rsid w:val="6A5F5CCB"/>
    <w:rsid w:val="6A5F61F1"/>
    <w:rsid w:val="6A606F1F"/>
    <w:rsid w:val="6A610828"/>
    <w:rsid w:val="6A611A43"/>
    <w:rsid w:val="6A621FA1"/>
    <w:rsid w:val="6A623431"/>
    <w:rsid w:val="6A6257BB"/>
    <w:rsid w:val="6A641533"/>
    <w:rsid w:val="6A6432E1"/>
    <w:rsid w:val="6A650922"/>
    <w:rsid w:val="6A674B7F"/>
    <w:rsid w:val="6A6809E4"/>
    <w:rsid w:val="6A6B466F"/>
    <w:rsid w:val="6A6C10E4"/>
    <w:rsid w:val="6A6C5C24"/>
    <w:rsid w:val="6A6D488B"/>
    <w:rsid w:val="6A6D6639"/>
    <w:rsid w:val="6A6E23B2"/>
    <w:rsid w:val="6A701C86"/>
    <w:rsid w:val="6A7049F5"/>
    <w:rsid w:val="6A70612A"/>
    <w:rsid w:val="6A721EA2"/>
    <w:rsid w:val="6A7259FE"/>
    <w:rsid w:val="6A745C1A"/>
    <w:rsid w:val="6A7476A4"/>
    <w:rsid w:val="6A753740"/>
    <w:rsid w:val="6A7554EE"/>
    <w:rsid w:val="6A775908"/>
    <w:rsid w:val="6A7774B8"/>
    <w:rsid w:val="6A791969"/>
    <w:rsid w:val="6A793230"/>
    <w:rsid w:val="6A7A0D56"/>
    <w:rsid w:val="6A7A48B2"/>
    <w:rsid w:val="6A7A6FA8"/>
    <w:rsid w:val="6A7B20D2"/>
    <w:rsid w:val="6A7B243E"/>
    <w:rsid w:val="6A7C062B"/>
    <w:rsid w:val="6A7C4ACE"/>
    <w:rsid w:val="6A7C687C"/>
    <w:rsid w:val="6A7E0847"/>
    <w:rsid w:val="6A7E25F5"/>
    <w:rsid w:val="6A82088C"/>
    <w:rsid w:val="6A853CB9"/>
    <w:rsid w:val="6A86594D"/>
    <w:rsid w:val="6A8753FD"/>
    <w:rsid w:val="6A876766"/>
    <w:rsid w:val="6A876FCF"/>
    <w:rsid w:val="6A883473"/>
    <w:rsid w:val="6A885221"/>
    <w:rsid w:val="6A8A71EB"/>
    <w:rsid w:val="6A8B4D12"/>
    <w:rsid w:val="6A8C670E"/>
    <w:rsid w:val="6A8D126F"/>
    <w:rsid w:val="6A8D2838"/>
    <w:rsid w:val="6A8D6CDC"/>
    <w:rsid w:val="6A8E035E"/>
    <w:rsid w:val="6A8E3174"/>
    <w:rsid w:val="6A90057A"/>
    <w:rsid w:val="6A9040D6"/>
    <w:rsid w:val="6A9242F2"/>
    <w:rsid w:val="6A9260A0"/>
    <w:rsid w:val="6A950125"/>
    <w:rsid w:val="6A955B90"/>
    <w:rsid w:val="6A95793E"/>
    <w:rsid w:val="6A9737B1"/>
    <w:rsid w:val="6A975464"/>
    <w:rsid w:val="6A9811DC"/>
    <w:rsid w:val="6A995F75"/>
    <w:rsid w:val="6A99742E"/>
    <w:rsid w:val="6A9A31A7"/>
    <w:rsid w:val="6A9B31EC"/>
    <w:rsid w:val="6A9C2A7B"/>
    <w:rsid w:val="6A9D076F"/>
    <w:rsid w:val="6A9F256B"/>
    <w:rsid w:val="6AA10091"/>
    <w:rsid w:val="6AA10B75"/>
    <w:rsid w:val="6AA27434"/>
    <w:rsid w:val="6AA302AD"/>
    <w:rsid w:val="6AA433C5"/>
    <w:rsid w:val="6AA5642C"/>
    <w:rsid w:val="6AA67D9D"/>
    <w:rsid w:val="6AA7701A"/>
    <w:rsid w:val="6AA95198"/>
    <w:rsid w:val="6AAA163C"/>
    <w:rsid w:val="6AAA42E5"/>
    <w:rsid w:val="6AAB53B4"/>
    <w:rsid w:val="6AAB7162"/>
    <w:rsid w:val="6AAD425D"/>
    <w:rsid w:val="6AAD6A36"/>
    <w:rsid w:val="6AAE27AE"/>
    <w:rsid w:val="6AAE4DFC"/>
    <w:rsid w:val="6AAF0D2D"/>
    <w:rsid w:val="6AAF1D0A"/>
    <w:rsid w:val="6AB029CA"/>
    <w:rsid w:val="6AB02EC8"/>
    <w:rsid w:val="6AB04778"/>
    <w:rsid w:val="6AB06375"/>
    <w:rsid w:val="6AB06526"/>
    <w:rsid w:val="6AB16F29"/>
    <w:rsid w:val="6AB26742"/>
    <w:rsid w:val="6AB40E67"/>
    <w:rsid w:val="6AB44268"/>
    <w:rsid w:val="6AB46016"/>
    <w:rsid w:val="6AB53B3C"/>
    <w:rsid w:val="6AB57FE0"/>
    <w:rsid w:val="6AB675E8"/>
    <w:rsid w:val="6AB75B07"/>
    <w:rsid w:val="6AB853DB"/>
    <w:rsid w:val="6AB95096"/>
    <w:rsid w:val="6AB97AD1"/>
    <w:rsid w:val="6ABA1153"/>
    <w:rsid w:val="6ABC311D"/>
    <w:rsid w:val="6ABC577D"/>
    <w:rsid w:val="6ABD54CC"/>
    <w:rsid w:val="6ABE0C43"/>
    <w:rsid w:val="6ABF12C5"/>
    <w:rsid w:val="6ABF152D"/>
    <w:rsid w:val="6AC00E5F"/>
    <w:rsid w:val="6AC05CCF"/>
    <w:rsid w:val="6AC124E1"/>
    <w:rsid w:val="6AC326FD"/>
    <w:rsid w:val="6AC36259"/>
    <w:rsid w:val="6AC65D4A"/>
    <w:rsid w:val="6AC83D20"/>
    <w:rsid w:val="6AC84883"/>
    <w:rsid w:val="6AC87D14"/>
    <w:rsid w:val="6ACD0E86"/>
    <w:rsid w:val="6ACD3676"/>
    <w:rsid w:val="6ACD4FC1"/>
    <w:rsid w:val="6ACF10A2"/>
    <w:rsid w:val="6ACF2E50"/>
    <w:rsid w:val="6AD01BCE"/>
    <w:rsid w:val="6AD17D83"/>
    <w:rsid w:val="6AD205BF"/>
    <w:rsid w:val="6AD246EE"/>
    <w:rsid w:val="6AD24D48"/>
    <w:rsid w:val="6AD34A57"/>
    <w:rsid w:val="6AD379C8"/>
    <w:rsid w:val="6AD42215"/>
    <w:rsid w:val="6AD466B8"/>
    <w:rsid w:val="6AD54E94"/>
    <w:rsid w:val="6AD64BE3"/>
    <w:rsid w:val="6AD66095"/>
    <w:rsid w:val="6AD753CA"/>
    <w:rsid w:val="6AD95A7D"/>
    <w:rsid w:val="6AD9782B"/>
    <w:rsid w:val="6ADA17F5"/>
    <w:rsid w:val="6ADA35A3"/>
    <w:rsid w:val="6ADA39FE"/>
    <w:rsid w:val="6ADB5DB0"/>
    <w:rsid w:val="6ADB7A47"/>
    <w:rsid w:val="6ADD49AE"/>
    <w:rsid w:val="6ADE3093"/>
    <w:rsid w:val="6ADF0BB9"/>
    <w:rsid w:val="6AE00865"/>
    <w:rsid w:val="6AE10DD5"/>
    <w:rsid w:val="6AE12D9C"/>
    <w:rsid w:val="6AE508C6"/>
    <w:rsid w:val="6AE54422"/>
    <w:rsid w:val="6AE663EC"/>
    <w:rsid w:val="6AEA1A38"/>
    <w:rsid w:val="6AEA5EDC"/>
    <w:rsid w:val="6AEA7C8A"/>
    <w:rsid w:val="6AEB3A02"/>
    <w:rsid w:val="6AEB5D91"/>
    <w:rsid w:val="6AEC1C54"/>
    <w:rsid w:val="6AED777A"/>
    <w:rsid w:val="6AEE7819"/>
    <w:rsid w:val="6AEF52A0"/>
    <w:rsid w:val="6AF0035A"/>
    <w:rsid w:val="6AF01018"/>
    <w:rsid w:val="6AF13F41"/>
    <w:rsid w:val="6AF208ED"/>
    <w:rsid w:val="6AF23952"/>
    <w:rsid w:val="6AF418AC"/>
    <w:rsid w:val="6AF61F16"/>
    <w:rsid w:val="6AF64881"/>
    <w:rsid w:val="6AF6662F"/>
    <w:rsid w:val="6AF93C38"/>
    <w:rsid w:val="6AF97ECD"/>
    <w:rsid w:val="6AFA2377"/>
    <w:rsid w:val="6AFC003E"/>
    <w:rsid w:val="6AFD6E00"/>
    <w:rsid w:val="6AFD7E4E"/>
    <w:rsid w:val="6AFE3735"/>
    <w:rsid w:val="6AFE54E3"/>
    <w:rsid w:val="6AFE7291"/>
    <w:rsid w:val="6B003D5C"/>
    <w:rsid w:val="6B007E4F"/>
    <w:rsid w:val="6B016D82"/>
    <w:rsid w:val="6B02276F"/>
    <w:rsid w:val="6B032AFA"/>
    <w:rsid w:val="6B036F9E"/>
    <w:rsid w:val="6B056872"/>
    <w:rsid w:val="6B060397"/>
    <w:rsid w:val="6B064398"/>
    <w:rsid w:val="6B07083C"/>
    <w:rsid w:val="6B080C7C"/>
    <w:rsid w:val="6B086362"/>
    <w:rsid w:val="6B0A20DA"/>
    <w:rsid w:val="6B0B19AE"/>
    <w:rsid w:val="6B0B3A32"/>
    <w:rsid w:val="6B0B4F62"/>
    <w:rsid w:val="6B0C26E9"/>
    <w:rsid w:val="6B0C5E52"/>
    <w:rsid w:val="6B0D1BCA"/>
    <w:rsid w:val="6B0D3978"/>
    <w:rsid w:val="6B0F149F"/>
    <w:rsid w:val="6B0F76F1"/>
    <w:rsid w:val="6B106FC5"/>
    <w:rsid w:val="6B107944"/>
    <w:rsid w:val="6B110DD4"/>
    <w:rsid w:val="6B1116BB"/>
    <w:rsid w:val="6B113469"/>
    <w:rsid w:val="6B146AB5"/>
    <w:rsid w:val="6B1747F7"/>
    <w:rsid w:val="6B1765A5"/>
    <w:rsid w:val="6B182A49"/>
    <w:rsid w:val="6B1C1E0E"/>
    <w:rsid w:val="6B1D005F"/>
    <w:rsid w:val="6B1E16E2"/>
    <w:rsid w:val="6B1E7934"/>
    <w:rsid w:val="6B1F7F15"/>
    <w:rsid w:val="6B2018FE"/>
    <w:rsid w:val="6B20545A"/>
    <w:rsid w:val="6B205CF8"/>
    <w:rsid w:val="6B2111D2"/>
    <w:rsid w:val="6B217424"/>
    <w:rsid w:val="6B252A70"/>
    <w:rsid w:val="6B256F14"/>
    <w:rsid w:val="6B2632AB"/>
    <w:rsid w:val="6B263D02"/>
    <w:rsid w:val="6B2667E8"/>
    <w:rsid w:val="6B270BB7"/>
    <w:rsid w:val="6B27473B"/>
    <w:rsid w:val="6B2771BE"/>
    <w:rsid w:val="6B282ABF"/>
    <w:rsid w:val="6B286B57"/>
    <w:rsid w:val="6B293A19"/>
    <w:rsid w:val="6B297183"/>
    <w:rsid w:val="6B2A452A"/>
    <w:rsid w:val="6B2A62D8"/>
    <w:rsid w:val="6B2B3DFF"/>
    <w:rsid w:val="6B2B454C"/>
    <w:rsid w:val="6B2C0B41"/>
    <w:rsid w:val="6B2D401B"/>
    <w:rsid w:val="6B2D6E6C"/>
    <w:rsid w:val="6B2F7D93"/>
    <w:rsid w:val="6B316C7D"/>
    <w:rsid w:val="6B32184E"/>
    <w:rsid w:val="6B3233DF"/>
    <w:rsid w:val="6B3453A9"/>
    <w:rsid w:val="6B347157"/>
    <w:rsid w:val="6B361121"/>
    <w:rsid w:val="6B372AEF"/>
    <w:rsid w:val="6B376C47"/>
    <w:rsid w:val="6B3809FD"/>
    <w:rsid w:val="6B383A96"/>
    <w:rsid w:val="6B39651C"/>
    <w:rsid w:val="6B39757A"/>
    <w:rsid w:val="6B3B6738"/>
    <w:rsid w:val="6B3C600C"/>
    <w:rsid w:val="6B3D425E"/>
    <w:rsid w:val="6B3E7DF1"/>
    <w:rsid w:val="6B413E13"/>
    <w:rsid w:val="6B417EB3"/>
    <w:rsid w:val="6B421874"/>
    <w:rsid w:val="6B453112"/>
    <w:rsid w:val="6B460C38"/>
    <w:rsid w:val="6B4636FB"/>
    <w:rsid w:val="6B4819EC"/>
    <w:rsid w:val="6B482C03"/>
    <w:rsid w:val="6B496552"/>
    <w:rsid w:val="6B4A0F65"/>
    <w:rsid w:val="6B4B2076"/>
    <w:rsid w:val="6B4C44A1"/>
    <w:rsid w:val="6B4D1FC7"/>
    <w:rsid w:val="6B4D325B"/>
    <w:rsid w:val="6B4F3947"/>
    <w:rsid w:val="6B4F5D3F"/>
    <w:rsid w:val="6B50173D"/>
    <w:rsid w:val="6B513865"/>
    <w:rsid w:val="6B517D09"/>
    <w:rsid w:val="6B52582F"/>
    <w:rsid w:val="6B533758"/>
    <w:rsid w:val="6B540C83"/>
    <w:rsid w:val="6B553B50"/>
    <w:rsid w:val="6B5559B8"/>
    <w:rsid w:val="6B570544"/>
    <w:rsid w:val="6B572E46"/>
    <w:rsid w:val="6B577AAC"/>
    <w:rsid w:val="6B583569"/>
    <w:rsid w:val="6B59096C"/>
    <w:rsid w:val="6B5A2FD8"/>
    <w:rsid w:val="6B5B0B88"/>
    <w:rsid w:val="6B5B2936"/>
    <w:rsid w:val="6B5B4551"/>
    <w:rsid w:val="6B5C045C"/>
    <w:rsid w:val="6B5E2426"/>
    <w:rsid w:val="6B5E5F82"/>
    <w:rsid w:val="6B5F7676"/>
    <w:rsid w:val="6B601CFA"/>
    <w:rsid w:val="6B623CC4"/>
    <w:rsid w:val="6B633598"/>
    <w:rsid w:val="6B641B0C"/>
    <w:rsid w:val="6B6537B4"/>
    <w:rsid w:val="6B667CC0"/>
    <w:rsid w:val="6B6712DB"/>
    <w:rsid w:val="6B680BAF"/>
    <w:rsid w:val="6B686E01"/>
    <w:rsid w:val="6B69597E"/>
    <w:rsid w:val="6B6A0DCB"/>
    <w:rsid w:val="6B6A4927"/>
    <w:rsid w:val="6B6B0204"/>
    <w:rsid w:val="6B6C2429"/>
    <w:rsid w:val="6B6E08BB"/>
    <w:rsid w:val="6B6F018F"/>
    <w:rsid w:val="6B6F63E1"/>
    <w:rsid w:val="6B703894"/>
    <w:rsid w:val="6B7043C1"/>
    <w:rsid w:val="6B712B27"/>
    <w:rsid w:val="6B715CB5"/>
    <w:rsid w:val="6B721A2E"/>
    <w:rsid w:val="6B730E18"/>
    <w:rsid w:val="6B735ED1"/>
    <w:rsid w:val="6B7439F8"/>
    <w:rsid w:val="6B753F21"/>
    <w:rsid w:val="6B7632CC"/>
    <w:rsid w:val="6B7633D5"/>
    <w:rsid w:val="6B79100E"/>
    <w:rsid w:val="6B792DBC"/>
    <w:rsid w:val="6B797260"/>
    <w:rsid w:val="6B7A2F8F"/>
    <w:rsid w:val="6B7B2FD8"/>
    <w:rsid w:val="6B7B6B34"/>
    <w:rsid w:val="6B7D3277"/>
    <w:rsid w:val="6B7D4050"/>
    <w:rsid w:val="6B7E4876"/>
    <w:rsid w:val="6B7E6740"/>
    <w:rsid w:val="6B7F6714"/>
    <w:rsid w:val="6B8005EE"/>
    <w:rsid w:val="6B80414A"/>
    <w:rsid w:val="6B804CFA"/>
    <w:rsid w:val="6B8137BE"/>
    <w:rsid w:val="6B823440"/>
    <w:rsid w:val="6B826114"/>
    <w:rsid w:val="6B83149A"/>
    <w:rsid w:val="6B832849"/>
    <w:rsid w:val="6B833C3B"/>
    <w:rsid w:val="6B8359E9"/>
    <w:rsid w:val="6B851761"/>
    <w:rsid w:val="6B864EA6"/>
    <w:rsid w:val="6B87197D"/>
    <w:rsid w:val="6B8754D9"/>
    <w:rsid w:val="6B8974A3"/>
    <w:rsid w:val="6B8A4FC9"/>
    <w:rsid w:val="6B8A6D77"/>
    <w:rsid w:val="6B8C0D41"/>
    <w:rsid w:val="6B8C2AEF"/>
    <w:rsid w:val="6B8C6F93"/>
    <w:rsid w:val="6B8D21A8"/>
    <w:rsid w:val="6B8F25DF"/>
    <w:rsid w:val="6B8F740B"/>
    <w:rsid w:val="6B923E7E"/>
    <w:rsid w:val="6B945E48"/>
    <w:rsid w:val="6B94633D"/>
    <w:rsid w:val="6B95409A"/>
    <w:rsid w:val="6B961BC0"/>
    <w:rsid w:val="6B96396E"/>
    <w:rsid w:val="6B96571C"/>
    <w:rsid w:val="6B981494"/>
    <w:rsid w:val="6B99345E"/>
    <w:rsid w:val="6B99520C"/>
    <w:rsid w:val="6B9A16B0"/>
    <w:rsid w:val="6B9A725A"/>
    <w:rsid w:val="6B9D1D9E"/>
    <w:rsid w:val="6B9D4848"/>
    <w:rsid w:val="6B9D6AAA"/>
    <w:rsid w:val="6B9E0A74"/>
    <w:rsid w:val="6B9E2823"/>
    <w:rsid w:val="6BA02A3F"/>
    <w:rsid w:val="6BA0659B"/>
    <w:rsid w:val="6BA3608B"/>
    <w:rsid w:val="6BA41B70"/>
    <w:rsid w:val="6BA41FF0"/>
    <w:rsid w:val="6BA46F9F"/>
    <w:rsid w:val="6BA53000"/>
    <w:rsid w:val="6BA53BB1"/>
    <w:rsid w:val="6BA550C8"/>
    <w:rsid w:val="6BA77929"/>
    <w:rsid w:val="6BA84AE2"/>
    <w:rsid w:val="6BA8544F"/>
    <w:rsid w:val="6BA918F3"/>
    <w:rsid w:val="6BAA566B"/>
    <w:rsid w:val="6BAA7419"/>
    <w:rsid w:val="6BAC405A"/>
    <w:rsid w:val="6BAE0CB8"/>
    <w:rsid w:val="6BAE1909"/>
    <w:rsid w:val="6BAF4A30"/>
    <w:rsid w:val="6BB04D06"/>
    <w:rsid w:val="6BB107A8"/>
    <w:rsid w:val="6BB32772"/>
    <w:rsid w:val="6BB34520"/>
    <w:rsid w:val="6BB34F40"/>
    <w:rsid w:val="6BB40298"/>
    <w:rsid w:val="6BB42046"/>
    <w:rsid w:val="6BB67B6C"/>
    <w:rsid w:val="6BB75808"/>
    <w:rsid w:val="6BBA3B00"/>
    <w:rsid w:val="6BBA58AE"/>
    <w:rsid w:val="6BBB1626"/>
    <w:rsid w:val="6BBB33D4"/>
    <w:rsid w:val="6BBC4972"/>
    <w:rsid w:val="6BBD0EFB"/>
    <w:rsid w:val="6BBE4C73"/>
    <w:rsid w:val="6BC06C3D"/>
    <w:rsid w:val="6BC15B7A"/>
    <w:rsid w:val="6BC47A19"/>
    <w:rsid w:val="6BC716E0"/>
    <w:rsid w:val="6BC77FCB"/>
    <w:rsid w:val="6BC8789F"/>
    <w:rsid w:val="6BC90788"/>
    <w:rsid w:val="6BC90C5A"/>
    <w:rsid w:val="6BC93D43"/>
    <w:rsid w:val="6BC95AF1"/>
    <w:rsid w:val="6BCA186A"/>
    <w:rsid w:val="6BCA7BB7"/>
    <w:rsid w:val="6BCB4DEF"/>
    <w:rsid w:val="6BCB7ABB"/>
    <w:rsid w:val="6BCE10F3"/>
    <w:rsid w:val="6BCE3108"/>
    <w:rsid w:val="6BCE4EB6"/>
    <w:rsid w:val="6BCF6E80"/>
    <w:rsid w:val="6BD12BF8"/>
    <w:rsid w:val="6BD3071E"/>
    <w:rsid w:val="6BD34BC2"/>
    <w:rsid w:val="6BD36970"/>
    <w:rsid w:val="6BD44496"/>
    <w:rsid w:val="6BD4750E"/>
    <w:rsid w:val="6BD6020E"/>
    <w:rsid w:val="6BD66460"/>
    <w:rsid w:val="6BD85D34"/>
    <w:rsid w:val="6BD91EF0"/>
    <w:rsid w:val="6BD9385B"/>
    <w:rsid w:val="6BDA09CA"/>
    <w:rsid w:val="6BDA1C3F"/>
    <w:rsid w:val="6BDA5F51"/>
    <w:rsid w:val="6BDB3A77"/>
    <w:rsid w:val="6BDD159D"/>
    <w:rsid w:val="6BDD334B"/>
    <w:rsid w:val="6BDD77EF"/>
    <w:rsid w:val="6BE26BB3"/>
    <w:rsid w:val="6BE403F1"/>
    <w:rsid w:val="6BE4292B"/>
    <w:rsid w:val="6BE566A3"/>
    <w:rsid w:val="6BE84077"/>
    <w:rsid w:val="6BE91CF0"/>
    <w:rsid w:val="6BEC17E0"/>
    <w:rsid w:val="6BEC358E"/>
    <w:rsid w:val="6BEC5C84"/>
    <w:rsid w:val="6BEC643C"/>
    <w:rsid w:val="6BEC6B68"/>
    <w:rsid w:val="6BEE7306"/>
    <w:rsid w:val="6BEF307E"/>
    <w:rsid w:val="6BEF39AA"/>
    <w:rsid w:val="6BF16DF6"/>
    <w:rsid w:val="6BF32A97"/>
    <w:rsid w:val="6BF40694"/>
    <w:rsid w:val="6BF608B1"/>
    <w:rsid w:val="6BF65984"/>
    <w:rsid w:val="6BF84629"/>
    <w:rsid w:val="6BF863D7"/>
    <w:rsid w:val="6BF90704"/>
    <w:rsid w:val="6BF95CAB"/>
    <w:rsid w:val="6BFA214F"/>
    <w:rsid w:val="6BFA3EFD"/>
    <w:rsid w:val="6BFD1C3F"/>
    <w:rsid w:val="6BFD39ED"/>
    <w:rsid w:val="6BFD579B"/>
    <w:rsid w:val="6BFF1513"/>
    <w:rsid w:val="6BFF59B7"/>
    <w:rsid w:val="6BFF647F"/>
    <w:rsid w:val="6BFF7765"/>
    <w:rsid w:val="6C022DB1"/>
    <w:rsid w:val="6C027255"/>
    <w:rsid w:val="6C032245"/>
    <w:rsid w:val="6C033A1C"/>
    <w:rsid w:val="6C04085C"/>
    <w:rsid w:val="6C0703C8"/>
    <w:rsid w:val="6C070C5C"/>
    <w:rsid w:val="6C07239D"/>
    <w:rsid w:val="6C0E1756"/>
    <w:rsid w:val="6C103720"/>
    <w:rsid w:val="6C13106C"/>
    <w:rsid w:val="6C150D37"/>
    <w:rsid w:val="6C156F89"/>
    <w:rsid w:val="6C163070"/>
    <w:rsid w:val="6C164AAF"/>
    <w:rsid w:val="6C184383"/>
    <w:rsid w:val="6C186A79"/>
    <w:rsid w:val="6C1A00FB"/>
    <w:rsid w:val="6C1A0813"/>
    <w:rsid w:val="6C1A634D"/>
    <w:rsid w:val="6C1B3E73"/>
    <w:rsid w:val="6C1C0317"/>
    <w:rsid w:val="6C1C3133"/>
    <w:rsid w:val="6C1D408F"/>
    <w:rsid w:val="6C1D45C3"/>
    <w:rsid w:val="6C1F1BB5"/>
    <w:rsid w:val="6C1F48EA"/>
    <w:rsid w:val="6C1F5711"/>
    <w:rsid w:val="6C20148A"/>
    <w:rsid w:val="6C20690A"/>
    <w:rsid w:val="6C2216A6"/>
    <w:rsid w:val="6C224890"/>
    <w:rsid w:val="6C225202"/>
    <w:rsid w:val="6C2418C5"/>
    <w:rsid w:val="6C243BE8"/>
    <w:rsid w:val="6C24541E"/>
    <w:rsid w:val="6C252D55"/>
    <w:rsid w:val="6C2614F4"/>
    <w:rsid w:val="6C264CF2"/>
    <w:rsid w:val="6C276CBC"/>
    <w:rsid w:val="6C292A34"/>
    <w:rsid w:val="6C293447"/>
    <w:rsid w:val="6C2947E2"/>
    <w:rsid w:val="6C296590"/>
    <w:rsid w:val="6C2A00AE"/>
    <w:rsid w:val="6C2B2308"/>
    <w:rsid w:val="6C2B67AC"/>
    <w:rsid w:val="6C2C7E2E"/>
    <w:rsid w:val="6C2D6C9C"/>
    <w:rsid w:val="6C2E004A"/>
    <w:rsid w:val="6C2E3BA6"/>
    <w:rsid w:val="6C303DC2"/>
    <w:rsid w:val="6C313697"/>
    <w:rsid w:val="6C3311BD"/>
    <w:rsid w:val="6C33740F"/>
    <w:rsid w:val="6C344B2D"/>
    <w:rsid w:val="6C353187"/>
    <w:rsid w:val="6C3542E6"/>
    <w:rsid w:val="6C354F35"/>
    <w:rsid w:val="6C360CAD"/>
    <w:rsid w:val="6C376EFF"/>
    <w:rsid w:val="6C382C77"/>
    <w:rsid w:val="6C386F35"/>
    <w:rsid w:val="6C3A254B"/>
    <w:rsid w:val="6C3A69EF"/>
    <w:rsid w:val="6C3B1C09"/>
    <w:rsid w:val="6C3B7A8D"/>
    <w:rsid w:val="6C3B7B4C"/>
    <w:rsid w:val="6C3C2767"/>
    <w:rsid w:val="6C3C4515"/>
    <w:rsid w:val="6C3D028D"/>
    <w:rsid w:val="6C3D203B"/>
    <w:rsid w:val="6C3D64DF"/>
    <w:rsid w:val="6C3E2B17"/>
    <w:rsid w:val="6C3F1173"/>
    <w:rsid w:val="6C3F4006"/>
    <w:rsid w:val="6C411B2C"/>
    <w:rsid w:val="6C417D7E"/>
    <w:rsid w:val="6C423AF6"/>
    <w:rsid w:val="6C427D60"/>
    <w:rsid w:val="6C4433CA"/>
    <w:rsid w:val="6C44786E"/>
    <w:rsid w:val="6C47110C"/>
    <w:rsid w:val="6C474C68"/>
    <w:rsid w:val="6C475DE9"/>
    <w:rsid w:val="6C4909E0"/>
    <w:rsid w:val="6C494E84"/>
    <w:rsid w:val="6C496C32"/>
    <w:rsid w:val="6C4B29AA"/>
    <w:rsid w:val="6C4C04D0"/>
    <w:rsid w:val="6C4C7676"/>
    <w:rsid w:val="6C4D36A2"/>
    <w:rsid w:val="6C4D6722"/>
    <w:rsid w:val="6C4E2F0F"/>
    <w:rsid w:val="6C4E4249"/>
    <w:rsid w:val="6C507FC1"/>
    <w:rsid w:val="6C513366"/>
    <w:rsid w:val="6C515AE7"/>
    <w:rsid w:val="6C523D39"/>
    <w:rsid w:val="6C53185F"/>
    <w:rsid w:val="6C537AB1"/>
    <w:rsid w:val="6C553829"/>
    <w:rsid w:val="6C5555D7"/>
    <w:rsid w:val="6C557385"/>
    <w:rsid w:val="6C580C23"/>
    <w:rsid w:val="6C58430D"/>
    <w:rsid w:val="6C5A2BED"/>
    <w:rsid w:val="6C5A499B"/>
    <w:rsid w:val="6C5B6D25"/>
    <w:rsid w:val="6C5C0660"/>
    <w:rsid w:val="6C5C0714"/>
    <w:rsid w:val="6C5C62E3"/>
    <w:rsid w:val="6C5C6966"/>
    <w:rsid w:val="6C5D26DE"/>
    <w:rsid w:val="6C5D448C"/>
    <w:rsid w:val="6C5D4F41"/>
    <w:rsid w:val="6C5F0204"/>
    <w:rsid w:val="6C613F7C"/>
    <w:rsid w:val="6C621AA2"/>
    <w:rsid w:val="6C643A6C"/>
    <w:rsid w:val="6C6475C8"/>
    <w:rsid w:val="6C663340"/>
    <w:rsid w:val="6C664248"/>
    <w:rsid w:val="6C6677E4"/>
    <w:rsid w:val="6C672563"/>
    <w:rsid w:val="6C67530A"/>
    <w:rsid w:val="6C6770B8"/>
    <w:rsid w:val="6C691F43"/>
    <w:rsid w:val="6C6972D4"/>
    <w:rsid w:val="6C6A0CCE"/>
    <w:rsid w:val="6C6B0957"/>
    <w:rsid w:val="6C6B6BA9"/>
    <w:rsid w:val="6C6B7D14"/>
    <w:rsid w:val="6C6C46CF"/>
    <w:rsid w:val="6C6D2921"/>
    <w:rsid w:val="6C6D7E09"/>
    <w:rsid w:val="6C6E2149"/>
    <w:rsid w:val="6C6F6A3B"/>
    <w:rsid w:val="6C700663"/>
    <w:rsid w:val="6C7052FA"/>
    <w:rsid w:val="6C726189"/>
    <w:rsid w:val="6C727F37"/>
    <w:rsid w:val="6C730B9C"/>
    <w:rsid w:val="6C731F01"/>
    <w:rsid w:val="6C7353BC"/>
    <w:rsid w:val="6C78665D"/>
    <w:rsid w:val="6C7A503E"/>
    <w:rsid w:val="6C7C0DB6"/>
    <w:rsid w:val="6C7C7008"/>
    <w:rsid w:val="6C7D68DC"/>
    <w:rsid w:val="6C7E26B5"/>
    <w:rsid w:val="6C7F08A6"/>
    <w:rsid w:val="6C7F4402"/>
    <w:rsid w:val="6C7F759F"/>
    <w:rsid w:val="6C800BAF"/>
    <w:rsid w:val="6C823EF2"/>
    <w:rsid w:val="6C8574C7"/>
    <w:rsid w:val="6C861C34"/>
    <w:rsid w:val="6C8639E2"/>
    <w:rsid w:val="6C865790"/>
    <w:rsid w:val="6C871509"/>
    <w:rsid w:val="6C8728F0"/>
    <w:rsid w:val="6C884442"/>
    <w:rsid w:val="6C8859AD"/>
    <w:rsid w:val="6C88775B"/>
    <w:rsid w:val="6C89009E"/>
    <w:rsid w:val="6C8934D3"/>
    <w:rsid w:val="6C8B2DA7"/>
    <w:rsid w:val="6C8D2FC3"/>
    <w:rsid w:val="6C8D46C6"/>
    <w:rsid w:val="6C8E0AE9"/>
    <w:rsid w:val="6C8F3454"/>
    <w:rsid w:val="6C904861"/>
    <w:rsid w:val="6C9205D9"/>
    <w:rsid w:val="6C942417"/>
    <w:rsid w:val="6C9500C9"/>
    <w:rsid w:val="6C951E6A"/>
    <w:rsid w:val="6C971CD3"/>
    <w:rsid w:val="6C97799E"/>
    <w:rsid w:val="6C997714"/>
    <w:rsid w:val="6C9A56E0"/>
    <w:rsid w:val="6C9C1458"/>
    <w:rsid w:val="6C9C2E87"/>
    <w:rsid w:val="6C9C4317"/>
    <w:rsid w:val="6C9C6D62"/>
    <w:rsid w:val="6C9E6F7E"/>
    <w:rsid w:val="6CA420BB"/>
    <w:rsid w:val="6CA43E69"/>
    <w:rsid w:val="6CA47F8D"/>
    <w:rsid w:val="6CA65E33"/>
    <w:rsid w:val="6CA77F9A"/>
    <w:rsid w:val="6CA81BAB"/>
    <w:rsid w:val="6CA976D1"/>
    <w:rsid w:val="6CAB51F7"/>
    <w:rsid w:val="6CAC3966"/>
    <w:rsid w:val="6CAD0F6F"/>
    <w:rsid w:val="6CAD5413"/>
    <w:rsid w:val="6CAD63D6"/>
    <w:rsid w:val="6CB0280D"/>
    <w:rsid w:val="6CB34986"/>
    <w:rsid w:val="6CB56076"/>
    <w:rsid w:val="6CB70040"/>
    <w:rsid w:val="6CB70FA0"/>
    <w:rsid w:val="6CB85085"/>
    <w:rsid w:val="6CBA368C"/>
    <w:rsid w:val="6CBB6FD8"/>
    <w:rsid w:val="6CBB719C"/>
    <w:rsid w:val="6CBE13CE"/>
    <w:rsid w:val="6CBF1C8E"/>
    <w:rsid w:val="6CBF4AE8"/>
    <w:rsid w:val="6CBF5146"/>
    <w:rsid w:val="6CC07F10"/>
    <w:rsid w:val="6CC13712"/>
    <w:rsid w:val="6CC27773"/>
    <w:rsid w:val="6CC30793"/>
    <w:rsid w:val="6CC30C03"/>
    <w:rsid w:val="6CC369E5"/>
    <w:rsid w:val="6CC42CD0"/>
    <w:rsid w:val="6CC45CF8"/>
    <w:rsid w:val="6CC60283"/>
    <w:rsid w:val="6CC8224D"/>
    <w:rsid w:val="6CC835E5"/>
    <w:rsid w:val="6CC83FFB"/>
    <w:rsid w:val="6CCA7D73"/>
    <w:rsid w:val="6CCC0825"/>
    <w:rsid w:val="6CCD33BF"/>
    <w:rsid w:val="6CD01102"/>
    <w:rsid w:val="6CD02EB0"/>
    <w:rsid w:val="6CD04D0A"/>
    <w:rsid w:val="6CD14697"/>
    <w:rsid w:val="6CD3474E"/>
    <w:rsid w:val="6CD40BF2"/>
    <w:rsid w:val="6CD504C6"/>
    <w:rsid w:val="6CD52274"/>
    <w:rsid w:val="6CD553BB"/>
    <w:rsid w:val="6CD72490"/>
    <w:rsid w:val="6CD81D64"/>
    <w:rsid w:val="6CD91E0A"/>
    <w:rsid w:val="6CD9456A"/>
    <w:rsid w:val="6CD96208"/>
    <w:rsid w:val="6CD964A2"/>
    <w:rsid w:val="6CDB1F80"/>
    <w:rsid w:val="6CDB6E8A"/>
    <w:rsid w:val="6CDC3602"/>
    <w:rsid w:val="6CDE381E"/>
    <w:rsid w:val="6CDE55CC"/>
    <w:rsid w:val="6CDF03DC"/>
    <w:rsid w:val="6CDF1345"/>
    <w:rsid w:val="6CDF6C9B"/>
    <w:rsid w:val="6CE07597"/>
    <w:rsid w:val="6CE10C19"/>
    <w:rsid w:val="6CE1330F"/>
    <w:rsid w:val="6CE13B57"/>
    <w:rsid w:val="6CE32BE3"/>
    <w:rsid w:val="6CE34991"/>
    <w:rsid w:val="6CE4167D"/>
    <w:rsid w:val="6CE54BAD"/>
    <w:rsid w:val="6CE60925"/>
    <w:rsid w:val="6CE626D3"/>
    <w:rsid w:val="6CE81FA7"/>
    <w:rsid w:val="6CEA21C3"/>
    <w:rsid w:val="6CEB74F1"/>
    <w:rsid w:val="6CEB7CE9"/>
    <w:rsid w:val="6CEE3336"/>
    <w:rsid w:val="6CEF565E"/>
    <w:rsid w:val="6CEF5734"/>
    <w:rsid w:val="6CEF77DA"/>
    <w:rsid w:val="6CF05300"/>
    <w:rsid w:val="6CF13C81"/>
    <w:rsid w:val="6CF21078"/>
    <w:rsid w:val="6CF272CA"/>
    <w:rsid w:val="6CF47A31"/>
    <w:rsid w:val="6CF50B68"/>
    <w:rsid w:val="6CF546C4"/>
    <w:rsid w:val="6CF748E0"/>
    <w:rsid w:val="6CF77AF3"/>
    <w:rsid w:val="6CFA4FE4"/>
    <w:rsid w:val="6CFA617E"/>
    <w:rsid w:val="6CFA7F2C"/>
    <w:rsid w:val="6CFB0BB6"/>
    <w:rsid w:val="6CFB7904"/>
    <w:rsid w:val="6CFC1EF7"/>
    <w:rsid w:val="6CFC3CA5"/>
    <w:rsid w:val="6CFC5A53"/>
    <w:rsid w:val="6CFD705D"/>
    <w:rsid w:val="6CFE17CB"/>
    <w:rsid w:val="6CFE7A1D"/>
    <w:rsid w:val="6D0022E6"/>
    <w:rsid w:val="6D003795"/>
    <w:rsid w:val="6D010507"/>
    <w:rsid w:val="6D013069"/>
    <w:rsid w:val="6D013F24"/>
    <w:rsid w:val="6D01750D"/>
    <w:rsid w:val="6D036096"/>
    <w:rsid w:val="6D036DE1"/>
    <w:rsid w:val="6D045B2A"/>
    <w:rsid w:val="6D050DAB"/>
    <w:rsid w:val="6D0520F7"/>
    <w:rsid w:val="6D056FFD"/>
    <w:rsid w:val="6D062D75"/>
    <w:rsid w:val="6D064B23"/>
    <w:rsid w:val="6D08089B"/>
    <w:rsid w:val="6D0843F7"/>
    <w:rsid w:val="6D08585E"/>
    <w:rsid w:val="6D090170"/>
    <w:rsid w:val="6D093C1F"/>
    <w:rsid w:val="6D0A35C1"/>
    <w:rsid w:val="6D0A63C2"/>
    <w:rsid w:val="6D0B038C"/>
    <w:rsid w:val="6D0B213A"/>
    <w:rsid w:val="6D0B3EBA"/>
    <w:rsid w:val="6D0B3EE8"/>
    <w:rsid w:val="6D0B5820"/>
    <w:rsid w:val="6D0D4104"/>
    <w:rsid w:val="6D0F32E0"/>
    <w:rsid w:val="6D105AC9"/>
    <w:rsid w:val="6D11069A"/>
    <w:rsid w:val="6D135B8B"/>
    <w:rsid w:val="6D142D9C"/>
    <w:rsid w:val="6D15037E"/>
    <w:rsid w:val="6D1515A8"/>
    <w:rsid w:val="6D154D66"/>
    <w:rsid w:val="6D162FB8"/>
    <w:rsid w:val="6D184DC4"/>
    <w:rsid w:val="6D1852E5"/>
    <w:rsid w:val="6D194857"/>
    <w:rsid w:val="6D196605"/>
    <w:rsid w:val="6D1A412B"/>
    <w:rsid w:val="6D1C1056"/>
    <w:rsid w:val="6D1C1338"/>
    <w:rsid w:val="6D1C4347"/>
    <w:rsid w:val="6D1E1E6D"/>
    <w:rsid w:val="6D1E2CB7"/>
    <w:rsid w:val="6D1F7993"/>
    <w:rsid w:val="6D21195D"/>
    <w:rsid w:val="6D213DF1"/>
    <w:rsid w:val="6D2154B9"/>
    <w:rsid w:val="6D241B12"/>
    <w:rsid w:val="6D24486A"/>
    <w:rsid w:val="6D2531FB"/>
    <w:rsid w:val="6D254FA9"/>
    <w:rsid w:val="6D266F73"/>
    <w:rsid w:val="6D286B5F"/>
    <w:rsid w:val="6D2A0812"/>
    <w:rsid w:val="6D2A25C0"/>
    <w:rsid w:val="6D2A61A5"/>
    <w:rsid w:val="6D2A6A64"/>
    <w:rsid w:val="6D2B458A"/>
    <w:rsid w:val="6D2B6797"/>
    <w:rsid w:val="6D2B7858"/>
    <w:rsid w:val="6D2D0302"/>
    <w:rsid w:val="6D2D20B0"/>
    <w:rsid w:val="6D2D3E5E"/>
    <w:rsid w:val="6D2F407A"/>
    <w:rsid w:val="6D30394E"/>
    <w:rsid w:val="6D307C84"/>
    <w:rsid w:val="6D3164DB"/>
    <w:rsid w:val="6D317DF2"/>
    <w:rsid w:val="6D321474"/>
    <w:rsid w:val="6D323B6A"/>
    <w:rsid w:val="6D341690"/>
    <w:rsid w:val="6D34343E"/>
    <w:rsid w:val="6D3451EC"/>
    <w:rsid w:val="6D351A13"/>
    <w:rsid w:val="6D355F92"/>
    <w:rsid w:val="6D360F25"/>
    <w:rsid w:val="6D360FD1"/>
    <w:rsid w:val="6D36185D"/>
    <w:rsid w:val="6D3671B7"/>
    <w:rsid w:val="6D370224"/>
    <w:rsid w:val="6D392803"/>
    <w:rsid w:val="6D396E13"/>
    <w:rsid w:val="6D3C0545"/>
    <w:rsid w:val="6D3C22F3"/>
    <w:rsid w:val="6D3C6797"/>
    <w:rsid w:val="6D3E606B"/>
    <w:rsid w:val="6D401DE3"/>
    <w:rsid w:val="6D404BA8"/>
    <w:rsid w:val="6D410C09"/>
    <w:rsid w:val="6D44455B"/>
    <w:rsid w:val="6D4672D9"/>
    <w:rsid w:val="6D480C98"/>
    <w:rsid w:val="6D486EEA"/>
    <w:rsid w:val="6D495C5A"/>
    <w:rsid w:val="6D4A0EB4"/>
    <w:rsid w:val="6D4A2C62"/>
    <w:rsid w:val="6D4A4A10"/>
    <w:rsid w:val="6D4B1CBB"/>
    <w:rsid w:val="6D4C4C2C"/>
    <w:rsid w:val="6D4C5D1C"/>
    <w:rsid w:val="6D4F0278"/>
    <w:rsid w:val="6D4F64CA"/>
    <w:rsid w:val="6D512242"/>
    <w:rsid w:val="6D5238C5"/>
    <w:rsid w:val="6D527D69"/>
    <w:rsid w:val="6D543AE1"/>
    <w:rsid w:val="6D54588F"/>
    <w:rsid w:val="6D5533B5"/>
    <w:rsid w:val="6D55514C"/>
    <w:rsid w:val="6D567859"/>
    <w:rsid w:val="6D592BBD"/>
    <w:rsid w:val="6D592EA5"/>
    <w:rsid w:val="6D5A0320"/>
    <w:rsid w:val="6D5B09CB"/>
    <w:rsid w:val="6D5C4743"/>
    <w:rsid w:val="6D5E04BB"/>
    <w:rsid w:val="6D5E4882"/>
    <w:rsid w:val="6D5F4E79"/>
    <w:rsid w:val="6D604192"/>
    <w:rsid w:val="6D605FE2"/>
    <w:rsid w:val="6D6111AA"/>
    <w:rsid w:val="6D611D5A"/>
    <w:rsid w:val="6D613F3E"/>
    <w:rsid w:val="6D635AD2"/>
    <w:rsid w:val="6D6655C2"/>
    <w:rsid w:val="6D667370"/>
    <w:rsid w:val="6D673814"/>
    <w:rsid w:val="6D677D53"/>
    <w:rsid w:val="6D6811E3"/>
    <w:rsid w:val="6D6A002E"/>
    <w:rsid w:val="6D6A6E60"/>
    <w:rsid w:val="6D6B0A08"/>
    <w:rsid w:val="6D6B12A5"/>
    <w:rsid w:val="6D6C0E2A"/>
    <w:rsid w:val="6D6C2BD8"/>
    <w:rsid w:val="6D6D06FE"/>
    <w:rsid w:val="6D6D6796"/>
    <w:rsid w:val="6D6E7C26"/>
    <w:rsid w:val="6D6F091A"/>
    <w:rsid w:val="6D6F5606"/>
    <w:rsid w:val="6D7221B9"/>
    <w:rsid w:val="6D725D15"/>
    <w:rsid w:val="6D730CC5"/>
    <w:rsid w:val="6D733D7B"/>
    <w:rsid w:val="6D741A8D"/>
    <w:rsid w:val="6D742357"/>
    <w:rsid w:val="6D745F31"/>
    <w:rsid w:val="6D7537E7"/>
    <w:rsid w:val="6D763A57"/>
    <w:rsid w:val="6D77157D"/>
    <w:rsid w:val="6D7935F8"/>
    <w:rsid w:val="6D7B72BF"/>
    <w:rsid w:val="6D7D7F63"/>
    <w:rsid w:val="6D7E290C"/>
    <w:rsid w:val="6D7F0FEA"/>
    <w:rsid w:val="6D7F2695"/>
    <w:rsid w:val="6D800432"/>
    <w:rsid w:val="6D8048D6"/>
    <w:rsid w:val="6D806684"/>
    <w:rsid w:val="6D8141AA"/>
    <w:rsid w:val="6D8223FC"/>
    <w:rsid w:val="6D8307B0"/>
    <w:rsid w:val="6D836337"/>
    <w:rsid w:val="6D837F22"/>
    <w:rsid w:val="6D851EEC"/>
    <w:rsid w:val="6D8532DC"/>
    <w:rsid w:val="6D853C9A"/>
    <w:rsid w:val="6D863F6C"/>
    <w:rsid w:val="6D883722"/>
    <w:rsid w:val="6D88378A"/>
    <w:rsid w:val="6D885538"/>
    <w:rsid w:val="6D89482E"/>
    <w:rsid w:val="6D8A0652"/>
    <w:rsid w:val="6D8A305E"/>
    <w:rsid w:val="6D8A7502"/>
    <w:rsid w:val="6D8C05D6"/>
    <w:rsid w:val="6D8C327A"/>
    <w:rsid w:val="6D8C5028"/>
    <w:rsid w:val="6D8D2B4F"/>
    <w:rsid w:val="6D8D42A7"/>
    <w:rsid w:val="6D8F4B19"/>
    <w:rsid w:val="6D8F4E95"/>
    <w:rsid w:val="6D8F6F5F"/>
    <w:rsid w:val="6D9143ED"/>
    <w:rsid w:val="6D914BEF"/>
    <w:rsid w:val="6D934609"/>
    <w:rsid w:val="6D93632C"/>
    <w:rsid w:val="6D940381"/>
    <w:rsid w:val="6D946D06"/>
    <w:rsid w:val="6D965EA7"/>
    <w:rsid w:val="6D967C55"/>
    <w:rsid w:val="6D97577B"/>
    <w:rsid w:val="6D995997"/>
    <w:rsid w:val="6D9B170F"/>
    <w:rsid w:val="6D9C1930"/>
    <w:rsid w:val="6D9D0818"/>
    <w:rsid w:val="6D9E4D5C"/>
    <w:rsid w:val="6D9E55C4"/>
    <w:rsid w:val="6D9E6B0A"/>
    <w:rsid w:val="6DA00AD4"/>
    <w:rsid w:val="6DA02882"/>
    <w:rsid w:val="6DA22804"/>
    <w:rsid w:val="6DA265FA"/>
    <w:rsid w:val="6DA415F9"/>
    <w:rsid w:val="6DA5433C"/>
    <w:rsid w:val="6DA57E98"/>
    <w:rsid w:val="6DA700B4"/>
    <w:rsid w:val="6DA74019"/>
    <w:rsid w:val="6DA751E6"/>
    <w:rsid w:val="6DA75477"/>
    <w:rsid w:val="6DA93E2C"/>
    <w:rsid w:val="6DA96F27"/>
    <w:rsid w:val="6DAA1953"/>
    <w:rsid w:val="6DAC56CB"/>
    <w:rsid w:val="6DAD31F1"/>
    <w:rsid w:val="6DAE1443"/>
    <w:rsid w:val="6DAE7C8E"/>
    <w:rsid w:val="6DAF0D17"/>
    <w:rsid w:val="6DAF1657"/>
    <w:rsid w:val="6DAF51BB"/>
    <w:rsid w:val="6DB13A3A"/>
    <w:rsid w:val="6DB14A8F"/>
    <w:rsid w:val="6DB1683D"/>
    <w:rsid w:val="6DB175E8"/>
    <w:rsid w:val="6DB225B5"/>
    <w:rsid w:val="6DB30807"/>
    <w:rsid w:val="6DB33789"/>
    <w:rsid w:val="6DB36A59"/>
    <w:rsid w:val="6DB4632D"/>
    <w:rsid w:val="6DB602F7"/>
    <w:rsid w:val="6DB85E1E"/>
    <w:rsid w:val="6DB93944"/>
    <w:rsid w:val="6DBB0C65"/>
    <w:rsid w:val="6DBB4AEC"/>
    <w:rsid w:val="6DBB590E"/>
    <w:rsid w:val="6DBD1686"/>
    <w:rsid w:val="6DBE0F5A"/>
    <w:rsid w:val="6DBE53FE"/>
    <w:rsid w:val="6DBE71AC"/>
    <w:rsid w:val="6DC01176"/>
    <w:rsid w:val="6DC02F24"/>
    <w:rsid w:val="6DC04CD2"/>
    <w:rsid w:val="6DC249BF"/>
    <w:rsid w:val="6DC24EEE"/>
    <w:rsid w:val="6DC347C2"/>
    <w:rsid w:val="6DC35E4F"/>
    <w:rsid w:val="6DC42A14"/>
    <w:rsid w:val="6DC5053A"/>
    <w:rsid w:val="6DC527AC"/>
    <w:rsid w:val="6DC61BFF"/>
    <w:rsid w:val="6DC709F1"/>
    <w:rsid w:val="6DC72505"/>
    <w:rsid w:val="6DC76061"/>
    <w:rsid w:val="6DCA3DA3"/>
    <w:rsid w:val="6DCA5B51"/>
    <w:rsid w:val="6DCC18C9"/>
    <w:rsid w:val="6DCD73EF"/>
    <w:rsid w:val="6DCE5641"/>
    <w:rsid w:val="6DCF3167"/>
    <w:rsid w:val="6DCF4F15"/>
    <w:rsid w:val="6DD15131"/>
    <w:rsid w:val="6DD2481D"/>
    <w:rsid w:val="6DD30EA9"/>
    <w:rsid w:val="6DD4077E"/>
    <w:rsid w:val="6DD50263"/>
    <w:rsid w:val="6DD53F7B"/>
    <w:rsid w:val="6DD54C21"/>
    <w:rsid w:val="6DD62748"/>
    <w:rsid w:val="6DD644F6"/>
    <w:rsid w:val="6DD8201C"/>
    <w:rsid w:val="6DD93191"/>
    <w:rsid w:val="6DDB40D5"/>
    <w:rsid w:val="6DDC2DC1"/>
    <w:rsid w:val="6DDD15C6"/>
    <w:rsid w:val="6DE05374"/>
    <w:rsid w:val="6DE06A16"/>
    <w:rsid w:val="6DE210EC"/>
    <w:rsid w:val="6DE24C48"/>
    <w:rsid w:val="6DE25D78"/>
    <w:rsid w:val="6DE309C1"/>
    <w:rsid w:val="6DE363ED"/>
    <w:rsid w:val="6DE45187"/>
    <w:rsid w:val="6DE565D9"/>
    <w:rsid w:val="6DE56617"/>
    <w:rsid w:val="6DE85FD7"/>
    <w:rsid w:val="6DE9247B"/>
    <w:rsid w:val="6DEA1D4F"/>
    <w:rsid w:val="6DEA61F3"/>
    <w:rsid w:val="6DEC1F6B"/>
    <w:rsid w:val="6DEC3D19"/>
    <w:rsid w:val="6DED64EA"/>
    <w:rsid w:val="6DEE254B"/>
    <w:rsid w:val="6DF04E6B"/>
    <w:rsid w:val="6DF11D68"/>
    <w:rsid w:val="6DF130DE"/>
    <w:rsid w:val="6DF27FD2"/>
    <w:rsid w:val="6DF30C1B"/>
    <w:rsid w:val="6DF337EC"/>
    <w:rsid w:val="6DF34CD9"/>
    <w:rsid w:val="6DF42BCE"/>
    <w:rsid w:val="6DF44CAB"/>
    <w:rsid w:val="6DF45878"/>
    <w:rsid w:val="6DF70B9F"/>
    <w:rsid w:val="6DF9765E"/>
    <w:rsid w:val="6DFA18E3"/>
    <w:rsid w:val="6DFB0400"/>
    <w:rsid w:val="6DFB3F5C"/>
    <w:rsid w:val="6DFC5FDF"/>
    <w:rsid w:val="6DFD7CD4"/>
    <w:rsid w:val="6DFE74C6"/>
    <w:rsid w:val="6DFF108C"/>
    <w:rsid w:val="6DFF1C9E"/>
    <w:rsid w:val="6E021E51"/>
    <w:rsid w:val="6E02353D"/>
    <w:rsid w:val="6E05302D"/>
    <w:rsid w:val="6E070B53"/>
    <w:rsid w:val="6E072901"/>
    <w:rsid w:val="6E076DA5"/>
    <w:rsid w:val="6E077E25"/>
    <w:rsid w:val="6E080427"/>
    <w:rsid w:val="6E0A419F"/>
    <w:rsid w:val="6E0A6EA2"/>
    <w:rsid w:val="6E0B0643"/>
    <w:rsid w:val="6E0D5256"/>
    <w:rsid w:val="6E0D63CB"/>
    <w:rsid w:val="6E0E1EE1"/>
    <w:rsid w:val="6E0E3C8F"/>
    <w:rsid w:val="6E0E5A3E"/>
    <w:rsid w:val="6E0E6033"/>
    <w:rsid w:val="6E0F4A6C"/>
    <w:rsid w:val="6E0F7A08"/>
    <w:rsid w:val="6E1141A4"/>
    <w:rsid w:val="6E117620"/>
    <w:rsid w:val="6E126E05"/>
    <w:rsid w:val="6E1312A6"/>
    <w:rsid w:val="6E132D48"/>
    <w:rsid w:val="6E14501E"/>
    <w:rsid w:val="6E153FB5"/>
    <w:rsid w:val="6E166FE8"/>
    <w:rsid w:val="6E1814A6"/>
    <w:rsid w:val="6E184B0E"/>
    <w:rsid w:val="6E192634"/>
    <w:rsid w:val="6E1A6AD8"/>
    <w:rsid w:val="6E1D2124"/>
    <w:rsid w:val="6E1D3ED3"/>
    <w:rsid w:val="6E1E5FEC"/>
    <w:rsid w:val="6E1E7093"/>
    <w:rsid w:val="6E2039C3"/>
    <w:rsid w:val="6E22686A"/>
    <w:rsid w:val="6E24109C"/>
    <w:rsid w:val="6E2434B3"/>
    <w:rsid w:val="6E2551EB"/>
    <w:rsid w:val="6E2579F9"/>
    <w:rsid w:val="6E26547D"/>
    <w:rsid w:val="6E26667B"/>
    <w:rsid w:val="6E2711F5"/>
    <w:rsid w:val="6E272FA3"/>
    <w:rsid w:val="6E274D51"/>
    <w:rsid w:val="6E276AFF"/>
    <w:rsid w:val="6E277B0B"/>
    <w:rsid w:val="6E296D1B"/>
    <w:rsid w:val="6E2A38BB"/>
    <w:rsid w:val="6E2A75CC"/>
    <w:rsid w:val="6E2E4332"/>
    <w:rsid w:val="6E2F3C06"/>
    <w:rsid w:val="6E31797E"/>
    <w:rsid w:val="6E340AEB"/>
    <w:rsid w:val="6E3437D3"/>
    <w:rsid w:val="6E3556C0"/>
    <w:rsid w:val="6E35746E"/>
    <w:rsid w:val="6E364A2F"/>
    <w:rsid w:val="6E364F94"/>
    <w:rsid w:val="6E376F24"/>
    <w:rsid w:val="6E3851B0"/>
    <w:rsid w:val="6E3A0F28"/>
    <w:rsid w:val="6E3A4840"/>
    <w:rsid w:val="6E3B0980"/>
    <w:rsid w:val="6E3B25AB"/>
    <w:rsid w:val="6E3C0F77"/>
    <w:rsid w:val="6E3D27C7"/>
    <w:rsid w:val="6E3D6323"/>
    <w:rsid w:val="6E405E13"/>
    <w:rsid w:val="6E414065"/>
    <w:rsid w:val="6E41661F"/>
    <w:rsid w:val="6E427DDD"/>
    <w:rsid w:val="6E430774"/>
    <w:rsid w:val="6E440737"/>
    <w:rsid w:val="6E441C04"/>
    <w:rsid w:val="6E443B55"/>
    <w:rsid w:val="6E445903"/>
    <w:rsid w:val="6E453429"/>
    <w:rsid w:val="6E4771A1"/>
    <w:rsid w:val="6E49116B"/>
    <w:rsid w:val="6E495F51"/>
    <w:rsid w:val="6E496B96"/>
    <w:rsid w:val="6E4A7CF8"/>
    <w:rsid w:val="6E4B6C92"/>
    <w:rsid w:val="6E4B6F06"/>
    <w:rsid w:val="6E4C0396"/>
    <w:rsid w:val="6E4C0C5C"/>
    <w:rsid w:val="6E4E0530"/>
    <w:rsid w:val="6E4E22DE"/>
    <w:rsid w:val="6E4E2A97"/>
    <w:rsid w:val="6E4E6782"/>
    <w:rsid w:val="6E5024FA"/>
    <w:rsid w:val="6E5042A8"/>
    <w:rsid w:val="6E51003A"/>
    <w:rsid w:val="6E535B46"/>
    <w:rsid w:val="6E5378F4"/>
    <w:rsid w:val="6E547FB8"/>
    <w:rsid w:val="6E551448"/>
    <w:rsid w:val="6E557B10"/>
    <w:rsid w:val="6E5673E4"/>
    <w:rsid w:val="6E57007A"/>
    <w:rsid w:val="6E573888"/>
    <w:rsid w:val="6E5813AF"/>
    <w:rsid w:val="6E58315D"/>
    <w:rsid w:val="6E5A5127"/>
    <w:rsid w:val="6E5A6ED5"/>
    <w:rsid w:val="6E5B2C4D"/>
    <w:rsid w:val="6E5C0E9F"/>
    <w:rsid w:val="6E5C7E8B"/>
    <w:rsid w:val="6E5D23A8"/>
    <w:rsid w:val="6E5D69C5"/>
    <w:rsid w:val="6E5F098F"/>
    <w:rsid w:val="6E5F1E3E"/>
    <w:rsid w:val="6E5F44EB"/>
    <w:rsid w:val="6E6050CB"/>
    <w:rsid w:val="6E610B84"/>
    <w:rsid w:val="6E623FDB"/>
    <w:rsid w:val="6E625D89"/>
    <w:rsid w:val="6E6472D6"/>
    <w:rsid w:val="6E655655"/>
    <w:rsid w:val="6E663ACB"/>
    <w:rsid w:val="6E66587A"/>
    <w:rsid w:val="6E6733A0"/>
    <w:rsid w:val="6E6765D2"/>
    <w:rsid w:val="6E69248F"/>
    <w:rsid w:val="6E6935BC"/>
    <w:rsid w:val="6E69536A"/>
    <w:rsid w:val="6E6A391F"/>
    <w:rsid w:val="6E6B2E90"/>
    <w:rsid w:val="6E6C4E5A"/>
    <w:rsid w:val="6E6D76CF"/>
    <w:rsid w:val="6E6E22A0"/>
    <w:rsid w:val="6E6F4BC0"/>
    <w:rsid w:val="6E7004A6"/>
    <w:rsid w:val="6E7116EB"/>
    <w:rsid w:val="6E712470"/>
    <w:rsid w:val="6E7206C2"/>
    <w:rsid w:val="6E724C82"/>
    <w:rsid w:val="6E731D44"/>
    <w:rsid w:val="6E773350"/>
    <w:rsid w:val="6E7736BC"/>
    <w:rsid w:val="6E777A87"/>
    <w:rsid w:val="6E7837FF"/>
    <w:rsid w:val="6E7A0843"/>
    <w:rsid w:val="6E7B1A3D"/>
    <w:rsid w:val="6E7B6E4B"/>
    <w:rsid w:val="6E7C32EF"/>
    <w:rsid w:val="6E7C509D"/>
    <w:rsid w:val="6E7D0E15"/>
    <w:rsid w:val="6E7D2BC3"/>
    <w:rsid w:val="6E7D7067"/>
    <w:rsid w:val="6E7E1982"/>
    <w:rsid w:val="6E7F06E9"/>
    <w:rsid w:val="6E7F0EE4"/>
    <w:rsid w:val="6E7F5D25"/>
    <w:rsid w:val="6E7F693B"/>
    <w:rsid w:val="6E804912"/>
    <w:rsid w:val="6E810716"/>
    <w:rsid w:val="6E8201DA"/>
    <w:rsid w:val="6E82467D"/>
    <w:rsid w:val="6E8403F6"/>
    <w:rsid w:val="6E855B2D"/>
    <w:rsid w:val="6E865F1C"/>
    <w:rsid w:val="6E866DE6"/>
    <w:rsid w:val="6E867CCA"/>
    <w:rsid w:val="6E8757F0"/>
    <w:rsid w:val="6E8842D7"/>
    <w:rsid w:val="6E8977BA"/>
    <w:rsid w:val="6E8A17C8"/>
    <w:rsid w:val="6E8B3532"/>
    <w:rsid w:val="6E8B52E0"/>
    <w:rsid w:val="6E8B5C0E"/>
    <w:rsid w:val="6E8C1058"/>
    <w:rsid w:val="6E8D188A"/>
    <w:rsid w:val="6E8D72AA"/>
    <w:rsid w:val="6E8E2D1A"/>
    <w:rsid w:val="6E8E3022"/>
    <w:rsid w:val="6E8E371C"/>
    <w:rsid w:val="6E8E6B7E"/>
    <w:rsid w:val="6E8F41AA"/>
    <w:rsid w:val="6E90012A"/>
    <w:rsid w:val="6E9028F6"/>
    <w:rsid w:val="6E905A9E"/>
    <w:rsid w:val="6E906D9A"/>
    <w:rsid w:val="6E921E64"/>
    <w:rsid w:val="6E922B12"/>
    <w:rsid w:val="6E9248C1"/>
    <w:rsid w:val="6E934195"/>
    <w:rsid w:val="6E946EE4"/>
    <w:rsid w:val="6E947F9F"/>
    <w:rsid w:val="6E953771"/>
    <w:rsid w:val="6E954031"/>
    <w:rsid w:val="6E9543B1"/>
    <w:rsid w:val="6E9614AC"/>
    <w:rsid w:val="6E971ED7"/>
    <w:rsid w:val="6E97293C"/>
    <w:rsid w:val="6E985C4F"/>
    <w:rsid w:val="6E98699D"/>
    <w:rsid w:val="6E9879FD"/>
    <w:rsid w:val="6E99243F"/>
    <w:rsid w:val="6E997E2D"/>
    <w:rsid w:val="6E9A5523"/>
    <w:rsid w:val="6E9B274D"/>
    <w:rsid w:val="6E9C573F"/>
    <w:rsid w:val="6E9D3265"/>
    <w:rsid w:val="6E9D5013"/>
    <w:rsid w:val="6E9E14B7"/>
    <w:rsid w:val="6E9E24DB"/>
    <w:rsid w:val="6E9F2B3A"/>
    <w:rsid w:val="6E9F6FDD"/>
    <w:rsid w:val="6E9F7BE1"/>
    <w:rsid w:val="6EA13C00"/>
    <w:rsid w:val="6EA142D6"/>
    <w:rsid w:val="6EA168B2"/>
    <w:rsid w:val="6EA36ACE"/>
    <w:rsid w:val="6EA42846"/>
    <w:rsid w:val="6EA445F4"/>
    <w:rsid w:val="6EA44F40"/>
    <w:rsid w:val="6EA463A2"/>
    <w:rsid w:val="6EA77C40"/>
    <w:rsid w:val="6EA91C0A"/>
    <w:rsid w:val="6EAB14DE"/>
    <w:rsid w:val="6EAD34A8"/>
    <w:rsid w:val="6EAE5472"/>
    <w:rsid w:val="6EAF6FD4"/>
    <w:rsid w:val="6EB02F99"/>
    <w:rsid w:val="6EB04D47"/>
    <w:rsid w:val="6EB1286D"/>
    <w:rsid w:val="6EB20ABF"/>
    <w:rsid w:val="6EB26D11"/>
    <w:rsid w:val="6EB32A89"/>
    <w:rsid w:val="6EB371FE"/>
    <w:rsid w:val="6EB5235D"/>
    <w:rsid w:val="6EB53772"/>
    <w:rsid w:val="6EB66727"/>
    <w:rsid w:val="6EB74327"/>
    <w:rsid w:val="6EB81E4D"/>
    <w:rsid w:val="6EBA5633"/>
    <w:rsid w:val="6EBA5BC5"/>
    <w:rsid w:val="6EBA5CD6"/>
    <w:rsid w:val="6EBB39DC"/>
    <w:rsid w:val="6EBC36EB"/>
    <w:rsid w:val="6EBC7B8F"/>
    <w:rsid w:val="6EBD7464"/>
    <w:rsid w:val="6EBF6F77"/>
    <w:rsid w:val="6EC01671"/>
    <w:rsid w:val="6EC02FD8"/>
    <w:rsid w:val="6EC10D02"/>
    <w:rsid w:val="6EC16F54"/>
    <w:rsid w:val="6EC24A7A"/>
    <w:rsid w:val="6EC30F1E"/>
    <w:rsid w:val="6EC46A44"/>
    <w:rsid w:val="6EC6456A"/>
    <w:rsid w:val="6EC66318"/>
    <w:rsid w:val="6EC802E2"/>
    <w:rsid w:val="6EC80CB6"/>
    <w:rsid w:val="6EC922AC"/>
    <w:rsid w:val="6EC95E08"/>
    <w:rsid w:val="6ECA5F22"/>
    <w:rsid w:val="6ECC76A7"/>
    <w:rsid w:val="6ECF6A6C"/>
    <w:rsid w:val="6ED0284C"/>
    <w:rsid w:val="6ED07197"/>
    <w:rsid w:val="6ED22F0F"/>
    <w:rsid w:val="6ED24CBD"/>
    <w:rsid w:val="6ED253ED"/>
    <w:rsid w:val="6ED36C87"/>
    <w:rsid w:val="6ED50C51"/>
    <w:rsid w:val="6ED547AD"/>
    <w:rsid w:val="6ED651FE"/>
    <w:rsid w:val="6ED6693F"/>
    <w:rsid w:val="6ED72C6E"/>
    <w:rsid w:val="6ED749C9"/>
    <w:rsid w:val="6ED76777"/>
    <w:rsid w:val="6ED8429D"/>
    <w:rsid w:val="6ED924EF"/>
    <w:rsid w:val="6EDA1DC4"/>
    <w:rsid w:val="6EDA6267"/>
    <w:rsid w:val="6EDC1C81"/>
    <w:rsid w:val="6EDC5B3C"/>
    <w:rsid w:val="6EDD3662"/>
    <w:rsid w:val="6EDE7B06"/>
    <w:rsid w:val="6EDF562C"/>
    <w:rsid w:val="6EE01B59"/>
    <w:rsid w:val="6EE025C2"/>
    <w:rsid w:val="6EE13152"/>
    <w:rsid w:val="6EE13A52"/>
    <w:rsid w:val="6EE3336E"/>
    <w:rsid w:val="6EE3511C"/>
    <w:rsid w:val="6EE36ECA"/>
    <w:rsid w:val="6EE64C0C"/>
    <w:rsid w:val="6EE67A4D"/>
    <w:rsid w:val="6EE80984"/>
    <w:rsid w:val="6EE825E8"/>
    <w:rsid w:val="6EE82732"/>
    <w:rsid w:val="6EE9019B"/>
    <w:rsid w:val="6EE91D60"/>
    <w:rsid w:val="6EE91ECE"/>
    <w:rsid w:val="6EE92007"/>
    <w:rsid w:val="6EE964AB"/>
    <w:rsid w:val="6EEA6245"/>
    <w:rsid w:val="6EEA6B63"/>
    <w:rsid w:val="6EEB00C0"/>
    <w:rsid w:val="6EEE3AC1"/>
    <w:rsid w:val="6EEE4BC6"/>
    <w:rsid w:val="6EF249D7"/>
    <w:rsid w:val="6EF4232C"/>
    <w:rsid w:val="6EF4297E"/>
    <w:rsid w:val="6EF539DC"/>
    <w:rsid w:val="6EF54E4F"/>
    <w:rsid w:val="6EF70BC7"/>
    <w:rsid w:val="6EF71C55"/>
    <w:rsid w:val="6EF94940"/>
    <w:rsid w:val="6EF966EE"/>
    <w:rsid w:val="6EFA5D3A"/>
    <w:rsid w:val="6EFD5AB2"/>
    <w:rsid w:val="6EFE104D"/>
    <w:rsid w:val="6EFF5B4B"/>
    <w:rsid w:val="6EFF7A7C"/>
    <w:rsid w:val="6F00046B"/>
    <w:rsid w:val="6F001276"/>
    <w:rsid w:val="6F0028E6"/>
    <w:rsid w:val="6F0155A2"/>
    <w:rsid w:val="6F0230C8"/>
    <w:rsid w:val="6F046DEC"/>
    <w:rsid w:val="6F046E40"/>
    <w:rsid w:val="6F06170C"/>
    <w:rsid w:val="6F062BB9"/>
    <w:rsid w:val="6F065156"/>
    <w:rsid w:val="6F06705D"/>
    <w:rsid w:val="6F086931"/>
    <w:rsid w:val="6F094457"/>
    <w:rsid w:val="6F095DAF"/>
    <w:rsid w:val="6F0A08FB"/>
    <w:rsid w:val="6F0A40EE"/>
    <w:rsid w:val="6F0B01CF"/>
    <w:rsid w:val="6F0B205B"/>
    <w:rsid w:val="6F0B4673"/>
    <w:rsid w:val="6F0D0399"/>
    <w:rsid w:val="6F0D3F47"/>
    <w:rsid w:val="6F0D40C1"/>
    <w:rsid w:val="6F0D6517"/>
    <w:rsid w:val="6F0F5283"/>
    <w:rsid w:val="6F0F6AD0"/>
    <w:rsid w:val="6F103A37"/>
    <w:rsid w:val="6F14023A"/>
    <w:rsid w:val="6F15104E"/>
    <w:rsid w:val="6F1522E3"/>
    <w:rsid w:val="6F152DFC"/>
    <w:rsid w:val="6F174DC6"/>
    <w:rsid w:val="6F176B74"/>
    <w:rsid w:val="6F1A48B6"/>
    <w:rsid w:val="6F1B2B08"/>
    <w:rsid w:val="6F1B5073"/>
    <w:rsid w:val="6F1C418A"/>
    <w:rsid w:val="6F1F399F"/>
    <w:rsid w:val="6F216314"/>
    <w:rsid w:val="6F241291"/>
    <w:rsid w:val="6F265009"/>
    <w:rsid w:val="6F286FD3"/>
    <w:rsid w:val="6F2968A7"/>
    <w:rsid w:val="6F297677"/>
    <w:rsid w:val="6F2B261F"/>
    <w:rsid w:val="6F2D45E9"/>
    <w:rsid w:val="6F2D6397"/>
    <w:rsid w:val="6F327E52"/>
    <w:rsid w:val="6F372E3A"/>
    <w:rsid w:val="6F38459B"/>
    <w:rsid w:val="6F3911E0"/>
    <w:rsid w:val="6F392F8E"/>
    <w:rsid w:val="6F3940D1"/>
    <w:rsid w:val="6F394D8D"/>
    <w:rsid w:val="6F3A0AB4"/>
    <w:rsid w:val="6F3C2A7E"/>
    <w:rsid w:val="6F3C2F1C"/>
    <w:rsid w:val="6F3C482C"/>
    <w:rsid w:val="6F3E2352"/>
    <w:rsid w:val="6F3F60CB"/>
    <w:rsid w:val="6F40256E"/>
    <w:rsid w:val="6F40431D"/>
    <w:rsid w:val="6F410095"/>
    <w:rsid w:val="6F433E0D"/>
    <w:rsid w:val="6F4436E1"/>
    <w:rsid w:val="6F4502DF"/>
    <w:rsid w:val="6F451933"/>
    <w:rsid w:val="6F467459"/>
    <w:rsid w:val="6F484F7F"/>
    <w:rsid w:val="6F496C60"/>
    <w:rsid w:val="6F4A519B"/>
    <w:rsid w:val="6F4B4A6F"/>
    <w:rsid w:val="6F4C2993"/>
    <w:rsid w:val="6F4D0764"/>
    <w:rsid w:val="6F4D4C8B"/>
    <w:rsid w:val="6F4D6A39"/>
    <w:rsid w:val="6F4F00B9"/>
    <w:rsid w:val="6F502086"/>
    <w:rsid w:val="6F51652A"/>
    <w:rsid w:val="6F520F62"/>
    <w:rsid w:val="6F5222A2"/>
    <w:rsid w:val="6F525DFE"/>
    <w:rsid w:val="6F525EFB"/>
    <w:rsid w:val="6F527D12"/>
    <w:rsid w:val="6F541B76"/>
    <w:rsid w:val="6F54601A"/>
    <w:rsid w:val="6F547DC8"/>
    <w:rsid w:val="6F551878"/>
    <w:rsid w:val="6F570FB3"/>
    <w:rsid w:val="6F571666"/>
    <w:rsid w:val="6F5726F4"/>
    <w:rsid w:val="6F593630"/>
    <w:rsid w:val="6F5953DE"/>
    <w:rsid w:val="6F59718C"/>
    <w:rsid w:val="6F5A2F04"/>
    <w:rsid w:val="6F5B1156"/>
    <w:rsid w:val="6F5B73A8"/>
    <w:rsid w:val="6F5B7934"/>
    <w:rsid w:val="6F5C0CE5"/>
    <w:rsid w:val="6F5C6C7D"/>
    <w:rsid w:val="6F5D3122"/>
    <w:rsid w:val="6F5D6566"/>
    <w:rsid w:val="6F5E47A3"/>
    <w:rsid w:val="6F60051B"/>
    <w:rsid w:val="6F6049BF"/>
    <w:rsid w:val="6F60599B"/>
    <w:rsid w:val="6F60676D"/>
    <w:rsid w:val="6F6124E5"/>
    <w:rsid w:val="6F614293"/>
    <w:rsid w:val="6F616041"/>
    <w:rsid w:val="6F616B14"/>
    <w:rsid w:val="6F631DB9"/>
    <w:rsid w:val="6F645BE2"/>
    <w:rsid w:val="6F651FD5"/>
    <w:rsid w:val="6F653D83"/>
    <w:rsid w:val="6F667AFB"/>
    <w:rsid w:val="6F675D4D"/>
    <w:rsid w:val="6F683679"/>
    <w:rsid w:val="6F685621"/>
    <w:rsid w:val="6F6B1FFA"/>
    <w:rsid w:val="6F6B6EC0"/>
    <w:rsid w:val="6F6D03D1"/>
    <w:rsid w:val="6F6D0E8A"/>
    <w:rsid w:val="6F6D2C38"/>
    <w:rsid w:val="6F6D2CB8"/>
    <w:rsid w:val="6F6D36CF"/>
    <w:rsid w:val="6F6D3884"/>
    <w:rsid w:val="6F6E4088"/>
    <w:rsid w:val="6F6F69B0"/>
    <w:rsid w:val="6F71097A"/>
    <w:rsid w:val="6F711CA8"/>
    <w:rsid w:val="6F725BBB"/>
    <w:rsid w:val="6F7272FC"/>
    <w:rsid w:val="6F742218"/>
    <w:rsid w:val="6F745D74"/>
    <w:rsid w:val="6F765F90"/>
    <w:rsid w:val="6F773AB6"/>
    <w:rsid w:val="6F7A5A8E"/>
    <w:rsid w:val="6F7C2E7B"/>
    <w:rsid w:val="6F7C5B41"/>
    <w:rsid w:val="6F7C731F"/>
    <w:rsid w:val="6F7D440F"/>
    <w:rsid w:val="6F7F4719"/>
    <w:rsid w:val="6F7F7EC9"/>
    <w:rsid w:val="6F80296B"/>
    <w:rsid w:val="6F806C87"/>
    <w:rsid w:val="6F8166E3"/>
    <w:rsid w:val="6F8256B0"/>
    <w:rsid w:val="6F855772"/>
    <w:rsid w:val="6F8561D3"/>
    <w:rsid w:val="6F857F81"/>
    <w:rsid w:val="6F866C02"/>
    <w:rsid w:val="6F871F4B"/>
    <w:rsid w:val="6F8A0D93"/>
    <w:rsid w:val="6F8A1A3C"/>
    <w:rsid w:val="6F8A79E4"/>
    <w:rsid w:val="6F8B1310"/>
    <w:rsid w:val="6F8B7727"/>
    <w:rsid w:val="6F8C01F8"/>
    <w:rsid w:val="6F8C57B4"/>
    <w:rsid w:val="6F8D6E36"/>
    <w:rsid w:val="6F8F0E00"/>
    <w:rsid w:val="6F8F2BAE"/>
    <w:rsid w:val="6F8F3BFD"/>
    <w:rsid w:val="6F8F587C"/>
    <w:rsid w:val="6F906926"/>
    <w:rsid w:val="6F912DCA"/>
    <w:rsid w:val="6F914B78"/>
    <w:rsid w:val="6F9251A5"/>
    <w:rsid w:val="6F9401C4"/>
    <w:rsid w:val="6F944668"/>
    <w:rsid w:val="6F975F07"/>
    <w:rsid w:val="6F977B87"/>
    <w:rsid w:val="6F977CB5"/>
    <w:rsid w:val="6F984159"/>
    <w:rsid w:val="6F991C7F"/>
    <w:rsid w:val="6F993A2D"/>
    <w:rsid w:val="6F9A1D4E"/>
    <w:rsid w:val="6F9A2F0D"/>
    <w:rsid w:val="6F9A5078"/>
    <w:rsid w:val="6F9B1553"/>
    <w:rsid w:val="6F9B4DC7"/>
    <w:rsid w:val="6F9B59F7"/>
    <w:rsid w:val="6F9B7998"/>
    <w:rsid w:val="6F9C5852"/>
    <w:rsid w:val="6F9D176F"/>
    <w:rsid w:val="6F9D22B8"/>
    <w:rsid w:val="6F9D63F0"/>
    <w:rsid w:val="6F9E3C57"/>
    <w:rsid w:val="6F9E4E89"/>
    <w:rsid w:val="6F9F6319"/>
    <w:rsid w:val="6FA0300D"/>
    <w:rsid w:val="6FA04DBB"/>
    <w:rsid w:val="6FA348AB"/>
    <w:rsid w:val="6FA50623"/>
    <w:rsid w:val="6FA523D2"/>
    <w:rsid w:val="6FA53B98"/>
    <w:rsid w:val="6FA65D1A"/>
    <w:rsid w:val="6FA7439C"/>
    <w:rsid w:val="6FA7548E"/>
    <w:rsid w:val="6FA75643"/>
    <w:rsid w:val="6FA807D1"/>
    <w:rsid w:val="6FA8083A"/>
    <w:rsid w:val="6FA81399"/>
    <w:rsid w:val="6FA8400A"/>
    <w:rsid w:val="6FAA5C3A"/>
    <w:rsid w:val="6FAB550E"/>
    <w:rsid w:val="6FAB748D"/>
    <w:rsid w:val="6FAC19B2"/>
    <w:rsid w:val="6FAC3760"/>
    <w:rsid w:val="6FAF3250"/>
    <w:rsid w:val="6FB10D76"/>
    <w:rsid w:val="6FB16FC8"/>
    <w:rsid w:val="6FB22D40"/>
    <w:rsid w:val="6FB2689C"/>
    <w:rsid w:val="6FB37264"/>
    <w:rsid w:val="6FB40867"/>
    <w:rsid w:val="6FB42615"/>
    <w:rsid w:val="6FB46AB9"/>
    <w:rsid w:val="6FB51E84"/>
    <w:rsid w:val="6FB645A0"/>
    <w:rsid w:val="6FB66EBE"/>
    <w:rsid w:val="6FB865A9"/>
    <w:rsid w:val="6FB940CF"/>
    <w:rsid w:val="6FBB0776"/>
    <w:rsid w:val="6FBC771B"/>
    <w:rsid w:val="6FBD3BBF"/>
    <w:rsid w:val="6FBD596D"/>
    <w:rsid w:val="6FBE16E5"/>
    <w:rsid w:val="6FC0720B"/>
    <w:rsid w:val="6FC104BF"/>
    <w:rsid w:val="6FC14D32"/>
    <w:rsid w:val="6FC17588"/>
    <w:rsid w:val="6FC22F83"/>
    <w:rsid w:val="6FC30AAA"/>
    <w:rsid w:val="6FC425FD"/>
    <w:rsid w:val="6FC50CC6"/>
    <w:rsid w:val="6FC565D0"/>
    <w:rsid w:val="6FC7059A"/>
    <w:rsid w:val="6FC82D37"/>
    <w:rsid w:val="6FC860C0"/>
    <w:rsid w:val="6FCA1E38"/>
    <w:rsid w:val="6FCA4227"/>
    <w:rsid w:val="6FCA62DC"/>
    <w:rsid w:val="6FCC3E02"/>
    <w:rsid w:val="6FCC5BB0"/>
    <w:rsid w:val="6FCC795E"/>
    <w:rsid w:val="6FCE10E6"/>
    <w:rsid w:val="6FCE7B7A"/>
    <w:rsid w:val="6FCF56A0"/>
    <w:rsid w:val="6FCF744E"/>
    <w:rsid w:val="6FD1766A"/>
    <w:rsid w:val="6FD24F90"/>
    <w:rsid w:val="6FD25146"/>
    <w:rsid w:val="6FD33AC8"/>
    <w:rsid w:val="6FD3659A"/>
    <w:rsid w:val="6FD44A65"/>
    <w:rsid w:val="6FD60FB9"/>
    <w:rsid w:val="6FD66A2F"/>
    <w:rsid w:val="6FD76303"/>
    <w:rsid w:val="6FD902CD"/>
    <w:rsid w:val="6FD9207B"/>
    <w:rsid w:val="6FD9651F"/>
    <w:rsid w:val="6FDC1B6B"/>
    <w:rsid w:val="6FDC36EA"/>
    <w:rsid w:val="6FDC6AD8"/>
    <w:rsid w:val="6FDD7DBD"/>
    <w:rsid w:val="6FDE1813"/>
    <w:rsid w:val="6FDE7692"/>
    <w:rsid w:val="6FDF206B"/>
    <w:rsid w:val="6FE0340A"/>
    <w:rsid w:val="6FE04DFB"/>
    <w:rsid w:val="6FE253D4"/>
    <w:rsid w:val="6FE32EFA"/>
    <w:rsid w:val="6FE42753"/>
    <w:rsid w:val="6FE44A4D"/>
    <w:rsid w:val="6FE4739E"/>
    <w:rsid w:val="6FE50A20"/>
    <w:rsid w:val="6FE54EC4"/>
    <w:rsid w:val="6FE56C72"/>
    <w:rsid w:val="6FE746A6"/>
    <w:rsid w:val="6FE8485E"/>
    <w:rsid w:val="6FE85F9F"/>
    <w:rsid w:val="6FE949B4"/>
    <w:rsid w:val="6FEA2615"/>
    <w:rsid w:val="6FEA30B8"/>
    <w:rsid w:val="6FEB5085"/>
    <w:rsid w:val="6FEB735C"/>
    <w:rsid w:val="6FEC0000"/>
    <w:rsid w:val="6FEC6252"/>
    <w:rsid w:val="6FED54DB"/>
    <w:rsid w:val="6FED5B27"/>
    <w:rsid w:val="6FEE1FCA"/>
    <w:rsid w:val="6FEF189F"/>
    <w:rsid w:val="6FEF5D43"/>
    <w:rsid w:val="6FEF7AF1"/>
    <w:rsid w:val="6FF00C7D"/>
    <w:rsid w:val="6FF161BB"/>
    <w:rsid w:val="6FF31971"/>
    <w:rsid w:val="6FF505A3"/>
    <w:rsid w:val="6FF60E7F"/>
    <w:rsid w:val="6FF61221"/>
    <w:rsid w:val="6FF670D1"/>
    <w:rsid w:val="6FF70194"/>
    <w:rsid w:val="6FF70753"/>
    <w:rsid w:val="6FF9096F"/>
    <w:rsid w:val="6FFB0243"/>
    <w:rsid w:val="6FFB1846"/>
    <w:rsid w:val="6FFB46E7"/>
    <w:rsid w:val="6FFC42AC"/>
    <w:rsid w:val="6FFD4164"/>
    <w:rsid w:val="6FFE51C0"/>
    <w:rsid w:val="6FFF64DB"/>
    <w:rsid w:val="700156B6"/>
    <w:rsid w:val="70016B46"/>
    <w:rsid w:val="70025A76"/>
    <w:rsid w:val="70031466"/>
    <w:rsid w:val="7004359C"/>
    <w:rsid w:val="70074E3A"/>
    <w:rsid w:val="700A0487"/>
    <w:rsid w:val="700A492A"/>
    <w:rsid w:val="700C06A3"/>
    <w:rsid w:val="700D3C59"/>
    <w:rsid w:val="700D5040"/>
    <w:rsid w:val="700E441B"/>
    <w:rsid w:val="700F1F41"/>
    <w:rsid w:val="70107F06"/>
    <w:rsid w:val="701337DF"/>
    <w:rsid w:val="70136A8B"/>
    <w:rsid w:val="70147557"/>
    <w:rsid w:val="7015387B"/>
    <w:rsid w:val="701557A9"/>
    <w:rsid w:val="701557F7"/>
    <w:rsid w:val="701632CF"/>
    <w:rsid w:val="7016507D"/>
    <w:rsid w:val="70182BA3"/>
    <w:rsid w:val="701A1376"/>
    <w:rsid w:val="701A2DBF"/>
    <w:rsid w:val="701B00A9"/>
    <w:rsid w:val="701C0B7D"/>
    <w:rsid w:val="701C75B8"/>
    <w:rsid w:val="701C7667"/>
    <w:rsid w:val="701D465E"/>
    <w:rsid w:val="701D640C"/>
    <w:rsid w:val="701E2184"/>
    <w:rsid w:val="701F03D6"/>
    <w:rsid w:val="701F0C3F"/>
    <w:rsid w:val="701F1FFA"/>
    <w:rsid w:val="70205EFC"/>
    <w:rsid w:val="7021355F"/>
    <w:rsid w:val="70216130"/>
    <w:rsid w:val="70221C74"/>
    <w:rsid w:val="70235E7F"/>
    <w:rsid w:val="702459EC"/>
    <w:rsid w:val="70251764"/>
    <w:rsid w:val="70253370"/>
    <w:rsid w:val="702754DC"/>
    <w:rsid w:val="70283432"/>
    <w:rsid w:val="70283921"/>
    <w:rsid w:val="70284E81"/>
    <w:rsid w:val="70285D19"/>
    <w:rsid w:val="70294DB1"/>
    <w:rsid w:val="70295AE0"/>
    <w:rsid w:val="702A1E44"/>
    <w:rsid w:val="702B1097"/>
    <w:rsid w:val="702C0672"/>
    <w:rsid w:val="702C2AF3"/>
    <w:rsid w:val="702D1B02"/>
    <w:rsid w:val="702E0619"/>
    <w:rsid w:val="70300483"/>
    <w:rsid w:val="70311913"/>
    <w:rsid w:val="70313C65"/>
    <w:rsid w:val="703270B5"/>
    <w:rsid w:val="70333E81"/>
    <w:rsid w:val="703419A7"/>
    <w:rsid w:val="70343A4A"/>
    <w:rsid w:val="70357BF9"/>
    <w:rsid w:val="70381498"/>
    <w:rsid w:val="70383246"/>
    <w:rsid w:val="70384FF4"/>
    <w:rsid w:val="70385584"/>
    <w:rsid w:val="70390175"/>
    <w:rsid w:val="70390D6C"/>
    <w:rsid w:val="703A6FBE"/>
    <w:rsid w:val="703B4AE4"/>
    <w:rsid w:val="703D085C"/>
    <w:rsid w:val="703F45D4"/>
    <w:rsid w:val="7040659E"/>
    <w:rsid w:val="70413449"/>
    <w:rsid w:val="70423FD9"/>
    <w:rsid w:val="70434C25"/>
    <w:rsid w:val="70441BEA"/>
    <w:rsid w:val="70455963"/>
    <w:rsid w:val="70473489"/>
    <w:rsid w:val="70495453"/>
    <w:rsid w:val="70497201"/>
    <w:rsid w:val="704A4D27"/>
    <w:rsid w:val="704B11CB"/>
    <w:rsid w:val="704D7E21"/>
    <w:rsid w:val="704E2A69"/>
    <w:rsid w:val="704E4817"/>
    <w:rsid w:val="704F058F"/>
    <w:rsid w:val="704F155E"/>
    <w:rsid w:val="704F233D"/>
    <w:rsid w:val="705160B5"/>
    <w:rsid w:val="7053007F"/>
    <w:rsid w:val="70545BA6"/>
    <w:rsid w:val="70551E67"/>
    <w:rsid w:val="70553DF8"/>
    <w:rsid w:val="7056191E"/>
    <w:rsid w:val="705636CC"/>
    <w:rsid w:val="70567B70"/>
    <w:rsid w:val="70567EF9"/>
    <w:rsid w:val="70577DA8"/>
    <w:rsid w:val="705A17F8"/>
    <w:rsid w:val="705D2071"/>
    <w:rsid w:val="705D4A5A"/>
    <w:rsid w:val="705E0293"/>
    <w:rsid w:val="7060279C"/>
    <w:rsid w:val="706042A9"/>
    <w:rsid w:val="706202C3"/>
    <w:rsid w:val="70621E82"/>
    <w:rsid w:val="7064228D"/>
    <w:rsid w:val="70645DE9"/>
    <w:rsid w:val="70651002"/>
    <w:rsid w:val="70651B61"/>
    <w:rsid w:val="70652AEB"/>
    <w:rsid w:val="70652CA1"/>
    <w:rsid w:val="70657DB3"/>
    <w:rsid w:val="70666005"/>
    <w:rsid w:val="70687184"/>
    <w:rsid w:val="706978A3"/>
    <w:rsid w:val="706A1AA4"/>
    <w:rsid w:val="706A7177"/>
    <w:rsid w:val="706C2927"/>
    <w:rsid w:val="706C2EEF"/>
    <w:rsid w:val="706E487B"/>
    <w:rsid w:val="706E6C67"/>
    <w:rsid w:val="70710506"/>
    <w:rsid w:val="707149AA"/>
    <w:rsid w:val="70716758"/>
    <w:rsid w:val="707263E0"/>
    <w:rsid w:val="7072684B"/>
    <w:rsid w:val="70727B8C"/>
    <w:rsid w:val="70730722"/>
    <w:rsid w:val="707324D0"/>
    <w:rsid w:val="70741DA4"/>
    <w:rsid w:val="7075449A"/>
    <w:rsid w:val="70756248"/>
    <w:rsid w:val="70757FF6"/>
    <w:rsid w:val="70763D6E"/>
    <w:rsid w:val="70773A4E"/>
    <w:rsid w:val="70780034"/>
    <w:rsid w:val="7078022E"/>
    <w:rsid w:val="707877FD"/>
    <w:rsid w:val="707A560C"/>
    <w:rsid w:val="707B1384"/>
    <w:rsid w:val="707B2A40"/>
    <w:rsid w:val="707B3132"/>
    <w:rsid w:val="707C4880"/>
    <w:rsid w:val="707D0D1C"/>
    <w:rsid w:val="707E7F1A"/>
    <w:rsid w:val="707F2C23"/>
    <w:rsid w:val="70820965"/>
    <w:rsid w:val="70822713"/>
    <w:rsid w:val="708244C1"/>
    <w:rsid w:val="70833D8C"/>
    <w:rsid w:val="7084648B"/>
    <w:rsid w:val="708566AC"/>
    <w:rsid w:val="70857DED"/>
    <w:rsid w:val="70862203"/>
    <w:rsid w:val="708625A6"/>
    <w:rsid w:val="70866DD2"/>
    <w:rsid w:val="708741CD"/>
    <w:rsid w:val="70875F7B"/>
    <w:rsid w:val="70876170"/>
    <w:rsid w:val="708A108E"/>
    <w:rsid w:val="708A15C7"/>
    <w:rsid w:val="708A18B9"/>
    <w:rsid w:val="708B5A6B"/>
    <w:rsid w:val="708B7819"/>
    <w:rsid w:val="708C3591"/>
    <w:rsid w:val="708D657F"/>
    <w:rsid w:val="70912956"/>
    <w:rsid w:val="70922E09"/>
    <w:rsid w:val="70944D11"/>
    <w:rsid w:val="70952446"/>
    <w:rsid w:val="709541F4"/>
    <w:rsid w:val="7096180D"/>
    <w:rsid w:val="70981F36"/>
    <w:rsid w:val="709A5CAE"/>
    <w:rsid w:val="709B5583"/>
    <w:rsid w:val="709C4929"/>
    <w:rsid w:val="709D579F"/>
    <w:rsid w:val="709D754D"/>
    <w:rsid w:val="709F5073"/>
    <w:rsid w:val="70A032B4"/>
    <w:rsid w:val="70A03E95"/>
    <w:rsid w:val="70A1703D"/>
    <w:rsid w:val="70A22DB5"/>
    <w:rsid w:val="70A26911"/>
    <w:rsid w:val="70A307A5"/>
    <w:rsid w:val="70A41C35"/>
    <w:rsid w:val="70A57D23"/>
    <w:rsid w:val="70A64653"/>
    <w:rsid w:val="70A703CB"/>
    <w:rsid w:val="70A72179"/>
    <w:rsid w:val="70A73F27"/>
    <w:rsid w:val="70A81520"/>
    <w:rsid w:val="70A94143"/>
    <w:rsid w:val="70A95EF1"/>
    <w:rsid w:val="70AB062A"/>
    <w:rsid w:val="70AB3A18"/>
    <w:rsid w:val="70AB7EBB"/>
    <w:rsid w:val="70AC7790"/>
    <w:rsid w:val="70AD6ED1"/>
    <w:rsid w:val="70AD75A8"/>
    <w:rsid w:val="70AE3508"/>
    <w:rsid w:val="70AE52B6"/>
    <w:rsid w:val="70B14DA6"/>
    <w:rsid w:val="70B2124A"/>
    <w:rsid w:val="70B34FC2"/>
    <w:rsid w:val="70B4172A"/>
    <w:rsid w:val="70B52AE8"/>
    <w:rsid w:val="70B56644"/>
    <w:rsid w:val="70B623BC"/>
    <w:rsid w:val="70B76860"/>
    <w:rsid w:val="70B77CB7"/>
    <w:rsid w:val="70B825D8"/>
    <w:rsid w:val="70BB15FC"/>
    <w:rsid w:val="70BE7F7D"/>
    <w:rsid w:val="70BF5715"/>
    <w:rsid w:val="70C1323B"/>
    <w:rsid w:val="70C25205"/>
    <w:rsid w:val="70C40F7D"/>
    <w:rsid w:val="70C42D2B"/>
    <w:rsid w:val="70C66AA3"/>
    <w:rsid w:val="70C83C00"/>
    <w:rsid w:val="70C920F0"/>
    <w:rsid w:val="70C93752"/>
    <w:rsid w:val="70C9572D"/>
    <w:rsid w:val="70C95D47"/>
    <w:rsid w:val="70C96594"/>
    <w:rsid w:val="70CA3C94"/>
    <w:rsid w:val="70CA7EEF"/>
    <w:rsid w:val="70CB40BA"/>
    <w:rsid w:val="70CC0E40"/>
    <w:rsid w:val="70CD6084"/>
    <w:rsid w:val="70CF1C9F"/>
    <w:rsid w:val="70D00C51"/>
    <w:rsid w:val="70D016D0"/>
    <w:rsid w:val="70D04D21"/>
    <w:rsid w:val="70D171F6"/>
    <w:rsid w:val="70D2369A"/>
    <w:rsid w:val="70D34D1C"/>
    <w:rsid w:val="70D50A94"/>
    <w:rsid w:val="70D518B9"/>
    <w:rsid w:val="70D70CB1"/>
    <w:rsid w:val="70D72A5F"/>
    <w:rsid w:val="70D73D54"/>
    <w:rsid w:val="70D80585"/>
    <w:rsid w:val="70D94A29"/>
    <w:rsid w:val="70D95706"/>
    <w:rsid w:val="70DA254F"/>
    <w:rsid w:val="70DA42FD"/>
    <w:rsid w:val="70DA4E7A"/>
    <w:rsid w:val="70DE203F"/>
    <w:rsid w:val="70DF1913"/>
    <w:rsid w:val="70DF24AF"/>
    <w:rsid w:val="70DF72B6"/>
    <w:rsid w:val="70E1568B"/>
    <w:rsid w:val="70E21403"/>
    <w:rsid w:val="70E330C2"/>
    <w:rsid w:val="70E433CD"/>
    <w:rsid w:val="70E46F2A"/>
    <w:rsid w:val="70E60FFB"/>
    <w:rsid w:val="70E62CA2"/>
    <w:rsid w:val="70E707C8"/>
    <w:rsid w:val="70E84C6C"/>
    <w:rsid w:val="70E94540"/>
    <w:rsid w:val="70E969BD"/>
    <w:rsid w:val="70EB475C"/>
    <w:rsid w:val="70EB650A"/>
    <w:rsid w:val="70EC2440"/>
    <w:rsid w:val="70EC5DDE"/>
    <w:rsid w:val="70ED2282"/>
    <w:rsid w:val="70EE56A9"/>
    <w:rsid w:val="70EF1F9B"/>
    <w:rsid w:val="70F02B89"/>
    <w:rsid w:val="70F03B20"/>
    <w:rsid w:val="70F133F4"/>
    <w:rsid w:val="70F21646"/>
    <w:rsid w:val="70F4178D"/>
    <w:rsid w:val="70F44F53"/>
    <w:rsid w:val="70F45858"/>
    <w:rsid w:val="70F57389"/>
    <w:rsid w:val="70F936D9"/>
    <w:rsid w:val="70F96E79"/>
    <w:rsid w:val="70FA04FB"/>
    <w:rsid w:val="70FA499F"/>
    <w:rsid w:val="70FA674D"/>
    <w:rsid w:val="70FD0CB3"/>
    <w:rsid w:val="70FF2AA0"/>
    <w:rsid w:val="70FF5B11"/>
    <w:rsid w:val="70FF68A0"/>
    <w:rsid w:val="7101188A"/>
    <w:rsid w:val="71033854"/>
    <w:rsid w:val="71033AE0"/>
    <w:rsid w:val="71045729"/>
    <w:rsid w:val="7104645B"/>
    <w:rsid w:val="71063344"/>
    <w:rsid w:val="71066EA0"/>
    <w:rsid w:val="71080E6A"/>
    <w:rsid w:val="710870BC"/>
    <w:rsid w:val="71094BE2"/>
    <w:rsid w:val="710B095A"/>
    <w:rsid w:val="710B2708"/>
    <w:rsid w:val="710D5340"/>
    <w:rsid w:val="710E21F8"/>
    <w:rsid w:val="710E3FA6"/>
    <w:rsid w:val="71107D1F"/>
    <w:rsid w:val="71125845"/>
    <w:rsid w:val="711315BD"/>
    <w:rsid w:val="7113780F"/>
    <w:rsid w:val="71141101"/>
    <w:rsid w:val="71141F49"/>
    <w:rsid w:val="71155335"/>
    <w:rsid w:val="71156835"/>
    <w:rsid w:val="711772FF"/>
    <w:rsid w:val="711B4938"/>
    <w:rsid w:val="711C66C3"/>
    <w:rsid w:val="711D243B"/>
    <w:rsid w:val="711F7F62"/>
    <w:rsid w:val="71201B54"/>
    <w:rsid w:val="71202A4F"/>
    <w:rsid w:val="7121017E"/>
    <w:rsid w:val="712121C3"/>
    <w:rsid w:val="71213793"/>
    <w:rsid w:val="71213CDA"/>
    <w:rsid w:val="71233EF6"/>
    <w:rsid w:val="71237A52"/>
    <w:rsid w:val="71241A1C"/>
    <w:rsid w:val="712437CA"/>
    <w:rsid w:val="712505BB"/>
    <w:rsid w:val="71257C6E"/>
    <w:rsid w:val="712612F0"/>
    <w:rsid w:val="71265794"/>
    <w:rsid w:val="71272C29"/>
    <w:rsid w:val="71272EDB"/>
    <w:rsid w:val="7128150C"/>
    <w:rsid w:val="71296F3C"/>
    <w:rsid w:val="712B442D"/>
    <w:rsid w:val="712B6906"/>
    <w:rsid w:val="712C417C"/>
    <w:rsid w:val="712D0A98"/>
    <w:rsid w:val="712E4F10"/>
    <w:rsid w:val="713003C1"/>
    <w:rsid w:val="7130216F"/>
    <w:rsid w:val="71316B5E"/>
    <w:rsid w:val="71324139"/>
    <w:rsid w:val="7134404F"/>
    <w:rsid w:val="71347EB1"/>
    <w:rsid w:val="71353C29"/>
    <w:rsid w:val="71357785"/>
    <w:rsid w:val="713729D0"/>
    <w:rsid w:val="713752AB"/>
    <w:rsid w:val="713855A1"/>
    <w:rsid w:val="713954C7"/>
    <w:rsid w:val="713A2B8B"/>
    <w:rsid w:val="713A4D9B"/>
    <w:rsid w:val="713B3810"/>
    <w:rsid w:val="713C0B14"/>
    <w:rsid w:val="713C3C71"/>
    <w:rsid w:val="713C4FB8"/>
    <w:rsid w:val="713E2ADE"/>
    <w:rsid w:val="713E488C"/>
    <w:rsid w:val="713F0604"/>
    <w:rsid w:val="713F6856"/>
    <w:rsid w:val="714025F2"/>
    <w:rsid w:val="71413A82"/>
    <w:rsid w:val="7141612A"/>
    <w:rsid w:val="714275DF"/>
    <w:rsid w:val="71431EA2"/>
    <w:rsid w:val="71445BB4"/>
    <w:rsid w:val="71445C1A"/>
    <w:rsid w:val="71456753"/>
    <w:rsid w:val="71467BE4"/>
    <w:rsid w:val="7148395C"/>
    <w:rsid w:val="71483A5B"/>
    <w:rsid w:val="7148570A"/>
    <w:rsid w:val="71493231"/>
    <w:rsid w:val="714A76D4"/>
    <w:rsid w:val="714B0D57"/>
    <w:rsid w:val="714B51FB"/>
    <w:rsid w:val="714D4ACF"/>
    <w:rsid w:val="714D4BF6"/>
    <w:rsid w:val="714E77C7"/>
    <w:rsid w:val="714F4CEB"/>
    <w:rsid w:val="714F6A99"/>
    <w:rsid w:val="71500A63"/>
    <w:rsid w:val="71502811"/>
    <w:rsid w:val="71502BC1"/>
    <w:rsid w:val="71506EBD"/>
    <w:rsid w:val="71535E5D"/>
    <w:rsid w:val="71542301"/>
    <w:rsid w:val="71542F0C"/>
    <w:rsid w:val="715440AF"/>
    <w:rsid w:val="71553388"/>
    <w:rsid w:val="71555F59"/>
    <w:rsid w:val="715746EA"/>
    <w:rsid w:val="7158344A"/>
    <w:rsid w:val="715A543E"/>
    <w:rsid w:val="715A71EC"/>
    <w:rsid w:val="715C2272"/>
    <w:rsid w:val="715C2F64"/>
    <w:rsid w:val="715F2A54"/>
    <w:rsid w:val="715F4802"/>
    <w:rsid w:val="715F4C23"/>
    <w:rsid w:val="71600CA6"/>
    <w:rsid w:val="7161057A"/>
    <w:rsid w:val="716167CC"/>
    <w:rsid w:val="71632544"/>
    <w:rsid w:val="716772D6"/>
    <w:rsid w:val="7168518F"/>
    <w:rsid w:val="71686ACA"/>
    <w:rsid w:val="71687B5B"/>
    <w:rsid w:val="71695ED3"/>
    <w:rsid w:val="7169742F"/>
    <w:rsid w:val="716A38D3"/>
    <w:rsid w:val="716A585F"/>
    <w:rsid w:val="716B2939"/>
    <w:rsid w:val="716B31A7"/>
    <w:rsid w:val="716D33C3"/>
    <w:rsid w:val="716E0241"/>
    <w:rsid w:val="716F0EE9"/>
    <w:rsid w:val="716F2C97"/>
    <w:rsid w:val="71704C61"/>
    <w:rsid w:val="71724535"/>
    <w:rsid w:val="71726BC2"/>
    <w:rsid w:val="71733A89"/>
    <w:rsid w:val="71736911"/>
    <w:rsid w:val="717402AD"/>
    <w:rsid w:val="71744751"/>
    <w:rsid w:val="717464FF"/>
    <w:rsid w:val="71754026"/>
    <w:rsid w:val="71756AF0"/>
    <w:rsid w:val="717604C9"/>
    <w:rsid w:val="71777D9E"/>
    <w:rsid w:val="717812F3"/>
    <w:rsid w:val="71790C87"/>
    <w:rsid w:val="71792783"/>
    <w:rsid w:val="71793B16"/>
    <w:rsid w:val="71795354"/>
    <w:rsid w:val="717958C4"/>
    <w:rsid w:val="717A1D8A"/>
    <w:rsid w:val="717B5AE0"/>
    <w:rsid w:val="717D2594"/>
    <w:rsid w:val="717E2EDA"/>
    <w:rsid w:val="71810C1C"/>
    <w:rsid w:val="71823031"/>
    <w:rsid w:val="71836406"/>
    <w:rsid w:val="71836742"/>
    <w:rsid w:val="71844269"/>
    <w:rsid w:val="71865B23"/>
    <w:rsid w:val="71866233"/>
    <w:rsid w:val="71871BBF"/>
    <w:rsid w:val="71876217"/>
    <w:rsid w:val="718801FD"/>
    <w:rsid w:val="71881FAB"/>
    <w:rsid w:val="71892278"/>
    <w:rsid w:val="718A5D23"/>
    <w:rsid w:val="718F158B"/>
    <w:rsid w:val="718F50E7"/>
    <w:rsid w:val="718F6E95"/>
    <w:rsid w:val="71902C0D"/>
    <w:rsid w:val="719109C6"/>
    <w:rsid w:val="71926986"/>
    <w:rsid w:val="719374FA"/>
    <w:rsid w:val="71943567"/>
    <w:rsid w:val="7194581F"/>
    <w:rsid w:val="71946BA2"/>
    <w:rsid w:val="71950224"/>
    <w:rsid w:val="7196459D"/>
    <w:rsid w:val="719646C8"/>
    <w:rsid w:val="719B7F30"/>
    <w:rsid w:val="719C7EFF"/>
    <w:rsid w:val="719E6C6B"/>
    <w:rsid w:val="71A05546"/>
    <w:rsid w:val="71A072F4"/>
    <w:rsid w:val="71A33A8D"/>
    <w:rsid w:val="71A36DE5"/>
    <w:rsid w:val="71A52B5D"/>
    <w:rsid w:val="71A5490B"/>
    <w:rsid w:val="71A56B0C"/>
    <w:rsid w:val="71A768D5"/>
    <w:rsid w:val="71A816D6"/>
    <w:rsid w:val="71A843FB"/>
    <w:rsid w:val="71A861A9"/>
    <w:rsid w:val="71AA3CCF"/>
    <w:rsid w:val="71AB5C99"/>
    <w:rsid w:val="71AB6D53"/>
    <w:rsid w:val="71AC3EEB"/>
    <w:rsid w:val="71AD1A11"/>
    <w:rsid w:val="71AE2B03"/>
    <w:rsid w:val="71AE2EBA"/>
    <w:rsid w:val="71AF5789"/>
    <w:rsid w:val="71AF7537"/>
    <w:rsid w:val="71B05423"/>
    <w:rsid w:val="71B05A96"/>
    <w:rsid w:val="71B1246E"/>
    <w:rsid w:val="71B20DD6"/>
    <w:rsid w:val="71B33DA4"/>
    <w:rsid w:val="71B72890"/>
    <w:rsid w:val="71B7463E"/>
    <w:rsid w:val="71B763EC"/>
    <w:rsid w:val="71B76E08"/>
    <w:rsid w:val="71B92164"/>
    <w:rsid w:val="71BA448C"/>
    <w:rsid w:val="71BC7EA6"/>
    <w:rsid w:val="71BD1168"/>
    <w:rsid w:val="71BD61D2"/>
    <w:rsid w:val="71BE0EB7"/>
    <w:rsid w:val="71BE59CD"/>
    <w:rsid w:val="71C01745"/>
    <w:rsid w:val="71C13783"/>
    <w:rsid w:val="71C14B7C"/>
    <w:rsid w:val="71C1726B"/>
    <w:rsid w:val="71C22190"/>
    <w:rsid w:val="71C254BD"/>
    <w:rsid w:val="71C31235"/>
    <w:rsid w:val="71C32331"/>
    <w:rsid w:val="71C40A1E"/>
    <w:rsid w:val="71C50B09"/>
    <w:rsid w:val="71C70D25"/>
    <w:rsid w:val="71C823A7"/>
    <w:rsid w:val="71CA25C3"/>
    <w:rsid w:val="71CB1E97"/>
    <w:rsid w:val="71CC00E9"/>
    <w:rsid w:val="71CC4590"/>
    <w:rsid w:val="71CD285F"/>
    <w:rsid w:val="71CD3E62"/>
    <w:rsid w:val="71CD79BE"/>
    <w:rsid w:val="71CE71C3"/>
    <w:rsid w:val="71CF7BDA"/>
    <w:rsid w:val="71D05FEA"/>
    <w:rsid w:val="71D15700"/>
    <w:rsid w:val="71D376CA"/>
    <w:rsid w:val="71D451F0"/>
    <w:rsid w:val="71D55CAE"/>
    <w:rsid w:val="71D60F68"/>
    <w:rsid w:val="71D62D16"/>
    <w:rsid w:val="71D64AC4"/>
    <w:rsid w:val="71D7319F"/>
    <w:rsid w:val="71D76A8E"/>
    <w:rsid w:val="71D92806"/>
    <w:rsid w:val="71D92AF9"/>
    <w:rsid w:val="71D95ABF"/>
    <w:rsid w:val="71DA0690"/>
    <w:rsid w:val="71DB032D"/>
    <w:rsid w:val="71DB20DB"/>
    <w:rsid w:val="71DC5E53"/>
    <w:rsid w:val="71DD11C4"/>
    <w:rsid w:val="71DD7011"/>
    <w:rsid w:val="71DE1BCB"/>
    <w:rsid w:val="71DE606F"/>
    <w:rsid w:val="71E01DE7"/>
    <w:rsid w:val="71E1345E"/>
    <w:rsid w:val="71E31742"/>
    <w:rsid w:val="71E33685"/>
    <w:rsid w:val="71E44313"/>
    <w:rsid w:val="71E573FD"/>
    <w:rsid w:val="71E57D58"/>
    <w:rsid w:val="71E60A7F"/>
    <w:rsid w:val="71E6622D"/>
    <w:rsid w:val="71E70338"/>
    <w:rsid w:val="71E72C94"/>
    <w:rsid w:val="71E73175"/>
    <w:rsid w:val="71E739C4"/>
    <w:rsid w:val="71E955B4"/>
    <w:rsid w:val="71EA0570"/>
    <w:rsid w:val="71EA3A84"/>
    <w:rsid w:val="71EA67C2"/>
    <w:rsid w:val="71EC253A"/>
    <w:rsid w:val="71EC42E8"/>
    <w:rsid w:val="71EF202A"/>
    <w:rsid w:val="71EF3DD8"/>
    <w:rsid w:val="71F02ED3"/>
    <w:rsid w:val="71F16917"/>
    <w:rsid w:val="71F17B50"/>
    <w:rsid w:val="71F25676"/>
    <w:rsid w:val="71F4319C"/>
    <w:rsid w:val="71F47640"/>
    <w:rsid w:val="71F52639"/>
    <w:rsid w:val="71F65166"/>
    <w:rsid w:val="71F71048"/>
    <w:rsid w:val="71F94C57"/>
    <w:rsid w:val="71F96A05"/>
    <w:rsid w:val="71FA364F"/>
    <w:rsid w:val="71FA7C7A"/>
    <w:rsid w:val="71FB09CF"/>
    <w:rsid w:val="71FB277D"/>
    <w:rsid w:val="71FC4233"/>
    <w:rsid w:val="71FD5767"/>
    <w:rsid w:val="71FD64F5"/>
    <w:rsid w:val="71FE04BF"/>
    <w:rsid w:val="72001B41"/>
    <w:rsid w:val="720158B9"/>
    <w:rsid w:val="72021D5D"/>
    <w:rsid w:val="72024CCB"/>
    <w:rsid w:val="7203542C"/>
    <w:rsid w:val="7205184D"/>
    <w:rsid w:val="720535FB"/>
    <w:rsid w:val="72071122"/>
    <w:rsid w:val="72081FCD"/>
    <w:rsid w:val="72090A0E"/>
    <w:rsid w:val="720A6E64"/>
    <w:rsid w:val="720C498A"/>
    <w:rsid w:val="720C6738"/>
    <w:rsid w:val="720D3A76"/>
    <w:rsid w:val="720E0702"/>
    <w:rsid w:val="720F447A"/>
    <w:rsid w:val="72103E48"/>
    <w:rsid w:val="721101F2"/>
    <w:rsid w:val="72111FA0"/>
    <w:rsid w:val="72113D4E"/>
    <w:rsid w:val="72121874"/>
    <w:rsid w:val="72127AC6"/>
    <w:rsid w:val="72141A90"/>
    <w:rsid w:val="72146BC2"/>
    <w:rsid w:val="721675B7"/>
    <w:rsid w:val="72170632"/>
    <w:rsid w:val="72172954"/>
    <w:rsid w:val="721750DD"/>
    <w:rsid w:val="72192C03"/>
    <w:rsid w:val="72192F52"/>
    <w:rsid w:val="721970A7"/>
    <w:rsid w:val="721B2E1F"/>
    <w:rsid w:val="721C0443"/>
    <w:rsid w:val="721D26F3"/>
    <w:rsid w:val="721E46BD"/>
    <w:rsid w:val="721F0505"/>
    <w:rsid w:val="72200254"/>
    <w:rsid w:val="72200435"/>
    <w:rsid w:val="72203F91"/>
    <w:rsid w:val="72213E66"/>
    <w:rsid w:val="72225745"/>
    <w:rsid w:val="72227D09"/>
    <w:rsid w:val="72233A82"/>
    <w:rsid w:val="722515A8"/>
    <w:rsid w:val="72255A4C"/>
    <w:rsid w:val="72263119"/>
    <w:rsid w:val="722717C4"/>
    <w:rsid w:val="72273530"/>
    <w:rsid w:val="72273572"/>
    <w:rsid w:val="72281098"/>
    <w:rsid w:val="722851A2"/>
    <w:rsid w:val="7229553C"/>
    <w:rsid w:val="722A3062"/>
    <w:rsid w:val="722A4E10"/>
    <w:rsid w:val="722C6DDA"/>
    <w:rsid w:val="722E4900"/>
    <w:rsid w:val="722F148A"/>
    <w:rsid w:val="722F68CA"/>
    <w:rsid w:val="72312642"/>
    <w:rsid w:val="723143F0"/>
    <w:rsid w:val="7231619E"/>
    <w:rsid w:val="723201D8"/>
    <w:rsid w:val="72343EE1"/>
    <w:rsid w:val="72347A3D"/>
    <w:rsid w:val="72367553"/>
    <w:rsid w:val="723839D1"/>
    <w:rsid w:val="7238577F"/>
    <w:rsid w:val="7238752D"/>
    <w:rsid w:val="723914F7"/>
    <w:rsid w:val="723932A5"/>
    <w:rsid w:val="723E08BB"/>
    <w:rsid w:val="723E2669"/>
    <w:rsid w:val="723E4E76"/>
    <w:rsid w:val="723F4C6C"/>
    <w:rsid w:val="724063E2"/>
    <w:rsid w:val="72442376"/>
    <w:rsid w:val="72444124"/>
    <w:rsid w:val="72451C4A"/>
    <w:rsid w:val="72457067"/>
    <w:rsid w:val="72457E9C"/>
    <w:rsid w:val="72461F6E"/>
    <w:rsid w:val="724759C2"/>
    <w:rsid w:val="724834E8"/>
    <w:rsid w:val="72493B56"/>
    <w:rsid w:val="724A54B2"/>
    <w:rsid w:val="724A7260"/>
    <w:rsid w:val="724B1182"/>
    <w:rsid w:val="724B406A"/>
    <w:rsid w:val="724C4D86"/>
    <w:rsid w:val="724F0D1A"/>
    <w:rsid w:val="724F4877"/>
    <w:rsid w:val="725125F7"/>
    <w:rsid w:val="72521C52"/>
    <w:rsid w:val="72525067"/>
    <w:rsid w:val="725327A6"/>
    <w:rsid w:val="72534572"/>
    <w:rsid w:val="72565C05"/>
    <w:rsid w:val="7258372B"/>
    <w:rsid w:val="725956F5"/>
    <w:rsid w:val="725B1992"/>
    <w:rsid w:val="725B321B"/>
    <w:rsid w:val="725C102F"/>
    <w:rsid w:val="725D3437"/>
    <w:rsid w:val="725E2D0C"/>
    <w:rsid w:val="725E4CB3"/>
    <w:rsid w:val="725E6514"/>
    <w:rsid w:val="725E6E7E"/>
    <w:rsid w:val="725F0F5E"/>
    <w:rsid w:val="72604CD6"/>
    <w:rsid w:val="72640322"/>
    <w:rsid w:val="72655E48"/>
    <w:rsid w:val="72664129"/>
    <w:rsid w:val="726755B9"/>
    <w:rsid w:val="72677E12"/>
    <w:rsid w:val="726860D8"/>
    <w:rsid w:val="72693B8A"/>
    <w:rsid w:val="72695938"/>
    <w:rsid w:val="726A16B0"/>
    <w:rsid w:val="726A2AAA"/>
    <w:rsid w:val="726A345E"/>
    <w:rsid w:val="726C367A"/>
    <w:rsid w:val="726E28BB"/>
    <w:rsid w:val="726E2F4F"/>
    <w:rsid w:val="726F4F19"/>
    <w:rsid w:val="7270316B"/>
    <w:rsid w:val="727051DB"/>
    <w:rsid w:val="72712A3F"/>
    <w:rsid w:val="727644F9"/>
    <w:rsid w:val="727662A7"/>
    <w:rsid w:val="727748A5"/>
    <w:rsid w:val="727774C2"/>
    <w:rsid w:val="7278201F"/>
    <w:rsid w:val="72784DFD"/>
    <w:rsid w:val="727A0E5E"/>
    <w:rsid w:val="727A179E"/>
    <w:rsid w:val="727B22EE"/>
    <w:rsid w:val="727D3192"/>
    <w:rsid w:val="727E1F3E"/>
    <w:rsid w:val="727E5137"/>
    <w:rsid w:val="727F515C"/>
    <w:rsid w:val="727F7783"/>
    <w:rsid w:val="72800ED4"/>
    <w:rsid w:val="72822E9E"/>
    <w:rsid w:val="72834520"/>
    <w:rsid w:val="72842772"/>
    <w:rsid w:val="7285473C"/>
    <w:rsid w:val="728576B2"/>
    <w:rsid w:val="72871FD2"/>
    <w:rsid w:val="72873175"/>
    <w:rsid w:val="72874010"/>
    <w:rsid w:val="72895FDA"/>
    <w:rsid w:val="72897D89"/>
    <w:rsid w:val="728A3B01"/>
    <w:rsid w:val="728B1D53"/>
    <w:rsid w:val="728D1118"/>
    <w:rsid w:val="728D72D4"/>
    <w:rsid w:val="728E26A0"/>
    <w:rsid w:val="728E35F1"/>
    <w:rsid w:val="728F1117"/>
    <w:rsid w:val="728F210F"/>
    <w:rsid w:val="72906B75"/>
    <w:rsid w:val="72914E8F"/>
    <w:rsid w:val="72916C3D"/>
    <w:rsid w:val="72930C07"/>
    <w:rsid w:val="72930E12"/>
    <w:rsid w:val="72936E59"/>
    <w:rsid w:val="72964253"/>
    <w:rsid w:val="7297468D"/>
    <w:rsid w:val="7298446F"/>
    <w:rsid w:val="72987968"/>
    <w:rsid w:val="72987FCC"/>
    <w:rsid w:val="72996FB8"/>
    <w:rsid w:val="729A3D44"/>
    <w:rsid w:val="729B1591"/>
    <w:rsid w:val="729C1302"/>
    <w:rsid w:val="729C45C6"/>
    <w:rsid w:val="729C51E9"/>
    <w:rsid w:val="729D1A86"/>
    <w:rsid w:val="729D3834"/>
    <w:rsid w:val="72A050D2"/>
    <w:rsid w:val="72A15888"/>
    <w:rsid w:val="72A32C3B"/>
    <w:rsid w:val="72A5093A"/>
    <w:rsid w:val="72A5555B"/>
    <w:rsid w:val="72A603C4"/>
    <w:rsid w:val="72A72A4C"/>
    <w:rsid w:val="72A72D20"/>
    <w:rsid w:val="72A746B3"/>
    <w:rsid w:val="72A9042B"/>
    <w:rsid w:val="72A921D9"/>
    <w:rsid w:val="72AA4262"/>
    <w:rsid w:val="72AA7CFF"/>
    <w:rsid w:val="72AB72EF"/>
    <w:rsid w:val="72AE5A41"/>
    <w:rsid w:val="72AF5315"/>
    <w:rsid w:val="72B02181"/>
    <w:rsid w:val="72B0266E"/>
    <w:rsid w:val="72B13AFE"/>
    <w:rsid w:val="72B33057"/>
    <w:rsid w:val="72B50B7E"/>
    <w:rsid w:val="72B55021"/>
    <w:rsid w:val="72B56DCF"/>
    <w:rsid w:val="72B648F6"/>
    <w:rsid w:val="72B664E0"/>
    <w:rsid w:val="72B8241C"/>
    <w:rsid w:val="72BA43E6"/>
    <w:rsid w:val="72BA6194"/>
    <w:rsid w:val="72BB3CBA"/>
    <w:rsid w:val="72BC463F"/>
    <w:rsid w:val="72BD3ED6"/>
    <w:rsid w:val="72BF7C4E"/>
    <w:rsid w:val="72C04D99"/>
    <w:rsid w:val="72C135F3"/>
    <w:rsid w:val="72C27654"/>
    <w:rsid w:val="72C30AE4"/>
    <w:rsid w:val="72C54B39"/>
    <w:rsid w:val="72C62D8B"/>
    <w:rsid w:val="72C66DB1"/>
    <w:rsid w:val="72C708B1"/>
    <w:rsid w:val="72C94629"/>
    <w:rsid w:val="72C96FEA"/>
    <w:rsid w:val="72C97A08"/>
    <w:rsid w:val="72CA5DE6"/>
    <w:rsid w:val="72CC236B"/>
    <w:rsid w:val="72CC5EC7"/>
    <w:rsid w:val="72CD3391"/>
    <w:rsid w:val="72CE60E3"/>
    <w:rsid w:val="72CE7E91"/>
    <w:rsid w:val="72D11266"/>
    <w:rsid w:val="72D21E75"/>
    <w:rsid w:val="72D27981"/>
    <w:rsid w:val="72D336FA"/>
    <w:rsid w:val="72D36C04"/>
    <w:rsid w:val="72D50EC3"/>
    <w:rsid w:val="72D52FCE"/>
    <w:rsid w:val="72D54D7C"/>
    <w:rsid w:val="72D57472"/>
    <w:rsid w:val="72D80D10"/>
    <w:rsid w:val="72D8486C"/>
    <w:rsid w:val="72D97771"/>
    <w:rsid w:val="72DB435C"/>
    <w:rsid w:val="72DB562A"/>
    <w:rsid w:val="72E06587"/>
    <w:rsid w:val="72E12933"/>
    <w:rsid w:val="72E12BDD"/>
    <w:rsid w:val="72E15E16"/>
    <w:rsid w:val="72E212D9"/>
    <w:rsid w:val="72E2393D"/>
    <w:rsid w:val="72E43211"/>
    <w:rsid w:val="72E509D8"/>
    <w:rsid w:val="72E529EE"/>
    <w:rsid w:val="72E6342D"/>
    <w:rsid w:val="72E72D01"/>
    <w:rsid w:val="72E96A79"/>
    <w:rsid w:val="72E97C2E"/>
    <w:rsid w:val="72EB0A43"/>
    <w:rsid w:val="72EB27F1"/>
    <w:rsid w:val="72EC6569"/>
    <w:rsid w:val="72EC6E5A"/>
    <w:rsid w:val="72EE0533"/>
    <w:rsid w:val="72EE5E3E"/>
    <w:rsid w:val="72F052AF"/>
    <w:rsid w:val="72F0605A"/>
    <w:rsid w:val="72F1071E"/>
    <w:rsid w:val="72F136C1"/>
    <w:rsid w:val="72F1559A"/>
    <w:rsid w:val="72F1592E"/>
    <w:rsid w:val="72F21DD2"/>
    <w:rsid w:val="72F24638"/>
    <w:rsid w:val="72F316A6"/>
    <w:rsid w:val="72F338B1"/>
    <w:rsid w:val="72F36482"/>
    <w:rsid w:val="72F378F8"/>
    <w:rsid w:val="72F50DA2"/>
    <w:rsid w:val="72F53670"/>
    <w:rsid w:val="72F54098"/>
    <w:rsid w:val="72F5541E"/>
    <w:rsid w:val="72F64EA9"/>
    <w:rsid w:val="72F773E8"/>
    <w:rsid w:val="72F85AD1"/>
    <w:rsid w:val="72F87110"/>
    <w:rsid w:val="72F97425"/>
    <w:rsid w:val="72FA0C86"/>
    <w:rsid w:val="72FA6ED8"/>
    <w:rsid w:val="72FC49FE"/>
    <w:rsid w:val="72FC60A4"/>
    <w:rsid w:val="72FD0776"/>
    <w:rsid w:val="730074EB"/>
    <w:rsid w:val="73013FFB"/>
    <w:rsid w:val="73014ED1"/>
    <w:rsid w:val="73025D8D"/>
    <w:rsid w:val="73027B3B"/>
    <w:rsid w:val="730438B3"/>
    <w:rsid w:val="730613D9"/>
    <w:rsid w:val="730622E3"/>
    <w:rsid w:val="73063468"/>
    <w:rsid w:val="7306587D"/>
    <w:rsid w:val="7306762B"/>
    <w:rsid w:val="73070F3B"/>
    <w:rsid w:val="73076EFF"/>
    <w:rsid w:val="730833A3"/>
    <w:rsid w:val="730B4C41"/>
    <w:rsid w:val="730D6C0C"/>
    <w:rsid w:val="731004AA"/>
    <w:rsid w:val="731010D7"/>
    <w:rsid w:val="731036B8"/>
    <w:rsid w:val="73107E21"/>
    <w:rsid w:val="73133AF6"/>
    <w:rsid w:val="731358A4"/>
    <w:rsid w:val="73171838"/>
    <w:rsid w:val="731755C9"/>
    <w:rsid w:val="7318735E"/>
    <w:rsid w:val="7319019D"/>
    <w:rsid w:val="731955B0"/>
    <w:rsid w:val="731A162D"/>
    <w:rsid w:val="731A30D6"/>
    <w:rsid w:val="731A6C33"/>
    <w:rsid w:val="731C1343"/>
    <w:rsid w:val="731C29AB"/>
    <w:rsid w:val="731C6E4F"/>
    <w:rsid w:val="731D4975"/>
    <w:rsid w:val="731D6723"/>
    <w:rsid w:val="731E2BC7"/>
    <w:rsid w:val="731E3A64"/>
    <w:rsid w:val="731F2B02"/>
    <w:rsid w:val="731F693F"/>
    <w:rsid w:val="73214465"/>
    <w:rsid w:val="73223D39"/>
    <w:rsid w:val="73243F55"/>
    <w:rsid w:val="732452B0"/>
    <w:rsid w:val="73245D03"/>
    <w:rsid w:val="73246903"/>
    <w:rsid w:val="73247AB1"/>
    <w:rsid w:val="73261A7B"/>
    <w:rsid w:val="73263829"/>
    <w:rsid w:val="73267CCD"/>
    <w:rsid w:val="732857F3"/>
    <w:rsid w:val="732A31CF"/>
    <w:rsid w:val="732D2E0A"/>
    <w:rsid w:val="732D368E"/>
    <w:rsid w:val="732D7989"/>
    <w:rsid w:val="732E0930"/>
    <w:rsid w:val="732E26DE"/>
    <w:rsid w:val="732E60FE"/>
    <w:rsid w:val="732E6B82"/>
    <w:rsid w:val="733028FA"/>
    <w:rsid w:val="73304F94"/>
    <w:rsid w:val="73320420"/>
    <w:rsid w:val="73335F46"/>
    <w:rsid w:val="73353469"/>
    <w:rsid w:val="73364007"/>
    <w:rsid w:val="733676C5"/>
    <w:rsid w:val="73397A01"/>
    <w:rsid w:val="733A1083"/>
    <w:rsid w:val="733A51B9"/>
    <w:rsid w:val="733A72D5"/>
    <w:rsid w:val="733C4DFB"/>
    <w:rsid w:val="733C6B59"/>
    <w:rsid w:val="733D0B73"/>
    <w:rsid w:val="733F6699"/>
    <w:rsid w:val="73412411"/>
    <w:rsid w:val="734463A5"/>
    <w:rsid w:val="73471D8B"/>
    <w:rsid w:val="734819F2"/>
    <w:rsid w:val="73487C44"/>
    <w:rsid w:val="734946AB"/>
    <w:rsid w:val="7349727C"/>
    <w:rsid w:val="734A1A0D"/>
    <w:rsid w:val="734B14E2"/>
    <w:rsid w:val="734B3290"/>
    <w:rsid w:val="734B7734"/>
    <w:rsid w:val="734C3C73"/>
    <w:rsid w:val="734D525A"/>
    <w:rsid w:val="734E5C78"/>
    <w:rsid w:val="734E7E80"/>
    <w:rsid w:val="734F0FD2"/>
    <w:rsid w:val="73515A0E"/>
    <w:rsid w:val="7352461E"/>
    <w:rsid w:val="7352575D"/>
    <w:rsid w:val="73532145"/>
    <w:rsid w:val="735465E8"/>
    <w:rsid w:val="735540DE"/>
    <w:rsid w:val="73555EBD"/>
    <w:rsid w:val="73571880"/>
    <w:rsid w:val="73574C00"/>
    <w:rsid w:val="735760D9"/>
    <w:rsid w:val="73577E87"/>
    <w:rsid w:val="73593BFF"/>
    <w:rsid w:val="73593CC9"/>
    <w:rsid w:val="735A7977"/>
    <w:rsid w:val="735A7DBC"/>
    <w:rsid w:val="735C2367"/>
    <w:rsid w:val="735E1215"/>
    <w:rsid w:val="735E192B"/>
    <w:rsid w:val="735E5441"/>
    <w:rsid w:val="735E7467"/>
    <w:rsid w:val="735F09C0"/>
    <w:rsid w:val="73610D05"/>
    <w:rsid w:val="73614861"/>
    <w:rsid w:val="736312B3"/>
    <w:rsid w:val="736600CA"/>
    <w:rsid w:val="73682094"/>
    <w:rsid w:val="73685BF0"/>
    <w:rsid w:val="73697BBA"/>
    <w:rsid w:val="736A39E4"/>
    <w:rsid w:val="736B1B84"/>
    <w:rsid w:val="736B3932"/>
    <w:rsid w:val="736B748E"/>
    <w:rsid w:val="736D2365"/>
    <w:rsid w:val="736D3206"/>
    <w:rsid w:val="736D76AA"/>
    <w:rsid w:val="736E51D0"/>
    <w:rsid w:val="736F63C6"/>
    <w:rsid w:val="73701B05"/>
    <w:rsid w:val="73702CF6"/>
    <w:rsid w:val="73713864"/>
    <w:rsid w:val="73727F0B"/>
    <w:rsid w:val="73740A39"/>
    <w:rsid w:val="73746B46"/>
    <w:rsid w:val="737516C5"/>
    <w:rsid w:val="73751E5F"/>
    <w:rsid w:val="737547B1"/>
    <w:rsid w:val="73774085"/>
    <w:rsid w:val="73784374"/>
    <w:rsid w:val="737940A3"/>
    <w:rsid w:val="737A1DC7"/>
    <w:rsid w:val="737A3B75"/>
    <w:rsid w:val="737A608E"/>
    <w:rsid w:val="737A60AA"/>
    <w:rsid w:val="737B753A"/>
    <w:rsid w:val="737C091C"/>
    <w:rsid w:val="737C09CA"/>
    <w:rsid w:val="737C169B"/>
    <w:rsid w:val="737E18B7"/>
    <w:rsid w:val="737E32EA"/>
    <w:rsid w:val="738007DB"/>
    <w:rsid w:val="73813156"/>
    <w:rsid w:val="73816AD1"/>
    <w:rsid w:val="738238D4"/>
    <w:rsid w:val="7382483C"/>
    <w:rsid w:val="73830C7C"/>
    <w:rsid w:val="73832A2A"/>
    <w:rsid w:val="73841D2D"/>
    <w:rsid w:val="73852C46"/>
    <w:rsid w:val="7386076C"/>
    <w:rsid w:val="738642C8"/>
    <w:rsid w:val="738844E4"/>
    <w:rsid w:val="73886292"/>
    <w:rsid w:val="73893DB8"/>
    <w:rsid w:val="738A025C"/>
    <w:rsid w:val="738B5D82"/>
    <w:rsid w:val="738B7B30"/>
    <w:rsid w:val="738C4462"/>
    <w:rsid w:val="738D38A8"/>
    <w:rsid w:val="738D73FB"/>
    <w:rsid w:val="738F3EEE"/>
    <w:rsid w:val="738F5872"/>
    <w:rsid w:val="739015EB"/>
    <w:rsid w:val="73912327"/>
    <w:rsid w:val="73912EA1"/>
    <w:rsid w:val="73922BF0"/>
    <w:rsid w:val="73927111"/>
    <w:rsid w:val="7395275D"/>
    <w:rsid w:val="73973553"/>
    <w:rsid w:val="73974691"/>
    <w:rsid w:val="73974727"/>
    <w:rsid w:val="739755D2"/>
    <w:rsid w:val="7399049F"/>
    <w:rsid w:val="7399224D"/>
    <w:rsid w:val="739B4217"/>
    <w:rsid w:val="739C1D3D"/>
    <w:rsid w:val="739E5AB6"/>
    <w:rsid w:val="73A0182E"/>
    <w:rsid w:val="73A1041B"/>
    <w:rsid w:val="73A34E7A"/>
    <w:rsid w:val="73A56E44"/>
    <w:rsid w:val="73A624F6"/>
    <w:rsid w:val="73A62BBC"/>
    <w:rsid w:val="73A6496A"/>
    <w:rsid w:val="73A750C7"/>
    <w:rsid w:val="73A806E2"/>
    <w:rsid w:val="73A82490"/>
    <w:rsid w:val="73AA26AC"/>
    <w:rsid w:val="73AA445A"/>
    <w:rsid w:val="73AA6208"/>
    <w:rsid w:val="73AB1F81"/>
    <w:rsid w:val="73AB3D2F"/>
    <w:rsid w:val="73AF26D7"/>
    <w:rsid w:val="73AF381F"/>
    <w:rsid w:val="73B01345"/>
    <w:rsid w:val="73B06A07"/>
    <w:rsid w:val="73B07597"/>
    <w:rsid w:val="73B10D33"/>
    <w:rsid w:val="73B10D49"/>
    <w:rsid w:val="73B11477"/>
    <w:rsid w:val="73B21561"/>
    <w:rsid w:val="73B306AB"/>
    <w:rsid w:val="73B3623A"/>
    <w:rsid w:val="73B40E35"/>
    <w:rsid w:val="73B43EE5"/>
    <w:rsid w:val="73B452D9"/>
    <w:rsid w:val="73B47087"/>
    <w:rsid w:val="73B64A19"/>
    <w:rsid w:val="73B928EF"/>
    <w:rsid w:val="73B9644B"/>
    <w:rsid w:val="73BB407D"/>
    <w:rsid w:val="73BB446C"/>
    <w:rsid w:val="73BB6668"/>
    <w:rsid w:val="73BC418E"/>
    <w:rsid w:val="73BD27A3"/>
    <w:rsid w:val="73BD5CDD"/>
    <w:rsid w:val="73BE1CF0"/>
    <w:rsid w:val="73BE3A62"/>
    <w:rsid w:val="73BE5AE3"/>
    <w:rsid w:val="73BF3510"/>
    <w:rsid w:val="73BF77DA"/>
    <w:rsid w:val="73C13552"/>
    <w:rsid w:val="73C31078"/>
    <w:rsid w:val="73C3551C"/>
    <w:rsid w:val="73C445EE"/>
    <w:rsid w:val="73C5064F"/>
    <w:rsid w:val="73C51294"/>
    <w:rsid w:val="73C801DD"/>
    <w:rsid w:val="73C82B32"/>
    <w:rsid w:val="73C843FF"/>
    <w:rsid w:val="73C92407"/>
    <w:rsid w:val="73CA0659"/>
    <w:rsid w:val="73CB43D1"/>
    <w:rsid w:val="73CB617F"/>
    <w:rsid w:val="73CD1EF7"/>
    <w:rsid w:val="73CD620E"/>
    <w:rsid w:val="73CF2113"/>
    <w:rsid w:val="73CF42D2"/>
    <w:rsid w:val="73CF5C6F"/>
    <w:rsid w:val="73D019E7"/>
    <w:rsid w:val="73D02B91"/>
    <w:rsid w:val="73D17C39"/>
    <w:rsid w:val="73D239B1"/>
    <w:rsid w:val="73D414D7"/>
    <w:rsid w:val="73D440E3"/>
    <w:rsid w:val="73D47FF6"/>
    <w:rsid w:val="73D50144"/>
    <w:rsid w:val="73D72A64"/>
    <w:rsid w:val="73D9089C"/>
    <w:rsid w:val="73D94D40"/>
    <w:rsid w:val="73D97D24"/>
    <w:rsid w:val="73DA21D9"/>
    <w:rsid w:val="73DB2866"/>
    <w:rsid w:val="73DC0954"/>
    <w:rsid w:val="73DD4830"/>
    <w:rsid w:val="73DE2356"/>
    <w:rsid w:val="73DF3DC7"/>
    <w:rsid w:val="73E07E7C"/>
    <w:rsid w:val="73E13BF4"/>
    <w:rsid w:val="73E334C8"/>
    <w:rsid w:val="73E55492"/>
    <w:rsid w:val="73E62FB9"/>
    <w:rsid w:val="73E641AE"/>
    <w:rsid w:val="73E94BFA"/>
    <w:rsid w:val="73E974C2"/>
    <w:rsid w:val="73EA6309"/>
    <w:rsid w:val="73EB05CF"/>
    <w:rsid w:val="73ED2599"/>
    <w:rsid w:val="73EF1E6D"/>
    <w:rsid w:val="73EF4563"/>
    <w:rsid w:val="73F05BE5"/>
    <w:rsid w:val="73F12089"/>
    <w:rsid w:val="73F13E37"/>
    <w:rsid w:val="73F364BA"/>
    <w:rsid w:val="73F41B79"/>
    <w:rsid w:val="73F456D6"/>
    <w:rsid w:val="73F519D7"/>
    <w:rsid w:val="73F6144E"/>
    <w:rsid w:val="73F676A0"/>
    <w:rsid w:val="73F7090D"/>
    <w:rsid w:val="73F7204E"/>
    <w:rsid w:val="73F73418"/>
    <w:rsid w:val="73F751C6"/>
    <w:rsid w:val="73F82A9F"/>
    <w:rsid w:val="73FA09CF"/>
    <w:rsid w:val="73FA488D"/>
    <w:rsid w:val="73FB2F08"/>
    <w:rsid w:val="73FB6A64"/>
    <w:rsid w:val="73FC6584"/>
    <w:rsid w:val="73FE0302"/>
    <w:rsid w:val="7400051E"/>
    <w:rsid w:val="7400407A"/>
    <w:rsid w:val="74017DF2"/>
    <w:rsid w:val="74024296"/>
    <w:rsid w:val="74026044"/>
    <w:rsid w:val="74027161"/>
    <w:rsid w:val="74031DBD"/>
    <w:rsid w:val="74055B35"/>
    <w:rsid w:val="740578E3"/>
    <w:rsid w:val="740643A1"/>
    <w:rsid w:val="74081181"/>
    <w:rsid w:val="74082F2F"/>
    <w:rsid w:val="740873D3"/>
    <w:rsid w:val="7409712D"/>
    <w:rsid w:val="740A2C53"/>
    <w:rsid w:val="740A314B"/>
    <w:rsid w:val="740A6CA7"/>
    <w:rsid w:val="740B2A1F"/>
    <w:rsid w:val="740D6797"/>
    <w:rsid w:val="740E02D5"/>
    <w:rsid w:val="74100024"/>
    <w:rsid w:val="74100036"/>
    <w:rsid w:val="74116287"/>
    <w:rsid w:val="74123DAE"/>
    <w:rsid w:val="741376B6"/>
    <w:rsid w:val="74145D78"/>
    <w:rsid w:val="74152A06"/>
    <w:rsid w:val="741713C4"/>
    <w:rsid w:val="74177616"/>
    <w:rsid w:val="7419338E"/>
    <w:rsid w:val="741B2C62"/>
    <w:rsid w:val="741B5358"/>
    <w:rsid w:val="741C570D"/>
    <w:rsid w:val="741C5E0B"/>
    <w:rsid w:val="741C69DA"/>
    <w:rsid w:val="741D2E7E"/>
    <w:rsid w:val="7420471D"/>
    <w:rsid w:val="74221BDF"/>
    <w:rsid w:val="742248E1"/>
    <w:rsid w:val="7423565D"/>
    <w:rsid w:val="74235813"/>
    <w:rsid w:val="74235B7E"/>
    <w:rsid w:val="74251D33"/>
    <w:rsid w:val="74253798"/>
    <w:rsid w:val="74253A54"/>
    <w:rsid w:val="74277859"/>
    <w:rsid w:val="742A10F7"/>
    <w:rsid w:val="742A7349"/>
    <w:rsid w:val="742B4C2C"/>
    <w:rsid w:val="742C30C1"/>
    <w:rsid w:val="742C4E6F"/>
    <w:rsid w:val="742E508B"/>
    <w:rsid w:val="742F670E"/>
    <w:rsid w:val="743106D8"/>
    <w:rsid w:val="74312A1D"/>
    <w:rsid w:val="7431692A"/>
    <w:rsid w:val="74324450"/>
    <w:rsid w:val="743261FE"/>
    <w:rsid w:val="743326A2"/>
    <w:rsid w:val="743341F9"/>
    <w:rsid w:val="743429D5"/>
    <w:rsid w:val="74343D24"/>
    <w:rsid w:val="7434741F"/>
    <w:rsid w:val="74365CEE"/>
    <w:rsid w:val="74381A66"/>
    <w:rsid w:val="743957DE"/>
    <w:rsid w:val="7439758C"/>
    <w:rsid w:val="743B1556"/>
    <w:rsid w:val="743B50B2"/>
    <w:rsid w:val="743C3A0F"/>
    <w:rsid w:val="743D14E0"/>
    <w:rsid w:val="743E4BA3"/>
    <w:rsid w:val="744027CD"/>
    <w:rsid w:val="74406B6D"/>
    <w:rsid w:val="74411D8B"/>
    <w:rsid w:val="74420C73"/>
    <w:rsid w:val="7443040B"/>
    <w:rsid w:val="744321B9"/>
    <w:rsid w:val="74441AE5"/>
    <w:rsid w:val="744503A4"/>
    <w:rsid w:val="74471CA9"/>
    <w:rsid w:val="74474F84"/>
    <w:rsid w:val="74477EFB"/>
    <w:rsid w:val="74493C73"/>
    <w:rsid w:val="744C0614"/>
    <w:rsid w:val="744C5512"/>
    <w:rsid w:val="744C72C0"/>
    <w:rsid w:val="744E128A"/>
    <w:rsid w:val="744F5002"/>
    <w:rsid w:val="74503106"/>
    <w:rsid w:val="74510D7A"/>
    <w:rsid w:val="74512B28"/>
    <w:rsid w:val="745148D6"/>
    <w:rsid w:val="745368A0"/>
    <w:rsid w:val="74543F1F"/>
    <w:rsid w:val="74546A09"/>
    <w:rsid w:val="7456013E"/>
    <w:rsid w:val="74566390"/>
    <w:rsid w:val="745727B9"/>
    <w:rsid w:val="74580F62"/>
    <w:rsid w:val="74582108"/>
    <w:rsid w:val="745913EB"/>
    <w:rsid w:val="74597C2E"/>
    <w:rsid w:val="745A287B"/>
    <w:rsid w:val="745B39A7"/>
    <w:rsid w:val="745B5755"/>
    <w:rsid w:val="745C662B"/>
    <w:rsid w:val="745D4ADD"/>
    <w:rsid w:val="745E64BA"/>
    <w:rsid w:val="745E6FF3"/>
    <w:rsid w:val="74604B19"/>
    <w:rsid w:val="7461016E"/>
    <w:rsid w:val="74616D35"/>
    <w:rsid w:val="74626AE3"/>
    <w:rsid w:val="74634609"/>
    <w:rsid w:val="746565D3"/>
    <w:rsid w:val="746639EF"/>
    <w:rsid w:val="7467234B"/>
    <w:rsid w:val="746740F9"/>
    <w:rsid w:val="74681C20"/>
    <w:rsid w:val="74685E86"/>
    <w:rsid w:val="74687E72"/>
    <w:rsid w:val="746960C4"/>
    <w:rsid w:val="746A1E3C"/>
    <w:rsid w:val="746A5998"/>
    <w:rsid w:val="746C1710"/>
    <w:rsid w:val="746C7962"/>
    <w:rsid w:val="746D2FF0"/>
    <w:rsid w:val="746D7C4A"/>
    <w:rsid w:val="746E2923"/>
    <w:rsid w:val="746E36DA"/>
    <w:rsid w:val="746F1200"/>
    <w:rsid w:val="746F2D2A"/>
    <w:rsid w:val="747131CA"/>
    <w:rsid w:val="74720851"/>
    <w:rsid w:val="7472484C"/>
    <w:rsid w:val="74736F42"/>
    <w:rsid w:val="7476258E"/>
    <w:rsid w:val="7476433D"/>
    <w:rsid w:val="74786307"/>
    <w:rsid w:val="74795BDB"/>
    <w:rsid w:val="747B1953"/>
    <w:rsid w:val="747B7BA5"/>
    <w:rsid w:val="747C3044"/>
    <w:rsid w:val="748051BB"/>
    <w:rsid w:val="74806F69"/>
    <w:rsid w:val="748102EA"/>
    <w:rsid w:val="74822CE1"/>
    <w:rsid w:val="74836A59"/>
    <w:rsid w:val="74850A24"/>
    <w:rsid w:val="7487479C"/>
    <w:rsid w:val="7487654A"/>
    <w:rsid w:val="74884070"/>
    <w:rsid w:val="74890514"/>
    <w:rsid w:val="74894EF3"/>
    <w:rsid w:val="748A603A"/>
    <w:rsid w:val="748A646C"/>
    <w:rsid w:val="748A7DE8"/>
    <w:rsid w:val="748B3D8C"/>
    <w:rsid w:val="748C1DB2"/>
    <w:rsid w:val="748C250E"/>
    <w:rsid w:val="748C590E"/>
    <w:rsid w:val="748E002A"/>
    <w:rsid w:val="748E1371"/>
    <w:rsid w:val="748F14BA"/>
    <w:rsid w:val="748F3650"/>
    <w:rsid w:val="74911176"/>
    <w:rsid w:val="74911B39"/>
    <w:rsid w:val="7491561A"/>
    <w:rsid w:val="74942A15"/>
    <w:rsid w:val="74962C31"/>
    <w:rsid w:val="749869A9"/>
    <w:rsid w:val="7499002B"/>
    <w:rsid w:val="74995EC7"/>
    <w:rsid w:val="7499627D"/>
    <w:rsid w:val="749A119E"/>
    <w:rsid w:val="749A65CD"/>
    <w:rsid w:val="749B262E"/>
    <w:rsid w:val="749B717D"/>
    <w:rsid w:val="749C3698"/>
    <w:rsid w:val="749E634D"/>
    <w:rsid w:val="749F1AE5"/>
    <w:rsid w:val="749F7D37"/>
    <w:rsid w:val="74A024E4"/>
    <w:rsid w:val="74A0634E"/>
    <w:rsid w:val="74A0760B"/>
    <w:rsid w:val="74A23383"/>
    <w:rsid w:val="74A25132"/>
    <w:rsid w:val="74A52E74"/>
    <w:rsid w:val="74A5359C"/>
    <w:rsid w:val="74A72312"/>
    <w:rsid w:val="74A837A2"/>
    <w:rsid w:val="74A94712"/>
    <w:rsid w:val="74AC450B"/>
    <w:rsid w:val="74AC52F8"/>
    <w:rsid w:val="74AC5FB0"/>
    <w:rsid w:val="74AC7D5E"/>
    <w:rsid w:val="74AE3AD6"/>
    <w:rsid w:val="74AF0AA4"/>
    <w:rsid w:val="74AF5AA0"/>
    <w:rsid w:val="74AF784E"/>
    <w:rsid w:val="74B03CF2"/>
    <w:rsid w:val="74B11819"/>
    <w:rsid w:val="74B41D45"/>
    <w:rsid w:val="74B530B7"/>
    <w:rsid w:val="74B66E2F"/>
    <w:rsid w:val="74B80DF9"/>
    <w:rsid w:val="74B82BA7"/>
    <w:rsid w:val="74B83297"/>
    <w:rsid w:val="74B86703"/>
    <w:rsid w:val="74B97D58"/>
    <w:rsid w:val="74BA5BB7"/>
    <w:rsid w:val="74BB0037"/>
    <w:rsid w:val="74BB2697"/>
    <w:rsid w:val="74BB4445"/>
    <w:rsid w:val="74BB61F3"/>
    <w:rsid w:val="74BC2AB0"/>
    <w:rsid w:val="74BC30A8"/>
    <w:rsid w:val="74BD1967"/>
    <w:rsid w:val="74BF3F35"/>
    <w:rsid w:val="74BF5CE3"/>
    <w:rsid w:val="74C02EB9"/>
    <w:rsid w:val="74C07CAE"/>
    <w:rsid w:val="74C23A26"/>
    <w:rsid w:val="74C257D4"/>
    <w:rsid w:val="74C27582"/>
    <w:rsid w:val="74C374EF"/>
    <w:rsid w:val="74C432FA"/>
    <w:rsid w:val="74C46742"/>
    <w:rsid w:val="74C4779E"/>
    <w:rsid w:val="74C552BF"/>
    <w:rsid w:val="74C57072"/>
    <w:rsid w:val="74C7103C"/>
    <w:rsid w:val="74C723A3"/>
    <w:rsid w:val="74C74B98"/>
    <w:rsid w:val="74C94DB4"/>
    <w:rsid w:val="74CB28DA"/>
    <w:rsid w:val="74CB49A6"/>
    <w:rsid w:val="74CC145C"/>
    <w:rsid w:val="74CC6652"/>
    <w:rsid w:val="74CF151E"/>
    <w:rsid w:val="74D06143"/>
    <w:rsid w:val="74D13C69"/>
    <w:rsid w:val="74D177C5"/>
    <w:rsid w:val="74D3178F"/>
    <w:rsid w:val="74D3353D"/>
    <w:rsid w:val="74D3675E"/>
    <w:rsid w:val="74D36930"/>
    <w:rsid w:val="74D527BF"/>
    <w:rsid w:val="74D6127F"/>
    <w:rsid w:val="74D774D1"/>
    <w:rsid w:val="74D77CB0"/>
    <w:rsid w:val="74D80B53"/>
    <w:rsid w:val="74D83B89"/>
    <w:rsid w:val="74D84FF7"/>
    <w:rsid w:val="74D86DA5"/>
    <w:rsid w:val="74DA0D6F"/>
    <w:rsid w:val="74DA2B1D"/>
    <w:rsid w:val="74DA3A60"/>
    <w:rsid w:val="74DB48CA"/>
    <w:rsid w:val="74DB6895"/>
    <w:rsid w:val="74DC0F51"/>
    <w:rsid w:val="74DC2C2C"/>
    <w:rsid w:val="74DC4AE7"/>
    <w:rsid w:val="74DD0860"/>
    <w:rsid w:val="74DD260E"/>
    <w:rsid w:val="74DE2783"/>
    <w:rsid w:val="74DF0134"/>
    <w:rsid w:val="74DF1EE2"/>
    <w:rsid w:val="74E0215D"/>
    <w:rsid w:val="74E03EAC"/>
    <w:rsid w:val="74E0571E"/>
    <w:rsid w:val="74E120FE"/>
    <w:rsid w:val="74E27C24"/>
    <w:rsid w:val="74E4387B"/>
    <w:rsid w:val="74E4399C"/>
    <w:rsid w:val="74E47128"/>
    <w:rsid w:val="74E474F8"/>
    <w:rsid w:val="74E514C2"/>
    <w:rsid w:val="74E63744"/>
    <w:rsid w:val="74E7523A"/>
    <w:rsid w:val="74E76064"/>
    <w:rsid w:val="74E8308A"/>
    <w:rsid w:val="74E85F13"/>
    <w:rsid w:val="74E90FB2"/>
    <w:rsid w:val="74EB4D2A"/>
    <w:rsid w:val="74EE0377"/>
    <w:rsid w:val="74EE5908"/>
    <w:rsid w:val="74EE65C9"/>
    <w:rsid w:val="74EF5ED9"/>
    <w:rsid w:val="74EF5F37"/>
    <w:rsid w:val="74F00593"/>
    <w:rsid w:val="74F040EF"/>
    <w:rsid w:val="74F31E31"/>
    <w:rsid w:val="74F33BDF"/>
    <w:rsid w:val="74F51705"/>
    <w:rsid w:val="74F54DF3"/>
    <w:rsid w:val="74F636CF"/>
    <w:rsid w:val="74F6547D"/>
    <w:rsid w:val="74F86FE9"/>
    <w:rsid w:val="74F87447"/>
    <w:rsid w:val="74FA31C0"/>
    <w:rsid w:val="74FA6600"/>
    <w:rsid w:val="74FA6D1C"/>
    <w:rsid w:val="74FB2A94"/>
    <w:rsid w:val="74FC0CE6"/>
    <w:rsid w:val="74FC2045"/>
    <w:rsid w:val="74FC6F38"/>
    <w:rsid w:val="750000AA"/>
    <w:rsid w:val="7500577B"/>
    <w:rsid w:val="750162FC"/>
    <w:rsid w:val="75022C6C"/>
    <w:rsid w:val="750236F7"/>
    <w:rsid w:val="75041948"/>
    <w:rsid w:val="75042208"/>
    <w:rsid w:val="75055A94"/>
    <w:rsid w:val="75061B64"/>
    <w:rsid w:val="750758DC"/>
    <w:rsid w:val="7507768A"/>
    <w:rsid w:val="75087867"/>
    <w:rsid w:val="7509634C"/>
    <w:rsid w:val="750A13FE"/>
    <w:rsid w:val="750A2CD7"/>
    <w:rsid w:val="750A45BB"/>
    <w:rsid w:val="750C229C"/>
    <w:rsid w:val="750C4CA1"/>
    <w:rsid w:val="750C545F"/>
    <w:rsid w:val="750C6A4F"/>
    <w:rsid w:val="750D2EF3"/>
    <w:rsid w:val="750E0A19"/>
    <w:rsid w:val="750E27C7"/>
    <w:rsid w:val="750F1497"/>
    <w:rsid w:val="750F77CC"/>
    <w:rsid w:val="75122761"/>
    <w:rsid w:val="75134281"/>
    <w:rsid w:val="75151DA7"/>
    <w:rsid w:val="75157FF9"/>
    <w:rsid w:val="751678CE"/>
    <w:rsid w:val="75175B20"/>
    <w:rsid w:val="75184E92"/>
    <w:rsid w:val="751853F4"/>
    <w:rsid w:val="751B4EE4"/>
    <w:rsid w:val="752124FA"/>
    <w:rsid w:val="75223FE0"/>
    <w:rsid w:val="752244C4"/>
    <w:rsid w:val="75226272"/>
    <w:rsid w:val="75232716"/>
    <w:rsid w:val="752336E6"/>
    <w:rsid w:val="75243D99"/>
    <w:rsid w:val="75263FB5"/>
    <w:rsid w:val="752734F6"/>
    <w:rsid w:val="75273889"/>
    <w:rsid w:val="75295853"/>
    <w:rsid w:val="752970A1"/>
    <w:rsid w:val="752B3379"/>
    <w:rsid w:val="752D7368"/>
    <w:rsid w:val="752E07F8"/>
    <w:rsid w:val="752E2E69"/>
    <w:rsid w:val="7530273D"/>
    <w:rsid w:val="75303118"/>
    <w:rsid w:val="753164B5"/>
    <w:rsid w:val="75324707"/>
    <w:rsid w:val="753331DA"/>
    <w:rsid w:val="753348CC"/>
    <w:rsid w:val="753366D1"/>
    <w:rsid w:val="75343457"/>
    <w:rsid w:val="7535244A"/>
    <w:rsid w:val="753541F8"/>
    <w:rsid w:val="75360B18"/>
    <w:rsid w:val="75363ACC"/>
    <w:rsid w:val="75371D1E"/>
    <w:rsid w:val="753722BF"/>
    <w:rsid w:val="75383CE8"/>
    <w:rsid w:val="7538447B"/>
    <w:rsid w:val="75385A96"/>
    <w:rsid w:val="75387844"/>
    <w:rsid w:val="7539704C"/>
    <w:rsid w:val="753A180E"/>
    <w:rsid w:val="753A35BC"/>
    <w:rsid w:val="753C37D8"/>
    <w:rsid w:val="753C5586"/>
    <w:rsid w:val="753C6C5D"/>
    <w:rsid w:val="753D12FE"/>
    <w:rsid w:val="753D1FB4"/>
    <w:rsid w:val="753D4E5A"/>
    <w:rsid w:val="753F5076"/>
    <w:rsid w:val="75404290"/>
    <w:rsid w:val="7541409D"/>
    <w:rsid w:val="7541494A"/>
    <w:rsid w:val="75417126"/>
    <w:rsid w:val="754206C3"/>
    <w:rsid w:val="754424CF"/>
    <w:rsid w:val="7544443B"/>
    <w:rsid w:val="75461650"/>
    <w:rsid w:val="75466405"/>
    <w:rsid w:val="75475CD9"/>
    <w:rsid w:val="7548139F"/>
    <w:rsid w:val="7548217D"/>
    <w:rsid w:val="75491A51"/>
    <w:rsid w:val="754937FF"/>
    <w:rsid w:val="75497CA3"/>
    <w:rsid w:val="754B3A1B"/>
    <w:rsid w:val="754B7577"/>
    <w:rsid w:val="754C28F1"/>
    <w:rsid w:val="754E350B"/>
    <w:rsid w:val="754E52B9"/>
    <w:rsid w:val="754F701B"/>
    <w:rsid w:val="75501031"/>
    <w:rsid w:val="75502DDF"/>
    <w:rsid w:val="75507D7E"/>
    <w:rsid w:val="755152D3"/>
    <w:rsid w:val="75525022"/>
    <w:rsid w:val="755267A8"/>
    <w:rsid w:val="75530B22"/>
    <w:rsid w:val="75542870"/>
    <w:rsid w:val="75556317"/>
    <w:rsid w:val="755723C0"/>
    <w:rsid w:val="75573A90"/>
    <w:rsid w:val="75587EE6"/>
    <w:rsid w:val="755A1EB0"/>
    <w:rsid w:val="755C3E40"/>
    <w:rsid w:val="755D72AA"/>
    <w:rsid w:val="755E374E"/>
    <w:rsid w:val="755E6196"/>
    <w:rsid w:val="755E78D7"/>
    <w:rsid w:val="755F069C"/>
    <w:rsid w:val="755F0D67"/>
    <w:rsid w:val="755F3023"/>
    <w:rsid w:val="7561323F"/>
    <w:rsid w:val="75614FED"/>
    <w:rsid w:val="75615B7C"/>
    <w:rsid w:val="756248C1"/>
    <w:rsid w:val="75624DE6"/>
    <w:rsid w:val="75625727"/>
    <w:rsid w:val="75630CAA"/>
    <w:rsid w:val="75631015"/>
    <w:rsid w:val="756447EF"/>
    <w:rsid w:val="75644ADD"/>
    <w:rsid w:val="7564688B"/>
    <w:rsid w:val="75660855"/>
    <w:rsid w:val="75662603"/>
    <w:rsid w:val="7567112B"/>
    <w:rsid w:val="75671ED7"/>
    <w:rsid w:val="756774F9"/>
    <w:rsid w:val="756845CD"/>
    <w:rsid w:val="756913CB"/>
    <w:rsid w:val="756920F3"/>
    <w:rsid w:val="75693EA1"/>
    <w:rsid w:val="756D1BE3"/>
    <w:rsid w:val="756D3991"/>
    <w:rsid w:val="756D47FB"/>
    <w:rsid w:val="756F1266"/>
    <w:rsid w:val="75705230"/>
    <w:rsid w:val="75706FDE"/>
    <w:rsid w:val="75707197"/>
    <w:rsid w:val="75713487"/>
    <w:rsid w:val="75717D36"/>
    <w:rsid w:val="75720FA8"/>
    <w:rsid w:val="7573192E"/>
    <w:rsid w:val="75734D20"/>
    <w:rsid w:val="757545F4"/>
    <w:rsid w:val="75754672"/>
    <w:rsid w:val="7577047E"/>
    <w:rsid w:val="757765BE"/>
    <w:rsid w:val="75786D3D"/>
    <w:rsid w:val="75790588"/>
    <w:rsid w:val="7579342D"/>
    <w:rsid w:val="757A1C0A"/>
    <w:rsid w:val="757A422E"/>
    <w:rsid w:val="757A4300"/>
    <w:rsid w:val="757B2568"/>
    <w:rsid w:val="757B33A4"/>
    <w:rsid w:val="757C028F"/>
    <w:rsid w:val="757E0E74"/>
    <w:rsid w:val="757E4BCE"/>
    <w:rsid w:val="757F1917"/>
    <w:rsid w:val="757F5473"/>
    <w:rsid w:val="758058F9"/>
    <w:rsid w:val="75810342"/>
    <w:rsid w:val="75812F99"/>
    <w:rsid w:val="758229C0"/>
    <w:rsid w:val="75825591"/>
    <w:rsid w:val="75826D11"/>
    <w:rsid w:val="758331B5"/>
    <w:rsid w:val="75840CDB"/>
    <w:rsid w:val="75862CA5"/>
    <w:rsid w:val="75864A53"/>
    <w:rsid w:val="7586788F"/>
    <w:rsid w:val="75874327"/>
    <w:rsid w:val="75877F73"/>
    <w:rsid w:val="75880E08"/>
    <w:rsid w:val="7589009F"/>
    <w:rsid w:val="75896F2C"/>
    <w:rsid w:val="758B02BC"/>
    <w:rsid w:val="758B3E18"/>
    <w:rsid w:val="758B4974"/>
    <w:rsid w:val="758C5651"/>
    <w:rsid w:val="758D193E"/>
    <w:rsid w:val="758D4034"/>
    <w:rsid w:val="758E00C1"/>
    <w:rsid w:val="758E3908"/>
    <w:rsid w:val="758E56B6"/>
    <w:rsid w:val="758F1B5A"/>
    <w:rsid w:val="759058D2"/>
    <w:rsid w:val="7590657C"/>
    <w:rsid w:val="75917C47"/>
    <w:rsid w:val="759251A6"/>
    <w:rsid w:val="75932CCC"/>
    <w:rsid w:val="75934F9C"/>
    <w:rsid w:val="75950E36"/>
    <w:rsid w:val="75970A0E"/>
    <w:rsid w:val="75986535"/>
    <w:rsid w:val="75994786"/>
    <w:rsid w:val="759B4CA8"/>
    <w:rsid w:val="759C0DD3"/>
    <w:rsid w:val="759C6025"/>
    <w:rsid w:val="759C7DD3"/>
    <w:rsid w:val="759E179B"/>
    <w:rsid w:val="75A1363B"/>
    <w:rsid w:val="75A276BD"/>
    <w:rsid w:val="75A31161"/>
    <w:rsid w:val="75A3343A"/>
    <w:rsid w:val="75A4572F"/>
    <w:rsid w:val="75A4749B"/>
    <w:rsid w:val="75A5092B"/>
    <w:rsid w:val="75A60C51"/>
    <w:rsid w:val="75A650F5"/>
    <w:rsid w:val="75A66CA8"/>
    <w:rsid w:val="75A66EA3"/>
    <w:rsid w:val="75A7324B"/>
    <w:rsid w:val="75A85E1C"/>
    <w:rsid w:val="75A9073C"/>
    <w:rsid w:val="75A90742"/>
    <w:rsid w:val="75A924F0"/>
    <w:rsid w:val="75AA6994"/>
    <w:rsid w:val="75AD28A1"/>
    <w:rsid w:val="75AD3D8E"/>
    <w:rsid w:val="75AE7B06"/>
    <w:rsid w:val="75AF3FAA"/>
    <w:rsid w:val="75B07D22"/>
    <w:rsid w:val="75B1380F"/>
    <w:rsid w:val="75B25848"/>
    <w:rsid w:val="75B415C0"/>
    <w:rsid w:val="75B46F90"/>
    <w:rsid w:val="75B55338"/>
    <w:rsid w:val="75B63F40"/>
    <w:rsid w:val="75B94E29"/>
    <w:rsid w:val="75BB59A9"/>
    <w:rsid w:val="75BB6755"/>
    <w:rsid w:val="75BC0475"/>
    <w:rsid w:val="75BC66C7"/>
    <w:rsid w:val="75BC74EF"/>
    <w:rsid w:val="75BE2556"/>
    <w:rsid w:val="75BF14D2"/>
    <w:rsid w:val="75BF7348"/>
    <w:rsid w:val="75BF7F65"/>
    <w:rsid w:val="75C17839"/>
    <w:rsid w:val="75C46A85"/>
    <w:rsid w:val="75C4732A"/>
    <w:rsid w:val="75C612F4"/>
    <w:rsid w:val="75C64E50"/>
    <w:rsid w:val="75C67DA2"/>
    <w:rsid w:val="75C80BC8"/>
    <w:rsid w:val="75C94940"/>
    <w:rsid w:val="75CA0DE4"/>
    <w:rsid w:val="75CA71DD"/>
    <w:rsid w:val="75CB06B8"/>
    <w:rsid w:val="75CB2646"/>
    <w:rsid w:val="75CD4430"/>
    <w:rsid w:val="75CF4FA6"/>
    <w:rsid w:val="75CF63FA"/>
    <w:rsid w:val="75D03F20"/>
    <w:rsid w:val="75D05028"/>
    <w:rsid w:val="75D27C98"/>
    <w:rsid w:val="75D339A9"/>
    <w:rsid w:val="75D43A11"/>
    <w:rsid w:val="75D4756D"/>
    <w:rsid w:val="75D47694"/>
    <w:rsid w:val="75D57A0A"/>
    <w:rsid w:val="75D7232A"/>
    <w:rsid w:val="75D7370F"/>
    <w:rsid w:val="75D91027"/>
    <w:rsid w:val="75D94A2A"/>
    <w:rsid w:val="75DB4D9F"/>
    <w:rsid w:val="75DC0B17"/>
    <w:rsid w:val="75DC4673"/>
    <w:rsid w:val="75DD1936"/>
    <w:rsid w:val="75DD4A5B"/>
    <w:rsid w:val="75DE663D"/>
    <w:rsid w:val="75DF040D"/>
    <w:rsid w:val="75DF4163"/>
    <w:rsid w:val="75E10FA4"/>
    <w:rsid w:val="75E11C8A"/>
    <w:rsid w:val="75E43528"/>
    <w:rsid w:val="75E505AC"/>
    <w:rsid w:val="75E620DA"/>
    <w:rsid w:val="75E654F2"/>
    <w:rsid w:val="75E672A0"/>
    <w:rsid w:val="75E8126A"/>
    <w:rsid w:val="75E83CBD"/>
    <w:rsid w:val="75E85738"/>
    <w:rsid w:val="75EA4FE2"/>
    <w:rsid w:val="75EB2B08"/>
    <w:rsid w:val="75EB6213"/>
    <w:rsid w:val="75EC138D"/>
    <w:rsid w:val="75EC5C91"/>
    <w:rsid w:val="75ED062E"/>
    <w:rsid w:val="75ED1155"/>
    <w:rsid w:val="75ED6880"/>
    <w:rsid w:val="75EF08D3"/>
    <w:rsid w:val="75EF25F8"/>
    <w:rsid w:val="75F051C9"/>
    <w:rsid w:val="75F052D6"/>
    <w:rsid w:val="75F23E97"/>
    <w:rsid w:val="75F40514"/>
    <w:rsid w:val="75F47C0F"/>
    <w:rsid w:val="75F55735"/>
    <w:rsid w:val="75F61BD9"/>
    <w:rsid w:val="75F6664F"/>
    <w:rsid w:val="75F96FD3"/>
    <w:rsid w:val="75FA2D4B"/>
    <w:rsid w:val="75FA6B54"/>
    <w:rsid w:val="75FB71EF"/>
    <w:rsid w:val="75FC2F67"/>
    <w:rsid w:val="75FC6AC3"/>
    <w:rsid w:val="75FE0A8D"/>
    <w:rsid w:val="75FE6CDF"/>
    <w:rsid w:val="76024001"/>
    <w:rsid w:val="76026A27"/>
    <w:rsid w:val="7603261B"/>
    <w:rsid w:val="76041BD9"/>
    <w:rsid w:val="760427D7"/>
    <w:rsid w:val="760616F0"/>
    <w:rsid w:val="76071E48"/>
    <w:rsid w:val="7608190C"/>
    <w:rsid w:val="76085468"/>
    <w:rsid w:val="760951B9"/>
    <w:rsid w:val="760A11E0"/>
    <w:rsid w:val="760A5684"/>
    <w:rsid w:val="760A7432"/>
    <w:rsid w:val="760B6D06"/>
    <w:rsid w:val="760F2C9B"/>
    <w:rsid w:val="761050C4"/>
    <w:rsid w:val="761107C1"/>
    <w:rsid w:val="76115C78"/>
    <w:rsid w:val="761262E7"/>
    <w:rsid w:val="7613626B"/>
    <w:rsid w:val="76143E0D"/>
    <w:rsid w:val="76157B85"/>
    <w:rsid w:val="76171B4F"/>
    <w:rsid w:val="761958C7"/>
    <w:rsid w:val="761A519B"/>
    <w:rsid w:val="761E2EDE"/>
    <w:rsid w:val="761E337E"/>
    <w:rsid w:val="761E4C8C"/>
    <w:rsid w:val="76206C56"/>
    <w:rsid w:val="76211CFF"/>
    <w:rsid w:val="7621477C"/>
    <w:rsid w:val="762229CE"/>
    <w:rsid w:val="76236746"/>
    <w:rsid w:val="76257DC8"/>
    <w:rsid w:val="76263B40"/>
    <w:rsid w:val="76275B71"/>
    <w:rsid w:val="76277FE4"/>
    <w:rsid w:val="762A1882"/>
    <w:rsid w:val="762A53DF"/>
    <w:rsid w:val="762B1157"/>
    <w:rsid w:val="762C03C9"/>
    <w:rsid w:val="762C55FB"/>
    <w:rsid w:val="762D1373"/>
    <w:rsid w:val="762D19E3"/>
    <w:rsid w:val="762D259F"/>
    <w:rsid w:val="762E2F79"/>
    <w:rsid w:val="762F50EB"/>
    <w:rsid w:val="762F6E99"/>
    <w:rsid w:val="76320737"/>
    <w:rsid w:val="76341509"/>
    <w:rsid w:val="7634625D"/>
    <w:rsid w:val="76371181"/>
    <w:rsid w:val="76375666"/>
    <w:rsid w:val="76377AFB"/>
    <w:rsid w:val="76392FBE"/>
    <w:rsid w:val="76393874"/>
    <w:rsid w:val="763B5477"/>
    <w:rsid w:val="763C3364"/>
    <w:rsid w:val="763D1708"/>
    <w:rsid w:val="763E2968"/>
    <w:rsid w:val="763E532E"/>
    <w:rsid w:val="763E70DC"/>
    <w:rsid w:val="76402E54"/>
    <w:rsid w:val="7641097A"/>
    <w:rsid w:val="764158CF"/>
    <w:rsid w:val="76422779"/>
    <w:rsid w:val="76424E1E"/>
    <w:rsid w:val="764264BD"/>
    <w:rsid w:val="76432944"/>
    <w:rsid w:val="764364A0"/>
    <w:rsid w:val="76452B99"/>
    <w:rsid w:val="764566BC"/>
    <w:rsid w:val="76463CCB"/>
    <w:rsid w:val="76497A7B"/>
    <w:rsid w:val="764A3ADC"/>
    <w:rsid w:val="764A3CD3"/>
    <w:rsid w:val="764A5A81"/>
    <w:rsid w:val="764A782F"/>
    <w:rsid w:val="764B35A7"/>
    <w:rsid w:val="764C7A4B"/>
    <w:rsid w:val="764D37C3"/>
    <w:rsid w:val="764D461B"/>
    <w:rsid w:val="764D731F"/>
    <w:rsid w:val="764F3097"/>
    <w:rsid w:val="764F741B"/>
    <w:rsid w:val="765145E3"/>
    <w:rsid w:val="76522B87"/>
    <w:rsid w:val="76524935"/>
    <w:rsid w:val="76530DD9"/>
    <w:rsid w:val="76544B51"/>
    <w:rsid w:val="765468FF"/>
    <w:rsid w:val="7656207F"/>
    <w:rsid w:val="76562678"/>
    <w:rsid w:val="76564426"/>
    <w:rsid w:val="76571F4C"/>
    <w:rsid w:val="76592141"/>
    <w:rsid w:val="76592168"/>
    <w:rsid w:val="765B1E90"/>
    <w:rsid w:val="765C57B4"/>
    <w:rsid w:val="765E152C"/>
    <w:rsid w:val="765E32DA"/>
    <w:rsid w:val="765F3E69"/>
    <w:rsid w:val="766052A4"/>
    <w:rsid w:val="76605D02"/>
    <w:rsid w:val="76621D63"/>
    <w:rsid w:val="76622B10"/>
    <w:rsid w:val="766308F1"/>
    <w:rsid w:val="766528BB"/>
    <w:rsid w:val="76663680"/>
    <w:rsid w:val="766703E1"/>
    <w:rsid w:val="76674885"/>
    <w:rsid w:val="766823AB"/>
    <w:rsid w:val="766A04F5"/>
    <w:rsid w:val="766A126A"/>
    <w:rsid w:val="766A6123"/>
    <w:rsid w:val="766B4556"/>
    <w:rsid w:val="766C0AB1"/>
    <w:rsid w:val="766D176F"/>
    <w:rsid w:val="766E5C13"/>
    <w:rsid w:val="766F1796"/>
    <w:rsid w:val="766F3739"/>
    <w:rsid w:val="766F4367"/>
    <w:rsid w:val="76724FD8"/>
    <w:rsid w:val="76733229"/>
    <w:rsid w:val="76740D50"/>
    <w:rsid w:val="767501D9"/>
    <w:rsid w:val="76760624"/>
    <w:rsid w:val="76767E7A"/>
    <w:rsid w:val="76772A3F"/>
    <w:rsid w:val="76780840"/>
    <w:rsid w:val="767856CA"/>
    <w:rsid w:val="76790114"/>
    <w:rsid w:val="76796B5A"/>
    <w:rsid w:val="767A350B"/>
    <w:rsid w:val="767B20DE"/>
    <w:rsid w:val="767B3E8C"/>
    <w:rsid w:val="767C2FF0"/>
    <w:rsid w:val="767C3D9A"/>
    <w:rsid w:val="768052EC"/>
    <w:rsid w:val="76805946"/>
    <w:rsid w:val="7683168D"/>
    <w:rsid w:val="768371E5"/>
    <w:rsid w:val="76854D0B"/>
    <w:rsid w:val="76866FD1"/>
    <w:rsid w:val="768725EE"/>
    <w:rsid w:val="76880357"/>
    <w:rsid w:val="768868D1"/>
    <w:rsid w:val="768A0573"/>
    <w:rsid w:val="768A2321"/>
    <w:rsid w:val="768C6099"/>
    <w:rsid w:val="768E6F08"/>
    <w:rsid w:val="768F16E6"/>
    <w:rsid w:val="768F5B89"/>
    <w:rsid w:val="76916404"/>
    <w:rsid w:val="769211D6"/>
    <w:rsid w:val="7692374C"/>
    <w:rsid w:val="76937428"/>
    <w:rsid w:val="769431A0"/>
    <w:rsid w:val="76956494"/>
    <w:rsid w:val="76960CC6"/>
    <w:rsid w:val="76966F18"/>
    <w:rsid w:val="769767EC"/>
    <w:rsid w:val="76982C90"/>
    <w:rsid w:val="769907B6"/>
    <w:rsid w:val="769A6A08"/>
    <w:rsid w:val="769A7EDF"/>
    <w:rsid w:val="769B008A"/>
    <w:rsid w:val="769C4061"/>
    <w:rsid w:val="769D3E02"/>
    <w:rsid w:val="769E5DCD"/>
    <w:rsid w:val="769F401E"/>
    <w:rsid w:val="76A07D97"/>
    <w:rsid w:val="76A2766B"/>
    <w:rsid w:val="76A41635"/>
    <w:rsid w:val="76A449B0"/>
    <w:rsid w:val="76A51BA6"/>
    <w:rsid w:val="76A553AD"/>
    <w:rsid w:val="76A5715B"/>
    <w:rsid w:val="76A63920"/>
    <w:rsid w:val="76A71125"/>
    <w:rsid w:val="76A74C81"/>
    <w:rsid w:val="76A809F9"/>
    <w:rsid w:val="76A827A7"/>
    <w:rsid w:val="76A84E99"/>
    <w:rsid w:val="76A9002D"/>
    <w:rsid w:val="76AB6DEC"/>
    <w:rsid w:val="76AC2297"/>
    <w:rsid w:val="76AC673B"/>
    <w:rsid w:val="76AD7DBE"/>
    <w:rsid w:val="76AF3B36"/>
    <w:rsid w:val="76AF7FDA"/>
    <w:rsid w:val="76B13D52"/>
    <w:rsid w:val="76B178AE"/>
    <w:rsid w:val="76B24258"/>
    <w:rsid w:val="76B25651"/>
    <w:rsid w:val="76B25B71"/>
    <w:rsid w:val="76B26CEA"/>
    <w:rsid w:val="76B31878"/>
    <w:rsid w:val="76B33626"/>
    <w:rsid w:val="76B37ACA"/>
    <w:rsid w:val="76B455F0"/>
    <w:rsid w:val="76B4739E"/>
    <w:rsid w:val="76B5566B"/>
    <w:rsid w:val="76B63116"/>
    <w:rsid w:val="76B64EC4"/>
    <w:rsid w:val="76B653BA"/>
    <w:rsid w:val="76B86E8E"/>
    <w:rsid w:val="76B92B90"/>
    <w:rsid w:val="76B92C06"/>
    <w:rsid w:val="76B94552"/>
    <w:rsid w:val="76BB072D"/>
    <w:rsid w:val="76BB697E"/>
    <w:rsid w:val="76BC6337"/>
    <w:rsid w:val="76BD26F7"/>
    <w:rsid w:val="76BD3DFD"/>
    <w:rsid w:val="76BE1FCB"/>
    <w:rsid w:val="76BF646F"/>
    <w:rsid w:val="76C010FB"/>
    <w:rsid w:val="76C03F95"/>
    <w:rsid w:val="76C05D43"/>
    <w:rsid w:val="76C0687E"/>
    <w:rsid w:val="76C07AF1"/>
    <w:rsid w:val="76C23869"/>
    <w:rsid w:val="76C26E8F"/>
    <w:rsid w:val="76C4494D"/>
    <w:rsid w:val="76C45833"/>
    <w:rsid w:val="76C515AB"/>
    <w:rsid w:val="76C53A1F"/>
    <w:rsid w:val="76C70E7F"/>
    <w:rsid w:val="76C75323"/>
    <w:rsid w:val="76C770D1"/>
    <w:rsid w:val="76C9109B"/>
    <w:rsid w:val="76CA3830"/>
    <w:rsid w:val="76CA6BC2"/>
    <w:rsid w:val="76CC0B8C"/>
    <w:rsid w:val="76CC293A"/>
    <w:rsid w:val="76CC46E8"/>
    <w:rsid w:val="76CC7942"/>
    <w:rsid w:val="76CE0460"/>
    <w:rsid w:val="76CE457C"/>
    <w:rsid w:val="76CE4D82"/>
    <w:rsid w:val="76CE66B2"/>
    <w:rsid w:val="76CF27C0"/>
    <w:rsid w:val="76CF5F86"/>
    <w:rsid w:val="76D01188"/>
    <w:rsid w:val="76D0242A"/>
    <w:rsid w:val="76D11CFE"/>
    <w:rsid w:val="76D17F50"/>
    <w:rsid w:val="76D27CC5"/>
    <w:rsid w:val="76D31F1A"/>
    <w:rsid w:val="76D4359C"/>
    <w:rsid w:val="76D474B3"/>
    <w:rsid w:val="76D57A40"/>
    <w:rsid w:val="76D649A4"/>
    <w:rsid w:val="76D812DE"/>
    <w:rsid w:val="76D91319"/>
    <w:rsid w:val="76DA1435"/>
    <w:rsid w:val="76DA52BB"/>
    <w:rsid w:val="76DB0DCF"/>
    <w:rsid w:val="76DB492B"/>
    <w:rsid w:val="76DD68F5"/>
    <w:rsid w:val="76DE403B"/>
    <w:rsid w:val="76DE441B"/>
    <w:rsid w:val="76DF266D"/>
    <w:rsid w:val="76DF5D07"/>
    <w:rsid w:val="76E01F41"/>
    <w:rsid w:val="76E07197"/>
    <w:rsid w:val="76E13E20"/>
    <w:rsid w:val="76E2215D"/>
    <w:rsid w:val="76E41A31"/>
    <w:rsid w:val="76E41B79"/>
    <w:rsid w:val="76E45ED5"/>
    <w:rsid w:val="76E53424"/>
    <w:rsid w:val="76E539FB"/>
    <w:rsid w:val="76E6521D"/>
    <w:rsid w:val="76E71522"/>
    <w:rsid w:val="76E77696"/>
    <w:rsid w:val="76E90249"/>
    <w:rsid w:val="76E934EC"/>
    <w:rsid w:val="76EB7264"/>
    <w:rsid w:val="76EC44D1"/>
    <w:rsid w:val="76EC4D8A"/>
    <w:rsid w:val="76EC6B38"/>
    <w:rsid w:val="76ED5F8C"/>
    <w:rsid w:val="76ED6142"/>
    <w:rsid w:val="76EE0B02"/>
    <w:rsid w:val="76EE28B0"/>
    <w:rsid w:val="76F2417D"/>
    <w:rsid w:val="76F37EC6"/>
    <w:rsid w:val="76F6110C"/>
    <w:rsid w:val="76F65C09"/>
    <w:rsid w:val="76F8372F"/>
    <w:rsid w:val="76FA74A7"/>
    <w:rsid w:val="76FC0249"/>
    <w:rsid w:val="76FC7D28"/>
    <w:rsid w:val="76FD35AD"/>
    <w:rsid w:val="76FE2720"/>
    <w:rsid w:val="76FF4ABD"/>
    <w:rsid w:val="77000835"/>
    <w:rsid w:val="77004391"/>
    <w:rsid w:val="770245AD"/>
    <w:rsid w:val="7702635B"/>
    <w:rsid w:val="770362A5"/>
    <w:rsid w:val="77057A22"/>
    <w:rsid w:val="77057BFA"/>
    <w:rsid w:val="77065E4C"/>
    <w:rsid w:val="77071BC4"/>
    <w:rsid w:val="77073972"/>
    <w:rsid w:val="77074F13"/>
    <w:rsid w:val="77075720"/>
    <w:rsid w:val="77091498"/>
    <w:rsid w:val="770A5210"/>
    <w:rsid w:val="770B16B4"/>
    <w:rsid w:val="770C71DA"/>
    <w:rsid w:val="770D7644"/>
    <w:rsid w:val="770E7A76"/>
    <w:rsid w:val="770F0450"/>
    <w:rsid w:val="770F2826"/>
    <w:rsid w:val="77100A78"/>
    <w:rsid w:val="77106CCA"/>
    <w:rsid w:val="771147F0"/>
    <w:rsid w:val="77132317"/>
    <w:rsid w:val="771542E1"/>
    <w:rsid w:val="77160F3E"/>
    <w:rsid w:val="77161E07"/>
    <w:rsid w:val="77170059"/>
    <w:rsid w:val="77176F12"/>
    <w:rsid w:val="771816DB"/>
    <w:rsid w:val="7718631B"/>
    <w:rsid w:val="771947C1"/>
    <w:rsid w:val="77197328"/>
    <w:rsid w:val="771A460C"/>
    <w:rsid w:val="771B741D"/>
    <w:rsid w:val="771D13E7"/>
    <w:rsid w:val="771D3195"/>
    <w:rsid w:val="771D4F43"/>
    <w:rsid w:val="771D4FEF"/>
    <w:rsid w:val="771D7139"/>
    <w:rsid w:val="771F1A59"/>
    <w:rsid w:val="77204A34"/>
    <w:rsid w:val="77221B1B"/>
    <w:rsid w:val="7725204A"/>
    <w:rsid w:val="77260421"/>
    <w:rsid w:val="77275DC2"/>
    <w:rsid w:val="77277B70"/>
    <w:rsid w:val="77291B3A"/>
    <w:rsid w:val="772A140E"/>
    <w:rsid w:val="772A6B6C"/>
    <w:rsid w:val="772B3B04"/>
    <w:rsid w:val="772C33D8"/>
    <w:rsid w:val="772E53A2"/>
    <w:rsid w:val="77302EC9"/>
    <w:rsid w:val="77313E6E"/>
    <w:rsid w:val="77316C41"/>
    <w:rsid w:val="773226E3"/>
    <w:rsid w:val="77332AA0"/>
    <w:rsid w:val="77334767"/>
    <w:rsid w:val="77336515"/>
    <w:rsid w:val="773427EF"/>
    <w:rsid w:val="7734311F"/>
    <w:rsid w:val="7735228D"/>
    <w:rsid w:val="77364257"/>
    <w:rsid w:val="77366005"/>
    <w:rsid w:val="77375D74"/>
    <w:rsid w:val="77383B2B"/>
    <w:rsid w:val="77387FCF"/>
    <w:rsid w:val="773951D1"/>
    <w:rsid w:val="773A78A3"/>
    <w:rsid w:val="773B361B"/>
    <w:rsid w:val="773C04E6"/>
    <w:rsid w:val="773C186D"/>
    <w:rsid w:val="773C7ABF"/>
    <w:rsid w:val="773D234D"/>
    <w:rsid w:val="773D3837"/>
    <w:rsid w:val="773D55E5"/>
    <w:rsid w:val="773E7BB3"/>
    <w:rsid w:val="773F135E"/>
    <w:rsid w:val="773F4EBA"/>
    <w:rsid w:val="7741041B"/>
    <w:rsid w:val="774150D6"/>
    <w:rsid w:val="77420E4E"/>
    <w:rsid w:val="77422BFC"/>
    <w:rsid w:val="77440722"/>
    <w:rsid w:val="77444BC6"/>
    <w:rsid w:val="774505CA"/>
    <w:rsid w:val="77453A38"/>
    <w:rsid w:val="774626EC"/>
    <w:rsid w:val="77462F9A"/>
    <w:rsid w:val="7746449A"/>
    <w:rsid w:val="77475E44"/>
    <w:rsid w:val="774921DC"/>
    <w:rsid w:val="77495D38"/>
    <w:rsid w:val="774A385E"/>
    <w:rsid w:val="774A725F"/>
    <w:rsid w:val="774B1AB0"/>
    <w:rsid w:val="774E334F"/>
    <w:rsid w:val="77536AA1"/>
    <w:rsid w:val="77550B81"/>
    <w:rsid w:val="77560455"/>
    <w:rsid w:val="77562203"/>
    <w:rsid w:val="77564D4D"/>
    <w:rsid w:val="775766A7"/>
    <w:rsid w:val="7758241F"/>
    <w:rsid w:val="775841CD"/>
    <w:rsid w:val="77585F7B"/>
    <w:rsid w:val="775A1CF3"/>
    <w:rsid w:val="775A6197"/>
    <w:rsid w:val="775A7F45"/>
    <w:rsid w:val="775B5A6C"/>
    <w:rsid w:val="775E6885"/>
    <w:rsid w:val="775F37AE"/>
    <w:rsid w:val="775F730A"/>
    <w:rsid w:val="7762504C"/>
    <w:rsid w:val="7762586D"/>
    <w:rsid w:val="77625FC5"/>
    <w:rsid w:val="77626DFA"/>
    <w:rsid w:val="7763329E"/>
    <w:rsid w:val="77642B72"/>
    <w:rsid w:val="776668EA"/>
    <w:rsid w:val="7767181A"/>
    <w:rsid w:val="77693243"/>
    <w:rsid w:val="776A5740"/>
    <w:rsid w:val="776B5CAF"/>
    <w:rsid w:val="776C1A27"/>
    <w:rsid w:val="776E4808"/>
    <w:rsid w:val="776F4652"/>
    <w:rsid w:val="776F4ADD"/>
    <w:rsid w:val="77701517"/>
    <w:rsid w:val="777032C5"/>
    <w:rsid w:val="7771703D"/>
    <w:rsid w:val="77731007"/>
    <w:rsid w:val="777413C3"/>
    <w:rsid w:val="77752FD1"/>
    <w:rsid w:val="77754D7F"/>
    <w:rsid w:val="77764653"/>
    <w:rsid w:val="777668B4"/>
    <w:rsid w:val="77770AF7"/>
    <w:rsid w:val="7777386E"/>
    <w:rsid w:val="77775173"/>
    <w:rsid w:val="77786080"/>
    <w:rsid w:val="77794777"/>
    <w:rsid w:val="777A4144"/>
    <w:rsid w:val="777C610E"/>
    <w:rsid w:val="777E3905"/>
    <w:rsid w:val="777F175A"/>
    <w:rsid w:val="777F64D6"/>
    <w:rsid w:val="777F79AC"/>
    <w:rsid w:val="77813724"/>
    <w:rsid w:val="778154D2"/>
    <w:rsid w:val="77847777"/>
    <w:rsid w:val="77884AB3"/>
    <w:rsid w:val="77887588"/>
    <w:rsid w:val="77890A18"/>
    <w:rsid w:val="77894387"/>
    <w:rsid w:val="7789506B"/>
    <w:rsid w:val="778A0CAD"/>
    <w:rsid w:val="778B00FF"/>
    <w:rsid w:val="778B6351"/>
    <w:rsid w:val="778C3E77"/>
    <w:rsid w:val="778C52DF"/>
    <w:rsid w:val="778D20C9"/>
    <w:rsid w:val="778E33FA"/>
    <w:rsid w:val="778E4B3B"/>
    <w:rsid w:val="778E7BEF"/>
    <w:rsid w:val="778F713D"/>
    <w:rsid w:val="77901BB9"/>
    <w:rsid w:val="77903967"/>
    <w:rsid w:val="77905D1A"/>
    <w:rsid w:val="7791148D"/>
    <w:rsid w:val="77925931"/>
    <w:rsid w:val="77926E25"/>
    <w:rsid w:val="779276DF"/>
    <w:rsid w:val="77947D29"/>
    <w:rsid w:val="77955421"/>
    <w:rsid w:val="7798281C"/>
    <w:rsid w:val="77996CC0"/>
    <w:rsid w:val="779A6594"/>
    <w:rsid w:val="779B1384"/>
    <w:rsid w:val="779C055E"/>
    <w:rsid w:val="779C078E"/>
    <w:rsid w:val="779C0BBA"/>
    <w:rsid w:val="779C40BA"/>
    <w:rsid w:val="779C67B0"/>
    <w:rsid w:val="779D6084"/>
    <w:rsid w:val="779E42D6"/>
    <w:rsid w:val="779F004E"/>
    <w:rsid w:val="779F1CDF"/>
    <w:rsid w:val="779F1DFC"/>
    <w:rsid w:val="779F2A68"/>
    <w:rsid w:val="77A06F50"/>
    <w:rsid w:val="77A13FE0"/>
    <w:rsid w:val="77A15B74"/>
    <w:rsid w:val="77A16C9F"/>
    <w:rsid w:val="77A17922"/>
    <w:rsid w:val="77A2369A"/>
    <w:rsid w:val="77A411C1"/>
    <w:rsid w:val="77A47413"/>
    <w:rsid w:val="77A501F1"/>
    <w:rsid w:val="77A64F39"/>
    <w:rsid w:val="77A86F03"/>
    <w:rsid w:val="77A94A29"/>
    <w:rsid w:val="77A967D7"/>
    <w:rsid w:val="77AB69F3"/>
    <w:rsid w:val="77AC546D"/>
    <w:rsid w:val="77AD3F7E"/>
    <w:rsid w:val="77AD4519"/>
    <w:rsid w:val="77AD62C7"/>
    <w:rsid w:val="77AE29E4"/>
    <w:rsid w:val="77AE3DED"/>
    <w:rsid w:val="77B07B65"/>
    <w:rsid w:val="77B2098C"/>
    <w:rsid w:val="77B27D81"/>
    <w:rsid w:val="77B37656"/>
    <w:rsid w:val="77B533CE"/>
    <w:rsid w:val="77B75398"/>
    <w:rsid w:val="77B77146"/>
    <w:rsid w:val="77B86667"/>
    <w:rsid w:val="77B91110"/>
    <w:rsid w:val="77BA09E4"/>
    <w:rsid w:val="77BC1AE3"/>
    <w:rsid w:val="77BC65ED"/>
    <w:rsid w:val="77BD2282"/>
    <w:rsid w:val="77BE2255"/>
    <w:rsid w:val="77BE6726"/>
    <w:rsid w:val="77BF2228"/>
    <w:rsid w:val="77BF249E"/>
    <w:rsid w:val="77BF5FFA"/>
    <w:rsid w:val="77C24B37"/>
    <w:rsid w:val="77C27899"/>
    <w:rsid w:val="77C41863"/>
    <w:rsid w:val="77C47AB5"/>
    <w:rsid w:val="77C67389"/>
    <w:rsid w:val="77C6752A"/>
    <w:rsid w:val="77C74EAF"/>
    <w:rsid w:val="77C77655"/>
    <w:rsid w:val="77C80AC5"/>
    <w:rsid w:val="77C90C27"/>
    <w:rsid w:val="77C96E79"/>
    <w:rsid w:val="77CA2161"/>
    <w:rsid w:val="77CB0E43"/>
    <w:rsid w:val="77CB2BF1"/>
    <w:rsid w:val="77CB4ADD"/>
    <w:rsid w:val="77CD6969"/>
    <w:rsid w:val="77CD73FD"/>
    <w:rsid w:val="77D00208"/>
    <w:rsid w:val="77D0645A"/>
    <w:rsid w:val="77D15D7E"/>
    <w:rsid w:val="77D45F4A"/>
    <w:rsid w:val="77D53A70"/>
    <w:rsid w:val="77D543BA"/>
    <w:rsid w:val="77D72860"/>
    <w:rsid w:val="77D9530E"/>
    <w:rsid w:val="77DA4BE2"/>
    <w:rsid w:val="77DA61DF"/>
    <w:rsid w:val="77DB72D8"/>
    <w:rsid w:val="77DC5A62"/>
    <w:rsid w:val="77DE2925"/>
    <w:rsid w:val="77DE572B"/>
    <w:rsid w:val="77E02CA2"/>
    <w:rsid w:val="77E05871"/>
    <w:rsid w:val="77E1549F"/>
    <w:rsid w:val="77E3618D"/>
    <w:rsid w:val="77E37F3B"/>
    <w:rsid w:val="77E55684"/>
    <w:rsid w:val="77E617D9"/>
    <w:rsid w:val="77E67A2B"/>
    <w:rsid w:val="77E837A3"/>
    <w:rsid w:val="77E92E21"/>
    <w:rsid w:val="77EB14F6"/>
    <w:rsid w:val="77EB5041"/>
    <w:rsid w:val="77ED700C"/>
    <w:rsid w:val="77EE4F4C"/>
    <w:rsid w:val="77EE6F83"/>
    <w:rsid w:val="77F008AA"/>
    <w:rsid w:val="77F11C00"/>
    <w:rsid w:val="77F15368"/>
    <w:rsid w:val="77F2017E"/>
    <w:rsid w:val="77F22BC3"/>
    <w:rsid w:val="77F331BA"/>
    <w:rsid w:val="77F35CA4"/>
    <w:rsid w:val="77F5439F"/>
    <w:rsid w:val="77F57C6E"/>
    <w:rsid w:val="77F66609"/>
    <w:rsid w:val="77F7266A"/>
    <w:rsid w:val="77F959B0"/>
    <w:rsid w:val="77FA34D6"/>
    <w:rsid w:val="77FA5285"/>
    <w:rsid w:val="77FA7033"/>
    <w:rsid w:val="77FC724F"/>
    <w:rsid w:val="77FE4D75"/>
    <w:rsid w:val="77FF289B"/>
    <w:rsid w:val="77FF76BB"/>
    <w:rsid w:val="78000AED"/>
    <w:rsid w:val="7800741E"/>
    <w:rsid w:val="780236F1"/>
    <w:rsid w:val="780305DD"/>
    <w:rsid w:val="78030C0D"/>
    <w:rsid w:val="7803238B"/>
    <w:rsid w:val="78044C6A"/>
    <w:rsid w:val="78063C29"/>
    <w:rsid w:val="7807758E"/>
    <w:rsid w:val="7808174F"/>
    <w:rsid w:val="78081EAE"/>
    <w:rsid w:val="7809333E"/>
    <w:rsid w:val="780A196C"/>
    <w:rsid w:val="780A5F0F"/>
    <w:rsid w:val="780C2DEC"/>
    <w:rsid w:val="780E2ADE"/>
    <w:rsid w:val="780F6F82"/>
    <w:rsid w:val="78104AA8"/>
    <w:rsid w:val="78106856"/>
    <w:rsid w:val="78120820"/>
    <w:rsid w:val="78144598"/>
    <w:rsid w:val="78153E6C"/>
    <w:rsid w:val="78160310"/>
    <w:rsid w:val="78174088"/>
    <w:rsid w:val="78175E36"/>
    <w:rsid w:val="78186DD1"/>
    <w:rsid w:val="781A5362"/>
    <w:rsid w:val="781A76D5"/>
    <w:rsid w:val="781B5927"/>
    <w:rsid w:val="781C169F"/>
    <w:rsid w:val="781C344D"/>
    <w:rsid w:val="781D17B3"/>
    <w:rsid w:val="781E0F73"/>
    <w:rsid w:val="781E5417"/>
    <w:rsid w:val="781E6817"/>
    <w:rsid w:val="781F6A99"/>
    <w:rsid w:val="78210A63"/>
    <w:rsid w:val="78212D05"/>
    <w:rsid w:val="782162EC"/>
    <w:rsid w:val="78216CB5"/>
    <w:rsid w:val="78250553"/>
    <w:rsid w:val="78252301"/>
    <w:rsid w:val="782567A5"/>
    <w:rsid w:val="7826607A"/>
    <w:rsid w:val="78280044"/>
    <w:rsid w:val="782C1E65"/>
    <w:rsid w:val="782C7E18"/>
    <w:rsid w:val="782D1147"/>
    <w:rsid w:val="782D12A8"/>
    <w:rsid w:val="782D565A"/>
    <w:rsid w:val="782F3180"/>
    <w:rsid w:val="782F4F2E"/>
    <w:rsid w:val="782F5058"/>
    <w:rsid w:val="78306EF8"/>
    <w:rsid w:val="78323C8A"/>
    <w:rsid w:val="78340796"/>
    <w:rsid w:val="783469E8"/>
    <w:rsid w:val="78353598"/>
    <w:rsid w:val="78362761"/>
    <w:rsid w:val="783764D9"/>
    <w:rsid w:val="78395968"/>
    <w:rsid w:val="78397B5B"/>
    <w:rsid w:val="783A0CDB"/>
    <w:rsid w:val="783A38D3"/>
    <w:rsid w:val="783A4B63"/>
    <w:rsid w:val="783B1156"/>
    <w:rsid w:val="783B732A"/>
    <w:rsid w:val="783B7D77"/>
    <w:rsid w:val="783E1615"/>
    <w:rsid w:val="783E7867"/>
    <w:rsid w:val="7840713B"/>
    <w:rsid w:val="78411105"/>
    <w:rsid w:val="78434E7D"/>
    <w:rsid w:val="78450BF6"/>
    <w:rsid w:val="784534AF"/>
    <w:rsid w:val="78457EE7"/>
    <w:rsid w:val="784604CA"/>
    <w:rsid w:val="784732DF"/>
    <w:rsid w:val="784A55B9"/>
    <w:rsid w:val="784A620C"/>
    <w:rsid w:val="784B788E"/>
    <w:rsid w:val="784B7FEE"/>
    <w:rsid w:val="784C0892"/>
    <w:rsid w:val="784C3D32"/>
    <w:rsid w:val="784F32A1"/>
    <w:rsid w:val="784F55D0"/>
    <w:rsid w:val="784F737E"/>
    <w:rsid w:val="78541B7A"/>
    <w:rsid w:val="78542BE7"/>
    <w:rsid w:val="78544995"/>
    <w:rsid w:val="7854788A"/>
    <w:rsid w:val="78547BE1"/>
    <w:rsid w:val="785506C7"/>
    <w:rsid w:val="78564BB1"/>
    <w:rsid w:val="78570929"/>
    <w:rsid w:val="78574485"/>
    <w:rsid w:val="785827DF"/>
    <w:rsid w:val="78586E35"/>
    <w:rsid w:val="785901FD"/>
    <w:rsid w:val="785904E7"/>
    <w:rsid w:val="7859644F"/>
    <w:rsid w:val="785B3F75"/>
    <w:rsid w:val="785B5D23"/>
    <w:rsid w:val="785C1A9B"/>
    <w:rsid w:val="785C7CED"/>
    <w:rsid w:val="785E3A65"/>
    <w:rsid w:val="785E75C1"/>
    <w:rsid w:val="785F1566"/>
    <w:rsid w:val="78616A57"/>
    <w:rsid w:val="7862209E"/>
    <w:rsid w:val="786453D8"/>
    <w:rsid w:val="78650950"/>
    <w:rsid w:val="78663F8F"/>
    <w:rsid w:val="786642FA"/>
    <w:rsid w:val="78670B6C"/>
    <w:rsid w:val="7867647B"/>
    <w:rsid w:val="78681D5F"/>
    <w:rsid w:val="7868692A"/>
    <w:rsid w:val="78697846"/>
    <w:rsid w:val="786A240A"/>
    <w:rsid w:val="786A41B8"/>
    <w:rsid w:val="786A5027"/>
    <w:rsid w:val="786C6182"/>
    <w:rsid w:val="786D1EFA"/>
    <w:rsid w:val="786D2338"/>
    <w:rsid w:val="786D3CA8"/>
    <w:rsid w:val="786F5C73"/>
    <w:rsid w:val="786F7A21"/>
    <w:rsid w:val="787050BC"/>
    <w:rsid w:val="787119EB"/>
    <w:rsid w:val="7872111D"/>
    <w:rsid w:val="787212BF"/>
    <w:rsid w:val="78727511"/>
    <w:rsid w:val="787279DC"/>
    <w:rsid w:val="78730E6C"/>
    <w:rsid w:val="78731A3B"/>
    <w:rsid w:val="78743289"/>
    <w:rsid w:val="78745037"/>
    <w:rsid w:val="7875580A"/>
    <w:rsid w:val="78762B5D"/>
    <w:rsid w:val="78774B27"/>
    <w:rsid w:val="7879264D"/>
    <w:rsid w:val="787B0173"/>
    <w:rsid w:val="787B4617"/>
    <w:rsid w:val="787B63C5"/>
    <w:rsid w:val="787C4DA0"/>
    <w:rsid w:val="787D19AE"/>
    <w:rsid w:val="787D213D"/>
    <w:rsid w:val="787E1A12"/>
    <w:rsid w:val="78801C2E"/>
    <w:rsid w:val="78807F3E"/>
    <w:rsid w:val="78811502"/>
    <w:rsid w:val="788259A6"/>
    <w:rsid w:val="7883171E"/>
    <w:rsid w:val="788334CC"/>
    <w:rsid w:val="78864B48"/>
    <w:rsid w:val="78866B18"/>
    <w:rsid w:val="78872FBC"/>
    <w:rsid w:val="78886D34"/>
    <w:rsid w:val="78895C63"/>
    <w:rsid w:val="788A6608"/>
    <w:rsid w:val="788B412F"/>
    <w:rsid w:val="788C05D2"/>
    <w:rsid w:val="788D434B"/>
    <w:rsid w:val="78934F1A"/>
    <w:rsid w:val="789366E3"/>
    <w:rsid w:val="789456D9"/>
    <w:rsid w:val="78955947"/>
    <w:rsid w:val="789631FF"/>
    <w:rsid w:val="78970D25"/>
    <w:rsid w:val="78972AD3"/>
    <w:rsid w:val="78992B87"/>
    <w:rsid w:val="7899684C"/>
    <w:rsid w:val="789B25C4"/>
    <w:rsid w:val="789B6A68"/>
    <w:rsid w:val="789C675D"/>
    <w:rsid w:val="789D458E"/>
    <w:rsid w:val="789E20B4"/>
    <w:rsid w:val="789E3E62"/>
    <w:rsid w:val="789F69F9"/>
    <w:rsid w:val="78A02A5A"/>
    <w:rsid w:val="78A0407E"/>
    <w:rsid w:val="78A073B7"/>
    <w:rsid w:val="78A27E89"/>
    <w:rsid w:val="78A53442"/>
    <w:rsid w:val="78A551F0"/>
    <w:rsid w:val="78A72E41"/>
    <w:rsid w:val="78A7540C"/>
    <w:rsid w:val="78A771BA"/>
    <w:rsid w:val="78A82F32"/>
    <w:rsid w:val="78AA2999"/>
    <w:rsid w:val="78AC2A23"/>
    <w:rsid w:val="78AD0549"/>
    <w:rsid w:val="78AD7B0B"/>
    <w:rsid w:val="78AE785F"/>
    <w:rsid w:val="78AF2513"/>
    <w:rsid w:val="78AF42C1"/>
    <w:rsid w:val="78AF797E"/>
    <w:rsid w:val="78B30ED0"/>
    <w:rsid w:val="78B33DB1"/>
    <w:rsid w:val="78B47B29"/>
    <w:rsid w:val="78B6564F"/>
    <w:rsid w:val="78B83176"/>
    <w:rsid w:val="78BB4A14"/>
    <w:rsid w:val="78BB4A91"/>
    <w:rsid w:val="78BD1F82"/>
    <w:rsid w:val="78BD36C3"/>
    <w:rsid w:val="78BD69DE"/>
    <w:rsid w:val="78BE0C8D"/>
    <w:rsid w:val="78BE1364"/>
    <w:rsid w:val="78BE2756"/>
    <w:rsid w:val="78BE3412"/>
    <w:rsid w:val="78BF0401"/>
    <w:rsid w:val="78BF7EE1"/>
    <w:rsid w:val="78C02044"/>
    <w:rsid w:val="78C113F3"/>
    <w:rsid w:val="78C12AE9"/>
    <w:rsid w:val="78C159AD"/>
    <w:rsid w:val="78C31B1A"/>
    <w:rsid w:val="78C338C8"/>
    <w:rsid w:val="78C41FC5"/>
    <w:rsid w:val="78C50714"/>
    <w:rsid w:val="78C55892"/>
    <w:rsid w:val="78C7785D"/>
    <w:rsid w:val="78C806AA"/>
    <w:rsid w:val="78C80EDF"/>
    <w:rsid w:val="78C85655"/>
    <w:rsid w:val="78CA10FB"/>
    <w:rsid w:val="78CC09CF"/>
    <w:rsid w:val="78CC4E73"/>
    <w:rsid w:val="78CC6C21"/>
    <w:rsid w:val="78CD2D94"/>
    <w:rsid w:val="78CE2999"/>
    <w:rsid w:val="78CF04BF"/>
    <w:rsid w:val="78CF6711"/>
    <w:rsid w:val="78D02FC1"/>
    <w:rsid w:val="78D1075C"/>
    <w:rsid w:val="78D12489"/>
    <w:rsid w:val="78D1255B"/>
    <w:rsid w:val="78D13B60"/>
    <w:rsid w:val="78D15FE5"/>
    <w:rsid w:val="78D24459"/>
    <w:rsid w:val="78D30A93"/>
    <w:rsid w:val="78D36201"/>
    <w:rsid w:val="78D37FAF"/>
    <w:rsid w:val="78D45AD6"/>
    <w:rsid w:val="78D67AA0"/>
    <w:rsid w:val="78D855C6"/>
    <w:rsid w:val="78D930EC"/>
    <w:rsid w:val="78DB6C4C"/>
    <w:rsid w:val="78DD2897"/>
    <w:rsid w:val="78DF4BA6"/>
    <w:rsid w:val="78E0091E"/>
    <w:rsid w:val="78E0447A"/>
    <w:rsid w:val="78E201F2"/>
    <w:rsid w:val="78E3301A"/>
    <w:rsid w:val="78E33F6B"/>
    <w:rsid w:val="78E35D19"/>
    <w:rsid w:val="78E55F35"/>
    <w:rsid w:val="78E57CE3"/>
    <w:rsid w:val="78E71CAD"/>
    <w:rsid w:val="78EB51DF"/>
    <w:rsid w:val="78EC1071"/>
    <w:rsid w:val="78EC72C3"/>
    <w:rsid w:val="78EE6B97"/>
    <w:rsid w:val="78F10436"/>
    <w:rsid w:val="78F148D9"/>
    <w:rsid w:val="78F32400"/>
    <w:rsid w:val="78F36363"/>
    <w:rsid w:val="78F426B9"/>
    <w:rsid w:val="78F63C9E"/>
    <w:rsid w:val="78F74CE4"/>
    <w:rsid w:val="78F817C4"/>
    <w:rsid w:val="78F9378E"/>
    <w:rsid w:val="78FA19E0"/>
    <w:rsid w:val="78FB3062"/>
    <w:rsid w:val="78FB431C"/>
    <w:rsid w:val="78FC4F0A"/>
    <w:rsid w:val="78FD327E"/>
    <w:rsid w:val="78FD5AF8"/>
    <w:rsid w:val="78FE1FE6"/>
    <w:rsid w:val="78FE771E"/>
    <w:rsid w:val="78FF0DA4"/>
    <w:rsid w:val="79002D6F"/>
    <w:rsid w:val="79022373"/>
    <w:rsid w:val="790243F1"/>
    <w:rsid w:val="79030169"/>
    <w:rsid w:val="79045E32"/>
    <w:rsid w:val="79050385"/>
    <w:rsid w:val="79054526"/>
    <w:rsid w:val="790740FD"/>
    <w:rsid w:val="79077C59"/>
    <w:rsid w:val="79085C69"/>
    <w:rsid w:val="79091C23"/>
    <w:rsid w:val="79093461"/>
    <w:rsid w:val="790939DA"/>
    <w:rsid w:val="790970F9"/>
    <w:rsid w:val="790A1A19"/>
    <w:rsid w:val="790C1713"/>
    <w:rsid w:val="790C34C1"/>
    <w:rsid w:val="790C77C0"/>
    <w:rsid w:val="790E0FE8"/>
    <w:rsid w:val="790E2F6B"/>
    <w:rsid w:val="790E548B"/>
    <w:rsid w:val="790E7239"/>
    <w:rsid w:val="790F4D60"/>
    <w:rsid w:val="790F6B0E"/>
    <w:rsid w:val="79112886"/>
    <w:rsid w:val="79116D1B"/>
    <w:rsid w:val="79134850"/>
    <w:rsid w:val="79142376"/>
    <w:rsid w:val="7914420C"/>
    <w:rsid w:val="79147BBC"/>
    <w:rsid w:val="79164340"/>
    <w:rsid w:val="79167E9C"/>
    <w:rsid w:val="79183C14"/>
    <w:rsid w:val="79196BEE"/>
    <w:rsid w:val="7919798C"/>
    <w:rsid w:val="791A150E"/>
    <w:rsid w:val="791A3E30"/>
    <w:rsid w:val="791B1956"/>
    <w:rsid w:val="791B54B2"/>
    <w:rsid w:val="791D122B"/>
    <w:rsid w:val="791D56CF"/>
    <w:rsid w:val="791F3958"/>
    <w:rsid w:val="791F3EF0"/>
    <w:rsid w:val="79200D1B"/>
    <w:rsid w:val="792151BF"/>
    <w:rsid w:val="79216810"/>
    <w:rsid w:val="792202C7"/>
    <w:rsid w:val="79226841"/>
    <w:rsid w:val="79231E78"/>
    <w:rsid w:val="7924080B"/>
    <w:rsid w:val="792417A2"/>
    <w:rsid w:val="792720A9"/>
    <w:rsid w:val="7927654D"/>
    <w:rsid w:val="79294073"/>
    <w:rsid w:val="79297BCF"/>
    <w:rsid w:val="792A22DF"/>
    <w:rsid w:val="792A3948"/>
    <w:rsid w:val="792C3923"/>
    <w:rsid w:val="792C3B64"/>
    <w:rsid w:val="792C5064"/>
    <w:rsid w:val="792C5912"/>
    <w:rsid w:val="792C61C2"/>
    <w:rsid w:val="792C76C0"/>
    <w:rsid w:val="792E6243"/>
    <w:rsid w:val="79305402"/>
    <w:rsid w:val="7931117A"/>
    <w:rsid w:val="79312F28"/>
    <w:rsid w:val="79314B76"/>
    <w:rsid w:val="79314BD9"/>
    <w:rsid w:val="79316305"/>
    <w:rsid w:val="79336CA0"/>
    <w:rsid w:val="79344461"/>
    <w:rsid w:val="79346574"/>
    <w:rsid w:val="793547C6"/>
    <w:rsid w:val="79356116"/>
    <w:rsid w:val="79366920"/>
    <w:rsid w:val="79377117"/>
    <w:rsid w:val="79381EC6"/>
    <w:rsid w:val="79382508"/>
    <w:rsid w:val="793A1DDD"/>
    <w:rsid w:val="793C27A7"/>
    <w:rsid w:val="793D18CD"/>
    <w:rsid w:val="793D7B1F"/>
    <w:rsid w:val="793E5D38"/>
    <w:rsid w:val="793F73F3"/>
    <w:rsid w:val="7940545D"/>
    <w:rsid w:val="79415DFA"/>
    <w:rsid w:val="79426EE3"/>
    <w:rsid w:val="7942728A"/>
    <w:rsid w:val="79427575"/>
    <w:rsid w:val="7943071A"/>
    <w:rsid w:val="7944477B"/>
    <w:rsid w:val="79450781"/>
    <w:rsid w:val="794644CA"/>
    <w:rsid w:val="794669D3"/>
    <w:rsid w:val="794762A8"/>
    <w:rsid w:val="79492020"/>
    <w:rsid w:val="794A2E35"/>
    <w:rsid w:val="794B3FEA"/>
    <w:rsid w:val="794C5FB4"/>
    <w:rsid w:val="794E3974"/>
    <w:rsid w:val="794E3ADA"/>
    <w:rsid w:val="794E7636"/>
    <w:rsid w:val="7950069A"/>
    <w:rsid w:val="79501600"/>
    <w:rsid w:val="79507852"/>
    <w:rsid w:val="79515378"/>
    <w:rsid w:val="79516E03"/>
    <w:rsid w:val="795310F0"/>
    <w:rsid w:val="795452DC"/>
    <w:rsid w:val="7954692C"/>
    <w:rsid w:val="79546F23"/>
    <w:rsid w:val="7955517B"/>
    <w:rsid w:val="79556C16"/>
    <w:rsid w:val="7955751A"/>
    <w:rsid w:val="7956473D"/>
    <w:rsid w:val="79570020"/>
    <w:rsid w:val="79574A8F"/>
    <w:rsid w:val="79594081"/>
    <w:rsid w:val="795A5FDB"/>
    <w:rsid w:val="795B1D53"/>
    <w:rsid w:val="795D1F6F"/>
    <w:rsid w:val="795D3C37"/>
    <w:rsid w:val="795D3D1D"/>
    <w:rsid w:val="795D5ACB"/>
    <w:rsid w:val="795E20DD"/>
    <w:rsid w:val="795F1843"/>
    <w:rsid w:val="796055BB"/>
    <w:rsid w:val="79607369"/>
    <w:rsid w:val="7961380D"/>
    <w:rsid w:val="796230E1"/>
    <w:rsid w:val="79627585"/>
    <w:rsid w:val="79630234"/>
    <w:rsid w:val="796432FD"/>
    <w:rsid w:val="796450AB"/>
    <w:rsid w:val="79650AA5"/>
    <w:rsid w:val="79650E0F"/>
    <w:rsid w:val="79652BD2"/>
    <w:rsid w:val="79654980"/>
    <w:rsid w:val="79667075"/>
    <w:rsid w:val="7967100B"/>
    <w:rsid w:val="796763D4"/>
    <w:rsid w:val="79690914"/>
    <w:rsid w:val="79692435"/>
    <w:rsid w:val="79694470"/>
    <w:rsid w:val="796A38C5"/>
    <w:rsid w:val="796B01E8"/>
    <w:rsid w:val="796B468C"/>
    <w:rsid w:val="796B643A"/>
    <w:rsid w:val="796C3F60"/>
    <w:rsid w:val="796C40D1"/>
    <w:rsid w:val="796E36D6"/>
    <w:rsid w:val="79701CA2"/>
    <w:rsid w:val="797058BC"/>
    <w:rsid w:val="79711576"/>
    <w:rsid w:val="79712057"/>
    <w:rsid w:val="797177C8"/>
    <w:rsid w:val="7972247C"/>
    <w:rsid w:val="797352EE"/>
    <w:rsid w:val="7973709D"/>
    <w:rsid w:val="79743A2F"/>
    <w:rsid w:val="797535A9"/>
    <w:rsid w:val="797634F8"/>
    <w:rsid w:val="79766B8D"/>
    <w:rsid w:val="79780B57"/>
    <w:rsid w:val="79782905"/>
    <w:rsid w:val="79786DA9"/>
    <w:rsid w:val="797A667D"/>
    <w:rsid w:val="797B7924"/>
    <w:rsid w:val="797C0647"/>
    <w:rsid w:val="797D616D"/>
    <w:rsid w:val="797D7F1B"/>
    <w:rsid w:val="797E32B5"/>
    <w:rsid w:val="797F0137"/>
    <w:rsid w:val="797F5A41"/>
    <w:rsid w:val="79817A0B"/>
    <w:rsid w:val="79825532"/>
    <w:rsid w:val="79835BAD"/>
    <w:rsid w:val="79836945"/>
    <w:rsid w:val="7985309E"/>
    <w:rsid w:val="79863274"/>
    <w:rsid w:val="798651DE"/>
    <w:rsid w:val="79872B48"/>
    <w:rsid w:val="798D2BB6"/>
    <w:rsid w:val="798E2128"/>
    <w:rsid w:val="798E2CBF"/>
    <w:rsid w:val="79907C4E"/>
    <w:rsid w:val="799139C7"/>
    <w:rsid w:val="79924211"/>
    <w:rsid w:val="799325F8"/>
    <w:rsid w:val="79935991"/>
    <w:rsid w:val="79951709"/>
    <w:rsid w:val="79955265"/>
    <w:rsid w:val="79964022"/>
    <w:rsid w:val="79974C49"/>
    <w:rsid w:val="79975481"/>
    <w:rsid w:val="79983E9C"/>
    <w:rsid w:val="79984052"/>
    <w:rsid w:val="79986942"/>
    <w:rsid w:val="79992A19"/>
    <w:rsid w:val="79997E70"/>
    <w:rsid w:val="799A0ACD"/>
    <w:rsid w:val="799B1C8D"/>
    <w:rsid w:val="799C2A97"/>
    <w:rsid w:val="799D05BD"/>
    <w:rsid w:val="799D236B"/>
    <w:rsid w:val="799D7BE3"/>
    <w:rsid w:val="799E680F"/>
    <w:rsid w:val="799F6815"/>
    <w:rsid w:val="79A13C0A"/>
    <w:rsid w:val="79A25BD4"/>
    <w:rsid w:val="79A26F69"/>
    <w:rsid w:val="79A35196"/>
    <w:rsid w:val="79A501FE"/>
    <w:rsid w:val="79A5662B"/>
    <w:rsid w:val="79A731EA"/>
    <w:rsid w:val="79A74F98"/>
    <w:rsid w:val="79A75FA3"/>
    <w:rsid w:val="79A764C4"/>
    <w:rsid w:val="79AB2CDA"/>
    <w:rsid w:val="79AB4A88"/>
    <w:rsid w:val="79AB6836"/>
    <w:rsid w:val="79AC0800"/>
    <w:rsid w:val="79AC25AE"/>
    <w:rsid w:val="79AC4C43"/>
    <w:rsid w:val="79AD70BA"/>
    <w:rsid w:val="79AE27CB"/>
    <w:rsid w:val="79B00498"/>
    <w:rsid w:val="79B04F11"/>
    <w:rsid w:val="79B06543"/>
    <w:rsid w:val="79B10E72"/>
    <w:rsid w:val="79B1645D"/>
    <w:rsid w:val="79B17BC5"/>
    <w:rsid w:val="79B24069"/>
    <w:rsid w:val="79B34498"/>
    <w:rsid w:val="79B37DE1"/>
    <w:rsid w:val="79B43A18"/>
    <w:rsid w:val="79B53B59"/>
    <w:rsid w:val="79B576B5"/>
    <w:rsid w:val="79B672FA"/>
    <w:rsid w:val="79B7167F"/>
    <w:rsid w:val="79B7342D"/>
    <w:rsid w:val="79B772FD"/>
    <w:rsid w:val="79B7764F"/>
    <w:rsid w:val="79B778D1"/>
    <w:rsid w:val="79B853F7"/>
    <w:rsid w:val="79B86684"/>
    <w:rsid w:val="79BA4CCB"/>
    <w:rsid w:val="79BC0A44"/>
    <w:rsid w:val="79BC4EE7"/>
    <w:rsid w:val="79BD2A0E"/>
    <w:rsid w:val="79BD47BC"/>
    <w:rsid w:val="79BD656A"/>
    <w:rsid w:val="79BF0534"/>
    <w:rsid w:val="79BF22E2"/>
    <w:rsid w:val="79C21DD2"/>
    <w:rsid w:val="79C30024"/>
    <w:rsid w:val="79C3347E"/>
    <w:rsid w:val="79C63670"/>
    <w:rsid w:val="79C6605A"/>
    <w:rsid w:val="79C8388C"/>
    <w:rsid w:val="79C8563A"/>
    <w:rsid w:val="79C913B2"/>
    <w:rsid w:val="79C93160"/>
    <w:rsid w:val="79CA2BB5"/>
    <w:rsid w:val="79CB0C87"/>
    <w:rsid w:val="79CD2C51"/>
    <w:rsid w:val="79CD5BDE"/>
    <w:rsid w:val="79D00993"/>
    <w:rsid w:val="79D044EF"/>
    <w:rsid w:val="79D12015"/>
    <w:rsid w:val="79D13F02"/>
    <w:rsid w:val="79D20267"/>
    <w:rsid w:val="79D33FDF"/>
    <w:rsid w:val="79D37B5B"/>
    <w:rsid w:val="79D42231"/>
    <w:rsid w:val="79D43BE1"/>
    <w:rsid w:val="79D83DD5"/>
    <w:rsid w:val="79D84715"/>
    <w:rsid w:val="79DA35C0"/>
    <w:rsid w:val="79DA413D"/>
    <w:rsid w:val="79DA65D2"/>
    <w:rsid w:val="79DB7B85"/>
    <w:rsid w:val="79DC10E6"/>
    <w:rsid w:val="79DC2E94"/>
    <w:rsid w:val="79DD09BA"/>
    <w:rsid w:val="79DD6C0C"/>
    <w:rsid w:val="79DF4732"/>
    <w:rsid w:val="79E16FB5"/>
    <w:rsid w:val="79E1716A"/>
    <w:rsid w:val="79E24222"/>
    <w:rsid w:val="79E263BE"/>
    <w:rsid w:val="79E268DE"/>
    <w:rsid w:val="79E306C6"/>
    <w:rsid w:val="79E32474"/>
    <w:rsid w:val="79E32B77"/>
    <w:rsid w:val="79E461EC"/>
    <w:rsid w:val="79E47F9A"/>
    <w:rsid w:val="79E5081C"/>
    <w:rsid w:val="79E65AC0"/>
    <w:rsid w:val="79E675CF"/>
    <w:rsid w:val="79E81839"/>
    <w:rsid w:val="79E87A8A"/>
    <w:rsid w:val="79E93803"/>
    <w:rsid w:val="79EA1A55"/>
    <w:rsid w:val="79EB1329"/>
    <w:rsid w:val="79EB767A"/>
    <w:rsid w:val="79EC251D"/>
    <w:rsid w:val="79ED6E4F"/>
    <w:rsid w:val="79EE3136"/>
    <w:rsid w:val="79EF0BCC"/>
    <w:rsid w:val="79EF748B"/>
    <w:rsid w:val="79F0693F"/>
    <w:rsid w:val="79F226B7"/>
    <w:rsid w:val="79F24465"/>
    <w:rsid w:val="79F301DD"/>
    <w:rsid w:val="79F34E12"/>
    <w:rsid w:val="79F53F55"/>
    <w:rsid w:val="79F71A7C"/>
    <w:rsid w:val="79F75F20"/>
    <w:rsid w:val="79F77E12"/>
    <w:rsid w:val="79F857F4"/>
    <w:rsid w:val="79F91C98"/>
    <w:rsid w:val="79FA156C"/>
    <w:rsid w:val="79FA5A10"/>
    <w:rsid w:val="79FB1D40"/>
    <w:rsid w:val="79FC05FF"/>
    <w:rsid w:val="79FC3536"/>
    <w:rsid w:val="79FC52E4"/>
    <w:rsid w:val="79FD4ED1"/>
    <w:rsid w:val="79FD5487"/>
    <w:rsid w:val="79FE72AE"/>
    <w:rsid w:val="79FF06C1"/>
    <w:rsid w:val="79FF3026"/>
    <w:rsid w:val="7A012FE1"/>
    <w:rsid w:val="7A013357"/>
    <w:rsid w:val="7A014471"/>
    <w:rsid w:val="7A0348C4"/>
    <w:rsid w:val="7A04063C"/>
    <w:rsid w:val="7A041962"/>
    <w:rsid w:val="7A081EDB"/>
    <w:rsid w:val="7A0917AF"/>
    <w:rsid w:val="7A097A01"/>
    <w:rsid w:val="7A0A5C53"/>
    <w:rsid w:val="7A0B19CB"/>
    <w:rsid w:val="7A0B3779"/>
    <w:rsid w:val="7A0B5527"/>
    <w:rsid w:val="7A0C5A0B"/>
    <w:rsid w:val="7A0D129F"/>
    <w:rsid w:val="7A0D74F1"/>
    <w:rsid w:val="7A0F3269"/>
    <w:rsid w:val="7A102B3D"/>
    <w:rsid w:val="7A106FE1"/>
    <w:rsid w:val="7A1203BE"/>
    <w:rsid w:val="7A122D59"/>
    <w:rsid w:val="7A1253F6"/>
    <w:rsid w:val="7A13262E"/>
    <w:rsid w:val="7A136886"/>
    <w:rsid w:val="7A137FC7"/>
    <w:rsid w:val="7A15284A"/>
    <w:rsid w:val="7A1563A6"/>
    <w:rsid w:val="7A17211E"/>
    <w:rsid w:val="7A187C44"/>
    <w:rsid w:val="7A195E96"/>
    <w:rsid w:val="7A1A1B20"/>
    <w:rsid w:val="7A1A1C0E"/>
    <w:rsid w:val="7A1A39BC"/>
    <w:rsid w:val="7A1A52C9"/>
    <w:rsid w:val="7A1C7BE9"/>
    <w:rsid w:val="7A2025CB"/>
    <w:rsid w:val="7A205476"/>
    <w:rsid w:val="7A214D4A"/>
    <w:rsid w:val="7A230AC3"/>
    <w:rsid w:val="7A24483B"/>
    <w:rsid w:val="7A245426"/>
    <w:rsid w:val="7A2523DC"/>
    <w:rsid w:val="7A262361"/>
    <w:rsid w:val="7A26699F"/>
    <w:rsid w:val="7A290AB6"/>
    <w:rsid w:val="7A2931E5"/>
    <w:rsid w:val="7A293551"/>
    <w:rsid w:val="7A293BFF"/>
    <w:rsid w:val="7A29688D"/>
    <w:rsid w:val="7A2A00A3"/>
    <w:rsid w:val="7A2B3E1B"/>
    <w:rsid w:val="7A2D1941"/>
    <w:rsid w:val="7A2D36EF"/>
    <w:rsid w:val="7A2D7B93"/>
    <w:rsid w:val="7A2F56B9"/>
    <w:rsid w:val="7A301431"/>
    <w:rsid w:val="7A305DAE"/>
    <w:rsid w:val="7A342CD0"/>
    <w:rsid w:val="7A344A7E"/>
    <w:rsid w:val="7A3507F6"/>
    <w:rsid w:val="7A351ED1"/>
    <w:rsid w:val="7A3525A4"/>
    <w:rsid w:val="7A3727C0"/>
    <w:rsid w:val="7A3765BA"/>
    <w:rsid w:val="7A385EE3"/>
    <w:rsid w:val="7A3945A5"/>
    <w:rsid w:val="7A394A60"/>
    <w:rsid w:val="7A3A5E0C"/>
    <w:rsid w:val="7A3C7DD6"/>
    <w:rsid w:val="7A3D1AF3"/>
    <w:rsid w:val="7A3E07D4"/>
    <w:rsid w:val="7A3E58FC"/>
    <w:rsid w:val="7A3F3423"/>
    <w:rsid w:val="7A4078C7"/>
    <w:rsid w:val="7A410F49"/>
    <w:rsid w:val="7A421904"/>
    <w:rsid w:val="7A434CC1"/>
    <w:rsid w:val="7A454EDD"/>
    <w:rsid w:val="7A462A03"/>
    <w:rsid w:val="7A4642E6"/>
    <w:rsid w:val="7A4647B1"/>
    <w:rsid w:val="7A480529"/>
    <w:rsid w:val="7A48677B"/>
    <w:rsid w:val="7A4B1DC7"/>
    <w:rsid w:val="7A4D1FE3"/>
    <w:rsid w:val="7A4D5B40"/>
    <w:rsid w:val="7A4E4B48"/>
    <w:rsid w:val="7A4F4E61"/>
    <w:rsid w:val="7A505630"/>
    <w:rsid w:val="7A5073DE"/>
    <w:rsid w:val="7A5213A8"/>
    <w:rsid w:val="7A526DB4"/>
    <w:rsid w:val="7A530E81"/>
    <w:rsid w:val="7A546ECE"/>
    <w:rsid w:val="7A5471AB"/>
    <w:rsid w:val="7A5549F4"/>
    <w:rsid w:val="7A5616AF"/>
    <w:rsid w:val="7A57269A"/>
    <w:rsid w:val="7A574C10"/>
    <w:rsid w:val="7A5769BE"/>
    <w:rsid w:val="7A580134"/>
    <w:rsid w:val="7A5A319C"/>
    <w:rsid w:val="7A5B64AE"/>
    <w:rsid w:val="7A5C2227"/>
    <w:rsid w:val="7A5C3FD5"/>
    <w:rsid w:val="7A5C5D83"/>
    <w:rsid w:val="7A5E1AFB"/>
    <w:rsid w:val="7A5E5F9F"/>
    <w:rsid w:val="7A5E7D4D"/>
    <w:rsid w:val="7A5F078B"/>
    <w:rsid w:val="7A5F5873"/>
    <w:rsid w:val="7A601D17"/>
    <w:rsid w:val="7A603AC5"/>
    <w:rsid w:val="7A60762F"/>
    <w:rsid w:val="7A61783D"/>
    <w:rsid w:val="7A626625"/>
    <w:rsid w:val="7A6335B5"/>
    <w:rsid w:val="7A643E8C"/>
    <w:rsid w:val="7A6510DB"/>
    <w:rsid w:val="7A65612E"/>
    <w:rsid w:val="7A65732D"/>
    <w:rsid w:val="7A660CFF"/>
    <w:rsid w:val="7A666C01"/>
    <w:rsid w:val="7A6730A5"/>
    <w:rsid w:val="7A6733C8"/>
    <w:rsid w:val="7A682FA1"/>
    <w:rsid w:val="7A684727"/>
    <w:rsid w:val="7A696649"/>
    <w:rsid w:val="7A696C50"/>
    <w:rsid w:val="7A6A04A0"/>
    <w:rsid w:val="7A6A66F1"/>
    <w:rsid w:val="7A6B1FA0"/>
    <w:rsid w:val="7A6B7F17"/>
    <w:rsid w:val="7A6C06BC"/>
    <w:rsid w:val="7A6D1D3E"/>
    <w:rsid w:val="7A6D4434"/>
    <w:rsid w:val="7A6D61E2"/>
    <w:rsid w:val="7A6F1F5A"/>
    <w:rsid w:val="7A6F5AB6"/>
    <w:rsid w:val="7A70182E"/>
    <w:rsid w:val="7A717781"/>
    <w:rsid w:val="7A721A4A"/>
    <w:rsid w:val="7A7237F8"/>
    <w:rsid w:val="7A7269D5"/>
    <w:rsid w:val="7A736149"/>
    <w:rsid w:val="7A74539C"/>
    <w:rsid w:val="7A756E44"/>
    <w:rsid w:val="7A7607F4"/>
    <w:rsid w:val="7A761654"/>
    <w:rsid w:val="7A765096"/>
    <w:rsid w:val="7A770E0E"/>
    <w:rsid w:val="7A777060"/>
    <w:rsid w:val="7A794B87"/>
    <w:rsid w:val="7A796935"/>
    <w:rsid w:val="7A7B0E2A"/>
    <w:rsid w:val="7A7B1A95"/>
    <w:rsid w:val="7A7C01D3"/>
    <w:rsid w:val="7A7C4677"/>
    <w:rsid w:val="7A7D3A6C"/>
    <w:rsid w:val="7A7D43B5"/>
    <w:rsid w:val="7A7E03EF"/>
    <w:rsid w:val="7A7F4C51"/>
    <w:rsid w:val="7A802D36"/>
    <w:rsid w:val="7A811C8D"/>
    <w:rsid w:val="7A811E80"/>
    <w:rsid w:val="7A813A3B"/>
    <w:rsid w:val="7A81764C"/>
    <w:rsid w:val="7A8231F9"/>
    <w:rsid w:val="7A827EE4"/>
    <w:rsid w:val="7A8316B7"/>
    <w:rsid w:val="7A8552D9"/>
    <w:rsid w:val="7A861051"/>
    <w:rsid w:val="7A8800B8"/>
    <w:rsid w:val="7A884099"/>
    <w:rsid w:val="7A8A0B42"/>
    <w:rsid w:val="7A8A6D94"/>
    <w:rsid w:val="7A8B158A"/>
    <w:rsid w:val="7A8B6668"/>
    <w:rsid w:val="7A8C2B0C"/>
    <w:rsid w:val="7A8C48BA"/>
    <w:rsid w:val="7A8D0632"/>
    <w:rsid w:val="7A8E53C2"/>
    <w:rsid w:val="7A8E733D"/>
    <w:rsid w:val="7A911ED0"/>
    <w:rsid w:val="7A9153FC"/>
    <w:rsid w:val="7A923E9A"/>
    <w:rsid w:val="7A94376E"/>
    <w:rsid w:val="7A97325F"/>
    <w:rsid w:val="7A97500D"/>
    <w:rsid w:val="7A9763C5"/>
    <w:rsid w:val="7A9814B1"/>
    <w:rsid w:val="7A996FD7"/>
    <w:rsid w:val="7A9B2D4F"/>
    <w:rsid w:val="7A9B4AFD"/>
    <w:rsid w:val="7A9B68AB"/>
    <w:rsid w:val="7A9B793E"/>
    <w:rsid w:val="7A9D6D63"/>
    <w:rsid w:val="7A9E5E01"/>
    <w:rsid w:val="7A9E5FB6"/>
    <w:rsid w:val="7A9E639B"/>
    <w:rsid w:val="7A9F47C8"/>
    <w:rsid w:val="7A9F774F"/>
    <w:rsid w:val="7AA15E8B"/>
    <w:rsid w:val="7AA17C39"/>
    <w:rsid w:val="7AA240DD"/>
    <w:rsid w:val="7AA24C40"/>
    <w:rsid w:val="7AA31C03"/>
    <w:rsid w:val="7AA339B1"/>
    <w:rsid w:val="7AA37E55"/>
    <w:rsid w:val="7AA42D9E"/>
    <w:rsid w:val="7AA65250"/>
    <w:rsid w:val="7AA80AB2"/>
    <w:rsid w:val="7AA81F42"/>
    <w:rsid w:val="7AAA017E"/>
    <w:rsid w:val="7AAA4D40"/>
    <w:rsid w:val="7AAC0AB8"/>
    <w:rsid w:val="7AAC4F5C"/>
    <w:rsid w:val="7AAC582A"/>
    <w:rsid w:val="7AAD6FA5"/>
    <w:rsid w:val="7AAD79E7"/>
    <w:rsid w:val="7AAF05A8"/>
    <w:rsid w:val="7AAF2356"/>
    <w:rsid w:val="7AB01B57"/>
    <w:rsid w:val="7AB01E15"/>
    <w:rsid w:val="7AB17307"/>
    <w:rsid w:val="7AB20098"/>
    <w:rsid w:val="7AB35BC5"/>
    <w:rsid w:val="7AB43E11"/>
    <w:rsid w:val="7AB45BBF"/>
    <w:rsid w:val="7AB5618B"/>
    <w:rsid w:val="7AB636E5"/>
    <w:rsid w:val="7AB67B89"/>
    <w:rsid w:val="7AB756AF"/>
    <w:rsid w:val="7AB77117"/>
    <w:rsid w:val="7AB7745D"/>
    <w:rsid w:val="7AB91427"/>
    <w:rsid w:val="7ABC1938"/>
    <w:rsid w:val="7ABD2CC5"/>
    <w:rsid w:val="7AC027B5"/>
    <w:rsid w:val="7AC04563"/>
    <w:rsid w:val="7AC0548A"/>
    <w:rsid w:val="7AC1208A"/>
    <w:rsid w:val="7AC356BA"/>
    <w:rsid w:val="7AC35E02"/>
    <w:rsid w:val="7AC43368"/>
    <w:rsid w:val="7AC51B7A"/>
    <w:rsid w:val="7AC53928"/>
    <w:rsid w:val="7AC7009C"/>
    <w:rsid w:val="7AC73B44"/>
    <w:rsid w:val="7AC8166A"/>
    <w:rsid w:val="7AC83418"/>
    <w:rsid w:val="7AC878BC"/>
    <w:rsid w:val="7ACB351E"/>
    <w:rsid w:val="7ACB4CB6"/>
    <w:rsid w:val="7ACC086C"/>
    <w:rsid w:val="7ACD0A2E"/>
    <w:rsid w:val="7ACD6C80"/>
    <w:rsid w:val="7ACF29F8"/>
    <w:rsid w:val="7ACF47A6"/>
    <w:rsid w:val="7ACF682E"/>
    <w:rsid w:val="7AD1051F"/>
    <w:rsid w:val="7AD16771"/>
    <w:rsid w:val="7AD23D36"/>
    <w:rsid w:val="7AD324E9"/>
    <w:rsid w:val="7AD46261"/>
    <w:rsid w:val="7AD61FD9"/>
    <w:rsid w:val="7AD65B35"/>
    <w:rsid w:val="7AD74DE8"/>
    <w:rsid w:val="7AD86628"/>
    <w:rsid w:val="7AD86E13"/>
    <w:rsid w:val="7AD95625"/>
    <w:rsid w:val="7ADA324A"/>
    <w:rsid w:val="7ADB450B"/>
    <w:rsid w:val="7ADC6EC3"/>
    <w:rsid w:val="7ADD5821"/>
    <w:rsid w:val="7ADE49EA"/>
    <w:rsid w:val="7AE2272C"/>
    <w:rsid w:val="7AE244DA"/>
    <w:rsid w:val="7AE30252"/>
    <w:rsid w:val="7AE33563"/>
    <w:rsid w:val="7AE364A4"/>
    <w:rsid w:val="7AE446F6"/>
    <w:rsid w:val="7AE55D78"/>
    <w:rsid w:val="7AE70D64"/>
    <w:rsid w:val="7AE75F94"/>
    <w:rsid w:val="7AE804D8"/>
    <w:rsid w:val="7AE87FB7"/>
    <w:rsid w:val="7AE91D0C"/>
    <w:rsid w:val="7AEA338E"/>
    <w:rsid w:val="7AEA3DC5"/>
    <w:rsid w:val="7AEA5A84"/>
    <w:rsid w:val="7AEA7832"/>
    <w:rsid w:val="7AEB754E"/>
    <w:rsid w:val="7AEC35AA"/>
    <w:rsid w:val="7AEC5358"/>
    <w:rsid w:val="7AEC7106"/>
    <w:rsid w:val="7AEE7323"/>
    <w:rsid w:val="7AEF309B"/>
    <w:rsid w:val="7AF10BC1"/>
    <w:rsid w:val="7AF1296F"/>
    <w:rsid w:val="7AF16E13"/>
    <w:rsid w:val="7AF20495"/>
    <w:rsid w:val="7AF366E7"/>
    <w:rsid w:val="7AF46434"/>
    <w:rsid w:val="7AF56621"/>
    <w:rsid w:val="7AF67F85"/>
    <w:rsid w:val="7AF745AA"/>
    <w:rsid w:val="7AF77DF6"/>
    <w:rsid w:val="7AF86ECA"/>
    <w:rsid w:val="7AF95CC7"/>
    <w:rsid w:val="7AF97A75"/>
    <w:rsid w:val="7AFB1A3F"/>
    <w:rsid w:val="7AFB26BA"/>
    <w:rsid w:val="7AFB2C7A"/>
    <w:rsid w:val="7AFC7841"/>
    <w:rsid w:val="7AFD7566"/>
    <w:rsid w:val="7AFE508C"/>
    <w:rsid w:val="7AFE61F7"/>
    <w:rsid w:val="7AFE6E3A"/>
    <w:rsid w:val="7B002BB2"/>
    <w:rsid w:val="7B005EFE"/>
    <w:rsid w:val="7B007056"/>
    <w:rsid w:val="7B024B7C"/>
    <w:rsid w:val="7B027F7C"/>
    <w:rsid w:val="7B0408F4"/>
    <w:rsid w:val="7B046B46"/>
    <w:rsid w:val="7B0501C8"/>
    <w:rsid w:val="7B0703E4"/>
    <w:rsid w:val="7B073F40"/>
    <w:rsid w:val="7B0869BE"/>
    <w:rsid w:val="7B087CB8"/>
    <w:rsid w:val="7B095F0A"/>
    <w:rsid w:val="7B0A3A31"/>
    <w:rsid w:val="7B0A57DF"/>
    <w:rsid w:val="7B0E1773"/>
    <w:rsid w:val="7B0F1047"/>
    <w:rsid w:val="7B0F7299"/>
    <w:rsid w:val="7B113011"/>
    <w:rsid w:val="7B1228E5"/>
    <w:rsid w:val="7B130B37"/>
    <w:rsid w:val="7B1448AF"/>
    <w:rsid w:val="7B14665D"/>
    <w:rsid w:val="7B152B01"/>
    <w:rsid w:val="7B160FC2"/>
    <w:rsid w:val="7B1623D5"/>
    <w:rsid w:val="7B1776CD"/>
    <w:rsid w:val="7B18439F"/>
    <w:rsid w:val="7B1864B3"/>
    <w:rsid w:val="7B193C74"/>
    <w:rsid w:val="7B197943"/>
    <w:rsid w:val="7B1A0118"/>
    <w:rsid w:val="7B1A6202"/>
    <w:rsid w:val="7B1B5C3E"/>
    <w:rsid w:val="7B1B79EC"/>
    <w:rsid w:val="7B1D19B6"/>
    <w:rsid w:val="7B1D5512"/>
    <w:rsid w:val="7B1D7C08"/>
    <w:rsid w:val="7B1E74DC"/>
    <w:rsid w:val="7B1F572E"/>
    <w:rsid w:val="7B2014A6"/>
    <w:rsid w:val="7B204C45"/>
    <w:rsid w:val="7B205002"/>
    <w:rsid w:val="7B206849"/>
    <w:rsid w:val="7B2127B7"/>
    <w:rsid w:val="7B212CD8"/>
    <w:rsid w:val="7B220D7A"/>
    <w:rsid w:val="7B22521E"/>
    <w:rsid w:val="7B226FCC"/>
    <w:rsid w:val="7B247BEC"/>
    <w:rsid w:val="7B252618"/>
    <w:rsid w:val="7B256ABC"/>
    <w:rsid w:val="7B29035B"/>
    <w:rsid w:val="7B2961D4"/>
    <w:rsid w:val="7B2965AD"/>
    <w:rsid w:val="7B2A40D3"/>
    <w:rsid w:val="7B2C7E4B"/>
    <w:rsid w:val="7B2D7A9F"/>
    <w:rsid w:val="7B2E3BC3"/>
    <w:rsid w:val="7B2E3D9A"/>
    <w:rsid w:val="7B2E771F"/>
    <w:rsid w:val="7B2F3497"/>
    <w:rsid w:val="7B2F4C29"/>
    <w:rsid w:val="7B306E01"/>
    <w:rsid w:val="7B30793B"/>
    <w:rsid w:val="7B310FBD"/>
    <w:rsid w:val="7B315461"/>
    <w:rsid w:val="7B315BCA"/>
    <w:rsid w:val="7B326164"/>
    <w:rsid w:val="7B332F87"/>
    <w:rsid w:val="7B334D35"/>
    <w:rsid w:val="7B340AAD"/>
    <w:rsid w:val="7B34197A"/>
    <w:rsid w:val="7B353076"/>
    <w:rsid w:val="7B354232"/>
    <w:rsid w:val="7B382ECC"/>
    <w:rsid w:val="7B393B5A"/>
    <w:rsid w:val="7B3960C4"/>
    <w:rsid w:val="7B397340"/>
    <w:rsid w:val="7B3A4316"/>
    <w:rsid w:val="7B3A6C7C"/>
    <w:rsid w:val="7B3A7C36"/>
    <w:rsid w:val="7B3B1E3C"/>
    <w:rsid w:val="7B3B62E0"/>
    <w:rsid w:val="7B3C0988"/>
    <w:rsid w:val="7B3D1CC7"/>
    <w:rsid w:val="7B3D3E06"/>
    <w:rsid w:val="7B3D5BB4"/>
    <w:rsid w:val="7B3E01CE"/>
    <w:rsid w:val="7B3E47F0"/>
    <w:rsid w:val="7B3F192C"/>
    <w:rsid w:val="7B402AEE"/>
    <w:rsid w:val="7B4156BF"/>
    <w:rsid w:val="7B42141C"/>
    <w:rsid w:val="7B4231CA"/>
    <w:rsid w:val="7B424F78"/>
    <w:rsid w:val="7B450F0D"/>
    <w:rsid w:val="7B452CBB"/>
    <w:rsid w:val="7B453D8F"/>
    <w:rsid w:val="7B47340A"/>
    <w:rsid w:val="7B474C85"/>
    <w:rsid w:val="7B476A33"/>
    <w:rsid w:val="7B486307"/>
    <w:rsid w:val="7B4927AB"/>
    <w:rsid w:val="7B4A02D1"/>
    <w:rsid w:val="7B4A207F"/>
    <w:rsid w:val="7B4B6523"/>
    <w:rsid w:val="7B4C2625"/>
    <w:rsid w:val="7B4D06A3"/>
    <w:rsid w:val="7B4D0FEC"/>
    <w:rsid w:val="7B4D7DEC"/>
    <w:rsid w:val="7B4E008A"/>
    <w:rsid w:val="7B4E6013"/>
    <w:rsid w:val="7B4F7695"/>
    <w:rsid w:val="7B51340D"/>
    <w:rsid w:val="7B5178B1"/>
    <w:rsid w:val="7B537186"/>
    <w:rsid w:val="7B537AD4"/>
    <w:rsid w:val="7B542EFE"/>
    <w:rsid w:val="7B546A31"/>
    <w:rsid w:val="7B551574"/>
    <w:rsid w:val="7B555E22"/>
    <w:rsid w:val="7B5573A2"/>
    <w:rsid w:val="7B560A24"/>
    <w:rsid w:val="7B566C76"/>
    <w:rsid w:val="7B5A49B8"/>
    <w:rsid w:val="7B5B24DE"/>
    <w:rsid w:val="7B5B4B25"/>
    <w:rsid w:val="7B5B603A"/>
    <w:rsid w:val="7B5F5B2A"/>
    <w:rsid w:val="7B6018A2"/>
    <w:rsid w:val="7B615D46"/>
    <w:rsid w:val="7B62386D"/>
    <w:rsid w:val="7B672C31"/>
    <w:rsid w:val="7B690757"/>
    <w:rsid w:val="7B691CFA"/>
    <w:rsid w:val="7B693F60"/>
    <w:rsid w:val="7B6964C7"/>
    <w:rsid w:val="7B6969A9"/>
    <w:rsid w:val="7B6B0973"/>
    <w:rsid w:val="7B6B5AAA"/>
    <w:rsid w:val="7B6C223F"/>
    <w:rsid w:val="7B6E2211"/>
    <w:rsid w:val="7B6E2CD0"/>
    <w:rsid w:val="7B6E5D6D"/>
    <w:rsid w:val="7B6F1AE6"/>
    <w:rsid w:val="7B71191C"/>
    <w:rsid w:val="7B711D02"/>
    <w:rsid w:val="7B71585E"/>
    <w:rsid w:val="7B73597D"/>
    <w:rsid w:val="7B744583"/>
    <w:rsid w:val="7B7470FC"/>
    <w:rsid w:val="7B7535A0"/>
    <w:rsid w:val="7B75534E"/>
    <w:rsid w:val="7B762E74"/>
    <w:rsid w:val="7B767318"/>
    <w:rsid w:val="7B784E3E"/>
    <w:rsid w:val="7B7900AE"/>
    <w:rsid w:val="7B7A0BB6"/>
    <w:rsid w:val="7B7A410F"/>
    <w:rsid w:val="7B7A6E08"/>
    <w:rsid w:val="7B7B492E"/>
    <w:rsid w:val="7B7B559F"/>
    <w:rsid w:val="7B7B66DC"/>
    <w:rsid w:val="7B7D4202"/>
    <w:rsid w:val="7B7F61CD"/>
    <w:rsid w:val="7B7F7F7B"/>
    <w:rsid w:val="7B803CF3"/>
    <w:rsid w:val="7B810197"/>
    <w:rsid w:val="7B816BA7"/>
    <w:rsid w:val="7B817EDA"/>
    <w:rsid w:val="7B821819"/>
    <w:rsid w:val="7B8228A1"/>
    <w:rsid w:val="7B833D31"/>
    <w:rsid w:val="7B835472"/>
    <w:rsid w:val="7B841A35"/>
    <w:rsid w:val="7B8657AD"/>
    <w:rsid w:val="7B871525"/>
    <w:rsid w:val="7B890DF9"/>
    <w:rsid w:val="7B89704B"/>
    <w:rsid w:val="7B8B4B71"/>
    <w:rsid w:val="7B8C08E9"/>
    <w:rsid w:val="7B8C6B3B"/>
    <w:rsid w:val="7B8E01BE"/>
    <w:rsid w:val="7B8E6410"/>
    <w:rsid w:val="7B902188"/>
    <w:rsid w:val="7B914152"/>
    <w:rsid w:val="7B931C78"/>
    <w:rsid w:val="7B937ECA"/>
    <w:rsid w:val="7B95154C"/>
    <w:rsid w:val="7B954EB2"/>
    <w:rsid w:val="7B955AA9"/>
    <w:rsid w:val="7B9621A7"/>
    <w:rsid w:val="7B9652C4"/>
    <w:rsid w:val="7B9B0B2D"/>
    <w:rsid w:val="7B9B4B89"/>
    <w:rsid w:val="7B9D23D9"/>
    <w:rsid w:val="7B9F23CB"/>
    <w:rsid w:val="7BA172BA"/>
    <w:rsid w:val="7BA3043B"/>
    <w:rsid w:val="7BA35EEC"/>
    <w:rsid w:val="7BA40029"/>
    <w:rsid w:val="7BA43E85"/>
    <w:rsid w:val="7BA47DFA"/>
    <w:rsid w:val="7BA7486D"/>
    <w:rsid w:val="7BA75723"/>
    <w:rsid w:val="7BA774D1"/>
    <w:rsid w:val="7BA93249"/>
    <w:rsid w:val="7BA94FF8"/>
    <w:rsid w:val="7BAC2D3A"/>
    <w:rsid w:val="7BAC4AE8"/>
    <w:rsid w:val="7BAD6F9E"/>
    <w:rsid w:val="7BAE0860"/>
    <w:rsid w:val="7BAE1682"/>
    <w:rsid w:val="7BAE6AB2"/>
    <w:rsid w:val="7BAF1476"/>
    <w:rsid w:val="7BAF18BE"/>
    <w:rsid w:val="7BB00C9D"/>
    <w:rsid w:val="7BB0282A"/>
    <w:rsid w:val="7BB06386"/>
    <w:rsid w:val="7BB120FE"/>
    <w:rsid w:val="7BB138DC"/>
    <w:rsid w:val="7BB22216"/>
    <w:rsid w:val="7BB265A2"/>
    <w:rsid w:val="7BB3231A"/>
    <w:rsid w:val="7BB37C24"/>
    <w:rsid w:val="7BB51BEE"/>
    <w:rsid w:val="7BB60249"/>
    <w:rsid w:val="7BB75A6B"/>
    <w:rsid w:val="7BBA0FB3"/>
    <w:rsid w:val="7BBA7205"/>
    <w:rsid w:val="7BBB4173"/>
    <w:rsid w:val="7BBD4F47"/>
    <w:rsid w:val="7BBF481B"/>
    <w:rsid w:val="7BC05414"/>
    <w:rsid w:val="7BC10593"/>
    <w:rsid w:val="7BC2255D"/>
    <w:rsid w:val="7BC2430B"/>
    <w:rsid w:val="7BC260B9"/>
    <w:rsid w:val="7BC63DFB"/>
    <w:rsid w:val="7BC65BA9"/>
    <w:rsid w:val="7BC676AE"/>
    <w:rsid w:val="7BC700E1"/>
    <w:rsid w:val="7BC938EC"/>
    <w:rsid w:val="7BC97448"/>
    <w:rsid w:val="7BCB31C0"/>
    <w:rsid w:val="7BCB7664"/>
    <w:rsid w:val="7BCC6F38"/>
    <w:rsid w:val="7BCD518A"/>
    <w:rsid w:val="7BD1454E"/>
    <w:rsid w:val="7BD15117"/>
    <w:rsid w:val="7BD302C6"/>
    <w:rsid w:val="7BD32074"/>
    <w:rsid w:val="7BD50BA2"/>
    <w:rsid w:val="7BD55DED"/>
    <w:rsid w:val="7BD61B65"/>
    <w:rsid w:val="7BD76009"/>
    <w:rsid w:val="7BD77DB7"/>
    <w:rsid w:val="7BDA3403"/>
    <w:rsid w:val="7BDA7885"/>
    <w:rsid w:val="7BDE7397"/>
    <w:rsid w:val="7BDF099D"/>
    <w:rsid w:val="7BDF4EBD"/>
    <w:rsid w:val="7BE2731E"/>
    <w:rsid w:val="7BE349AD"/>
    <w:rsid w:val="7BE40725"/>
    <w:rsid w:val="7BE546F8"/>
    <w:rsid w:val="7BE60B36"/>
    <w:rsid w:val="7BE91898"/>
    <w:rsid w:val="7BE95D3C"/>
    <w:rsid w:val="7BEA1762"/>
    <w:rsid w:val="7BEB1AB4"/>
    <w:rsid w:val="7BEB3862"/>
    <w:rsid w:val="7BEC2FA1"/>
    <w:rsid w:val="7BEC3136"/>
    <w:rsid w:val="7BED0E7B"/>
    <w:rsid w:val="7BEF0492"/>
    <w:rsid w:val="7BF00E78"/>
    <w:rsid w:val="7BF02C26"/>
    <w:rsid w:val="7BF02DB2"/>
    <w:rsid w:val="7BF063C8"/>
    <w:rsid w:val="7BF1074D"/>
    <w:rsid w:val="7BF22E42"/>
    <w:rsid w:val="7BF24976"/>
    <w:rsid w:val="7BF24BF0"/>
    <w:rsid w:val="7BF2699E"/>
    <w:rsid w:val="7BF344C5"/>
    <w:rsid w:val="7BF700B4"/>
    <w:rsid w:val="7BF70459"/>
    <w:rsid w:val="7BF75E72"/>
    <w:rsid w:val="7BF75F6E"/>
    <w:rsid w:val="7BF85F7F"/>
    <w:rsid w:val="7BF87D2D"/>
    <w:rsid w:val="7BFA5853"/>
    <w:rsid w:val="7BFB565B"/>
    <w:rsid w:val="7BFD3595"/>
    <w:rsid w:val="7BFE1C08"/>
    <w:rsid w:val="7BFF2E69"/>
    <w:rsid w:val="7C02391E"/>
    <w:rsid w:val="7C036DFE"/>
    <w:rsid w:val="7C044451"/>
    <w:rsid w:val="7C047AE7"/>
    <w:rsid w:val="7C06069C"/>
    <w:rsid w:val="7C06244A"/>
    <w:rsid w:val="7C063B48"/>
    <w:rsid w:val="7C0641F8"/>
    <w:rsid w:val="7C077950"/>
    <w:rsid w:val="7C077F70"/>
    <w:rsid w:val="7C084414"/>
    <w:rsid w:val="7C0B048F"/>
    <w:rsid w:val="7C0B5CB2"/>
    <w:rsid w:val="7C0C5586"/>
    <w:rsid w:val="7C0D1A2A"/>
    <w:rsid w:val="7C0E12FE"/>
    <w:rsid w:val="7C0E7550"/>
    <w:rsid w:val="7C1077CB"/>
    <w:rsid w:val="7C1120EB"/>
    <w:rsid w:val="7C11382C"/>
    <w:rsid w:val="7C1152C9"/>
    <w:rsid w:val="7C117587"/>
    <w:rsid w:val="7C131926"/>
    <w:rsid w:val="7C1508DF"/>
    <w:rsid w:val="7C156B31"/>
    <w:rsid w:val="7C1728A9"/>
    <w:rsid w:val="7C176405"/>
    <w:rsid w:val="7C183F2B"/>
    <w:rsid w:val="7C1A7CA3"/>
    <w:rsid w:val="7C1C7EBF"/>
    <w:rsid w:val="7C1D1542"/>
    <w:rsid w:val="7C1D1DCF"/>
    <w:rsid w:val="7C1D2809"/>
    <w:rsid w:val="7C1D7794"/>
    <w:rsid w:val="7C1E3C37"/>
    <w:rsid w:val="7C1F52BA"/>
    <w:rsid w:val="7C211032"/>
    <w:rsid w:val="7C262AEC"/>
    <w:rsid w:val="7C2635E2"/>
    <w:rsid w:val="7C264A87"/>
    <w:rsid w:val="7C266648"/>
    <w:rsid w:val="7C270550"/>
    <w:rsid w:val="7C272C0F"/>
    <w:rsid w:val="7C280612"/>
    <w:rsid w:val="7C286864"/>
    <w:rsid w:val="7C2B0102"/>
    <w:rsid w:val="7C2B0928"/>
    <w:rsid w:val="7C2B3C5E"/>
    <w:rsid w:val="7C2D3E7B"/>
    <w:rsid w:val="7C2E2D54"/>
    <w:rsid w:val="7C3123F5"/>
    <w:rsid w:val="7C321491"/>
    <w:rsid w:val="7C330D65"/>
    <w:rsid w:val="7C354ADD"/>
    <w:rsid w:val="7C357264"/>
    <w:rsid w:val="7C374CF9"/>
    <w:rsid w:val="7C374ED5"/>
    <w:rsid w:val="7C38637B"/>
    <w:rsid w:val="7C39281F"/>
    <w:rsid w:val="7C3931CA"/>
    <w:rsid w:val="7C3A6597"/>
    <w:rsid w:val="7C3C5E6C"/>
    <w:rsid w:val="7C3D3992"/>
    <w:rsid w:val="7C3F595C"/>
    <w:rsid w:val="7C403AAF"/>
    <w:rsid w:val="7C410A27"/>
    <w:rsid w:val="7C413482"/>
    <w:rsid w:val="7C417926"/>
    <w:rsid w:val="7C431CC9"/>
    <w:rsid w:val="7C43544C"/>
    <w:rsid w:val="7C4371FA"/>
    <w:rsid w:val="7C444D20"/>
    <w:rsid w:val="7C460A98"/>
    <w:rsid w:val="7C464F3C"/>
    <w:rsid w:val="7C466CEA"/>
    <w:rsid w:val="7C480A5D"/>
    <w:rsid w:val="7C490589"/>
    <w:rsid w:val="7C492337"/>
    <w:rsid w:val="7C4A388D"/>
    <w:rsid w:val="7C4B2B74"/>
    <w:rsid w:val="7C4C6043"/>
    <w:rsid w:val="7C4D1E27"/>
    <w:rsid w:val="7C4F2043"/>
    <w:rsid w:val="7C5238E1"/>
    <w:rsid w:val="7C535D63"/>
    <w:rsid w:val="7C541407"/>
    <w:rsid w:val="7C541E39"/>
    <w:rsid w:val="7C556F2D"/>
    <w:rsid w:val="7C56760C"/>
    <w:rsid w:val="7C572CA5"/>
    <w:rsid w:val="7C5807CC"/>
    <w:rsid w:val="7C594C70"/>
    <w:rsid w:val="7C5A4544"/>
    <w:rsid w:val="7C5C4760"/>
    <w:rsid w:val="7C5C650E"/>
    <w:rsid w:val="7C5D7BDC"/>
    <w:rsid w:val="7C5E05B6"/>
    <w:rsid w:val="7C5E2286"/>
    <w:rsid w:val="7C5E4034"/>
    <w:rsid w:val="7C5F1B5A"/>
    <w:rsid w:val="7C5F32C3"/>
    <w:rsid w:val="7C605FFE"/>
    <w:rsid w:val="7C613B24"/>
    <w:rsid w:val="7C6158D2"/>
    <w:rsid w:val="7C63164A"/>
    <w:rsid w:val="7C635AEE"/>
    <w:rsid w:val="7C6505C5"/>
    <w:rsid w:val="7C653614"/>
    <w:rsid w:val="7C66113B"/>
    <w:rsid w:val="7C661A55"/>
    <w:rsid w:val="7C666E84"/>
    <w:rsid w:val="7C683105"/>
    <w:rsid w:val="7C686C61"/>
    <w:rsid w:val="7C6929D9"/>
    <w:rsid w:val="7C6A0C2B"/>
    <w:rsid w:val="7C6A6C95"/>
    <w:rsid w:val="7C6B04FF"/>
    <w:rsid w:val="7C6B49A3"/>
    <w:rsid w:val="7C6D071B"/>
    <w:rsid w:val="7C6F4493"/>
    <w:rsid w:val="7C6F6241"/>
    <w:rsid w:val="7C701FB9"/>
    <w:rsid w:val="7C705B15"/>
    <w:rsid w:val="7C706DF3"/>
    <w:rsid w:val="7C713F97"/>
    <w:rsid w:val="7C732BC9"/>
    <w:rsid w:val="7C742918"/>
    <w:rsid w:val="7C744059"/>
    <w:rsid w:val="7C745605"/>
    <w:rsid w:val="7C75312C"/>
    <w:rsid w:val="7C773348"/>
    <w:rsid w:val="7C776EA4"/>
    <w:rsid w:val="7C790E6E"/>
    <w:rsid w:val="7C7A3A70"/>
    <w:rsid w:val="7C7A678A"/>
    <w:rsid w:val="7C7A6994"/>
    <w:rsid w:val="7C7C270C"/>
    <w:rsid w:val="7C7D65A8"/>
    <w:rsid w:val="7C7E0232"/>
    <w:rsid w:val="7C7E6484"/>
    <w:rsid w:val="7C7F153F"/>
    <w:rsid w:val="7C8021FC"/>
    <w:rsid w:val="7C81665C"/>
    <w:rsid w:val="7C816663"/>
    <w:rsid w:val="7C831CEC"/>
    <w:rsid w:val="7C8415C1"/>
    <w:rsid w:val="7C855A65"/>
    <w:rsid w:val="7C857813"/>
    <w:rsid w:val="7C8617DD"/>
    <w:rsid w:val="7C865339"/>
    <w:rsid w:val="7C865EDA"/>
    <w:rsid w:val="7C870679"/>
    <w:rsid w:val="7C887303"/>
    <w:rsid w:val="7C8B143E"/>
    <w:rsid w:val="7C8B294F"/>
    <w:rsid w:val="7C8B5ABC"/>
    <w:rsid w:val="7C8D1210"/>
    <w:rsid w:val="7C8D2B6B"/>
    <w:rsid w:val="7C8D3BF7"/>
    <w:rsid w:val="7C8D4919"/>
    <w:rsid w:val="7C8D66C7"/>
    <w:rsid w:val="7C8E750C"/>
    <w:rsid w:val="7C8F0691"/>
    <w:rsid w:val="7C8F4132"/>
    <w:rsid w:val="7C8F68E3"/>
    <w:rsid w:val="7C8F7B03"/>
    <w:rsid w:val="7C907F65"/>
    <w:rsid w:val="7C91058A"/>
    <w:rsid w:val="7C916C92"/>
    <w:rsid w:val="7C943EFA"/>
    <w:rsid w:val="7C945CA8"/>
    <w:rsid w:val="7C9461A2"/>
    <w:rsid w:val="7C947A56"/>
    <w:rsid w:val="7C961A20"/>
    <w:rsid w:val="7C975798"/>
    <w:rsid w:val="7C9818D4"/>
    <w:rsid w:val="7C9B5288"/>
    <w:rsid w:val="7C9B7036"/>
    <w:rsid w:val="7C9B7203"/>
    <w:rsid w:val="7C9B7337"/>
    <w:rsid w:val="7C9C4B5C"/>
    <w:rsid w:val="7C9C5EB4"/>
    <w:rsid w:val="7C9C690A"/>
    <w:rsid w:val="7C9D0E8B"/>
    <w:rsid w:val="7C9E2682"/>
    <w:rsid w:val="7C9F63FA"/>
    <w:rsid w:val="7CA01BE5"/>
    <w:rsid w:val="7CA103C5"/>
    <w:rsid w:val="7CA12173"/>
    <w:rsid w:val="7CA13F21"/>
    <w:rsid w:val="7CA247BC"/>
    <w:rsid w:val="7CA36748"/>
    <w:rsid w:val="7CA53A11"/>
    <w:rsid w:val="7CA659DB"/>
    <w:rsid w:val="7CA70377"/>
    <w:rsid w:val="7CA76592"/>
    <w:rsid w:val="7CA83501"/>
    <w:rsid w:val="7CA83A4A"/>
    <w:rsid w:val="7CAA10D2"/>
    <w:rsid w:val="7CAA7279"/>
    <w:rsid w:val="7CAB1B33"/>
    <w:rsid w:val="7CAB2FF1"/>
    <w:rsid w:val="7CAB4D9F"/>
    <w:rsid w:val="7CAC0188"/>
    <w:rsid w:val="7CAC1243"/>
    <w:rsid w:val="7CAD0B17"/>
    <w:rsid w:val="7CAD41E9"/>
    <w:rsid w:val="7CAD4FBB"/>
    <w:rsid w:val="7CAD6D69"/>
    <w:rsid w:val="7CAF2AE1"/>
    <w:rsid w:val="7CB00608"/>
    <w:rsid w:val="7CB15C69"/>
    <w:rsid w:val="7CB15EB7"/>
    <w:rsid w:val="7CB1685A"/>
    <w:rsid w:val="7CB2612E"/>
    <w:rsid w:val="7CB352BD"/>
    <w:rsid w:val="7CB400F8"/>
    <w:rsid w:val="7CB41EA6"/>
    <w:rsid w:val="7CB5279E"/>
    <w:rsid w:val="7CB6056C"/>
    <w:rsid w:val="7CB63E70"/>
    <w:rsid w:val="7CB65C1E"/>
    <w:rsid w:val="7CB71996"/>
    <w:rsid w:val="7CB73928"/>
    <w:rsid w:val="7CB820F7"/>
    <w:rsid w:val="7CB83A65"/>
    <w:rsid w:val="7CB8672B"/>
    <w:rsid w:val="7CB93A97"/>
    <w:rsid w:val="7CB9570E"/>
    <w:rsid w:val="7CBA4FE2"/>
    <w:rsid w:val="7CBA535D"/>
    <w:rsid w:val="7CBB76D8"/>
    <w:rsid w:val="7CBC6FAC"/>
    <w:rsid w:val="7CBF65FE"/>
    <w:rsid w:val="7CC0123F"/>
    <w:rsid w:val="7CC04CEF"/>
    <w:rsid w:val="7CC12815"/>
    <w:rsid w:val="7CC13AEF"/>
    <w:rsid w:val="7CC145C3"/>
    <w:rsid w:val="7CC15048"/>
    <w:rsid w:val="7CC16371"/>
    <w:rsid w:val="7CC40FE0"/>
    <w:rsid w:val="7CC4789F"/>
    <w:rsid w:val="7CC52305"/>
    <w:rsid w:val="7CC52470"/>
    <w:rsid w:val="7CC540B3"/>
    <w:rsid w:val="7CC5735A"/>
    <w:rsid w:val="7CC61BD9"/>
    <w:rsid w:val="7CC7607D"/>
    <w:rsid w:val="7CC77E2B"/>
    <w:rsid w:val="7CC876FF"/>
    <w:rsid w:val="7CC973C1"/>
    <w:rsid w:val="7CCA3477"/>
    <w:rsid w:val="7CCB0AFF"/>
    <w:rsid w:val="7CCB71F0"/>
    <w:rsid w:val="7CCC3693"/>
    <w:rsid w:val="7CCC5441"/>
    <w:rsid w:val="7CCD4D16"/>
    <w:rsid w:val="7CCF4F32"/>
    <w:rsid w:val="7CD158CD"/>
    <w:rsid w:val="7CD267D0"/>
    <w:rsid w:val="7CD40D8A"/>
    <w:rsid w:val="7CD6006E"/>
    <w:rsid w:val="7CD633F5"/>
    <w:rsid w:val="7CD73144"/>
    <w:rsid w:val="7CD73DE6"/>
    <w:rsid w:val="7CD75B94"/>
    <w:rsid w:val="7CD77BF3"/>
    <w:rsid w:val="7CD82038"/>
    <w:rsid w:val="7CDA09F5"/>
    <w:rsid w:val="7CDA3A4F"/>
    <w:rsid w:val="7CDB38D7"/>
    <w:rsid w:val="7CDC5B26"/>
    <w:rsid w:val="7CDE0446"/>
    <w:rsid w:val="7CDE5175"/>
    <w:rsid w:val="7CDF62C8"/>
    <w:rsid w:val="7CE04A49"/>
    <w:rsid w:val="7CE10508"/>
    <w:rsid w:val="7CE107C1"/>
    <w:rsid w:val="7CE16DC7"/>
    <w:rsid w:val="7CE22E28"/>
    <w:rsid w:val="7CE24C65"/>
    <w:rsid w:val="7CE338D3"/>
    <w:rsid w:val="7CE34539"/>
    <w:rsid w:val="7CE415C1"/>
    <w:rsid w:val="7CE61167"/>
    <w:rsid w:val="7CE65DD7"/>
    <w:rsid w:val="7CE735E3"/>
    <w:rsid w:val="7CE840C9"/>
    <w:rsid w:val="7CE85FF3"/>
    <w:rsid w:val="7CE87DA1"/>
    <w:rsid w:val="7CEC1640"/>
    <w:rsid w:val="7CEC5AE4"/>
    <w:rsid w:val="7CEC7892"/>
    <w:rsid w:val="7CED360A"/>
    <w:rsid w:val="7CED596F"/>
    <w:rsid w:val="7CF20C20"/>
    <w:rsid w:val="7CF24A77"/>
    <w:rsid w:val="7CF404F4"/>
    <w:rsid w:val="7CF425A8"/>
    <w:rsid w:val="7CF44998"/>
    <w:rsid w:val="7CF624BE"/>
    <w:rsid w:val="7CF6426C"/>
    <w:rsid w:val="7CF76237"/>
    <w:rsid w:val="7CF77FE5"/>
    <w:rsid w:val="7CF83BBE"/>
    <w:rsid w:val="7CF91FAF"/>
    <w:rsid w:val="7CF93D5D"/>
    <w:rsid w:val="7CF9521C"/>
    <w:rsid w:val="7CF95B0B"/>
    <w:rsid w:val="7CF9759B"/>
    <w:rsid w:val="7CFB1883"/>
    <w:rsid w:val="7CFD384D"/>
    <w:rsid w:val="7CFE75C5"/>
    <w:rsid w:val="7CFF1D9B"/>
    <w:rsid w:val="7D00333D"/>
    <w:rsid w:val="7D021560"/>
    <w:rsid w:val="7D0264A7"/>
    <w:rsid w:val="7D050953"/>
    <w:rsid w:val="7D056BA5"/>
    <w:rsid w:val="7D060228"/>
    <w:rsid w:val="7D080444"/>
    <w:rsid w:val="7D0836B3"/>
    <w:rsid w:val="7D083FA0"/>
    <w:rsid w:val="7D086284"/>
    <w:rsid w:val="7D0A5F6A"/>
    <w:rsid w:val="7D0B2034"/>
    <w:rsid w:val="7D0C3A90"/>
    <w:rsid w:val="7D0C548C"/>
    <w:rsid w:val="7D0C7645"/>
    <w:rsid w:val="7D0C7F34"/>
    <w:rsid w:val="7D0D15B6"/>
    <w:rsid w:val="7D0D7808"/>
    <w:rsid w:val="7D0E5A5A"/>
    <w:rsid w:val="7D0F18C7"/>
    <w:rsid w:val="7D0F2107"/>
    <w:rsid w:val="7D0F532E"/>
    <w:rsid w:val="7D104A16"/>
    <w:rsid w:val="7D12583B"/>
    <w:rsid w:val="7D1312C2"/>
    <w:rsid w:val="7D146DE8"/>
    <w:rsid w:val="7D162B61"/>
    <w:rsid w:val="7D16490F"/>
    <w:rsid w:val="7D180687"/>
    <w:rsid w:val="7D1868D9"/>
    <w:rsid w:val="7D1943FF"/>
    <w:rsid w:val="7D197F5B"/>
    <w:rsid w:val="7D1B3CD3"/>
    <w:rsid w:val="7D1E155C"/>
    <w:rsid w:val="7D1E1A15"/>
    <w:rsid w:val="7D1E37C3"/>
    <w:rsid w:val="7D1F7C67"/>
    <w:rsid w:val="7D2012E9"/>
    <w:rsid w:val="7D230DDA"/>
    <w:rsid w:val="7D24527D"/>
    <w:rsid w:val="7D256900"/>
    <w:rsid w:val="7D257F69"/>
    <w:rsid w:val="7D2700CC"/>
    <w:rsid w:val="7D2708CA"/>
    <w:rsid w:val="7D276893"/>
    <w:rsid w:val="7D28412D"/>
    <w:rsid w:val="7D284642"/>
    <w:rsid w:val="7D293B0E"/>
    <w:rsid w:val="7D2C4132"/>
    <w:rsid w:val="7D2D3A06"/>
    <w:rsid w:val="7D2E186E"/>
    <w:rsid w:val="7D2F142F"/>
    <w:rsid w:val="7D32101D"/>
    <w:rsid w:val="7D325AE2"/>
    <w:rsid w:val="7D3354C1"/>
    <w:rsid w:val="7D344D95"/>
    <w:rsid w:val="7D360B0D"/>
    <w:rsid w:val="7D366D5F"/>
    <w:rsid w:val="7D372AB0"/>
    <w:rsid w:val="7D380D29"/>
    <w:rsid w:val="7D382AD7"/>
    <w:rsid w:val="7D3905FD"/>
    <w:rsid w:val="7D391A22"/>
    <w:rsid w:val="7D3923AB"/>
    <w:rsid w:val="7D3950B2"/>
    <w:rsid w:val="7D39684F"/>
    <w:rsid w:val="7D3B6123"/>
    <w:rsid w:val="7D3B627A"/>
    <w:rsid w:val="7D3C74B9"/>
    <w:rsid w:val="7D3D1E9B"/>
    <w:rsid w:val="7D3D633F"/>
    <w:rsid w:val="7D3D6655"/>
    <w:rsid w:val="7D3E79C1"/>
    <w:rsid w:val="7D3F0F24"/>
    <w:rsid w:val="7D407BDD"/>
    <w:rsid w:val="7D43322A"/>
    <w:rsid w:val="7D4421C5"/>
    <w:rsid w:val="7D4476CE"/>
    <w:rsid w:val="7D4551F4"/>
    <w:rsid w:val="7D457EFB"/>
    <w:rsid w:val="7D4704DD"/>
    <w:rsid w:val="7D470F6C"/>
    <w:rsid w:val="7D470FB3"/>
    <w:rsid w:val="7D472D1A"/>
    <w:rsid w:val="7D4A280A"/>
    <w:rsid w:val="7D4A45B8"/>
    <w:rsid w:val="7D4A678E"/>
    <w:rsid w:val="7D4B74C7"/>
    <w:rsid w:val="7D4C6582"/>
    <w:rsid w:val="7D4F72D8"/>
    <w:rsid w:val="7D4F7E21"/>
    <w:rsid w:val="7D502CB8"/>
    <w:rsid w:val="7D52346D"/>
    <w:rsid w:val="7D5247C9"/>
    <w:rsid w:val="7D52739A"/>
    <w:rsid w:val="7D5316BF"/>
    <w:rsid w:val="7D537911"/>
    <w:rsid w:val="7D5470E9"/>
    <w:rsid w:val="7D5471E5"/>
    <w:rsid w:val="7D5479B5"/>
    <w:rsid w:val="7D554834"/>
    <w:rsid w:val="7D5611AF"/>
    <w:rsid w:val="7D562F5D"/>
    <w:rsid w:val="7D565D1B"/>
    <w:rsid w:val="7D575E17"/>
    <w:rsid w:val="7D5764EE"/>
    <w:rsid w:val="7D580FFF"/>
    <w:rsid w:val="7D584F27"/>
    <w:rsid w:val="7D586CD5"/>
    <w:rsid w:val="7D592A4D"/>
    <w:rsid w:val="7D592F5B"/>
    <w:rsid w:val="7D5947FB"/>
    <w:rsid w:val="7D5A0C9F"/>
    <w:rsid w:val="7D5A5B2C"/>
    <w:rsid w:val="7D5D253D"/>
    <w:rsid w:val="7D5E3BE2"/>
    <w:rsid w:val="7D603DDC"/>
    <w:rsid w:val="7D621902"/>
    <w:rsid w:val="7D625DA6"/>
    <w:rsid w:val="7D63567A"/>
    <w:rsid w:val="7D636BDE"/>
    <w:rsid w:val="7D641B1E"/>
    <w:rsid w:val="7D6531A0"/>
    <w:rsid w:val="7D657644"/>
    <w:rsid w:val="7D6640CF"/>
    <w:rsid w:val="7D6733BC"/>
    <w:rsid w:val="7D676F18"/>
    <w:rsid w:val="7D6817D9"/>
    <w:rsid w:val="7D690249"/>
    <w:rsid w:val="7D6A3EE0"/>
    <w:rsid w:val="7D6A6A08"/>
    <w:rsid w:val="7D6C09D3"/>
    <w:rsid w:val="7D6C16DB"/>
    <w:rsid w:val="7D6C452F"/>
    <w:rsid w:val="7D6C741B"/>
    <w:rsid w:val="7D6E474B"/>
    <w:rsid w:val="7D6F2271"/>
    <w:rsid w:val="7D7004C3"/>
    <w:rsid w:val="7D702CBF"/>
    <w:rsid w:val="7D7111E2"/>
    <w:rsid w:val="7D713C29"/>
    <w:rsid w:val="7D715FE9"/>
    <w:rsid w:val="7D722672"/>
    <w:rsid w:val="7D7358BD"/>
    <w:rsid w:val="7D741635"/>
    <w:rsid w:val="7D747887"/>
    <w:rsid w:val="7D755AD9"/>
    <w:rsid w:val="7D761851"/>
    <w:rsid w:val="7D7635FF"/>
    <w:rsid w:val="7D7A39D5"/>
    <w:rsid w:val="7D7B109C"/>
    <w:rsid w:val="7D7D04EA"/>
    <w:rsid w:val="7D7D2BE0"/>
    <w:rsid w:val="7D7D498E"/>
    <w:rsid w:val="7D7D673C"/>
    <w:rsid w:val="7D7E2356"/>
    <w:rsid w:val="7D7E7896"/>
    <w:rsid w:val="7D7F0706"/>
    <w:rsid w:val="7D80447E"/>
    <w:rsid w:val="7D810DDE"/>
    <w:rsid w:val="7D81659A"/>
    <w:rsid w:val="7D8201F6"/>
    <w:rsid w:val="7D822167"/>
    <w:rsid w:val="7D835D40"/>
    <w:rsid w:val="7D8555F0"/>
    <w:rsid w:val="7D8636B9"/>
    <w:rsid w:val="7D8B70AB"/>
    <w:rsid w:val="7D8C5DEA"/>
    <w:rsid w:val="7D8C6BBD"/>
    <w:rsid w:val="7D8E26F7"/>
    <w:rsid w:val="7D8E6B9B"/>
    <w:rsid w:val="7D8F021D"/>
    <w:rsid w:val="7D9119B2"/>
    <w:rsid w:val="7D913644"/>
    <w:rsid w:val="7D917A20"/>
    <w:rsid w:val="7D917DCE"/>
    <w:rsid w:val="7D965A4F"/>
    <w:rsid w:val="7D9677FD"/>
    <w:rsid w:val="7D972EFD"/>
    <w:rsid w:val="7D987831"/>
    <w:rsid w:val="7D9A6D34"/>
    <w:rsid w:val="7D9B049B"/>
    <w:rsid w:val="7D9B4E14"/>
    <w:rsid w:val="7D9C12B8"/>
    <w:rsid w:val="7D9D0B8C"/>
    <w:rsid w:val="7D9D293A"/>
    <w:rsid w:val="7D9F461F"/>
    <w:rsid w:val="7D9F4904"/>
    <w:rsid w:val="7DA0242A"/>
    <w:rsid w:val="7DA05D3C"/>
    <w:rsid w:val="7DA21751"/>
    <w:rsid w:val="7DA24E38"/>
    <w:rsid w:val="7DA261A2"/>
    <w:rsid w:val="7DA41F1A"/>
    <w:rsid w:val="7DA46C42"/>
    <w:rsid w:val="7DA55C93"/>
    <w:rsid w:val="7DA71A0B"/>
    <w:rsid w:val="7DA77C5D"/>
    <w:rsid w:val="7DA834E4"/>
    <w:rsid w:val="7DA83E82"/>
    <w:rsid w:val="7DA92588"/>
    <w:rsid w:val="7DA95312"/>
    <w:rsid w:val="7DAA1373"/>
    <w:rsid w:val="7DAA5057"/>
    <w:rsid w:val="7DAB14FB"/>
    <w:rsid w:val="7DAC40A3"/>
    <w:rsid w:val="7DAC5273"/>
    <w:rsid w:val="7DAE2D99"/>
    <w:rsid w:val="7DAE3DE3"/>
    <w:rsid w:val="7DAF3A73"/>
    <w:rsid w:val="7DAF3D55"/>
    <w:rsid w:val="7DB008BF"/>
    <w:rsid w:val="7DB12889"/>
    <w:rsid w:val="7DB16675"/>
    <w:rsid w:val="7DB3215D"/>
    <w:rsid w:val="7DB639FC"/>
    <w:rsid w:val="7DB87774"/>
    <w:rsid w:val="7DBA173E"/>
    <w:rsid w:val="7DBA34EC"/>
    <w:rsid w:val="7DBB1012"/>
    <w:rsid w:val="7DBB1AC4"/>
    <w:rsid w:val="7DBB6420"/>
    <w:rsid w:val="7DBC3788"/>
    <w:rsid w:val="7DBD122E"/>
    <w:rsid w:val="7DBD4D8A"/>
    <w:rsid w:val="7DC10D1E"/>
    <w:rsid w:val="7DC1259C"/>
    <w:rsid w:val="7DC221CB"/>
    <w:rsid w:val="7DC26844"/>
    <w:rsid w:val="7DC55147"/>
    <w:rsid w:val="7DC600E3"/>
    <w:rsid w:val="7DC63122"/>
    <w:rsid w:val="7DC73E5B"/>
    <w:rsid w:val="7DC9372F"/>
    <w:rsid w:val="7DC948FC"/>
    <w:rsid w:val="7DCA74A7"/>
    <w:rsid w:val="7DCB0F53"/>
    <w:rsid w:val="7DCB394B"/>
    <w:rsid w:val="7DCB55B3"/>
    <w:rsid w:val="7DCC1471"/>
    <w:rsid w:val="7DCC321F"/>
    <w:rsid w:val="7DCE343B"/>
    <w:rsid w:val="7DCF4ABD"/>
    <w:rsid w:val="7DD00F61"/>
    <w:rsid w:val="7DD10836"/>
    <w:rsid w:val="7DD30A52"/>
    <w:rsid w:val="7DD32800"/>
    <w:rsid w:val="7DD345AE"/>
    <w:rsid w:val="7DD54CAE"/>
    <w:rsid w:val="7DD66F00"/>
    <w:rsid w:val="7DD86068"/>
    <w:rsid w:val="7DD87E16"/>
    <w:rsid w:val="7DDA6D11"/>
    <w:rsid w:val="7DDB3462"/>
    <w:rsid w:val="7DDC0C74"/>
    <w:rsid w:val="7DDC7906"/>
    <w:rsid w:val="7DDF2F52"/>
    <w:rsid w:val="7DDF73F6"/>
    <w:rsid w:val="7DE06CCB"/>
    <w:rsid w:val="7DE1061C"/>
    <w:rsid w:val="7DE14F1D"/>
    <w:rsid w:val="7DE20C95"/>
    <w:rsid w:val="7DE42E8D"/>
    <w:rsid w:val="7DE467BB"/>
    <w:rsid w:val="7DE47BFE"/>
    <w:rsid w:val="7DE60785"/>
    <w:rsid w:val="7DE70059"/>
    <w:rsid w:val="7DE71E07"/>
    <w:rsid w:val="7DE762AB"/>
    <w:rsid w:val="7DE803CC"/>
    <w:rsid w:val="7DE92023"/>
    <w:rsid w:val="7DE93DD1"/>
    <w:rsid w:val="7DEB18F7"/>
    <w:rsid w:val="7DEB5D9B"/>
    <w:rsid w:val="7DEC3FAD"/>
    <w:rsid w:val="7DEF0220"/>
    <w:rsid w:val="7DEF696A"/>
    <w:rsid w:val="7DF033B2"/>
    <w:rsid w:val="7DF05160"/>
    <w:rsid w:val="7DF06F0E"/>
    <w:rsid w:val="7DF12C86"/>
    <w:rsid w:val="7DF32EA2"/>
    <w:rsid w:val="7DF34AAF"/>
    <w:rsid w:val="7DF34C50"/>
    <w:rsid w:val="7DF369FE"/>
    <w:rsid w:val="7DF509C8"/>
    <w:rsid w:val="7DF54524"/>
    <w:rsid w:val="7DF63F6F"/>
    <w:rsid w:val="7DF64DA9"/>
    <w:rsid w:val="7DF74740"/>
    <w:rsid w:val="7DF76239"/>
    <w:rsid w:val="7DF764EE"/>
    <w:rsid w:val="7DF804B8"/>
    <w:rsid w:val="7DFA4230"/>
    <w:rsid w:val="7DFA7D8C"/>
    <w:rsid w:val="7DFD787D"/>
    <w:rsid w:val="7E01111B"/>
    <w:rsid w:val="7E0230E5"/>
    <w:rsid w:val="7E024E93"/>
    <w:rsid w:val="7E030C93"/>
    <w:rsid w:val="7E046E5D"/>
    <w:rsid w:val="7E064983"/>
    <w:rsid w:val="7E066731"/>
    <w:rsid w:val="7E074257"/>
    <w:rsid w:val="7E087B80"/>
    <w:rsid w:val="7E094473"/>
    <w:rsid w:val="7E0B01EB"/>
    <w:rsid w:val="7E0B1F99"/>
    <w:rsid w:val="7E0B727F"/>
    <w:rsid w:val="7E0D3F64"/>
    <w:rsid w:val="7E0D5742"/>
    <w:rsid w:val="7E0E1A8A"/>
    <w:rsid w:val="7E0E55E6"/>
    <w:rsid w:val="7E1075B0"/>
    <w:rsid w:val="7E12157A"/>
    <w:rsid w:val="7E122E40"/>
    <w:rsid w:val="7E132A6B"/>
    <w:rsid w:val="7E1352F2"/>
    <w:rsid w:val="7E1370A0"/>
    <w:rsid w:val="7E154BC6"/>
    <w:rsid w:val="7E156974"/>
    <w:rsid w:val="7E1626EC"/>
    <w:rsid w:val="7E164242"/>
    <w:rsid w:val="7E17093E"/>
    <w:rsid w:val="7E1A3F8B"/>
    <w:rsid w:val="7E1A41A3"/>
    <w:rsid w:val="7E1D1BAF"/>
    <w:rsid w:val="7E1D1CCD"/>
    <w:rsid w:val="7E1D744A"/>
    <w:rsid w:val="7E1F3128"/>
    <w:rsid w:val="7E1F5A45"/>
    <w:rsid w:val="7E1F6B85"/>
    <w:rsid w:val="7E2117BD"/>
    <w:rsid w:val="7E21356B"/>
    <w:rsid w:val="7E22523F"/>
    <w:rsid w:val="7E244E09"/>
    <w:rsid w:val="7E266DD3"/>
    <w:rsid w:val="7E26799A"/>
    <w:rsid w:val="7E27146E"/>
    <w:rsid w:val="7E2748F9"/>
    <w:rsid w:val="7E2766A8"/>
    <w:rsid w:val="7E2B43EA"/>
    <w:rsid w:val="7E2B58DE"/>
    <w:rsid w:val="7E2B6198"/>
    <w:rsid w:val="7E2C3CBE"/>
    <w:rsid w:val="7E2D1F10"/>
    <w:rsid w:val="7E2D63B4"/>
    <w:rsid w:val="7E2D7F9B"/>
    <w:rsid w:val="7E301A00"/>
    <w:rsid w:val="7E3037AE"/>
    <w:rsid w:val="7E307C52"/>
    <w:rsid w:val="7E3239CA"/>
    <w:rsid w:val="7E325778"/>
    <w:rsid w:val="7E327526"/>
    <w:rsid w:val="7E3314F0"/>
    <w:rsid w:val="7E33329E"/>
    <w:rsid w:val="7E337838"/>
    <w:rsid w:val="7E350DC4"/>
    <w:rsid w:val="7E355268"/>
    <w:rsid w:val="7E374B3D"/>
    <w:rsid w:val="7E385937"/>
    <w:rsid w:val="7E3A63DB"/>
    <w:rsid w:val="7E3C2A2D"/>
    <w:rsid w:val="7E3C65F7"/>
    <w:rsid w:val="7E3E236F"/>
    <w:rsid w:val="7E3E411D"/>
    <w:rsid w:val="7E3F60E7"/>
    <w:rsid w:val="7E400169"/>
    <w:rsid w:val="7E405EBE"/>
    <w:rsid w:val="7E411344"/>
    <w:rsid w:val="7E4159BB"/>
    <w:rsid w:val="7E417769"/>
    <w:rsid w:val="7E433585"/>
    <w:rsid w:val="7E44676F"/>
    <w:rsid w:val="7E447259"/>
    <w:rsid w:val="7E464D80"/>
    <w:rsid w:val="7E490D14"/>
    <w:rsid w:val="7E494870"/>
    <w:rsid w:val="7E4B4712"/>
    <w:rsid w:val="7E4B683A"/>
    <w:rsid w:val="7E4C0545"/>
    <w:rsid w:val="7E4C610E"/>
    <w:rsid w:val="7E4C62D2"/>
    <w:rsid w:val="7E4D25B2"/>
    <w:rsid w:val="7E4E00D8"/>
    <w:rsid w:val="7E4E1C03"/>
    <w:rsid w:val="7E4E1E86"/>
    <w:rsid w:val="7E4F4D13"/>
    <w:rsid w:val="7E503F66"/>
    <w:rsid w:val="7E5059B3"/>
    <w:rsid w:val="7E505BFE"/>
    <w:rsid w:val="7E521976"/>
    <w:rsid w:val="7E543940"/>
    <w:rsid w:val="7E553215"/>
    <w:rsid w:val="7E5557C4"/>
    <w:rsid w:val="7E5576B9"/>
    <w:rsid w:val="7E5743CC"/>
    <w:rsid w:val="7E585886"/>
    <w:rsid w:val="7E5C0A47"/>
    <w:rsid w:val="7E5C27F5"/>
    <w:rsid w:val="7E5F22E5"/>
    <w:rsid w:val="7E5F4018"/>
    <w:rsid w:val="7E5F4093"/>
    <w:rsid w:val="7E5F6222"/>
    <w:rsid w:val="7E627DC8"/>
    <w:rsid w:val="7E631DD5"/>
    <w:rsid w:val="7E635932"/>
    <w:rsid w:val="7E6478FC"/>
    <w:rsid w:val="7E657E8A"/>
    <w:rsid w:val="7E66131A"/>
    <w:rsid w:val="7E663674"/>
    <w:rsid w:val="7E6713D7"/>
    <w:rsid w:val="7E676E21"/>
    <w:rsid w:val="7E68119A"/>
    <w:rsid w:val="7E694F12"/>
    <w:rsid w:val="7E6A3164"/>
    <w:rsid w:val="7E6A655A"/>
    <w:rsid w:val="7E6B0C8A"/>
    <w:rsid w:val="7E6B79EA"/>
    <w:rsid w:val="7E6C1962"/>
    <w:rsid w:val="7E6D4EDB"/>
    <w:rsid w:val="7E6D661C"/>
    <w:rsid w:val="7E6D67B0"/>
    <w:rsid w:val="7E6E17B5"/>
    <w:rsid w:val="7E6E2528"/>
    <w:rsid w:val="7E6F38EB"/>
    <w:rsid w:val="7E6F3B0D"/>
    <w:rsid w:val="7E70004F"/>
    <w:rsid w:val="7E7044F2"/>
    <w:rsid w:val="7E714CEC"/>
    <w:rsid w:val="7E722019"/>
    <w:rsid w:val="7E7318ED"/>
    <w:rsid w:val="7E7342C7"/>
    <w:rsid w:val="7E73679F"/>
    <w:rsid w:val="7E745D91"/>
    <w:rsid w:val="7E7713DD"/>
    <w:rsid w:val="7E77762F"/>
    <w:rsid w:val="7E781FEE"/>
    <w:rsid w:val="7E7A0ECD"/>
    <w:rsid w:val="7E7A2C7B"/>
    <w:rsid w:val="7E7A711F"/>
    <w:rsid w:val="7E7C4C45"/>
    <w:rsid w:val="7E7C69F3"/>
    <w:rsid w:val="7E7E6C0F"/>
    <w:rsid w:val="7E7F0A31"/>
    <w:rsid w:val="7E7F4735"/>
    <w:rsid w:val="7E7F70AC"/>
    <w:rsid w:val="7E81225C"/>
    <w:rsid w:val="7E81400A"/>
    <w:rsid w:val="7E835FD4"/>
    <w:rsid w:val="7E837D82"/>
    <w:rsid w:val="7E845165"/>
    <w:rsid w:val="7E8458A8"/>
    <w:rsid w:val="7E857F9E"/>
    <w:rsid w:val="7E867441"/>
    <w:rsid w:val="7E883224"/>
    <w:rsid w:val="7E891110"/>
    <w:rsid w:val="7E8914B6"/>
    <w:rsid w:val="7E8A2B63"/>
    <w:rsid w:val="7E8B6C36"/>
    <w:rsid w:val="7E8C18F4"/>
    <w:rsid w:val="7E8C3035"/>
    <w:rsid w:val="7E8D0C00"/>
    <w:rsid w:val="7E8F0526"/>
    <w:rsid w:val="7E8F214A"/>
    <w:rsid w:val="7E8F2BCB"/>
    <w:rsid w:val="7E8F4979"/>
    <w:rsid w:val="7E906943"/>
    <w:rsid w:val="7E926217"/>
    <w:rsid w:val="7E927FC5"/>
    <w:rsid w:val="7E947AFA"/>
    <w:rsid w:val="7E953F59"/>
    <w:rsid w:val="7E9717CF"/>
    <w:rsid w:val="7E9755DB"/>
    <w:rsid w:val="7E977CD1"/>
    <w:rsid w:val="7E99019B"/>
    <w:rsid w:val="7E991353"/>
    <w:rsid w:val="7E997AC0"/>
    <w:rsid w:val="7E9A50CB"/>
    <w:rsid w:val="7E9B65C0"/>
    <w:rsid w:val="7E9C52E7"/>
    <w:rsid w:val="7E9D2879"/>
    <w:rsid w:val="7E9D54D5"/>
    <w:rsid w:val="7E9E2E0E"/>
    <w:rsid w:val="7E9E4241"/>
    <w:rsid w:val="7E9E696A"/>
    <w:rsid w:val="7E9E7F46"/>
    <w:rsid w:val="7E9F0934"/>
    <w:rsid w:val="7E9F624D"/>
    <w:rsid w:val="7EA06B86"/>
    <w:rsid w:val="7EA12E2C"/>
    <w:rsid w:val="7EA146AC"/>
    <w:rsid w:val="7EA1645A"/>
    <w:rsid w:val="7EA36676"/>
    <w:rsid w:val="7EA55E80"/>
    <w:rsid w:val="7EA61CC2"/>
    <w:rsid w:val="7EA62CDF"/>
    <w:rsid w:val="7EA63720"/>
    <w:rsid w:val="7EA63A70"/>
    <w:rsid w:val="7EA63BDC"/>
    <w:rsid w:val="7EA67F14"/>
    <w:rsid w:val="7EA72453"/>
    <w:rsid w:val="7EA8196E"/>
    <w:rsid w:val="7EA85A3A"/>
    <w:rsid w:val="7EA877E8"/>
    <w:rsid w:val="7EA919D9"/>
    <w:rsid w:val="7EA91E07"/>
    <w:rsid w:val="7EAA0FA8"/>
    <w:rsid w:val="7EAA7A04"/>
    <w:rsid w:val="7EAB1087"/>
    <w:rsid w:val="7EAB552B"/>
    <w:rsid w:val="7EAC0EDE"/>
    <w:rsid w:val="7EAD4DFF"/>
    <w:rsid w:val="7EAF0B77"/>
    <w:rsid w:val="7EB02B41"/>
    <w:rsid w:val="7EB048EF"/>
    <w:rsid w:val="7EB17B65"/>
    <w:rsid w:val="7EB453FA"/>
    <w:rsid w:val="7EB4618D"/>
    <w:rsid w:val="7EB50157"/>
    <w:rsid w:val="7EB51F05"/>
    <w:rsid w:val="7EB663A9"/>
    <w:rsid w:val="7EB71BEF"/>
    <w:rsid w:val="7EB8307F"/>
    <w:rsid w:val="7EB919F5"/>
    <w:rsid w:val="7EBC02A1"/>
    <w:rsid w:val="7EBC14E6"/>
    <w:rsid w:val="7EBD79FB"/>
    <w:rsid w:val="7EBE525E"/>
    <w:rsid w:val="7EBF4B32"/>
    <w:rsid w:val="7EC00980"/>
    <w:rsid w:val="7EC14D4E"/>
    <w:rsid w:val="7EC16AFC"/>
    <w:rsid w:val="7EC25700"/>
    <w:rsid w:val="7EC363D0"/>
    <w:rsid w:val="7EC446FA"/>
    <w:rsid w:val="7EC47165"/>
    <w:rsid w:val="7EC5039A"/>
    <w:rsid w:val="7EC505F5"/>
    <w:rsid w:val="7EC55DD4"/>
    <w:rsid w:val="7EC565EC"/>
    <w:rsid w:val="7EC65E37"/>
    <w:rsid w:val="7EC65EC0"/>
    <w:rsid w:val="7ECA189C"/>
    <w:rsid w:val="7ECA3C03"/>
    <w:rsid w:val="7ECA59B1"/>
    <w:rsid w:val="7ECB1729"/>
    <w:rsid w:val="7ECB7038"/>
    <w:rsid w:val="7ECB797B"/>
    <w:rsid w:val="7ECF1219"/>
    <w:rsid w:val="7ECF746B"/>
    <w:rsid w:val="7ED06E49"/>
    <w:rsid w:val="7ED20D09"/>
    <w:rsid w:val="7ED22AB7"/>
    <w:rsid w:val="7ED24865"/>
    <w:rsid w:val="7ED256DE"/>
    <w:rsid w:val="7ED26AAB"/>
    <w:rsid w:val="7ED3764A"/>
    <w:rsid w:val="7ED44A81"/>
    <w:rsid w:val="7ED4682F"/>
    <w:rsid w:val="7ED46C5A"/>
    <w:rsid w:val="7ED54355"/>
    <w:rsid w:val="7ED56104"/>
    <w:rsid w:val="7ED625A7"/>
    <w:rsid w:val="7ED6414B"/>
    <w:rsid w:val="7ED700CE"/>
    <w:rsid w:val="7ED92098"/>
    <w:rsid w:val="7ED93A10"/>
    <w:rsid w:val="7EDA2ACC"/>
    <w:rsid w:val="7EDA4DF2"/>
    <w:rsid w:val="7EDB5E10"/>
    <w:rsid w:val="7EDC7FBD"/>
    <w:rsid w:val="7EDD144D"/>
    <w:rsid w:val="7EDD37E9"/>
    <w:rsid w:val="7EDF3D6D"/>
    <w:rsid w:val="7EDF5FD4"/>
    <w:rsid w:val="7EE03426"/>
    <w:rsid w:val="7EE07DCE"/>
    <w:rsid w:val="7EE10F4C"/>
    <w:rsid w:val="7EE12CFA"/>
    <w:rsid w:val="7EE22BD9"/>
    <w:rsid w:val="7EE306AB"/>
    <w:rsid w:val="7EE34CC4"/>
    <w:rsid w:val="7EE36A72"/>
    <w:rsid w:val="7EE414FD"/>
    <w:rsid w:val="7EE66563"/>
    <w:rsid w:val="7EE74A83"/>
    <w:rsid w:val="7EE7698E"/>
    <w:rsid w:val="7EE822DB"/>
    <w:rsid w:val="7EEA6053"/>
    <w:rsid w:val="7EEA7E01"/>
    <w:rsid w:val="7EEB147F"/>
    <w:rsid w:val="7EEB3B79"/>
    <w:rsid w:val="7EEC37A0"/>
    <w:rsid w:val="7EEC6371"/>
    <w:rsid w:val="7EED169F"/>
    <w:rsid w:val="7EED78F1"/>
    <w:rsid w:val="7EEF2121"/>
    <w:rsid w:val="7EEF5417"/>
    <w:rsid w:val="7EF078C3"/>
    <w:rsid w:val="7EF156AE"/>
    <w:rsid w:val="7EF27388"/>
    <w:rsid w:val="7EF42A2E"/>
    <w:rsid w:val="7EF46ED2"/>
    <w:rsid w:val="7EF50554"/>
    <w:rsid w:val="7EF60B64"/>
    <w:rsid w:val="7EF64723"/>
    <w:rsid w:val="7EF70770"/>
    <w:rsid w:val="7EF833BD"/>
    <w:rsid w:val="7EF90044"/>
    <w:rsid w:val="7EF96D1F"/>
    <w:rsid w:val="7EF974E5"/>
    <w:rsid w:val="7EFA62CF"/>
    <w:rsid w:val="7EFB0260"/>
    <w:rsid w:val="7EFB3DBC"/>
    <w:rsid w:val="7EFC18E2"/>
    <w:rsid w:val="7EFC5E66"/>
    <w:rsid w:val="7EFD0E60"/>
    <w:rsid w:val="7EFE1AFE"/>
    <w:rsid w:val="7EFE565A"/>
    <w:rsid w:val="7F0013D2"/>
    <w:rsid w:val="7F012ADA"/>
    <w:rsid w:val="7F01514B"/>
    <w:rsid w:val="7F016EF9"/>
    <w:rsid w:val="7F0215EE"/>
    <w:rsid w:val="7F030EC3"/>
    <w:rsid w:val="7F032C71"/>
    <w:rsid w:val="7F034416"/>
    <w:rsid w:val="7F046D4F"/>
    <w:rsid w:val="7F052E8D"/>
    <w:rsid w:val="7F08297D"/>
    <w:rsid w:val="7F0864D9"/>
    <w:rsid w:val="7F0A3FFF"/>
    <w:rsid w:val="7F0C421B"/>
    <w:rsid w:val="7F0D3AEF"/>
    <w:rsid w:val="7F0F1615"/>
    <w:rsid w:val="7F0F4AE5"/>
    <w:rsid w:val="7F0F5AB9"/>
    <w:rsid w:val="7F0F7867"/>
    <w:rsid w:val="7F102B9B"/>
    <w:rsid w:val="7F10538E"/>
    <w:rsid w:val="7F1135E0"/>
    <w:rsid w:val="7F121106"/>
    <w:rsid w:val="7F1255AA"/>
    <w:rsid w:val="7F1429AC"/>
    <w:rsid w:val="7F160CF6"/>
    <w:rsid w:val="7F166A0D"/>
    <w:rsid w:val="7F166E48"/>
    <w:rsid w:val="7F1B26B0"/>
    <w:rsid w:val="7F1B5744"/>
    <w:rsid w:val="7F1B620C"/>
    <w:rsid w:val="7F1B7FBA"/>
    <w:rsid w:val="7F1C1F84"/>
    <w:rsid w:val="7F1C3D32"/>
    <w:rsid w:val="7F1C4F25"/>
    <w:rsid w:val="7F1D01D6"/>
    <w:rsid w:val="7F1E7D70"/>
    <w:rsid w:val="7F1F7A17"/>
    <w:rsid w:val="7F207CC7"/>
    <w:rsid w:val="7F210F90"/>
    <w:rsid w:val="7F211349"/>
    <w:rsid w:val="7F2257ED"/>
    <w:rsid w:val="7F250E39"/>
    <w:rsid w:val="7F280B50"/>
    <w:rsid w:val="7F2822B2"/>
    <w:rsid w:val="7F2826D7"/>
    <w:rsid w:val="7F2839F3"/>
    <w:rsid w:val="7F297BB6"/>
    <w:rsid w:val="7F2C0419"/>
    <w:rsid w:val="7F2C21C7"/>
    <w:rsid w:val="7F2D4191"/>
    <w:rsid w:val="7F2D7CEE"/>
    <w:rsid w:val="7F2F1CB8"/>
    <w:rsid w:val="7F2F3A66"/>
    <w:rsid w:val="7F2F75B4"/>
    <w:rsid w:val="7F323556"/>
    <w:rsid w:val="7F3379FA"/>
    <w:rsid w:val="7F34107C"/>
    <w:rsid w:val="7F343772"/>
    <w:rsid w:val="7F345520"/>
    <w:rsid w:val="7F364DF4"/>
    <w:rsid w:val="7F3815E6"/>
    <w:rsid w:val="7F3823EB"/>
    <w:rsid w:val="7F385010"/>
    <w:rsid w:val="7F392B36"/>
    <w:rsid w:val="7F3948E4"/>
    <w:rsid w:val="7F3B68AE"/>
    <w:rsid w:val="7F3C0728"/>
    <w:rsid w:val="7F3C6183"/>
    <w:rsid w:val="7F3D17A8"/>
    <w:rsid w:val="7F3D43D5"/>
    <w:rsid w:val="7F3E014D"/>
    <w:rsid w:val="7F3E1EFB"/>
    <w:rsid w:val="7F3E4213"/>
    <w:rsid w:val="7F3E639F"/>
    <w:rsid w:val="7F402117"/>
    <w:rsid w:val="7F403EC5"/>
    <w:rsid w:val="7F405C73"/>
    <w:rsid w:val="7F42110C"/>
    <w:rsid w:val="7F425A2A"/>
    <w:rsid w:val="7F42716B"/>
    <w:rsid w:val="7F427C3D"/>
    <w:rsid w:val="7F447DC6"/>
    <w:rsid w:val="7F4514DB"/>
    <w:rsid w:val="7F475253"/>
    <w:rsid w:val="7F48044F"/>
    <w:rsid w:val="7F480FCB"/>
    <w:rsid w:val="7F482940"/>
    <w:rsid w:val="7F482D79"/>
    <w:rsid w:val="7F4A4D43"/>
    <w:rsid w:val="7F4A6AF1"/>
    <w:rsid w:val="7F4B7E2D"/>
    <w:rsid w:val="7F4E5803"/>
    <w:rsid w:val="7F4F235A"/>
    <w:rsid w:val="7F4F44F5"/>
    <w:rsid w:val="7F5034BD"/>
    <w:rsid w:val="7F5160D2"/>
    <w:rsid w:val="7F521AFC"/>
    <w:rsid w:val="7F5434CC"/>
    <w:rsid w:val="7F54791A"/>
    <w:rsid w:val="7F5542E8"/>
    <w:rsid w:val="7F565CCF"/>
    <w:rsid w:val="7F572FBC"/>
    <w:rsid w:val="7F58120E"/>
    <w:rsid w:val="7F592821"/>
    <w:rsid w:val="7F5B0CFF"/>
    <w:rsid w:val="7F5B2AAD"/>
    <w:rsid w:val="7F5D7905"/>
    <w:rsid w:val="7F5E434B"/>
    <w:rsid w:val="7F5F21A6"/>
    <w:rsid w:val="7F601E71"/>
    <w:rsid w:val="7F604567"/>
    <w:rsid w:val="7F606315"/>
    <w:rsid w:val="7F607B23"/>
    <w:rsid w:val="7F62208D"/>
    <w:rsid w:val="7F622443"/>
    <w:rsid w:val="7F64384B"/>
    <w:rsid w:val="7F645E05"/>
    <w:rsid w:val="7F651B7D"/>
    <w:rsid w:val="7F6556D9"/>
    <w:rsid w:val="7F6776A3"/>
    <w:rsid w:val="7F6851CA"/>
    <w:rsid w:val="7F686F78"/>
    <w:rsid w:val="7F6A0F42"/>
    <w:rsid w:val="7F6B4E4C"/>
    <w:rsid w:val="7F6C2F0C"/>
    <w:rsid w:val="7F6C4CBA"/>
    <w:rsid w:val="7F6D2127"/>
    <w:rsid w:val="7F6D458E"/>
    <w:rsid w:val="7F6D53C3"/>
    <w:rsid w:val="7F6E0A32"/>
    <w:rsid w:val="7F6E4CF8"/>
    <w:rsid w:val="7F6E6D71"/>
    <w:rsid w:val="7F6F0306"/>
    <w:rsid w:val="7F6F47AA"/>
    <w:rsid w:val="7F6F6558"/>
    <w:rsid w:val="7F703475"/>
    <w:rsid w:val="7F707618"/>
    <w:rsid w:val="7F713F9C"/>
    <w:rsid w:val="7F71407E"/>
    <w:rsid w:val="7F722A72"/>
    <w:rsid w:val="7F732443"/>
    <w:rsid w:val="7F743B6E"/>
    <w:rsid w:val="7F74591C"/>
    <w:rsid w:val="7F761695"/>
    <w:rsid w:val="7F765B38"/>
    <w:rsid w:val="7F7818B1"/>
    <w:rsid w:val="7F78365F"/>
    <w:rsid w:val="7F7973D7"/>
    <w:rsid w:val="7F7A329A"/>
    <w:rsid w:val="7F7B4D7A"/>
    <w:rsid w:val="7F7B6CAB"/>
    <w:rsid w:val="7F7D0C75"/>
    <w:rsid w:val="7F7D6EC7"/>
    <w:rsid w:val="7F7E49ED"/>
    <w:rsid w:val="7F7F2C3F"/>
    <w:rsid w:val="7F802513"/>
    <w:rsid w:val="7F806779"/>
    <w:rsid w:val="7F8150DE"/>
    <w:rsid w:val="7F82178B"/>
    <w:rsid w:val="7F8245FD"/>
    <w:rsid w:val="7F840255"/>
    <w:rsid w:val="7F842003"/>
    <w:rsid w:val="7F8518D8"/>
    <w:rsid w:val="7F8525F4"/>
    <w:rsid w:val="7F853FCE"/>
    <w:rsid w:val="7F855D7C"/>
    <w:rsid w:val="7F8813C8"/>
    <w:rsid w:val="7F89586C"/>
    <w:rsid w:val="7F89761A"/>
    <w:rsid w:val="7F8A3392"/>
    <w:rsid w:val="7F8A5140"/>
    <w:rsid w:val="7F8B421F"/>
    <w:rsid w:val="7F8C0EB8"/>
    <w:rsid w:val="7F8C2C66"/>
    <w:rsid w:val="7F8C56AF"/>
    <w:rsid w:val="7F8C710A"/>
    <w:rsid w:val="7F8E2E82"/>
    <w:rsid w:val="7F8F09A8"/>
    <w:rsid w:val="7F8F2756"/>
    <w:rsid w:val="7F8F6BFA"/>
    <w:rsid w:val="7F932247"/>
    <w:rsid w:val="7F945FBF"/>
    <w:rsid w:val="7F963AE5"/>
    <w:rsid w:val="7F98785D"/>
    <w:rsid w:val="7F9950E2"/>
    <w:rsid w:val="7F997CB3"/>
    <w:rsid w:val="7F9B10FB"/>
    <w:rsid w:val="7F9B25D3"/>
    <w:rsid w:val="7F9B734D"/>
    <w:rsid w:val="7F9C5AFA"/>
    <w:rsid w:val="7F9D1317"/>
    <w:rsid w:val="7F9D30C5"/>
    <w:rsid w:val="7F9E2999"/>
    <w:rsid w:val="7F9E4FC7"/>
    <w:rsid w:val="7F9F508F"/>
    <w:rsid w:val="7FA04963"/>
    <w:rsid w:val="7FA206DC"/>
    <w:rsid w:val="7FA224A6"/>
    <w:rsid w:val="7FA35A4A"/>
    <w:rsid w:val="7FA426A6"/>
    <w:rsid w:val="7FA47174"/>
    <w:rsid w:val="7FA53D28"/>
    <w:rsid w:val="7FA722B7"/>
    <w:rsid w:val="7FA73F44"/>
    <w:rsid w:val="7FA75CF2"/>
    <w:rsid w:val="7FA93818"/>
    <w:rsid w:val="7FAA57E2"/>
    <w:rsid w:val="7FAB3A34"/>
    <w:rsid w:val="7FAC3308"/>
    <w:rsid w:val="7FAE52D2"/>
    <w:rsid w:val="7FAF1490"/>
    <w:rsid w:val="7FB126CD"/>
    <w:rsid w:val="7FB16B71"/>
    <w:rsid w:val="7FB623D9"/>
    <w:rsid w:val="7FB64187"/>
    <w:rsid w:val="7FB81CAD"/>
    <w:rsid w:val="7FB87EFF"/>
    <w:rsid w:val="7FBA3C77"/>
    <w:rsid w:val="7FBA6FEC"/>
    <w:rsid w:val="7FBA7800"/>
    <w:rsid w:val="7FBB79EF"/>
    <w:rsid w:val="7FBD0E04"/>
    <w:rsid w:val="7FBD1835"/>
    <w:rsid w:val="7FBD2D9D"/>
    <w:rsid w:val="7FBD5515"/>
    <w:rsid w:val="7FBF3BA0"/>
    <w:rsid w:val="7FC11A60"/>
    <w:rsid w:val="7FC17D6E"/>
    <w:rsid w:val="7FC22B2C"/>
    <w:rsid w:val="7FC70160"/>
    <w:rsid w:val="7FC71EF0"/>
    <w:rsid w:val="7FC86CCA"/>
    <w:rsid w:val="7FC9210C"/>
    <w:rsid w:val="7FC93EBA"/>
    <w:rsid w:val="7FCA19E0"/>
    <w:rsid w:val="7FCA378E"/>
    <w:rsid w:val="7FCA6AE1"/>
    <w:rsid w:val="7FCB16B2"/>
    <w:rsid w:val="7FCB6A19"/>
    <w:rsid w:val="7FCB7C32"/>
    <w:rsid w:val="7FCC5758"/>
    <w:rsid w:val="7FCE0033"/>
    <w:rsid w:val="7FCE14D1"/>
    <w:rsid w:val="7FCE30A5"/>
    <w:rsid w:val="7FD02408"/>
    <w:rsid w:val="7FD05249"/>
    <w:rsid w:val="7FD340FE"/>
    <w:rsid w:val="7FD36AE7"/>
    <w:rsid w:val="7FD44AD8"/>
    <w:rsid w:val="7FD55335"/>
    <w:rsid w:val="7FD72826"/>
    <w:rsid w:val="7FD85EAB"/>
    <w:rsid w:val="7FD92575"/>
    <w:rsid w:val="7FD92881"/>
    <w:rsid w:val="7FDA366E"/>
    <w:rsid w:val="7FDA60C7"/>
    <w:rsid w:val="7FDB3BED"/>
    <w:rsid w:val="7FDB599C"/>
    <w:rsid w:val="7FDD1714"/>
    <w:rsid w:val="7FDD34C2"/>
    <w:rsid w:val="7FDE4F57"/>
    <w:rsid w:val="7FDF36DE"/>
    <w:rsid w:val="7FDF393C"/>
    <w:rsid w:val="7FE26D2A"/>
    <w:rsid w:val="7FE44850"/>
    <w:rsid w:val="7FE837AB"/>
    <w:rsid w:val="7FE842B1"/>
    <w:rsid w:val="7FE9455C"/>
    <w:rsid w:val="7FE9630A"/>
    <w:rsid w:val="7FEA5BDF"/>
    <w:rsid w:val="7FEC6AD2"/>
    <w:rsid w:val="7FEC7BA9"/>
    <w:rsid w:val="7FED25FE"/>
    <w:rsid w:val="7FEE3921"/>
    <w:rsid w:val="7FEE3C4E"/>
    <w:rsid w:val="7FF007FC"/>
    <w:rsid w:val="7FF13411"/>
    <w:rsid w:val="7FF151BF"/>
    <w:rsid w:val="7FF16F6D"/>
    <w:rsid w:val="7FF24575"/>
    <w:rsid w:val="7FF37189"/>
    <w:rsid w:val="7FF54CAF"/>
    <w:rsid w:val="7FF60A27"/>
    <w:rsid w:val="7FF627D5"/>
    <w:rsid w:val="7FF644B4"/>
    <w:rsid w:val="7FF64583"/>
    <w:rsid w:val="7FF75AFE"/>
    <w:rsid w:val="7FF802FC"/>
    <w:rsid w:val="7FF8479F"/>
    <w:rsid w:val="7FFA0518"/>
    <w:rsid w:val="7FFA49FC"/>
    <w:rsid w:val="7FFA5BC0"/>
    <w:rsid w:val="7FFB1A22"/>
    <w:rsid w:val="7FFB6DBD"/>
    <w:rsid w:val="7FFD3B64"/>
    <w:rsid w:val="7FFD5912"/>
    <w:rsid w:val="7FFF42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iPriority="0" w:semiHidden="0" w:name="index 2"/>
    <w:lsdException w:qFormat="1" w:uiPriority="0"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qFormat="1" w:uiPriority="0" w:semiHidden="0" w:name="index heading"/>
    <w:lsdException w:qFormat="1" w:unhideWhenUsed="0" w:uiPriority="0" w:semiHidden="0" w:name="caption"/>
    <w:lsdException w:qFormat="1" w:uiPriority="0" w:semiHidden="0" w:name="table of figures"/>
    <w:lsdException w:qFormat="1" w:uiPriority="0" w:semiHidden="0" w:name="envelope address"/>
    <w:lsdException w:qFormat="1" w:uiPriority="0" w:semiHidden="0" w:name="envelope return"/>
    <w:lsdException w:qFormat="1" w:unhideWhenUsed="0" w:uiPriority="0" w:semiHidden="0" w:name="footnote reference"/>
    <w:lsdException w:qFormat="1" w:unhideWhenUsed="0" w:uiPriority="99" w:semiHidden="0" w:name="annotation reference"/>
    <w:lsdException w:qFormat="1" w:uiPriority="0" w:name="line number"/>
    <w:lsdException w:qFormat="1" w:unhideWhenUsed="0" w:uiPriority="0" w:semiHidden="0" w:name="page number"/>
    <w:lsdException w:uiPriority="99" w:name="endnote reference"/>
    <w:lsdException w:qFormat="1" w:uiPriority="99" w:semiHidden="0" w:name="endnote text"/>
    <w:lsdException w:qFormat="1" w:uiPriority="0" w:semiHidden="0" w:name="table of authorities"/>
    <w:lsdException w:qFormat="1" w:uiPriority="99" w:semiHidden="0" w:name="macro"/>
    <w:lsdException w:qFormat="1" w:uiPriority="0" w:semiHidden="0" w:name="toa heading"/>
    <w:lsdException w:qFormat="1" w:uiPriority="0" w:semiHidden="0" w:name="List"/>
    <w:lsdException w:qFormat="1" w:uiPriority="0" w:semiHidden="0" w:name="List Bullet"/>
    <w:lsdException w:qFormat="1" w:unhideWhenUsed="0" w:uiPriority="0" w:semiHidden="0" w:name="List Number"/>
    <w:lsdException w:qFormat="1" w:uiPriority="0" w:semiHidden="0" w:name="List 2"/>
    <w:lsdException w:qFormat="1" w:uiPriority="0" w:semiHidden="0" w:name="List 3"/>
    <w:lsdException w:qFormat="1" w:uiPriority="0" w:semiHidden="0" w:name="List 4"/>
    <w:lsdException w:qFormat="1" w:uiPriority="0" w:semiHidden="0" w:name="List 5"/>
    <w:lsdException w:qFormat="1" w:uiPriority="0" w:semiHidden="0" w:name="List Bullet 2"/>
    <w:lsdException w:qFormat="1" w:unhideWhenUsed="0"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semiHidden="0" w:name="Closing"/>
    <w:lsdException w:qFormat="1" w:uiPriority="0" w:semiHidden="0" w:name="Signature"/>
    <w:lsdException w:qFormat="1" w:uiPriority="1" w:name="Default Paragraph Font"/>
    <w:lsdException w:qFormat="1" w:uiPriority="0" w:semiHidden="0" w:name="Body Text"/>
    <w:lsdException w:qFormat="1"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0" w:semiHidden="0" w:name="Date"/>
    <w:lsdException w:qFormat="1" w:uiPriority="99" w:semiHidden="0" w:name="Body Text First Indent"/>
    <w:lsdException w:qFormat="1" w:uiPriority="0" w:semiHidden="0" w:name="Body Text First Indent 2"/>
    <w:lsdException w:qFormat="1"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iPriority="0" w:semiHidden="0" w:name="E-mail Signature"/>
    <w:lsdException w:qFormat="1" w:unhideWhenUsed="0" w:uiPriority="0" w:semiHidden="0" w:name="Normal (Web)"/>
    <w:lsdException w:qFormat="1" w:uiPriority="0" w:name="HTML Acronym"/>
    <w:lsdException w:qFormat="1" w:uiPriority="0" w:semiHidden="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99" w:semiHidden="0" w:name="HTML Preformatted"/>
    <w:lsdException w:qFormat="1" w:uiPriority="0" w:name="HTML Sample"/>
    <w:lsdException w:qFormat="1" w:unhideWhenUsed="0" w:uiPriority="0" w:semiHidden="0" w:name="HTML Typewriter"/>
    <w:lsdException w:qFormat="1" w:uiPriority="0" w:name="HTML Variable"/>
    <w:lsdException w:qFormat="1" w:uiPriority="99" w:name="Normal Table"/>
    <w:lsdException w:qFormat="1" w:uiPriority="99"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99" w:semiHidden="0" w:name="Balloon Text"/>
    <w:lsdException w:qFormat="1" w:unhideWhenUsed="0" w:uiPriority="0" w:semiHidden="0" w:name="Table Grid"/>
    <w:lsdException w:qFormat="1"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107"/>
    <w:autoRedefine/>
    <w:qFormat/>
    <w:uiPriority w:val="0"/>
    <w:pPr>
      <w:keepNext/>
      <w:widowControl/>
      <w:numPr>
        <w:ilvl w:val="0"/>
        <w:numId w:val="1"/>
      </w:numPr>
      <w:spacing w:line="360" w:lineRule="auto"/>
      <w:jc w:val="left"/>
      <w:outlineLvl w:val="0"/>
    </w:pPr>
    <w:rPr>
      <w:rFonts w:ascii="宋体" w:hAnsi="宋体" w:cs="宋体"/>
      <w:kern w:val="0"/>
      <w:sz w:val="32"/>
      <w:szCs w:val="30"/>
    </w:rPr>
  </w:style>
  <w:style w:type="paragraph" w:styleId="4">
    <w:name w:val="heading 2"/>
    <w:basedOn w:val="1"/>
    <w:next w:val="1"/>
    <w:link w:val="159"/>
    <w:autoRedefine/>
    <w:qFormat/>
    <w:uiPriority w:val="0"/>
    <w:pPr>
      <w:keepNext/>
      <w:keepLines/>
      <w:widowControl/>
      <w:tabs>
        <w:tab w:val="left" w:pos="1276"/>
      </w:tabs>
      <w:spacing w:line="360" w:lineRule="auto"/>
      <w:ind w:left="567" w:hanging="567"/>
      <w:jc w:val="left"/>
      <w:outlineLvl w:val="1"/>
    </w:pPr>
    <w:rPr>
      <w:rFonts w:ascii="仿宋_GB2312" w:hAnsi="Arial"/>
      <w:kern w:val="0"/>
      <w:sz w:val="30"/>
      <w:szCs w:val="20"/>
    </w:rPr>
  </w:style>
  <w:style w:type="paragraph" w:styleId="5">
    <w:name w:val="heading 3"/>
    <w:basedOn w:val="1"/>
    <w:next w:val="1"/>
    <w:link w:val="110"/>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163"/>
    <w:autoRedefine/>
    <w:qFormat/>
    <w:uiPriority w:val="0"/>
    <w:pPr>
      <w:keepNext/>
      <w:keepLines/>
      <w:widowControl/>
      <w:tabs>
        <w:tab w:val="left" w:pos="1276"/>
      </w:tabs>
      <w:spacing w:line="360" w:lineRule="auto"/>
      <w:ind w:left="709" w:hanging="709"/>
      <w:jc w:val="left"/>
      <w:outlineLvl w:val="3"/>
    </w:pPr>
    <w:rPr>
      <w:rFonts w:ascii="Arial" w:hAnsi="Arial" w:cs="宋体"/>
      <w:b/>
      <w:bCs/>
      <w:kern w:val="0"/>
      <w:sz w:val="24"/>
      <w:szCs w:val="28"/>
    </w:rPr>
  </w:style>
  <w:style w:type="paragraph" w:styleId="7">
    <w:name w:val="heading 5"/>
    <w:basedOn w:val="1"/>
    <w:next w:val="1"/>
    <w:link w:val="112"/>
    <w:autoRedefine/>
    <w:unhideWhenUsed/>
    <w:qFormat/>
    <w:uiPriority w:val="0"/>
    <w:pPr>
      <w:keepNext/>
      <w:keepLines/>
      <w:spacing w:before="280" w:after="290" w:line="376" w:lineRule="auto"/>
      <w:outlineLvl w:val="4"/>
    </w:pPr>
    <w:rPr>
      <w:b/>
      <w:bCs/>
      <w:sz w:val="28"/>
      <w:szCs w:val="28"/>
    </w:rPr>
  </w:style>
  <w:style w:type="paragraph" w:styleId="8">
    <w:name w:val="heading 6"/>
    <w:basedOn w:val="1"/>
    <w:next w:val="9"/>
    <w:link w:val="113"/>
    <w:autoRedefine/>
    <w:qFormat/>
    <w:uiPriority w:val="0"/>
    <w:pPr>
      <w:tabs>
        <w:tab w:val="left" w:pos="1152"/>
      </w:tabs>
      <w:spacing w:line="500" w:lineRule="atLeast"/>
      <w:ind w:left="1152" w:hanging="1152"/>
      <w:outlineLvl w:val="5"/>
    </w:pPr>
    <w:rPr>
      <w:rFonts w:ascii="Calibri" w:hAnsi="Calibri" w:cs="宋体"/>
      <w:sz w:val="28"/>
    </w:rPr>
  </w:style>
  <w:style w:type="paragraph" w:styleId="10">
    <w:name w:val="heading 7"/>
    <w:basedOn w:val="1"/>
    <w:next w:val="1"/>
    <w:link w:val="114"/>
    <w:autoRedefine/>
    <w:qFormat/>
    <w:uiPriority w:val="0"/>
    <w:pPr>
      <w:keepNext/>
      <w:keepLines/>
      <w:tabs>
        <w:tab w:val="left" w:pos="1296"/>
      </w:tabs>
      <w:spacing w:before="240" w:after="64" w:line="320" w:lineRule="auto"/>
      <w:ind w:left="1296" w:hanging="1296"/>
      <w:outlineLvl w:val="6"/>
    </w:pPr>
    <w:rPr>
      <w:rFonts w:ascii="Calibri" w:hAnsi="Calibri" w:cs="宋体"/>
      <w:b/>
      <w:bCs/>
      <w:sz w:val="24"/>
    </w:rPr>
  </w:style>
  <w:style w:type="paragraph" w:styleId="11">
    <w:name w:val="heading 8"/>
    <w:basedOn w:val="1"/>
    <w:next w:val="1"/>
    <w:link w:val="115"/>
    <w:autoRedefine/>
    <w:qFormat/>
    <w:uiPriority w:val="0"/>
    <w:pPr>
      <w:keepNext/>
      <w:keepLines/>
      <w:tabs>
        <w:tab w:val="left" w:pos="1440"/>
      </w:tabs>
      <w:spacing w:before="240" w:after="64" w:line="320" w:lineRule="auto"/>
      <w:ind w:left="1440" w:hanging="1440"/>
      <w:outlineLvl w:val="7"/>
    </w:pPr>
    <w:rPr>
      <w:rFonts w:ascii="Arial" w:hAnsi="Arial" w:eastAsia="黑体" w:cs="宋体"/>
      <w:sz w:val="24"/>
    </w:rPr>
  </w:style>
  <w:style w:type="paragraph" w:styleId="12">
    <w:name w:val="heading 9"/>
    <w:basedOn w:val="1"/>
    <w:next w:val="1"/>
    <w:link w:val="116"/>
    <w:autoRedefine/>
    <w:qFormat/>
    <w:uiPriority w:val="0"/>
    <w:pPr>
      <w:keepNext/>
      <w:keepLines/>
      <w:tabs>
        <w:tab w:val="left" w:pos="1584"/>
      </w:tabs>
      <w:spacing w:before="240" w:after="64" w:line="320" w:lineRule="auto"/>
      <w:ind w:left="1584" w:hanging="1584"/>
      <w:outlineLvl w:val="8"/>
    </w:pPr>
    <w:rPr>
      <w:rFonts w:ascii="Arial" w:hAnsi="Arial" w:eastAsia="黑体" w:cs="宋体"/>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macro"/>
    <w:link w:val="164"/>
    <w:autoRedefine/>
    <w:unhideWhenUsed/>
    <w:qFormat/>
    <w:uiPriority w:val="9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sz w:val="24"/>
      <w:szCs w:val="24"/>
      <w:lang w:val="en-US" w:eastAsia="zh-CN" w:bidi="ar-SA"/>
    </w:rPr>
  </w:style>
  <w:style w:type="paragraph" w:styleId="9">
    <w:name w:val="Normal Indent"/>
    <w:basedOn w:val="1"/>
    <w:next w:val="1"/>
    <w:link w:val="108"/>
    <w:autoRedefine/>
    <w:qFormat/>
    <w:uiPriority w:val="0"/>
    <w:pPr>
      <w:adjustRightInd w:val="0"/>
      <w:snapToGrid w:val="0"/>
      <w:spacing w:line="300" w:lineRule="auto"/>
      <w:ind w:firstLine="200" w:firstLineChars="200"/>
    </w:pPr>
    <w:rPr>
      <w:rFonts w:ascii="仿宋_GB2312" w:eastAsia="仿宋_GB2312"/>
      <w:color w:val="000000"/>
      <w:sz w:val="28"/>
    </w:rPr>
  </w:style>
  <w:style w:type="paragraph" w:styleId="13">
    <w:name w:val="List 3"/>
    <w:basedOn w:val="1"/>
    <w:autoRedefine/>
    <w:unhideWhenUsed/>
    <w:qFormat/>
    <w:uiPriority w:val="0"/>
    <w:pPr>
      <w:widowControl/>
      <w:ind w:left="100" w:leftChars="400" w:hanging="200" w:hangingChars="200"/>
      <w:contextualSpacing/>
      <w:jc w:val="left"/>
    </w:pPr>
    <w:rPr>
      <w:rFonts w:ascii="宋体" w:hAnsi="宋体" w:cs="宋体"/>
      <w:kern w:val="0"/>
      <w:sz w:val="24"/>
    </w:rPr>
  </w:style>
  <w:style w:type="paragraph" w:styleId="14">
    <w:name w:val="toc 7"/>
    <w:basedOn w:val="1"/>
    <w:next w:val="1"/>
    <w:autoRedefine/>
    <w:unhideWhenUsed/>
    <w:qFormat/>
    <w:uiPriority w:val="39"/>
    <w:pPr>
      <w:widowControl/>
      <w:ind w:left="2520" w:leftChars="1200"/>
      <w:jc w:val="left"/>
    </w:pPr>
    <w:rPr>
      <w:rFonts w:ascii="宋体" w:hAnsi="宋体" w:cs="宋体"/>
      <w:kern w:val="0"/>
      <w:sz w:val="24"/>
    </w:rPr>
  </w:style>
  <w:style w:type="paragraph" w:styleId="15">
    <w:name w:val="List Number 2"/>
    <w:basedOn w:val="1"/>
    <w:autoRedefine/>
    <w:unhideWhenUsed/>
    <w:qFormat/>
    <w:uiPriority w:val="0"/>
    <w:pPr>
      <w:widowControl/>
      <w:tabs>
        <w:tab w:val="left" w:pos="780"/>
      </w:tabs>
      <w:ind w:left="780" w:hanging="360"/>
      <w:contextualSpacing/>
      <w:jc w:val="left"/>
    </w:pPr>
    <w:rPr>
      <w:rFonts w:ascii="宋体" w:hAnsi="宋体" w:cs="宋体"/>
      <w:kern w:val="0"/>
      <w:sz w:val="24"/>
    </w:rPr>
  </w:style>
  <w:style w:type="paragraph" w:styleId="16">
    <w:name w:val="table of authorities"/>
    <w:basedOn w:val="1"/>
    <w:next w:val="1"/>
    <w:autoRedefine/>
    <w:unhideWhenUsed/>
    <w:qFormat/>
    <w:uiPriority w:val="0"/>
    <w:pPr>
      <w:widowControl/>
      <w:ind w:left="420" w:leftChars="200"/>
      <w:jc w:val="left"/>
    </w:pPr>
    <w:rPr>
      <w:rFonts w:ascii="宋体" w:hAnsi="宋体" w:cs="宋体"/>
      <w:kern w:val="0"/>
      <w:sz w:val="24"/>
    </w:rPr>
  </w:style>
  <w:style w:type="paragraph" w:styleId="17">
    <w:name w:val="Note Heading"/>
    <w:basedOn w:val="1"/>
    <w:next w:val="1"/>
    <w:link w:val="165"/>
    <w:autoRedefine/>
    <w:unhideWhenUsed/>
    <w:qFormat/>
    <w:uiPriority w:val="0"/>
    <w:pPr>
      <w:widowControl/>
      <w:jc w:val="center"/>
    </w:pPr>
    <w:rPr>
      <w:rFonts w:ascii="宋体" w:hAnsi="宋体" w:cs="宋体"/>
      <w:kern w:val="0"/>
      <w:sz w:val="24"/>
    </w:rPr>
  </w:style>
  <w:style w:type="paragraph" w:styleId="18">
    <w:name w:val="List Bullet 4"/>
    <w:basedOn w:val="1"/>
    <w:autoRedefine/>
    <w:unhideWhenUsed/>
    <w:qFormat/>
    <w:uiPriority w:val="0"/>
    <w:pPr>
      <w:widowControl/>
      <w:tabs>
        <w:tab w:val="left" w:pos="1620"/>
      </w:tabs>
      <w:ind w:left="1620" w:hanging="360"/>
      <w:contextualSpacing/>
      <w:jc w:val="left"/>
    </w:pPr>
    <w:rPr>
      <w:rFonts w:ascii="宋体" w:hAnsi="宋体" w:cs="宋体"/>
      <w:kern w:val="0"/>
      <w:sz w:val="24"/>
    </w:rPr>
  </w:style>
  <w:style w:type="paragraph" w:styleId="19">
    <w:name w:val="index 8"/>
    <w:basedOn w:val="1"/>
    <w:next w:val="1"/>
    <w:autoRedefine/>
    <w:unhideWhenUsed/>
    <w:qFormat/>
    <w:uiPriority w:val="0"/>
    <w:pPr>
      <w:widowControl/>
      <w:ind w:left="1400" w:leftChars="1400"/>
      <w:jc w:val="left"/>
    </w:pPr>
    <w:rPr>
      <w:rFonts w:ascii="宋体" w:hAnsi="宋体" w:cs="宋体"/>
      <w:kern w:val="0"/>
      <w:sz w:val="24"/>
    </w:rPr>
  </w:style>
  <w:style w:type="paragraph" w:styleId="20">
    <w:name w:val="E-mail Signature"/>
    <w:basedOn w:val="1"/>
    <w:link w:val="166"/>
    <w:autoRedefine/>
    <w:unhideWhenUsed/>
    <w:qFormat/>
    <w:uiPriority w:val="0"/>
    <w:pPr>
      <w:widowControl/>
      <w:jc w:val="left"/>
    </w:pPr>
    <w:rPr>
      <w:rFonts w:ascii="宋体" w:hAnsi="宋体" w:cs="宋体"/>
      <w:kern w:val="0"/>
      <w:sz w:val="24"/>
    </w:rPr>
  </w:style>
  <w:style w:type="paragraph" w:styleId="21">
    <w:name w:val="List Number"/>
    <w:basedOn w:val="1"/>
    <w:autoRedefine/>
    <w:qFormat/>
    <w:uiPriority w:val="0"/>
    <w:pPr>
      <w:tabs>
        <w:tab w:val="left" w:pos="360"/>
      </w:tabs>
      <w:spacing w:line="500" w:lineRule="atLeast"/>
      <w:ind w:left="360" w:hanging="360"/>
    </w:pPr>
    <w:rPr>
      <w:rFonts w:ascii="宋体" w:hAnsi="宋体" w:cs="宋体"/>
      <w:sz w:val="28"/>
    </w:rPr>
  </w:style>
  <w:style w:type="paragraph" w:styleId="22">
    <w:name w:val="caption"/>
    <w:basedOn w:val="1"/>
    <w:next w:val="1"/>
    <w:link w:val="167"/>
    <w:autoRedefine/>
    <w:qFormat/>
    <w:uiPriority w:val="0"/>
    <w:pPr>
      <w:widowControl/>
      <w:jc w:val="left"/>
    </w:pPr>
    <w:rPr>
      <w:rFonts w:ascii="Cambria" w:hAnsi="Cambria" w:eastAsia="黑体" w:cs="宋体"/>
      <w:kern w:val="0"/>
      <w:sz w:val="24"/>
    </w:rPr>
  </w:style>
  <w:style w:type="paragraph" w:styleId="23">
    <w:name w:val="index 5"/>
    <w:basedOn w:val="1"/>
    <w:next w:val="1"/>
    <w:autoRedefine/>
    <w:unhideWhenUsed/>
    <w:qFormat/>
    <w:uiPriority w:val="0"/>
    <w:pPr>
      <w:widowControl/>
      <w:ind w:left="800" w:leftChars="800"/>
      <w:jc w:val="left"/>
    </w:pPr>
    <w:rPr>
      <w:rFonts w:ascii="宋体" w:hAnsi="宋体" w:cs="宋体"/>
      <w:kern w:val="0"/>
      <w:sz w:val="24"/>
    </w:rPr>
  </w:style>
  <w:style w:type="paragraph" w:styleId="24">
    <w:name w:val="List Bullet"/>
    <w:basedOn w:val="1"/>
    <w:autoRedefine/>
    <w:unhideWhenUsed/>
    <w:qFormat/>
    <w:uiPriority w:val="0"/>
    <w:pPr>
      <w:widowControl/>
      <w:tabs>
        <w:tab w:val="left" w:pos="360"/>
      </w:tabs>
      <w:ind w:left="360" w:hanging="360"/>
      <w:contextualSpacing/>
      <w:jc w:val="left"/>
    </w:pPr>
    <w:rPr>
      <w:rFonts w:ascii="宋体" w:hAnsi="宋体" w:cs="宋体"/>
      <w:kern w:val="0"/>
      <w:sz w:val="24"/>
    </w:rPr>
  </w:style>
  <w:style w:type="paragraph" w:styleId="25">
    <w:name w:val="envelope address"/>
    <w:basedOn w:val="1"/>
    <w:autoRedefine/>
    <w:unhideWhenUsed/>
    <w:qFormat/>
    <w:uiPriority w:val="0"/>
    <w:pPr>
      <w:framePr w:w="7920" w:h="1980" w:hRule="exact" w:hSpace="180" w:wrap="around" w:vAnchor="margin" w:hAnchor="page" w:xAlign="center" w:yAlign="bottom"/>
      <w:widowControl/>
      <w:snapToGrid w:val="0"/>
      <w:ind w:left="100" w:leftChars="1400"/>
      <w:jc w:val="left"/>
    </w:pPr>
    <w:rPr>
      <w:rFonts w:ascii="Cambria" w:hAnsi="Cambria" w:cs="宋体"/>
      <w:kern w:val="0"/>
      <w:sz w:val="24"/>
    </w:rPr>
  </w:style>
  <w:style w:type="paragraph" w:styleId="26">
    <w:name w:val="Document Map"/>
    <w:basedOn w:val="1"/>
    <w:link w:val="117"/>
    <w:autoRedefine/>
    <w:unhideWhenUsed/>
    <w:qFormat/>
    <w:uiPriority w:val="99"/>
    <w:rPr>
      <w:rFonts w:ascii="宋体"/>
      <w:sz w:val="18"/>
      <w:szCs w:val="18"/>
    </w:rPr>
  </w:style>
  <w:style w:type="paragraph" w:styleId="27">
    <w:name w:val="toa heading"/>
    <w:basedOn w:val="1"/>
    <w:next w:val="1"/>
    <w:autoRedefine/>
    <w:unhideWhenUsed/>
    <w:qFormat/>
    <w:uiPriority w:val="0"/>
    <w:pPr>
      <w:widowControl/>
      <w:spacing w:before="120"/>
      <w:jc w:val="left"/>
    </w:pPr>
    <w:rPr>
      <w:rFonts w:ascii="Cambria" w:hAnsi="Cambria" w:cs="宋体"/>
      <w:kern w:val="0"/>
      <w:sz w:val="24"/>
    </w:rPr>
  </w:style>
  <w:style w:type="paragraph" w:styleId="28">
    <w:name w:val="annotation text"/>
    <w:basedOn w:val="1"/>
    <w:link w:val="118"/>
    <w:autoRedefine/>
    <w:qFormat/>
    <w:uiPriority w:val="0"/>
    <w:pPr>
      <w:jc w:val="left"/>
    </w:pPr>
    <w:rPr>
      <w:rFonts w:asciiTheme="minorHAnsi" w:hAnsiTheme="minorHAnsi" w:cstheme="minorBidi"/>
    </w:rPr>
  </w:style>
  <w:style w:type="paragraph" w:styleId="29">
    <w:name w:val="index 6"/>
    <w:basedOn w:val="1"/>
    <w:next w:val="1"/>
    <w:autoRedefine/>
    <w:unhideWhenUsed/>
    <w:qFormat/>
    <w:uiPriority w:val="0"/>
    <w:pPr>
      <w:widowControl/>
      <w:ind w:left="1000" w:leftChars="1000"/>
      <w:jc w:val="left"/>
    </w:pPr>
    <w:rPr>
      <w:rFonts w:ascii="宋体" w:hAnsi="宋体" w:cs="宋体"/>
      <w:kern w:val="0"/>
      <w:sz w:val="24"/>
    </w:rPr>
  </w:style>
  <w:style w:type="paragraph" w:styleId="30">
    <w:name w:val="Salutation"/>
    <w:basedOn w:val="1"/>
    <w:next w:val="1"/>
    <w:link w:val="168"/>
    <w:autoRedefine/>
    <w:unhideWhenUsed/>
    <w:qFormat/>
    <w:uiPriority w:val="0"/>
    <w:pPr>
      <w:widowControl/>
      <w:jc w:val="left"/>
    </w:pPr>
    <w:rPr>
      <w:rFonts w:ascii="宋体" w:hAnsi="宋体" w:cs="宋体"/>
      <w:kern w:val="0"/>
      <w:sz w:val="24"/>
    </w:rPr>
  </w:style>
  <w:style w:type="paragraph" w:styleId="31">
    <w:name w:val="Body Text 3"/>
    <w:basedOn w:val="1"/>
    <w:link w:val="169"/>
    <w:autoRedefine/>
    <w:qFormat/>
    <w:uiPriority w:val="0"/>
    <w:pPr>
      <w:widowControl/>
      <w:jc w:val="center"/>
    </w:pPr>
    <w:rPr>
      <w:rFonts w:ascii="宋体" w:hAnsi="宋体" w:cs="宋体"/>
      <w:color w:val="0000FF"/>
      <w:kern w:val="0"/>
      <w:sz w:val="24"/>
    </w:rPr>
  </w:style>
  <w:style w:type="paragraph" w:styleId="32">
    <w:name w:val="Closing"/>
    <w:basedOn w:val="1"/>
    <w:link w:val="170"/>
    <w:autoRedefine/>
    <w:unhideWhenUsed/>
    <w:qFormat/>
    <w:uiPriority w:val="0"/>
    <w:pPr>
      <w:widowControl/>
      <w:ind w:left="100" w:leftChars="2100"/>
      <w:jc w:val="left"/>
    </w:pPr>
    <w:rPr>
      <w:rFonts w:ascii="宋体" w:hAnsi="宋体" w:cs="宋体"/>
      <w:kern w:val="0"/>
      <w:sz w:val="24"/>
    </w:rPr>
  </w:style>
  <w:style w:type="paragraph" w:styleId="33">
    <w:name w:val="List Bullet 3"/>
    <w:basedOn w:val="1"/>
    <w:autoRedefine/>
    <w:qFormat/>
    <w:uiPriority w:val="0"/>
    <w:pPr>
      <w:tabs>
        <w:tab w:val="left" w:pos="1440"/>
      </w:tabs>
      <w:adjustRightInd w:val="0"/>
      <w:snapToGrid w:val="0"/>
      <w:ind w:left="1200" w:hanging="360"/>
    </w:pPr>
    <w:rPr>
      <w:rFonts w:ascii="宋体" w:hAnsi="宋体" w:cs="宋体"/>
      <w:sz w:val="24"/>
    </w:rPr>
  </w:style>
  <w:style w:type="paragraph" w:styleId="34">
    <w:name w:val="Body Text"/>
    <w:basedOn w:val="1"/>
    <w:next w:val="1"/>
    <w:link w:val="119"/>
    <w:autoRedefine/>
    <w:unhideWhenUsed/>
    <w:qFormat/>
    <w:uiPriority w:val="0"/>
    <w:pPr>
      <w:spacing w:after="120"/>
    </w:pPr>
  </w:style>
  <w:style w:type="paragraph" w:styleId="35">
    <w:name w:val="Body Text Indent"/>
    <w:basedOn w:val="1"/>
    <w:link w:val="120"/>
    <w:autoRedefine/>
    <w:unhideWhenUsed/>
    <w:qFormat/>
    <w:uiPriority w:val="0"/>
    <w:pPr>
      <w:spacing w:after="120"/>
      <w:ind w:left="420" w:leftChars="200"/>
    </w:pPr>
  </w:style>
  <w:style w:type="paragraph" w:styleId="36">
    <w:name w:val="List Number 3"/>
    <w:basedOn w:val="1"/>
    <w:autoRedefine/>
    <w:unhideWhenUsed/>
    <w:qFormat/>
    <w:uiPriority w:val="0"/>
    <w:pPr>
      <w:widowControl/>
      <w:tabs>
        <w:tab w:val="left" w:pos="1200"/>
      </w:tabs>
      <w:ind w:left="1200" w:hanging="360"/>
      <w:contextualSpacing/>
      <w:jc w:val="left"/>
    </w:pPr>
    <w:rPr>
      <w:rFonts w:ascii="宋体" w:hAnsi="宋体" w:cs="宋体"/>
      <w:kern w:val="0"/>
      <w:sz w:val="24"/>
    </w:rPr>
  </w:style>
  <w:style w:type="paragraph" w:styleId="37">
    <w:name w:val="List 2"/>
    <w:basedOn w:val="1"/>
    <w:autoRedefine/>
    <w:unhideWhenUsed/>
    <w:qFormat/>
    <w:uiPriority w:val="0"/>
    <w:pPr>
      <w:widowControl/>
      <w:spacing w:line="240" w:lineRule="exact"/>
      <w:ind w:left="100" w:leftChars="200" w:hanging="200" w:hangingChars="200"/>
      <w:contextualSpacing/>
      <w:jc w:val="left"/>
    </w:pPr>
    <w:rPr>
      <w:kern w:val="0"/>
      <w:sz w:val="20"/>
      <w:szCs w:val="20"/>
    </w:rPr>
  </w:style>
  <w:style w:type="paragraph" w:styleId="38">
    <w:name w:val="List Continue"/>
    <w:basedOn w:val="1"/>
    <w:autoRedefine/>
    <w:unhideWhenUsed/>
    <w:qFormat/>
    <w:uiPriority w:val="0"/>
    <w:pPr>
      <w:widowControl/>
      <w:spacing w:after="120"/>
      <w:ind w:left="420" w:leftChars="200"/>
      <w:contextualSpacing/>
      <w:jc w:val="left"/>
    </w:pPr>
    <w:rPr>
      <w:rFonts w:ascii="宋体" w:hAnsi="宋体" w:cs="宋体"/>
      <w:kern w:val="0"/>
      <w:sz w:val="24"/>
    </w:rPr>
  </w:style>
  <w:style w:type="paragraph" w:styleId="39">
    <w:name w:val="Block Text"/>
    <w:basedOn w:val="1"/>
    <w:next w:val="1"/>
    <w:autoRedefine/>
    <w:unhideWhenUsed/>
    <w:qFormat/>
    <w:uiPriority w:val="0"/>
    <w:pPr>
      <w:widowControl/>
      <w:spacing w:after="120"/>
      <w:ind w:left="1440" w:leftChars="700" w:right="1440" w:rightChars="700"/>
      <w:jc w:val="left"/>
    </w:pPr>
    <w:rPr>
      <w:rFonts w:ascii="宋体" w:hAnsi="宋体" w:cs="宋体"/>
      <w:kern w:val="0"/>
      <w:sz w:val="24"/>
    </w:rPr>
  </w:style>
  <w:style w:type="paragraph" w:styleId="40">
    <w:name w:val="List Bullet 2"/>
    <w:basedOn w:val="1"/>
    <w:autoRedefine/>
    <w:unhideWhenUsed/>
    <w:qFormat/>
    <w:uiPriority w:val="0"/>
    <w:pPr>
      <w:widowControl/>
      <w:tabs>
        <w:tab w:val="left" w:pos="780"/>
      </w:tabs>
      <w:ind w:left="780" w:hanging="360"/>
      <w:contextualSpacing/>
      <w:jc w:val="left"/>
    </w:pPr>
    <w:rPr>
      <w:rFonts w:ascii="宋体" w:hAnsi="宋体" w:cs="宋体"/>
      <w:kern w:val="0"/>
      <w:sz w:val="24"/>
    </w:rPr>
  </w:style>
  <w:style w:type="paragraph" w:styleId="41">
    <w:name w:val="HTML Address"/>
    <w:basedOn w:val="1"/>
    <w:link w:val="171"/>
    <w:autoRedefine/>
    <w:unhideWhenUsed/>
    <w:qFormat/>
    <w:uiPriority w:val="0"/>
    <w:pPr>
      <w:widowControl/>
      <w:jc w:val="left"/>
    </w:pPr>
    <w:rPr>
      <w:rFonts w:ascii="宋体" w:hAnsi="宋体" w:cs="宋体"/>
      <w:i/>
      <w:iCs/>
      <w:kern w:val="0"/>
      <w:sz w:val="24"/>
    </w:rPr>
  </w:style>
  <w:style w:type="paragraph" w:styleId="42">
    <w:name w:val="index 4"/>
    <w:basedOn w:val="1"/>
    <w:next w:val="1"/>
    <w:autoRedefine/>
    <w:unhideWhenUsed/>
    <w:qFormat/>
    <w:uiPriority w:val="0"/>
    <w:pPr>
      <w:widowControl/>
      <w:ind w:left="600" w:leftChars="600"/>
      <w:jc w:val="left"/>
    </w:pPr>
    <w:rPr>
      <w:rFonts w:ascii="宋体" w:hAnsi="宋体" w:cs="宋体"/>
      <w:kern w:val="0"/>
      <w:sz w:val="24"/>
    </w:rPr>
  </w:style>
  <w:style w:type="paragraph" w:styleId="43">
    <w:name w:val="toc 5"/>
    <w:basedOn w:val="1"/>
    <w:next w:val="1"/>
    <w:autoRedefine/>
    <w:unhideWhenUsed/>
    <w:qFormat/>
    <w:uiPriority w:val="39"/>
    <w:pPr>
      <w:widowControl/>
      <w:ind w:left="1680" w:leftChars="800"/>
      <w:jc w:val="left"/>
    </w:pPr>
    <w:rPr>
      <w:rFonts w:ascii="宋体" w:hAnsi="宋体" w:cs="宋体"/>
      <w:kern w:val="0"/>
      <w:sz w:val="24"/>
    </w:rPr>
  </w:style>
  <w:style w:type="paragraph" w:styleId="44">
    <w:name w:val="toc 3"/>
    <w:basedOn w:val="1"/>
    <w:next w:val="1"/>
    <w:autoRedefine/>
    <w:unhideWhenUsed/>
    <w:qFormat/>
    <w:uiPriority w:val="39"/>
    <w:pPr>
      <w:widowControl/>
      <w:ind w:left="840" w:leftChars="400"/>
      <w:jc w:val="left"/>
    </w:pPr>
    <w:rPr>
      <w:rFonts w:ascii="宋体" w:hAnsi="宋体" w:cs="宋体"/>
      <w:kern w:val="0"/>
      <w:sz w:val="24"/>
    </w:rPr>
  </w:style>
  <w:style w:type="paragraph" w:styleId="45">
    <w:name w:val="Plain Text"/>
    <w:basedOn w:val="1"/>
    <w:link w:val="172"/>
    <w:autoRedefine/>
    <w:qFormat/>
    <w:uiPriority w:val="0"/>
    <w:pPr>
      <w:widowControl/>
      <w:jc w:val="left"/>
    </w:pPr>
    <w:rPr>
      <w:rFonts w:ascii="宋体" w:hAnsi="Courier New" w:cs="Courier New"/>
      <w:kern w:val="0"/>
      <w:sz w:val="24"/>
      <w:szCs w:val="21"/>
    </w:rPr>
  </w:style>
  <w:style w:type="paragraph" w:styleId="46">
    <w:name w:val="List Bullet 5"/>
    <w:basedOn w:val="1"/>
    <w:autoRedefine/>
    <w:unhideWhenUsed/>
    <w:qFormat/>
    <w:uiPriority w:val="0"/>
    <w:pPr>
      <w:widowControl/>
      <w:tabs>
        <w:tab w:val="left" w:pos="2040"/>
      </w:tabs>
      <w:ind w:left="2040" w:hanging="360"/>
      <w:contextualSpacing/>
      <w:jc w:val="left"/>
    </w:pPr>
    <w:rPr>
      <w:rFonts w:ascii="宋体" w:hAnsi="宋体" w:cs="宋体"/>
      <w:kern w:val="0"/>
      <w:sz w:val="24"/>
    </w:rPr>
  </w:style>
  <w:style w:type="paragraph" w:styleId="47">
    <w:name w:val="List Number 4"/>
    <w:basedOn w:val="1"/>
    <w:autoRedefine/>
    <w:unhideWhenUsed/>
    <w:qFormat/>
    <w:uiPriority w:val="0"/>
    <w:pPr>
      <w:widowControl/>
      <w:tabs>
        <w:tab w:val="left" w:pos="1620"/>
      </w:tabs>
      <w:ind w:left="1620" w:hanging="360"/>
      <w:contextualSpacing/>
      <w:jc w:val="left"/>
    </w:pPr>
    <w:rPr>
      <w:rFonts w:ascii="宋体" w:hAnsi="宋体" w:cs="宋体"/>
      <w:kern w:val="0"/>
      <w:sz w:val="24"/>
    </w:rPr>
  </w:style>
  <w:style w:type="paragraph" w:styleId="48">
    <w:name w:val="toc 8"/>
    <w:basedOn w:val="1"/>
    <w:next w:val="1"/>
    <w:autoRedefine/>
    <w:unhideWhenUsed/>
    <w:qFormat/>
    <w:uiPriority w:val="39"/>
    <w:pPr>
      <w:widowControl/>
      <w:ind w:left="2940" w:leftChars="1400"/>
      <w:jc w:val="left"/>
    </w:pPr>
    <w:rPr>
      <w:rFonts w:ascii="宋体" w:hAnsi="宋体" w:cs="宋体"/>
      <w:kern w:val="0"/>
      <w:sz w:val="24"/>
    </w:rPr>
  </w:style>
  <w:style w:type="paragraph" w:styleId="49">
    <w:name w:val="index 3"/>
    <w:basedOn w:val="1"/>
    <w:next w:val="1"/>
    <w:autoRedefine/>
    <w:unhideWhenUsed/>
    <w:qFormat/>
    <w:uiPriority w:val="0"/>
    <w:pPr>
      <w:widowControl/>
      <w:ind w:left="400" w:leftChars="400"/>
      <w:jc w:val="left"/>
    </w:pPr>
    <w:rPr>
      <w:rFonts w:ascii="宋体" w:hAnsi="宋体" w:cs="宋体"/>
      <w:kern w:val="0"/>
      <w:sz w:val="24"/>
    </w:rPr>
  </w:style>
  <w:style w:type="paragraph" w:styleId="50">
    <w:name w:val="Date"/>
    <w:basedOn w:val="1"/>
    <w:next w:val="1"/>
    <w:link w:val="173"/>
    <w:autoRedefine/>
    <w:unhideWhenUsed/>
    <w:qFormat/>
    <w:uiPriority w:val="0"/>
    <w:pPr>
      <w:widowControl/>
      <w:ind w:left="100" w:leftChars="2500"/>
      <w:jc w:val="left"/>
    </w:pPr>
    <w:rPr>
      <w:rFonts w:ascii="宋体" w:hAnsi="宋体" w:cs="宋体"/>
      <w:kern w:val="0"/>
      <w:sz w:val="24"/>
    </w:rPr>
  </w:style>
  <w:style w:type="paragraph" w:styleId="51">
    <w:name w:val="Body Text Indent 2"/>
    <w:basedOn w:val="1"/>
    <w:link w:val="161"/>
    <w:autoRedefine/>
    <w:unhideWhenUsed/>
    <w:qFormat/>
    <w:uiPriority w:val="0"/>
    <w:pPr>
      <w:spacing w:after="120" w:line="480" w:lineRule="auto"/>
      <w:ind w:left="420" w:leftChars="200"/>
    </w:pPr>
  </w:style>
  <w:style w:type="paragraph" w:styleId="52">
    <w:name w:val="endnote text"/>
    <w:basedOn w:val="1"/>
    <w:link w:val="174"/>
    <w:autoRedefine/>
    <w:unhideWhenUsed/>
    <w:qFormat/>
    <w:uiPriority w:val="99"/>
    <w:pPr>
      <w:widowControl/>
      <w:snapToGrid w:val="0"/>
      <w:jc w:val="left"/>
    </w:pPr>
    <w:rPr>
      <w:rFonts w:ascii="宋体" w:hAnsi="宋体" w:cs="宋体"/>
      <w:kern w:val="0"/>
      <w:sz w:val="24"/>
    </w:rPr>
  </w:style>
  <w:style w:type="paragraph" w:styleId="53">
    <w:name w:val="List Continue 5"/>
    <w:basedOn w:val="1"/>
    <w:autoRedefine/>
    <w:unhideWhenUsed/>
    <w:qFormat/>
    <w:uiPriority w:val="0"/>
    <w:pPr>
      <w:widowControl/>
      <w:spacing w:after="120"/>
      <w:ind w:left="2100" w:leftChars="1000"/>
      <w:contextualSpacing/>
      <w:jc w:val="left"/>
    </w:pPr>
    <w:rPr>
      <w:rFonts w:ascii="宋体" w:hAnsi="宋体" w:cs="宋体"/>
      <w:kern w:val="0"/>
      <w:sz w:val="24"/>
    </w:rPr>
  </w:style>
  <w:style w:type="paragraph" w:styleId="54">
    <w:name w:val="Balloon Text"/>
    <w:basedOn w:val="1"/>
    <w:link w:val="121"/>
    <w:autoRedefine/>
    <w:unhideWhenUsed/>
    <w:qFormat/>
    <w:uiPriority w:val="99"/>
    <w:rPr>
      <w:sz w:val="18"/>
      <w:szCs w:val="18"/>
    </w:rPr>
  </w:style>
  <w:style w:type="paragraph" w:styleId="55">
    <w:name w:val="footer"/>
    <w:basedOn w:val="1"/>
    <w:next w:val="1"/>
    <w:link w:val="127"/>
    <w:autoRedefine/>
    <w:qFormat/>
    <w:uiPriority w:val="99"/>
    <w:pPr>
      <w:tabs>
        <w:tab w:val="center" w:pos="4153"/>
        <w:tab w:val="right" w:pos="8306"/>
      </w:tabs>
      <w:snapToGrid w:val="0"/>
      <w:jc w:val="left"/>
    </w:pPr>
    <w:rPr>
      <w:rFonts w:asciiTheme="minorHAnsi" w:hAnsiTheme="minorHAnsi" w:cstheme="minorBidi"/>
      <w:sz w:val="18"/>
      <w:szCs w:val="22"/>
    </w:rPr>
  </w:style>
  <w:style w:type="paragraph" w:styleId="56">
    <w:name w:val="envelope return"/>
    <w:basedOn w:val="1"/>
    <w:autoRedefine/>
    <w:unhideWhenUsed/>
    <w:qFormat/>
    <w:uiPriority w:val="0"/>
    <w:pPr>
      <w:widowControl/>
      <w:snapToGrid w:val="0"/>
      <w:jc w:val="left"/>
    </w:pPr>
    <w:rPr>
      <w:rFonts w:ascii="Cambria" w:hAnsi="Cambria" w:cs="宋体"/>
      <w:kern w:val="0"/>
      <w:sz w:val="24"/>
    </w:rPr>
  </w:style>
  <w:style w:type="paragraph" w:styleId="57">
    <w:name w:val="header"/>
    <w:basedOn w:val="1"/>
    <w:link w:val="13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75"/>
    <w:autoRedefine/>
    <w:unhideWhenUsed/>
    <w:qFormat/>
    <w:uiPriority w:val="0"/>
    <w:pPr>
      <w:widowControl/>
      <w:ind w:left="100" w:leftChars="2100"/>
      <w:jc w:val="left"/>
    </w:pPr>
    <w:rPr>
      <w:rFonts w:ascii="宋体" w:hAnsi="宋体" w:cs="宋体"/>
      <w:kern w:val="0"/>
      <w:sz w:val="24"/>
    </w:rPr>
  </w:style>
  <w:style w:type="paragraph" w:styleId="59">
    <w:name w:val="toc 1"/>
    <w:basedOn w:val="1"/>
    <w:next w:val="1"/>
    <w:autoRedefine/>
    <w:qFormat/>
    <w:uiPriority w:val="39"/>
    <w:pPr>
      <w:widowControl/>
      <w:jc w:val="left"/>
    </w:pPr>
    <w:rPr>
      <w:rFonts w:ascii="宋体" w:hAnsi="宋体" w:cs="宋体"/>
      <w:b/>
      <w:kern w:val="0"/>
      <w:sz w:val="24"/>
    </w:rPr>
  </w:style>
  <w:style w:type="paragraph" w:styleId="60">
    <w:name w:val="List Continue 4"/>
    <w:basedOn w:val="1"/>
    <w:autoRedefine/>
    <w:unhideWhenUsed/>
    <w:qFormat/>
    <w:uiPriority w:val="0"/>
    <w:pPr>
      <w:widowControl/>
      <w:spacing w:after="120"/>
      <w:ind w:left="1680" w:leftChars="800"/>
      <w:contextualSpacing/>
      <w:jc w:val="left"/>
    </w:pPr>
    <w:rPr>
      <w:rFonts w:ascii="宋体" w:hAnsi="宋体" w:cs="宋体"/>
      <w:kern w:val="0"/>
      <w:sz w:val="24"/>
    </w:rPr>
  </w:style>
  <w:style w:type="paragraph" w:styleId="61">
    <w:name w:val="toc 4"/>
    <w:basedOn w:val="1"/>
    <w:next w:val="1"/>
    <w:autoRedefine/>
    <w:unhideWhenUsed/>
    <w:qFormat/>
    <w:uiPriority w:val="39"/>
    <w:pPr>
      <w:widowControl/>
      <w:ind w:left="1260" w:leftChars="600"/>
      <w:jc w:val="left"/>
    </w:pPr>
    <w:rPr>
      <w:rFonts w:ascii="宋体" w:hAnsi="宋体" w:cs="宋体"/>
      <w:kern w:val="0"/>
      <w:sz w:val="24"/>
    </w:rPr>
  </w:style>
  <w:style w:type="paragraph" w:styleId="62">
    <w:name w:val="index heading"/>
    <w:basedOn w:val="1"/>
    <w:next w:val="63"/>
    <w:autoRedefine/>
    <w:unhideWhenUsed/>
    <w:qFormat/>
    <w:uiPriority w:val="0"/>
    <w:rPr>
      <w:rFonts w:asciiTheme="majorHAnsi" w:hAnsiTheme="majorHAnsi" w:eastAsiaTheme="majorEastAsia" w:cstheme="majorBidi"/>
      <w:b/>
      <w:bCs/>
    </w:rPr>
  </w:style>
  <w:style w:type="paragraph" w:styleId="63">
    <w:name w:val="index 1"/>
    <w:basedOn w:val="1"/>
    <w:next w:val="1"/>
    <w:autoRedefine/>
    <w:unhideWhenUsed/>
    <w:qFormat/>
    <w:uiPriority w:val="99"/>
  </w:style>
  <w:style w:type="paragraph" w:styleId="64">
    <w:name w:val="Subtitle"/>
    <w:basedOn w:val="1"/>
    <w:next w:val="1"/>
    <w:link w:val="176"/>
    <w:autoRedefine/>
    <w:qFormat/>
    <w:uiPriority w:val="0"/>
    <w:pPr>
      <w:widowControl/>
      <w:spacing w:before="240" w:after="60" w:line="312" w:lineRule="atLeast"/>
      <w:jc w:val="center"/>
      <w:outlineLvl w:val="1"/>
    </w:pPr>
    <w:rPr>
      <w:rFonts w:ascii="Cambria" w:hAnsi="Cambria" w:cs="宋体"/>
      <w:b/>
      <w:bCs/>
      <w:kern w:val="28"/>
      <w:sz w:val="32"/>
      <w:szCs w:val="32"/>
    </w:rPr>
  </w:style>
  <w:style w:type="paragraph" w:styleId="65">
    <w:name w:val="List Number 5"/>
    <w:basedOn w:val="1"/>
    <w:autoRedefine/>
    <w:unhideWhenUsed/>
    <w:qFormat/>
    <w:uiPriority w:val="0"/>
    <w:pPr>
      <w:widowControl/>
      <w:tabs>
        <w:tab w:val="left" w:pos="2040"/>
      </w:tabs>
      <w:ind w:left="2040" w:hanging="360"/>
      <w:contextualSpacing/>
      <w:jc w:val="left"/>
    </w:pPr>
    <w:rPr>
      <w:rFonts w:ascii="宋体" w:hAnsi="宋体" w:cs="宋体"/>
      <w:kern w:val="0"/>
      <w:sz w:val="24"/>
    </w:rPr>
  </w:style>
  <w:style w:type="paragraph" w:styleId="66">
    <w:name w:val="List"/>
    <w:basedOn w:val="1"/>
    <w:autoRedefine/>
    <w:unhideWhenUsed/>
    <w:qFormat/>
    <w:uiPriority w:val="0"/>
    <w:pPr>
      <w:ind w:left="200" w:hanging="200" w:hangingChars="200"/>
      <w:contextualSpacing/>
    </w:pPr>
  </w:style>
  <w:style w:type="paragraph" w:styleId="67">
    <w:name w:val="footnote text"/>
    <w:basedOn w:val="1"/>
    <w:link w:val="177"/>
    <w:autoRedefine/>
    <w:qFormat/>
    <w:uiPriority w:val="0"/>
    <w:pPr>
      <w:widowControl/>
      <w:snapToGrid w:val="0"/>
      <w:jc w:val="left"/>
    </w:pPr>
    <w:rPr>
      <w:rFonts w:ascii="宋体" w:hAnsi="宋体" w:cs="宋体"/>
      <w:kern w:val="0"/>
      <w:sz w:val="18"/>
      <w:szCs w:val="18"/>
    </w:rPr>
  </w:style>
  <w:style w:type="paragraph" w:styleId="68">
    <w:name w:val="toc 6"/>
    <w:basedOn w:val="1"/>
    <w:next w:val="1"/>
    <w:autoRedefine/>
    <w:unhideWhenUsed/>
    <w:qFormat/>
    <w:uiPriority w:val="39"/>
    <w:pPr>
      <w:widowControl/>
      <w:ind w:left="2100" w:leftChars="1000"/>
      <w:jc w:val="left"/>
    </w:pPr>
    <w:rPr>
      <w:rFonts w:ascii="宋体" w:hAnsi="宋体" w:cs="宋体"/>
      <w:kern w:val="0"/>
      <w:sz w:val="24"/>
    </w:rPr>
  </w:style>
  <w:style w:type="paragraph" w:styleId="69">
    <w:name w:val="List 5"/>
    <w:basedOn w:val="1"/>
    <w:autoRedefine/>
    <w:unhideWhenUsed/>
    <w:qFormat/>
    <w:uiPriority w:val="0"/>
    <w:pPr>
      <w:widowControl/>
      <w:ind w:left="100" w:leftChars="800" w:hanging="200" w:hangingChars="200"/>
      <w:contextualSpacing/>
      <w:jc w:val="left"/>
    </w:pPr>
    <w:rPr>
      <w:rFonts w:ascii="宋体" w:hAnsi="宋体" w:cs="宋体"/>
      <w:kern w:val="0"/>
      <w:sz w:val="24"/>
    </w:rPr>
  </w:style>
  <w:style w:type="paragraph" w:styleId="70">
    <w:name w:val="Body Text Indent 3"/>
    <w:basedOn w:val="1"/>
    <w:link w:val="124"/>
    <w:autoRedefine/>
    <w:qFormat/>
    <w:uiPriority w:val="0"/>
    <w:pPr>
      <w:widowControl/>
      <w:spacing w:after="120"/>
      <w:ind w:left="420" w:leftChars="200"/>
      <w:jc w:val="left"/>
    </w:pPr>
    <w:rPr>
      <w:rFonts w:eastAsia="仿宋_GB2312"/>
      <w:kern w:val="0"/>
      <w:sz w:val="16"/>
      <w:szCs w:val="16"/>
    </w:rPr>
  </w:style>
  <w:style w:type="paragraph" w:styleId="71">
    <w:name w:val="index 7"/>
    <w:basedOn w:val="1"/>
    <w:next w:val="1"/>
    <w:autoRedefine/>
    <w:unhideWhenUsed/>
    <w:qFormat/>
    <w:uiPriority w:val="0"/>
    <w:pPr>
      <w:widowControl/>
      <w:ind w:left="1200" w:leftChars="1200"/>
      <w:jc w:val="left"/>
    </w:pPr>
    <w:rPr>
      <w:rFonts w:ascii="宋体" w:hAnsi="宋体" w:cs="宋体"/>
      <w:kern w:val="0"/>
      <w:sz w:val="24"/>
    </w:rPr>
  </w:style>
  <w:style w:type="paragraph" w:styleId="72">
    <w:name w:val="index 9"/>
    <w:basedOn w:val="1"/>
    <w:next w:val="1"/>
    <w:autoRedefine/>
    <w:unhideWhenUsed/>
    <w:qFormat/>
    <w:uiPriority w:val="0"/>
    <w:pPr>
      <w:widowControl/>
      <w:ind w:left="1600" w:leftChars="1600"/>
      <w:jc w:val="left"/>
    </w:pPr>
    <w:rPr>
      <w:rFonts w:ascii="宋体" w:hAnsi="宋体" w:cs="宋体"/>
      <w:kern w:val="0"/>
      <w:sz w:val="24"/>
    </w:rPr>
  </w:style>
  <w:style w:type="paragraph" w:styleId="73">
    <w:name w:val="table of figures"/>
    <w:basedOn w:val="1"/>
    <w:next w:val="1"/>
    <w:autoRedefine/>
    <w:unhideWhenUsed/>
    <w:qFormat/>
    <w:uiPriority w:val="0"/>
    <w:pPr>
      <w:widowControl/>
      <w:ind w:left="200" w:leftChars="200" w:hanging="200" w:hangingChars="200"/>
      <w:jc w:val="left"/>
    </w:pPr>
    <w:rPr>
      <w:rFonts w:ascii="宋体" w:hAnsi="宋体" w:cs="宋体"/>
      <w:kern w:val="0"/>
      <w:sz w:val="24"/>
    </w:rPr>
  </w:style>
  <w:style w:type="paragraph" w:styleId="74">
    <w:name w:val="toc 2"/>
    <w:basedOn w:val="1"/>
    <w:next w:val="1"/>
    <w:autoRedefine/>
    <w:unhideWhenUsed/>
    <w:qFormat/>
    <w:uiPriority w:val="39"/>
    <w:pPr>
      <w:widowControl/>
      <w:ind w:left="420" w:leftChars="200"/>
      <w:jc w:val="left"/>
    </w:pPr>
    <w:rPr>
      <w:rFonts w:ascii="宋体" w:hAnsi="宋体" w:cs="宋体"/>
      <w:kern w:val="0"/>
      <w:sz w:val="24"/>
    </w:rPr>
  </w:style>
  <w:style w:type="paragraph" w:styleId="75">
    <w:name w:val="toc 9"/>
    <w:basedOn w:val="1"/>
    <w:next w:val="1"/>
    <w:autoRedefine/>
    <w:unhideWhenUsed/>
    <w:qFormat/>
    <w:uiPriority w:val="39"/>
    <w:pPr>
      <w:widowControl/>
      <w:ind w:left="3360" w:leftChars="1600"/>
      <w:jc w:val="left"/>
    </w:pPr>
    <w:rPr>
      <w:rFonts w:ascii="宋体" w:hAnsi="宋体" w:cs="宋体"/>
      <w:kern w:val="0"/>
      <w:sz w:val="24"/>
    </w:rPr>
  </w:style>
  <w:style w:type="paragraph" w:styleId="76">
    <w:name w:val="Body Text 2"/>
    <w:basedOn w:val="1"/>
    <w:link w:val="178"/>
    <w:autoRedefine/>
    <w:qFormat/>
    <w:uiPriority w:val="0"/>
    <w:pPr>
      <w:widowControl/>
      <w:jc w:val="center"/>
    </w:pPr>
    <w:rPr>
      <w:rFonts w:ascii="宋体" w:hAnsi="宋体" w:cs="宋体"/>
      <w:kern w:val="0"/>
      <w:sz w:val="24"/>
    </w:rPr>
  </w:style>
  <w:style w:type="paragraph" w:styleId="77">
    <w:name w:val="List 4"/>
    <w:basedOn w:val="1"/>
    <w:autoRedefine/>
    <w:unhideWhenUsed/>
    <w:qFormat/>
    <w:uiPriority w:val="0"/>
    <w:pPr>
      <w:widowControl/>
      <w:ind w:left="100" w:leftChars="600" w:hanging="200" w:hangingChars="200"/>
      <w:contextualSpacing/>
      <w:jc w:val="left"/>
    </w:pPr>
    <w:rPr>
      <w:rFonts w:ascii="宋体" w:hAnsi="宋体" w:cs="宋体"/>
      <w:kern w:val="0"/>
      <w:sz w:val="24"/>
    </w:rPr>
  </w:style>
  <w:style w:type="paragraph" w:styleId="78">
    <w:name w:val="List Continue 2"/>
    <w:basedOn w:val="1"/>
    <w:autoRedefine/>
    <w:unhideWhenUsed/>
    <w:qFormat/>
    <w:uiPriority w:val="0"/>
    <w:pPr>
      <w:widowControl/>
      <w:spacing w:after="120"/>
      <w:ind w:left="840" w:leftChars="400"/>
      <w:contextualSpacing/>
      <w:jc w:val="left"/>
    </w:pPr>
    <w:rPr>
      <w:rFonts w:ascii="宋体" w:hAnsi="宋体" w:cs="宋体"/>
      <w:kern w:val="0"/>
      <w:sz w:val="24"/>
    </w:rPr>
  </w:style>
  <w:style w:type="paragraph" w:styleId="79">
    <w:name w:val="Message Header"/>
    <w:basedOn w:val="1"/>
    <w:link w:val="179"/>
    <w:autoRedefine/>
    <w:unhideWhenUsed/>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Cambria" w:hAnsi="Cambria" w:cs="宋体"/>
      <w:kern w:val="0"/>
      <w:sz w:val="24"/>
    </w:rPr>
  </w:style>
  <w:style w:type="paragraph" w:styleId="80">
    <w:name w:val="HTML Preformatted"/>
    <w:basedOn w:val="1"/>
    <w:link w:val="180"/>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link w:val="125"/>
    <w:autoRedefine/>
    <w:qFormat/>
    <w:uiPriority w:val="0"/>
    <w:pPr>
      <w:widowControl/>
      <w:spacing w:before="100" w:beforeAutospacing="1" w:after="100" w:afterAutospacing="1"/>
      <w:jc w:val="center"/>
      <w:outlineLvl w:val="0"/>
    </w:pPr>
    <w:rPr>
      <w:rFonts w:ascii="宋体" w:hAnsi="宋体" w:cstheme="minorBidi"/>
      <w:sz w:val="24"/>
      <w:szCs w:val="22"/>
    </w:rPr>
  </w:style>
  <w:style w:type="paragraph" w:styleId="82">
    <w:name w:val="List Continue 3"/>
    <w:basedOn w:val="1"/>
    <w:autoRedefine/>
    <w:unhideWhenUsed/>
    <w:qFormat/>
    <w:uiPriority w:val="0"/>
    <w:pPr>
      <w:widowControl/>
      <w:spacing w:after="120"/>
      <w:ind w:left="1260" w:leftChars="600"/>
      <w:contextualSpacing/>
      <w:jc w:val="left"/>
    </w:pPr>
    <w:rPr>
      <w:rFonts w:ascii="宋体" w:hAnsi="宋体" w:cs="宋体"/>
      <w:kern w:val="0"/>
      <w:sz w:val="24"/>
    </w:rPr>
  </w:style>
  <w:style w:type="paragraph" w:styleId="83">
    <w:name w:val="index 2"/>
    <w:basedOn w:val="1"/>
    <w:next w:val="1"/>
    <w:autoRedefine/>
    <w:unhideWhenUsed/>
    <w:qFormat/>
    <w:uiPriority w:val="0"/>
    <w:pPr>
      <w:widowControl/>
      <w:ind w:left="200" w:leftChars="200"/>
      <w:jc w:val="left"/>
    </w:pPr>
    <w:rPr>
      <w:rFonts w:ascii="宋体" w:hAnsi="宋体" w:cs="宋体"/>
      <w:kern w:val="0"/>
      <w:sz w:val="24"/>
    </w:rPr>
  </w:style>
  <w:style w:type="paragraph" w:styleId="84">
    <w:name w:val="Title"/>
    <w:basedOn w:val="1"/>
    <w:next w:val="1"/>
    <w:link w:val="181"/>
    <w:autoRedefine/>
    <w:qFormat/>
    <w:uiPriority w:val="0"/>
    <w:pPr>
      <w:widowControl/>
      <w:spacing w:before="240" w:after="60"/>
      <w:jc w:val="center"/>
      <w:outlineLvl w:val="0"/>
    </w:pPr>
    <w:rPr>
      <w:rFonts w:ascii="Cambria" w:hAnsi="Cambria" w:cs="宋体"/>
      <w:b/>
      <w:bCs/>
      <w:kern w:val="0"/>
      <w:sz w:val="32"/>
      <w:szCs w:val="32"/>
    </w:rPr>
  </w:style>
  <w:style w:type="paragraph" w:styleId="85">
    <w:name w:val="annotation subject"/>
    <w:basedOn w:val="28"/>
    <w:next w:val="28"/>
    <w:link w:val="126"/>
    <w:autoRedefine/>
    <w:unhideWhenUsed/>
    <w:qFormat/>
    <w:uiPriority w:val="99"/>
    <w:rPr>
      <w:rFonts w:ascii="Times New Roman" w:hAnsi="Times New Roman" w:eastAsia="宋体" w:cs="Times New Roman"/>
      <w:b/>
      <w:bCs/>
    </w:rPr>
  </w:style>
  <w:style w:type="paragraph" w:styleId="86">
    <w:name w:val="Body Text First Indent"/>
    <w:basedOn w:val="34"/>
    <w:link w:val="182"/>
    <w:autoRedefine/>
    <w:unhideWhenUsed/>
    <w:qFormat/>
    <w:uiPriority w:val="99"/>
    <w:pPr>
      <w:widowControl/>
      <w:ind w:firstLine="420" w:firstLineChars="100"/>
      <w:jc w:val="left"/>
    </w:pPr>
    <w:rPr>
      <w:rFonts w:ascii="宋体" w:hAnsi="宋体" w:cs="宋体"/>
      <w:kern w:val="0"/>
      <w:sz w:val="20"/>
    </w:rPr>
  </w:style>
  <w:style w:type="paragraph" w:styleId="87">
    <w:name w:val="Body Text First Indent 2"/>
    <w:basedOn w:val="35"/>
    <w:next w:val="1"/>
    <w:link w:val="106"/>
    <w:autoRedefine/>
    <w:unhideWhenUsed/>
    <w:qFormat/>
    <w:uiPriority w:val="0"/>
    <w:pPr>
      <w:ind w:firstLine="420" w:firstLineChars="200"/>
    </w:pPr>
    <w:rPr>
      <w:rFonts w:ascii="仿宋_GB2312" w:hAnsi="宋体" w:eastAsia="仿宋_GB2312" w:cstheme="minorBidi"/>
    </w:rPr>
  </w:style>
  <w:style w:type="table" w:styleId="89">
    <w:name w:val="Table Grid"/>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autoRedefine/>
    <w:qFormat/>
    <w:uiPriority w:val="22"/>
    <w:rPr>
      <w:b/>
      <w:bCs/>
    </w:rPr>
  </w:style>
  <w:style w:type="character" w:styleId="92">
    <w:name w:val="page number"/>
    <w:basedOn w:val="90"/>
    <w:autoRedefine/>
    <w:qFormat/>
    <w:uiPriority w:val="0"/>
  </w:style>
  <w:style w:type="character" w:styleId="93">
    <w:name w:val="FollowedHyperlink"/>
    <w:autoRedefine/>
    <w:qFormat/>
    <w:uiPriority w:val="99"/>
    <w:rPr>
      <w:color w:val="800080"/>
      <w:u w:val="single"/>
    </w:rPr>
  </w:style>
  <w:style w:type="character" w:styleId="94">
    <w:name w:val="Emphasis"/>
    <w:autoRedefine/>
    <w:qFormat/>
    <w:uiPriority w:val="20"/>
    <w:rPr>
      <w:rFonts w:ascii="Times New Roman" w:hAnsi="Times New Roman" w:eastAsia="宋体" w:cs="Times New Roman"/>
      <w:color w:val="DD4B39"/>
    </w:rPr>
  </w:style>
  <w:style w:type="character" w:styleId="95">
    <w:name w:val="HTML Typewriter"/>
    <w:autoRedefine/>
    <w:qFormat/>
    <w:uiPriority w:val="0"/>
    <w:rPr>
      <w:rFonts w:ascii="宋体" w:hAnsi="宋体" w:eastAsia="宋体" w:cs="宋体"/>
      <w:b/>
      <w:spacing w:val="10"/>
      <w:kern w:val="2"/>
      <w:sz w:val="24"/>
      <w:szCs w:val="24"/>
      <w:lang w:val="en-US" w:eastAsia="zh-CN" w:bidi="ar-SA"/>
    </w:rPr>
  </w:style>
  <w:style w:type="character" w:styleId="96">
    <w:name w:val="Hyperlink"/>
    <w:basedOn w:val="90"/>
    <w:autoRedefine/>
    <w:unhideWhenUsed/>
    <w:qFormat/>
    <w:uiPriority w:val="99"/>
    <w:rPr>
      <w:color w:val="0000FF" w:themeColor="hyperlink"/>
      <w:u w:val="single"/>
      <w14:textFill>
        <w14:solidFill>
          <w14:schemeClr w14:val="hlink"/>
        </w14:solidFill>
      </w14:textFill>
    </w:rPr>
  </w:style>
  <w:style w:type="character" w:styleId="97">
    <w:name w:val="annotation reference"/>
    <w:basedOn w:val="90"/>
    <w:autoRedefine/>
    <w:qFormat/>
    <w:uiPriority w:val="99"/>
    <w:rPr>
      <w:sz w:val="21"/>
      <w:szCs w:val="21"/>
    </w:rPr>
  </w:style>
  <w:style w:type="character" w:styleId="98">
    <w:name w:val="footnote reference"/>
    <w:basedOn w:val="90"/>
    <w:autoRedefine/>
    <w:qFormat/>
    <w:uiPriority w:val="0"/>
    <w:rPr>
      <w:rFonts w:ascii="Times New Roman" w:hAnsi="Times New Roman" w:eastAsia="宋体" w:cs="Times New Roman"/>
      <w:vertAlign w:val="superscript"/>
    </w:rPr>
  </w:style>
  <w:style w:type="paragraph" w:customStyle="1" w:styleId="99">
    <w:name w:val="UserStyle_0"/>
    <w:basedOn w:val="1"/>
    <w:autoRedefine/>
    <w:qFormat/>
    <w:uiPriority w:val="0"/>
    <w:pPr>
      <w:snapToGrid w:val="0"/>
      <w:spacing w:line="480" w:lineRule="exact"/>
    </w:pPr>
    <w:rPr>
      <w:rFonts w:eastAsia="宋体"/>
      <w:sz w:val="24"/>
      <w:szCs w:val="22"/>
    </w:rPr>
  </w:style>
  <w:style w:type="paragraph" w:customStyle="1" w:styleId="100">
    <w:name w:val="Default"/>
    <w:basedOn w:val="101"/>
    <w:autoRedefine/>
    <w:qFormat/>
    <w:uiPriority w:val="0"/>
    <w:pPr>
      <w:framePr w:hSpace="180" w:wrap="around" w:vAnchor="text" w:hAnchor="text" w:xAlign="center" w:y="1"/>
      <w:suppressOverlap/>
      <w:autoSpaceDE w:val="0"/>
      <w:autoSpaceDN w:val="0"/>
      <w:adjustRightInd w:val="0"/>
      <w:snapToGrid w:val="0"/>
      <w:spacing w:line="360" w:lineRule="auto"/>
      <w:ind w:firstLine="482" w:firstLineChars="200"/>
      <w:jc w:val="left"/>
    </w:pPr>
    <w:rPr>
      <w:rFonts w:ascii="Times New Roman" w:hAnsi="Times New Roman" w:cs="Times New Roman"/>
      <w:sz w:val="24"/>
      <w:szCs w:val="20"/>
    </w:rPr>
  </w:style>
  <w:style w:type="paragraph" w:customStyle="1" w:styleId="101">
    <w:name w:val="纯文本1"/>
    <w:basedOn w:val="1"/>
    <w:autoRedefine/>
    <w:qFormat/>
    <w:uiPriority w:val="0"/>
    <w:rPr>
      <w:rFonts w:ascii="宋体" w:hAnsi="Courier New" w:cs="Courier New"/>
      <w:szCs w:val="21"/>
    </w:rPr>
  </w:style>
  <w:style w:type="paragraph" w:customStyle="1" w:styleId="102">
    <w:name w:val="xl27"/>
    <w:basedOn w:val="1"/>
    <w:autoRedefine/>
    <w:qFormat/>
    <w:uiPriority w:val="0"/>
    <w:pPr>
      <w:widowControl/>
      <w:pBdr>
        <w:bottom w:val="single" w:color="auto" w:sz="12" w:space="0"/>
      </w:pBdr>
      <w:spacing w:before="100" w:after="100"/>
      <w:jc w:val="center"/>
    </w:pPr>
    <w:rPr>
      <w:rFonts w:ascii="宋体" w:hAnsi="宋体" w:cs="宋体"/>
      <w:kern w:val="0"/>
      <w:sz w:val="24"/>
    </w:rPr>
  </w:style>
  <w:style w:type="paragraph" w:customStyle="1" w:styleId="103">
    <w:name w:val="标题 段落4级"/>
    <w:basedOn w:val="104"/>
    <w:next w:val="28"/>
    <w:qFormat/>
    <w:uiPriority w:val="0"/>
    <w:pPr>
      <w:outlineLvl w:val="3"/>
    </w:pPr>
    <w:rPr>
      <w:rFonts w:cs="Calibri"/>
      <w:b/>
    </w:rPr>
  </w:style>
  <w:style w:type="paragraph" w:customStyle="1" w:styleId="104">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105">
    <w:name w:val="BodyText1I2"/>
    <w:basedOn w:val="1"/>
    <w:next w:val="1"/>
    <w:qFormat/>
    <w:uiPriority w:val="0"/>
    <w:pPr>
      <w:ind w:firstLine="420"/>
      <w:textAlignment w:val="baseline"/>
    </w:pPr>
    <w:rPr>
      <w:rFonts w:ascii="宋体"/>
      <w:kern w:val="0"/>
    </w:rPr>
  </w:style>
  <w:style w:type="character" w:customStyle="1" w:styleId="106">
    <w:name w:val="正文首行缩进 2 Char"/>
    <w:link w:val="87"/>
    <w:autoRedefine/>
    <w:qFormat/>
    <w:uiPriority w:val="0"/>
    <w:rPr>
      <w:rFonts w:ascii="仿宋_GB2312" w:hAnsi="宋体" w:eastAsia="仿宋_GB2312"/>
      <w:szCs w:val="24"/>
    </w:rPr>
  </w:style>
  <w:style w:type="character" w:customStyle="1" w:styleId="107">
    <w:name w:val="标题 1 Char"/>
    <w:basedOn w:val="90"/>
    <w:link w:val="3"/>
    <w:autoRedefine/>
    <w:qFormat/>
    <w:uiPriority w:val="0"/>
    <w:rPr>
      <w:rFonts w:ascii="宋体" w:hAnsi="宋体" w:cs="宋体"/>
      <w:sz w:val="32"/>
      <w:szCs w:val="30"/>
    </w:rPr>
  </w:style>
  <w:style w:type="character" w:customStyle="1" w:styleId="108">
    <w:name w:val="正文缩进 Char"/>
    <w:link w:val="9"/>
    <w:autoRedefine/>
    <w:qFormat/>
    <w:uiPriority w:val="0"/>
    <w:rPr>
      <w:rFonts w:ascii="仿宋_GB2312" w:hAnsi="Times New Roman" w:eastAsia="仿宋_GB2312" w:cs="Times New Roman"/>
      <w:color w:val="000000"/>
      <w:sz w:val="28"/>
      <w:szCs w:val="24"/>
    </w:rPr>
  </w:style>
  <w:style w:type="character" w:customStyle="1" w:styleId="109">
    <w:name w:val="标题 2 Char1"/>
    <w:autoRedefine/>
    <w:qFormat/>
    <w:uiPriority w:val="0"/>
    <w:rPr>
      <w:rFonts w:ascii="仿宋_GB2312" w:hAnsi="Arial" w:eastAsia="宋体" w:cs="Times New Roman"/>
      <w:kern w:val="0"/>
      <w:sz w:val="30"/>
      <w:szCs w:val="20"/>
    </w:rPr>
  </w:style>
  <w:style w:type="character" w:customStyle="1" w:styleId="110">
    <w:name w:val="标题 3 Char1"/>
    <w:link w:val="5"/>
    <w:autoRedefine/>
    <w:qFormat/>
    <w:uiPriority w:val="0"/>
    <w:rPr>
      <w:rFonts w:ascii="Times New Roman" w:hAnsi="Times New Roman" w:eastAsia="宋体" w:cs="Times New Roman"/>
      <w:b/>
      <w:bCs/>
      <w:sz w:val="32"/>
      <w:szCs w:val="32"/>
    </w:rPr>
  </w:style>
  <w:style w:type="character" w:customStyle="1" w:styleId="111">
    <w:name w:val="标题 4 Char1"/>
    <w:autoRedefine/>
    <w:qFormat/>
    <w:uiPriority w:val="0"/>
    <w:rPr>
      <w:rFonts w:ascii="Arial" w:hAnsi="Arial" w:cs="宋体"/>
      <w:b/>
      <w:bCs/>
      <w:sz w:val="24"/>
      <w:szCs w:val="28"/>
    </w:rPr>
  </w:style>
  <w:style w:type="character" w:customStyle="1" w:styleId="112">
    <w:name w:val="标题 5 Char"/>
    <w:basedOn w:val="90"/>
    <w:link w:val="7"/>
    <w:autoRedefine/>
    <w:qFormat/>
    <w:uiPriority w:val="0"/>
    <w:rPr>
      <w:rFonts w:ascii="Times New Roman" w:hAnsi="Times New Roman" w:eastAsia="宋体" w:cs="Times New Roman"/>
      <w:b/>
      <w:bCs/>
      <w:sz w:val="28"/>
      <w:szCs w:val="28"/>
    </w:rPr>
  </w:style>
  <w:style w:type="character" w:customStyle="1" w:styleId="113">
    <w:name w:val="标题 6 Char"/>
    <w:basedOn w:val="90"/>
    <w:link w:val="8"/>
    <w:autoRedefine/>
    <w:qFormat/>
    <w:uiPriority w:val="0"/>
    <w:rPr>
      <w:rFonts w:ascii="Calibri" w:hAnsi="Calibri" w:cs="宋体"/>
      <w:kern w:val="2"/>
      <w:sz w:val="28"/>
      <w:szCs w:val="24"/>
    </w:rPr>
  </w:style>
  <w:style w:type="character" w:customStyle="1" w:styleId="114">
    <w:name w:val="标题 7 Char"/>
    <w:basedOn w:val="90"/>
    <w:link w:val="10"/>
    <w:autoRedefine/>
    <w:qFormat/>
    <w:uiPriority w:val="0"/>
    <w:rPr>
      <w:rFonts w:ascii="Calibri" w:hAnsi="Calibri" w:cs="宋体"/>
      <w:b/>
      <w:bCs/>
      <w:kern w:val="2"/>
      <w:sz w:val="24"/>
      <w:szCs w:val="24"/>
    </w:rPr>
  </w:style>
  <w:style w:type="character" w:customStyle="1" w:styleId="115">
    <w:name w:val="标题 8 Char"/>
    <w:basedOn w:val="90"/>
    <w:link w:val="11"/>
    <w:autoRedefine/>
    <w:qFormat/>
    <w:uiPriority w:val="0"/>
    <w:rPr>
      <w:rFonts w:ascii="Arial" w:hAnsi="Arial" w:eastAsia="黑体" w:cs="宋体"/>
      <w:kern w:val="2"/>
      <w:sz w:val="24"/>
      <w:szCs w:val="24"/>
    </w:rPr>
  </w:style>
  <w:style w:type="character" w:customStyle="1" w:styleId="116">
    <w:name w:val="标题 9 Char"/>
    <w:basedOn w:val="90"/>
    <w:link w:val="12"/>
    <w:autoRedefine/>
    <w:qFormat/>
    <w:uiPriority w:val="0"/>
    <w:rPr>
      <w:rFonts w:ascii="Arial" w:hAnsi="Arial" w:eastAsia="黑体" w:cs="宋体"/>
      <w:kern w:val="2"/>
      <w:sz w:val="21"/>
      <w:szCs w:val="21"/>
    </w:rPr>
  </w:style>
  <w:style w:type="character" w:customStyle="1" w:styleId="117">
    <w:name w:val="文档结构图 Char"/>
    <w:basedOn w:val="90"/>
    <w:link w:val="26"/>
    <w:autoRedefine/>
    <w:qFormat/>
    <w:uiPriority w:val="99"/>
    <w:rPr>
      <w:rFonts w:ascii="宋体" w:hAnsi="Times New Roman" w:eastAsia="宋体" w:cs="Times New Roman"/>
      <w:sz w:val="18"/>
      <w:szCs w:val="18"/>
    </w:rPr>
  </w:style>
  <w:style w:type="character" w:customStyle="1" w:styleId="118">
    <w:name w:val="批注文字 Char1"/>
    <w:link w:val="28"/>
    <w:autoRedefine/>
    <w:qFormat/>
    <w:uiPriority w:val="0"/>
    <w:rPr>
      <w:szCs w:val="24"/>
    </w:rPr>
  </w:style>
  <w:style w:type="character" w:customStyle="1" w:styleId="119">
    <w:name w:val="正文文本 Char"/>
    <w:basedOn w:val="90"/>
    <w:link w:val="34"/>
    <w:autoRedefine/>
    <w:qFormat/>
    <w:uiPriority w:val="0"/>
    <w:rPr>
      <w:rFonts w:ascii="Times New Roman" w:hAnsi="Times New Roman" w:eastAsia="宋体" w:cs="Times New Roman"/>
      <w:szCs w:val="24"/>
    </w:rPr>
  </w:style>
  <w:style w:type="character" w:customStyle="1" w:styleId="120">
    <w:name w:val="正文文本缩进 Char"/>
    <w:basedOn w:val="90"/>
    <w:link w:val="35"/>
    <w:autoRedefine/>
    <w:qFormat/>
    <w:uiPriority w:val="0"/>
    <w:rPr>
      <w:rFonts w:ascii="Times New Roman" w:hAnsi="Times New Roman" w:eastAsia="宋体" w:cs="Times New Roman"/>
      <w:szCs w:val="24"/>
    </w:rPr>
  </w:style>
  <w:style w:type="character" w:customStyle="1" w:styleId="121">
    <w:name w:val="批注框文本 Char"/>
    <w:basedOn w:val="90"/>
    <w:link w:val="54"/>
    <w:autoRedefine/>
    <w:qFormat/>
    <w:uiPriority w:val="99"/>
    <w:rPr>
      <w:rFonts w:ascii="Times New Roman" w:hAnsi="Times New Roman" w:eastAsia="宋体" w:cs="Times New Roman"/>
      <w:sz w:val="18"/>
      <w:szCs w:val="18"/>
    </w:rPr>
  </w:style>
  <w:style w:type="character" w:customStyle="1" w:styleId="122">
    <w:name w:val="页脚 Char2"/>
    <w:basedOn w:val="90"/>
    <w:autoRedefine/>
    <w:qFormat/>
    <w:uiPriority w:val="0"/>
    <w:rPr>
      <w:rFonts w:hint="default" w:ascii="Calibri" w:hAnsi="Calibri" w:cs="Calibri"/>
    </w:rPr>
  </w:style>
  <w:style w:type="character" w:customStyle="1" w:styleId="123">
    <w:name w:val="页眉 Char2"/>
    <w:basedOn w:val="90"/>
    <w:autoRedefine/>
    <w:qFormat/>
    <w:uiPriority w:val="0"/>
    <w:rPr>
      <w:rFonts w:hint="default" w:ascii="Calibri" w:hAnsi="Calibri" w:cs="Calibri"/>
    </w:rPr>
  </w:style>
  <w:style w:type="character" w:customStyle="1" w:styleId="124">
    <w:name w:val="正文文本缩进 3 Char"/>
    <w:basedOn w:val="90"/>
    <w:link w:val="70"/>
    <w:autoRedefine/>
    <w:qFormat/>
    <w:uiPriority w:val="0"/>
    <w:rPr>
      <w:rFonts w:ascii="Times New Roman" w:hAnsi="Times New Roman" w:eastAsia="仿宋_GB2312" w:cs="Times New Roman"/>
      <w:kern w:val="0"/>
      <w:sz w:val="16"/>
      <w:szCs w:val="16"/>
    </w:rPr>
  </w:style>
  <w:style w:type="character" w:customStyle="1" w:styleId="125">
    <w:name w:val="普通(网站) Char"/>
    <w:link w:val="81"/>
    <w:autoRedefine/>
    <w:qFormat/>
    <w:locked/>
    <w:uiPriority w:val="0"/>
    <w:rPr>
      <w:rFonts w:ascii="宋体" w:hAnsi="宋体" w:cstheme="minorBidi"/>
      <w:kern w:val="2"/>
      <w:sz w:val="24"/>
      <w:szCs w:val="22"/>
    </w:rPr>
  </w:style>
  <w:style w:type="character" w:customStyle="1" w:styleId="126">
    <w:name w:val="批注主题 Char"/>
    <w:basedOn w:val="118"/>
    <w:link w:val="85"/>
    <w:autoRedefine/>
    <w:qFormat/>
    <w:uiPriority w:val="99"/>
    <w:rPr>
      <w:rFonts w:ascii="Times New Roman" w:hAnsi="Times New Roman" w:eastAsia="宋体" w:cs="Times New Roman"/>
      <w:b/>
      <w:bCs/>
      <w:szCs w:val="24"/>
    </w:rPr>
  </w:style>
  <w:style w:type="character" w:customStyle="1" w:styleId="127">
    <w:name w:val="页脚 Char"/>
    <w:link w:val="55"/>
    <w:autoRedefine/>
    <w:qFormat/>
    <w:locked/>
    <w:uiPriority w:val="99"/>
    <w:rPr>
      <w:sz w:val="18"/>
    </w:rPr>
  </w:style>
  <w:style w:type="character" w:customStyle="1" w:styleId="128">
    <w:name w:val="表格 Char"/>
    <w:link w:val="129"/>
    <w:autoRedefine/>
    <w:qFormat/>
    <w:locked/>
    <w:uiPriority w:val="0"/>
    <w:rPr>
      <w:rFonts w:ascii="宋体" w:hAnsiTheme="minorHAnsi" w:cstheme="minorBidi"/>
      <w:kern w:val="2"/>
      <w:sz w:val="21"/>
      <w:szCs w:val="22"/>
    </w:rPr>
  </w:style>
  <w:style w:type="paragraph" w:customStyle="1" w:styleId="129">
    <w:name w:val="表格"/>
    <w:basedOn w:val="1"/>
    <w:next w:val="1"/>
    <w:link w:val="128"/>
    <w:autoRedefine/>
    <w:qFormat/>
    <w:uiPriority w:val="0"/>
    <w:pPr>
      <w:jc w:val="left"/>
    </w:pPr>
    <w:rPr>
      <w:rFonts w:ascii="宋体" w:hAnsiTheme="minorHAnsi" w:cstheme="minorBidi"/>
      <w:szCs w:val="22"/>
    </w:rPr>
  </w:style>
  <w:style w:type="character" w:customStyle="1" w:styleId="130">
    <w:name w:val="页脚 Char1"/>
    <w:basedOn w:val="90"/>
    <w:autoRedefine/>
    <w:qFormat/>
    <w:uiPriority w:val="0"/>
    <w:rPr>
      <w:rFonts w:ascii="Times New Roman" w:hAnsi="Times New Roman" w:eastAsia="宋体" w:cs="Times New Roman"/>
      <w:sz w:val="18"/>
      <w:szCs w:val="18"/>
    </w:rPr>
  </w:style>
  <w:style w:type="character" w:customStyle="1" w:styleId="131">
    <w:name w:val="页眉 Char"/>
    <w:basedOn w:val="90"/>
    <w:link w:val="57"/>
    <w:autoRedefine/>
    <w:qFormat/>
    <w:uiPriority w:val="0"/>
    <w:rPr>
      <w:rFonts w:ascii="Times New Roman" w:hAnsi="Times New Roman" w:eastAsia="宋体" w:cs="Times New Roman"/>
      <w:sz w:val="18"/>
      <w:szCs w:val="18"/>
    </w:rPr>
  </w:style>
  <w:style w:type="paragraph" w:customStyle="1" w:styleId="132">
    <w:name w:val="正文1"/>
    <w:autoRedefine/>
    <w:qFormat/>
    <w:uiPriority w:val="0"/>
    <w:pPr>
      <w:jc w:val="both"/>
    </w:pPr>
    <w:rPr>
      <w:rFonts w:ascii="Calibri" w:hAnsi="Calibri" w:cs="Calibri" w:eastAsiaTheme="minorEastAsia"/>
      <w:kern w:val="2"/>
      <w:sz w:val="21"/>
      <w:szCs w:val="21"/>
      <w:lang w:val="en-US" w:eastAsia="zh-CN" w:bidi="ar-SA"/>
    </w:rPr>
  </w:style>
  <w:style w:type="character" w:customStyle="1" w:styleId="133">
    <w:name w:val="标题 3 Char"/>
    <w:basedOn w:val="90"/>
    <w:autoRedefine/>
    <w:qFormat/>
    <w:uiPriority w:val="0"/>
    <w:rPr>
      <w:rFonts w:ascii="Times New Roman" w:hAnsi="Times New Roman" w:eastAsia="宋体" w:cs="Times New Roman"/>
      <w:b/>
      <w:bCs/>
      <w:sz w:val="32"/>
      <w:szCs w:val="32"/>
    </w:rPr>
  </w:style>
  <w:style w:type="paragraph" w:customStyle="1" w:styleId="134">
    <w:name w:val="Table Paragraph"/>
    <w:basedOn w:val="1"/>
    <w:autoRedefine/>
    <w:qFormat/>
    <w:uiPriority w:val="1"/>
    <w:pPr>
      <w:jc w:val="left"/>
    </w:pPr>
    <w:rPr>
      <w:rFonts w:ascii="Calibri" w:hAnsi="Calibri"/>
      <w:kern w:val="0"/>
      <w:sz w:val="22"/>
      <w:szCs w:val="22"/>
      <w:lang w:eastAsia="en-US"/>
    </w:rPr>
  </w:style>
  <w:style w:type="character" w:customStyle="1" w:styleId="135">
    <w:name w:val="批注文字 Char"/>
    <w:basedOn w:val="90"/>
    <w:autoRedefine/>
    <w:qFormat/>
    <w:uiPriority w:val="0"/>
    <w:rPr>
      <w:rFonts w:ascii="Times New Roman" w:hAnsi="Times New Roman" w:eastAsia="宋体" w:cs="Times New Roman"/>
      <w:szCs w:val="24"/>
    </w:rPr>
  </w:style>
  <w:style w:type="paragraph" w:styleId="136">
    <w:name w:val="List Paragraph"/>
    <w:basedOn w:val="1"/>
    <w:autoRedefine/>
    <w:qFormat/>
    <w:uiPriority w:val="34"/>
    <w:pPr>
      <w:ind w:firstLine="420" w:firstLineChars="200"/>
    </w:pPr>
  </w:style>
  <w:style w:type="paragraph" w:customStyle="1" w:styleId="137">
    <w:name w:val="正文2"/>
    <w:autoRedefine/>
    <w:qFormat/>
    <w:uiPriority w:val="0"/>
    <w:pPr>
      <w:jc w:val="both"/>
    </w:pPr>
    <w:rPr>
      <w:rFonts w:ascii="Calibri" w:hAnsi="Calibri" w:cs="Calibri" w:eastAsiaTheme="minorEastAsia"/>
      <w:kern w:val="2"/>
      <w:sz w:val="21"/>
      <w:szCs w:val="21"/>
      <w:lang w:val="en-US" w:eastAsia="zh-CN" w:bidi="ar-SA"/>
    </w:rPr>
  </w:style>
  <w:style w:type="paragraph" w:customStyle="1" w:styleId="138">
    <w:name w:val="xl24"/>
    <w:basedOn w:val="1"/>
    <w:autoRedefine/>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rPr>
  </w:style>
  <w:style w:type="character" w:customStyle="1" w:styleId="139">
    <w:name w:val="页眉 Char1"/>
    <w:autoRedefine/>
    <w:qFormat/>
    <w:uiPriority w:val="0"/>
    <w:rPr>
      <w:rFonts w:eastAsia="宋体"/>
      <w:kern w:val="2"/>
      <w:sz w:val="18"/>
      <w:szCs w:val="18"/>
      <w:lang w:val="en-US" w:eastAsia="zh-CN" w:bidi="ar-SA"/>
    </w:rPr>
  </w:style>
  <w:style w:type="paragraph" w:customStyle="1" w:styleId="140">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snapToGrid w:val="0"/>
      <w:kern w:val="0"/>
      <w:szCs w:val="21"/>
    </w:rPr>
  </w:style>
  <w:style w:type="character" w:customStyle="1" w:styleId="141">
    <w:name w:val="正文首行缩进 2 Char1"/>
    <w:basedOn w:val="120"/>
    <w:autoRedefine/>
    <w:qFormat/>
    <w:uiPriority w:val="0"/>
    <w:rPr>
      <w:rFonts w:ascii="Times New Roman" w:hAnsi="Times New Roman" w:eastAsia="宋体" w:cs="Times New Roman"/>
      <w:szCs w:val="24"/>
    </w:rPr>
  </w:style>
  <w:style w:type="character" w:customStyle="1" w:styleId="142">
    <w:name w:val="表表文字 Char"/>
    <w:link w:val="143"/>
    <w:autoRedefine/>
    <w:qFormat/>
    <w:uiPriority w:val="0"/>
    <w:rPr>
      <w:szCs w:val="21"/>
    </w:rPr>
  </w:style>
  <w:style w:type="paragraph" w:customStyle="1" w:styleId="143">
    <w:name w:val="表表文字"/>
    <w:basedOn w:val="1"/>
    <w:link w:val="142"/>
    <w:autoRedefine/>
    <w:qFormat/>
    <w:uiPriority w:val="0"/>
    <w:pPr>
      <w:wordWrap w:val="0"/>
      <w:adjustRightInd w:val="0"/>
      <w:snapToGrid w:val="0"/>
      <w:jc w:val="center"/>
    </w:pPr>
    <w:rPr>
      <w:rFonts w:asciiTheme="minorHAnsi" w:hAnsiTheme="minorHAnsi" w:cstheme="minorBidi"/>
      <w:szCs w:val="21"/>
    </w:rPr>
  </w:style>
  <w:style w:type="character" w:customStyle="1" w:styleId="144">
    <w:name w:val="小表文字 字符"/>
    <w:link w:val="145"/>
    <w:autoRedefine/>
    <w:qFormat/>
    <w:uiPriority w:val="0"/>
  </w:style>
  <w:style w:type="paragraph" w:customStyle="1" w:styleId="145">
    <w:name w:val="小表文字"/>
    <w:basedOn w:val="1"/>
    <w:link w:val="144"/>
    <w:autoRedefine/>
    <w:qFormat/>
    <w:uiPriority w:val="0"/>
    <w:pPr>
      <w:jc w:val="center"/>
    </w:pPr>
    <w:rPr>
      <w:rFonts w:asciiTheme="minorHAnsi" w:hAnsiTheme="minorHAnsi" w:cstheme="minorBidi"/>
      <w:szCs w:val="22"/>
    </w:rPr>
  </w:style>
  <w:style w:type="paragraph" w:customStyle="1" w:styleId="146">
    <w:name w:val="简单回函地址"/>
    <w:basedOn w:val="1"/>
    <w:autoRedefine/>
    <w:qFormat/>
    <w:uiPriority w:val="0"/>
    <w:rPr>
      <w:sz w:val="24"/>
      <w:szCs w:val="20"/>
    </w:rPr>
  </w:style>
  <w:style w:type="character" w:customStyle="1" w:styleId="147">
    <w:name w:val="正文 4 Char"/>
    <w:link w:val="148"/>
    <w:autoRedefine/>
    <w:qFormat/>
    <w:locked/>
    <w:uiPriority w:val="0"/>
    <w:rPr>
      <w:rFonts w:ascii="宋体" w:hAnsi="宋体"/>
      <w:sz w:val="24"/>
      <w:szCs w:val="24"/>
    </w:rPr>
  </w:style>
  <w:style w:type="paragraph" w:customStyle="1" w:styleId="148">
    <w:name w:val="正文 4"/>
    <w:basedOn w:val="1"/>
    <w:link w:val="147"/>
    <w:autoRedefine/>
    <w:qFormat/>
    <w:uiPriority w:val="0"/>
    <w:pPr>
      <w:autoSpaceDE w:val="0"/>
      <w:autoSpaceDN w:val="0"/>
      <w:adjustRightInd w:val="0"/>
      <w:snapToGrid w:val="0"/>
      <w:spacing w:line="480" w:lineRule="atLeast"/>
      <w:ind w:firstLine="480" w:firstLineChars="200"/>
    </w:pPr>
    <w:rPr>
      <w:rFonts w:ascii="宋体" w:hAnsi="宋体" w:cstheme="minorBidi"/>
      <w:sz w:val="24"/>
    </w:rPr>
  </w:style>
  <w:style w:type="character" w:customStyle="1" w:styleId="149">
    <w:name w:val="表头、图尾 Char"/>
    <w:basedOn w:val="90"/>
    <w:link w:val="150"/>
    <w:autoRedefine/>
    <w:qFormat/>
    <w:uiPriority w:val="0"/>
    <w:rPr>
      <w:rFonts w:eastAsia="仿宋_GB2312"/>
      <w:b/>
      <w:sz w:val="24"/>
    </w:rPr>
  </w:style>
  <w:style w:type="paragraph" w:customStyle="1" w:styleId="150">
    <w:name w:val="表头、图尾"/>
    <w:next w:val="1"/>
    <w:link w:val="149"/>
    <w:autoRedefine/>
    <w:qFormat/>
    <w:uiPriority w:val="0"/>
    <w:pPr>
      <w:spacing w:line="500" w:lineRule="exact"/>
      <w:jc w:val="center"/>
    </w:pPr>
    <w:rPr>
      <w:rFonts w:eastAsia="仿宋_GB2312" w:asciiTheme="minorHAnsi" w:hAnsiTheme="minorHAnsi" w:cstheme="minorBidi"/>
      <w:b/>
      <w:kern w:val="2"/>
      <w:sz w:val="24"/>
      <w:szCs w:val="22"/>
      <w:lang w:val="en-US" w:eastAsia="zh-CN" w:bidi="ar-SA"/>
    </w:rPr>
  </w:style>
  <w:style w:type="character" w:customStyle="1" w:styleId="151">
    <w:name w:val="表格内文字 Char"/>
    <w:link w:val="152"/>
    <w:autoRedefine/>
    <w:qFormat/>
    <w:uiPriority w:val="0"/>
    <w:rPr>
      <w:rFonts w:eastAsia="宋体"/>
      <w:spacing w:val="10"/>
      <w:sz w:val="24"/>
    </w:rPr>
  </w:style>
  <w:style w:type="paragraph" w:customStyle="1" w:styleId="152">
    <w:name w:val="表格内文字"/>
    <w:basedOn w:val="1"/>
    <w:link w:val="151"/>
    <w:autoRedefine/>
    <w:qFormat/>
    <w:uiPriority w:val="0"/>
    <w:pPr>
      <w:spacing w:before="100" w:after="100" w:line="320" w:lineRule="exact"/>
      <w:jc w:val="center"/>
    </w:pPr>
    <w:rPr>
      <w:rFonts w:asciiTheme="minorHAnsi" w:hAnsiTheme="minorHAnsi" w:cstheme="minorBidi"/>
      <w:spacing w:val="10"/>
      <w:sz w:val="24"/>
      <w:szCs w:val="22"/>
    </w:rPr>
  </w:style>
  <w:style w:type="character" w:customStyle="1" w:styleId="153">
    <w:name w:val="样式 表格 + 黑色 Char Char"/>
    <w:link w:val="154"/>
    <w:autoRedefine/>
    <w:qFormat/>
    <w:uiPriority w:val="0"/>
    <w:rPr>
      <w:rFonts w:ascii="宋体" w:hAnsi="宋体" w:cstheme="minorBidi"/>
      <w:color w:val="000000"/>
      <w:spacing w:val="-4"/>
      <w:kern w:val="2"/>
      <w:sz w:val="21"/>
      <w:szCs w:val="21"/>
    </w:rPr>
  </w:style>
  <w:style w:type="paragraph" w:customStyle="1" w:styleId="154">
    <w:name w:val="样式 表格 + 黑色"/>
    <w:basedOn w:val="1"/>
    <w:link w:val="153"/>
    <w:autoRedefine/>
    <w:qFormat/>
    <w:uiPriority w:val="0"/>
    <w:pPr>
      <w:adjustRightInd w:val="0"/>
      <w:snapToGrid w:val="0"/>
      <w:jc w:val="center"/>
    </w:pPr>
    <w:rPr>
      <w:rFonts w:ascii="宋体" w:hAnsi="宋体" w:cstheme="minorBidi"/>
      <w:color w:val="000000"/>
      <w:spacing w:val="-4"/>
      <w:szCs w:val="21"/>
    </w:rPr>
  </w:style>
  <w:style w:type="character" w:customStyle="1" w:styleId="155">
    <w:name w:val="样式 左侧:  0.99 厘米 Char"/>
    <w:link w:val="156"/>
    <w:autoRedefine/>
    <w:qFormat/>
    <w:locked/>
    <w:uiPriority w:val="0"/>
    <w:rPr>
      <w:rFonts w:ascii="宋体" w:hAnsi="宋体" w:eastAsia="宋体" w:cs="宋体"/>
      <w:sz w:val="28"/>
    </w:rPr>
  </w:style>
  <w:style w:type="paragraph" w:customStyle="1" w:styleId="156">
    <w:name w:val="样式 左侧:  0.99 厘米"/>
    <w:basedOn w:val="1"/>
    <w:link w:val="155"/>
    <w:autoRedefine/>
    <w:qFormat/>
    <w:uiPriority w:val="0"/>
    <w:pPr>
      <w:adjustRightInd w:val="0"/>
      <w:spacing w:line="360" w:lineRule="auto"/>
      <w:jc w:val="left"/>
    </w:pPr>
    <w:rPr>
      <w:rFonts w:ascii="宋体" w:hAnsi="宋体" w:cs="宋体"/>
      <w:sz w:val="28"/>
      <w:szCs w:val="22"/>
    </w:rPr>
  </w:style>
  <w:style w:type="paragraph" w:customStyle="1" w:styleId="157">
    <w:name w:val="+正文"/>
    <w:basedOn w:val="1"/>
    <w:autoRedefine/>
    <w:qFormat/>
    <w:uiPriority w:val="0"/>
    <w:pPr>
      <w:widowControl/>
      <w:spacing w:line="360" w:lineRule="auto"/>
      <w:ind w:firstLine="200" w:firstLineChars="200"/>
      <w:jc w:val="left"/>
    </w:pPr>
    <w:rPr>
      <w:kern w:val="0"/>
      <w:sz w:val="28"/>
      <w:szCs w:val="28"/>
    </w:rPr>
  </w:style>
  <w:style w:type="paragraph" w:customStyle="1" w:styleId="158">
    <w:name w:val="xl37"/>
    <w:basedOn w:val="1"/>
    <w:autoRedefine/>
    <w:qFormat/>
    <w:uiPriority w:val="0"/>
    <w:pPr>
      <w:adjustRightInd w:val="0"/>
      <w:snapToGrid w:val="0"/>
      <w:spacing w:line="240" w:lineRule="exact"/>
      <w:jc w:val="center"/>
    </w:pPr>
    <w:rPr>
      <w:rFonts w:ascii="宋体" w:hAnsi="宋体"/>
      <w:kern w:val="0"/>
      <w:sz w:val="24"/>
      <w:szCs w:val="20"/>
    </w:rPr>
  </w:style>
  <w:style w:type="character" w:customStyle="1" w:styleId="159">
    <w:name w:val="标题 2 Char"/>
    <w:basedOn w:val="90"/>
    <w:link w:val="4"/>
    <w:autoRedefine/>
    <w:qFormat/>
    <w:uiPriority w:val="0"/>
    <w:rPr>
      <w:rFonts w:asciiTheme="majorHAnsi" w:hAnsiTheme="majorHAnsi" w:eastAsiaTheme="majorEastAsia" w:cstheme="majorBidi"/>
      <w:b/>
      <w:bCs/>
      <w:sz w:val="32"/>
      <w:szCs w:val="32"/>
    </w:rPr>
  </w:style>
  <w:style w:type="character" w:customStyle="1" w:styleId="160">
    <w:name w:val="链接"/>
    <w:autoRedefine/>
    <w:qFormat/>
    <w:uiPriority w:val="0"/>
    <w:rPr>
      <w:rFonts w:hint="eastAsia" w:ascii="黑体" w:hAnsi="黑体" w:eastAsia="宋体"/>
      <w:b/>
      <w:color w:val="0000FF"/>
      <w:spacing w:val="10"/>
      <w:kern w:val="2"/>
      <w:sz w:val="21"/>
      <w:szCs w:val="28"/>
      <w:u w:val="single" w:color="0000FF"/>
      <w:lang w:val="en-US" w:eastAsia="zh-CN" w:bidi="ar-SA"/>
    </w:rPr>
  </w:style>
  <w:style w:type="character" w:customStyle="1" w:styleId="161">
    <w:name w:val="正文文本缩进 2 Char"/>
    <w:basedOn w:val="90"/>
    <w:link w:val="51"/>
    <w:autoRedefine/>
    <w:qFormat/>
    <w:uiPriority w:val="0"/>
    <w:rPr>
      <w:kern w:val="2"/>
      <w:sz w:val="21"/>
      <w:szCs w:val="24"/>
    </w:rPr>
  </w:style>
  <w:style w:type="character" w:customStyle="1" w:styleId="162">
    <w:name w:val="font01"/>
    <w:basedOn w:val="90"/>
    <w:autoRedefine/>
    <w:qFormat/>
    <w:uiPriority w:val="0"/>
    <w:rPr>
      <w:rFonts w:hint="eastAsia" w:ascii="宋体" w:hAnsi="宋体" w:cs="宋体"/>
      <w:color w:val="000000"/>
      <w:sz w:val="22"/>
      <w:szCs w:val="22"/>
      <w:u w:val="none"/>
    </w:rPr>
  </w:style>
  <w:style w:type="character" w:customStyle="1" w:styleId="163">
    <w:name w:val="标题 4 Char"/>
    <w:basedOn w:val="90"/>
    <w:link w:val="6"/>
    <w:autoRedefine/>
    <w:qFormat/>
    <w:uiPriority w:val="9"/>
    <w:rPr>
      <w:rFonts w:asciiTheme="majorHAnsi" w:hAnsiTheme="majorHAnsi" w:eastAsiaTheme="majorEastAsia" w:cstheme="majorBidi"/>
      <w:b/>
      <w:bCs/>
      <w:kern w:val="2"/>
      <w:sz w:val="28"/>
      <w:szCs w:val="28"/>
    </w:rPr>
  </w:style>
  <w:style w:type="character" w:customStyle="1" w:styleId="164">
    <w:name w:val="宏文本 Char"/>
    <w:basedOn w:val="90"/>
    <w:link w:val="2"/>
    <w:autoRedefine/>
    <w:qFormat/>
    <w:uiPriority w:val="99"/>
    <w:rPr>
      <w:rFonts w:ascii="Courier New" w:hAnsi="Courier New" w:cs="Courier New"/>
      <w:sz w:val="24"/>
      <w:szCs w:val="24"/>
    </w:rPr>
  </w:style>
  <w:style w:type="character" w:customStyle="1" w:styleId="165">
    <w:name w:val="注释标题 Char"/>
    <w:basedOn w:val="90"/>
    <w:link w:val="17"/>
    <w:autoRedefine/>
    <w:qFormat/>
    <w:uiPriority w:val="0"/>
    <w:rPr>
      <w:rFonts w:ascii="宋体" w:hAnsi="宋体" w:cs="宋体"/>
      <w:sz w:val="24"/>
      <w:szCs w:val="24"/>
    </w:rPr>
  </w:style>
  <w:style w:type="character" w:customStyle="1" w:styleId="166">
    <w:name w:val="电子邮件签名 Char"/>
    <w:basedOn w:val="90"/>
    <w:link w:val="20"/>
    <w:autoRedefine/>
    <w:qFormat/>
    <w:uiPriority w:val="0"/>
    <w:rPr>
      <w:rFonts w:ascii="宋体" w:hAnsi="宋体" w:cs="宋体"/>
      <w:sz w:val="24"/>
      <w:szCs w:val="24"/>
    </w:rPr>
  </w:style>
  <w:style w:type="character" w:customStyle="1" w:styleId="167">
    <w:name w:val="题注 Char"/>
    <w:link w:val="22"/>
    <w:autoRedefine/>
    <w:qFormat/>
    <w:uiPriority w:val="0"/>
    <w:rPr>
      <w:rFonts w:ascii="Cambria" w:hAnsi="Cambria" w:eastAsia="黑体" w:cs="宋体"/>
      <w:sz w:val="24"/>
      <w:szCs w:val="24"/>
    </w:rPr>
  </w:style>
  <w:style w:type="character" w:customStyle="1" w:styleId="168">
    <w:name w:val="称呼 Char"/>
    <w:basedOn w:val="90"/>
    <w:link w:val="30"/>
    <w:autoRedefine/>
    <w:qFormat/>
    <w:uiPriority w:val="0"/>
    <w:rPr>
      <w:rFonts w:ascii="宋体" w:hAnsi="宋体" w:cs="宋体"/>
      <w:sz w:val="24"/>
      <w:szCs w:val="24"/>
    </w:rPr>
  </w:style>
  <w:style w:type="character" w:customStyle="1" w:styleId="169">
    <w:name w:val="正文文本 3 Char"/>
    <w:basedOn w:val="90"/>
    <w:link w:val="31"/>
    <w:autoRedefine/>
    <w:qFormat/>
    <w:uiPriority w:val="0"/>
    <w:rPr>
      <w:rFonts w:ascii="宋体" w:hAnsi="宋体" w:cs="宋体"/>
      <w:color w:val="0000FF"/>
      <w:sz w:val="24"/>
      <w:szCs w:val="24"/>
    </w:rPr>
  </w:style>
  <w:style w:type="character" w:customStyle="1" w:styleId="170">
    <w:name w:val="结束语 Char"/>
    <w:basedOn w:val="90"/>
    <w:link w:val="32"/>
    <w:autoRedefine/>
    <w:qFormat/>
    <w:uiPriority w:val="0"/>
    <w:rPr>
      <w:rFonts w:ascii="宋体" w:hAnsi="宋体" w:cs="宋体"/>
      <w:sz w:val="24"/>
      <w:szCs w:val="24"/>
    </w:rPr>
  </w:style>
  <w:style w:type="character" w:customStyle="1" w:styleId="171">
    <w:name w:val="HTML 地址 Char"/>
    <w:basedOn w:val="90"/>
    <w:link w:val="41"/>
    <w:autoRedefine/>
    <w:qFormat/>
    <w:uiPriority w:val="0"/>
    <w:rPr>
      <w:rFonts w:ascii="宋体" w:hAnsi="宋体" w:cs="宋体"/>
      <w:i/>
      <w:iCs/>
      <w:sz w:val="24"/>
      <w:szCs w:val="24"/>
    </w:rPr>
  </w:style>
  <w:style w:type="character" w:customStyle="1" w:styleId="172">
    <w:name w:val="纯文本 Char"/>
    <w:basedOn w:val="90"/>
    <w:link w:val="45"/>
    <w:autoRedefine/>
    <w:qFormat/>
    <w:uiPriority w:val="0"/>
    <w:rPr>
      <w:rFonts w:ascii="宋体" w:hAnsi="Courier New" w:cs="Courier New"/>
      <w:sz w:val="24"/>
      <w:szCs w:val="21"/>
    </w:rPr>
  </w:style>
  <w:style w:type="character" w:customStyle="1" w:styleId="173">
    <w:name w:val="日期 Char"/>
    <w:basedOn w:val="90"/>
    <w:link w:val="50"/>
    <w:autoRedefine/>
    <w:qFormat/>
    <w:uiPriority w:val="0"/>
    <w:rPr>
      <w:rFonts w:ascii="宋体" w:hAnsi="宋体" w:cs="宋体"/>
      <w:sz w:val="24"/>
      <w:szCs w:val="24"/>
    </w:rPr>
  </w:style>
  <w:style w:type="character" w:customStyle="1" w:styleId="174">
    <w:name w:val="尾注文本 Char"/>
    <w:basedOn w:val="90"/>
    <w:link w:val="52"/>
    <w:autoRedefine/>
    <w:qFormat/>
    <w:uiPriority w:val="99"/>
    <w:rPr>
      <w:rFonts w:ascii="宋体" w:hAnsi="宋体" w:cs="宋体"/>
      <w:sz w:val="24"/>
      <w:szCs w:val="24"/>
    </w:rPr>
  </w:style>
  <w:style w:type="character" w:customStyle="1" w:styleId="175">
    <w:name w:val="签名 Char"/>
    <w:basedOn w:val="90"/>
    <w:link w:val="58"/>
    <w:autoRedefine/>
    <w:qFormat/>
    <w:uiPriority w:val="0"/>
    <w:rPr>
      <w:rFonts w:ascii="宋体" w:hAnsi="宋体" w:cs="宋体"/>
      <w:sz w:val="24"/>
      <w:szCs w:val="24"/>
    </w:rPr>
  </w:style>
  <w:style w:type="character" w:customStyle="1" w:styleId="176">
    <w:name w:val="副标题 Char"/>
    <w:basedOn w:val="90"/>
    <w:link w:val="64"/>
    <w:autoRedefine/>
    <w:qFormat/>
    <w:uiPriority w:val="0"/>
    <w:rPr>
      <w:rFonts w:ascii="Cambria" w:hAnsi="Cambria" w:cs="宋体"/>
      <w:b/>
      <w:bCs/>
      <w:kern w:val="28"/>
      <w:sz w:val="32"/>
      <w:szCs w:val="32"/>
    </w:rPr>
  </w:style>
  <w:style w:type="character" w:customStyle="1" w:styleId="177">
    <w:name w:val="脚注文本 Char"/>
    <w:basedOn w:val="90"/>
    <w:link w:val="67"/>
    <w:autoRedefine/>
    <w:qFormat/>
    <w:uiPriority w:val="0"/>
    <w:rPr>
      <w:rFonts w:ascii="宋体" w:hAnsi="宋体" w:cs="宋体"/>
      <w:sz w:val="18"/>
      <w:szCs w:val="18"/>
    </w:rPr>
  </w:style>
  <w:style w:type="character" w:customStyle="1" w:styleId="178">
    <w:name w:val="正文文本 2 Char"/>
    <w:basedOn w:val="90"/>
    <w:link w:val="76"/>
    <w:autoRedefine/>
    <w:qFormat/>
    <w:uiPriority w:val="0"/>
    <w:rPr>
      <w:rFonts w:ascii="宋体" w:hAnsi="宋体" w:cs="宋体"/>
      <w:sz w:val="24"/>
      <w:szCs w:val="24"/>
    </w:rPr>
  </w:style>
  <w:style w:type="character" w:customStyle="1" w:styleId="179">
    <w:name w:val="信息标题 Char"/>
    <w:basedOn w:val="90"/>
    <w:link w:val="79"/>
    <w:autoRedefine/>
    <w:qFormat/>
    <w:uiPriority w:val="0"/>
    <w:rPr>
      <w:rFonts w:ascii="Cambria" w:hAnsi="Cambria" w:cs="宋体"/>
      <w:sz w:val="24"/>
      <w:szCs w:val="24"/>
      <w:shd w:val="pct20" w:color="auto" w:fill="auto"/>
    </w:rPr>
  </w:style>
  <w:style w:type="character" w:customStyle="1" w:styleId="180">
    <w:name w:val="HTML 预设格式 Char"/>
    <w:basedOn w:val="90"/>
    <w:link w:val="80"/>
    <w:autoRedefine/>
    <w:qFormat/>
    <w:uiPriority w:val="99"/>
    <w:rPr>
      <w:rFonts w:ascii="宋体" w:hAnsi="宋体" w:cs="宋体"/>
      <w:sz w:val="24"/>
      <w:szCs w:val="24"/>
    </w:rPr>
  </w:style>
  <w:style w:type="character" w:customStyle="1" w:styleId="181">
    <w:name w:val="标题 Char"/>
    <w:basedOn w:val="90"/>
    <w:link w:val="84"/>
    <w:autoRedefine/>
    <w:qFormat/>
    <w:uiPriority w:val="0"/>
    <w:rPr>
      <w:rFonts w:ascii="Cambria" w:hAnsi="Cambria" w:cs="宋体"/>
      <w:b/>
      <w:bCs/>
      <w:sz w:val="32"/>
      <w:szCs w:val="32"/>
    </w:rPr>
  </w:style>
  <w:style w:type="character" w:customStyle="1" w:styleId="182">
    <w:name w:val="正文首行缩进 Char"/>
    <w:basedOn w:val="119"/>
    <w:link w:val="86"/>
    <w:autoRedefine/>
    <w:qFormat/>
    <w:uiPriority w:val="99"/>
    <w:rPr>
      <w:rFonts w:ascii="宋体" w:hAnsi="宋体" w:eastAsia="宋体" w:cs="宋体"/>
      <w:szCs w:val="24"/>
    </w:rPr>
  </w:style>
  <w:style w:type="character" w:customStyle="1" w:styleId="183">
    <w:name w:val="headline-content"/>
    <w:basedOn w:val="90"/>
    <w:autoRedefine/>
    <w:qFormat/>
    <w:uiPriority w:val="0"/>
    <w:rPr>
      <w:rFonts w:ascii="Times New Roman" w:hAnsi="Times New Roman" w:eastAsia="宋体" w:cs="Times New Roman"/>
    </w:rPr>
  </w:style>
  <w:style w:type="character" w:customStyle="1" w:styleId="184">
    <w:name w:val="标题1"/>
    <w:basedOn w:val="90"/>
    <w:autoRedefine/>
    <w:qFormat/>
    <w:uiPriority w:val="0"/>
    <w:rPr>
      <w:rFonts w:ascii="Times New Roman" w:hAnsi="Times New Roman" w:eastAsia="宋体" w:cs="Times New Roman"/>
    </w:rPr>
  </w:style>
  <w:style w:type="character" w:customStyle="1" w:styleId="185">
    <w:name w:val="正文缩进 Char3"/>
    <w:autoRedefine/>
    <w:qFormat/>
    <w:uiPriority w:val="0"/>
    <w:rPr>
      <w:rFonts w:ascii="Times New Roman" w:hAnsi="Times New Roman" w:eastAsia="宋体" w:cs="Times New Roman"/>
      <w:kern w:val="2"/>
      <w:sz w:val="28"/>
      <w:lang w:val="en-US" w:eastAsia="zh-CN" w:bidi="ar-SA"/>
    </w:rPr>
  </w:style>
  <w:style w:type="character" w:customStyle="1" w:styleId="186">
    <w:name w:val="szh51"/>
    <w:autoRedefine/>
    <w:qFormat/>
    <w:uiPriority w:val="0"/>
    <w:rPr>
      <w:rFonts w:ascii="Times New Roman" w:hAnsi="Times New Roman" w:eastAsia="宋体" w:cs="Times New Roman"/>
      <w:spacing w:val="330"/>
    </w:rPr>
  </w:style>
  <w:style w:type="character" w:customStyle="1" w:styleId="187">
    <w:name w:val="number"/>
    <w:basedOn w:val="90"/>
    <w:autoRedefine/>
    <w:qFormat/>
    <w:uiPriority w:val="0"/>
    <w:rPr>
      <w:rFonts w:ascii="Times New Roman" w:hAnsi="Times New Roman" w:eastAsia="宋体" w:cs="Times New Roman"/>
    </w:rPr>
  </w:style>
  <w:style w:type="character" w:customStyle="1" w:styleId="188">
    <w:name w:val="样式 样式 首行缩进:  2 字符 行距: 固定值 24 磅 + 宋体 Char"/>
    <w:link w:val="189"/>
    <w:autoRedefine/>
    <w:qFormat/>
    <w:uiPriority w:val="0"/>
    <w:rPr>
      <w:rFonts w:ascii="宋体" w:hAnsi="宋体" w:cs="宋体"/>
      <w:kern w:val="2"/>
      <w:sz w:val="24"/>
    </w:rPr>
  </w:style>
  <w:style w:type="paragraph" w:customStyle="1" w:styleId="189">
    <w:name w:val="样式 样式 首行缩进:  2 字符 行距: 固定值 24 磅 + 宋体"/>
    <w:basedOn w:val="1"/>
    <w:link w:val="188"/>
    <w:autoRedefine/>
    <w:qFormat/>
    <w:uiPriority w:val="0"/>
    <w:pPr>
      <w:spacing w:line="480" w:lineRule="exact"/>
      <w:ind w:firstLine="480" w:firstLineChars="200"/>
    </w:pPr>
    <w:rPr>
      <w:rFonts w:ascii="宋体" w:hAnsi="宋体" w:cs="宋体"/>
      <w:sz w:val="24"/>
      <w:szCs w:val="20"/>
    </w:rPr>
  </w:style>
  <w:style w:type="character" w:customStyle="1" w:styleId="190">
    <w:name w:val="引用 Char"/>
    <w:basedOn w:val="90"/>
    <w:autoRedefine/>
    <w:qFormat/>
    <w:uiPriority w:val="29"/>
    <w:rPr>
      <w:i/>
      <w:iCs/>
      <w:color w:val="000000"/>
    </w:rPr>
  </w:style>
  <w:style w:type="paragraph" w:styleId="191">
    <w:name w:val="Quote"/>
    <w:basedOn w:val="1"/>
    <w:next w:val="1"/>
    <w:link w:val="192"/>
    <w:autoRedefine/>
    <w:qFormat/>
    <w:uiPriority w:val="29"/>
    <w:pPr>
      <w:widowControl/>
      <w:jc w:val="left"/>
    </w:pPr>
    <w:rPr>
      <w:i/>
      <w:iCs/>
      <w:color w:val="000000"/>
      <w:kern w:val="0"/>
      <w:sz w:val="20"/>
      <w:szCs w:val="20"/>
    </w:rPr>
  </w:style>
  <w:style w:type="character" w:customStyle="1" w:styleId="192">
    <w:name w:val="引用 Char1"/>
    <w:basedOn w:val="90"/>
    <w:link w:val="191"/>
    <w:autoRedefine/>
    <w:semiHidden/>
    <w:qFormat/>
    <w:uiPriority w:val="99"/>
    <w:rPr>
      <w:i/>
      <w:iCs/>
      <w:color w:val="000000" w:themeColor="text1"/>
      <w:kern w:val="2"/>
      <w:sz w:val="21"/>
      <w:szCs w:val="24"/>
      <w14:textFill>
        <w14:solidFill>
          <w14:schemeClr w14:val="tx1"/>
        </w14:solidFill>
      </w14:textFill>
    </w:rPr>
  </w:style>
  <w:style w:type="character" w:customStyle="1" w:styleId="193">
    <w:name w:val="表题1 Char"/>
    <w:link w:val="194"/>
    <w:autoRedefine/>
    <w:qFormat/>
    <w:uiPriority w:val="0"/>
    <w:rPr>
      <w:rFonts w:ascii="黑体" w:hAnsi="Arial" w:eastAsia="黑体" w:cs="Arial"/>
      <w:b/>
      <w:kern w:val="2"/>
      <w:sz w:val="28"/>
      <w:szCs w:val="24"/>
    </w:rPr>
  </w:style>
  <w:style w:type="paragraph" w:customStyle="1" w:styleId="194">
    <w:name w:val="表题1"/>
    <w:basedOn w:val="22"/>
    <w:link w:val="193"/>
    <w:autoRedefine/>
    <w:qFormat/>
    <w:uiPriority w:val="0"/>
    <w:pPr>
      <w:widowControl w:val="0"/>
      <w:spacing w:line="360" w:lineRule="auto"/>
    </w:pPr>
    <w:rPr>
      <w:rFonts w:ascii="黑体" w:hAnsi="Arial" w:cs="Arial"/>
      <w:b/>
      <w:kern w:val="2"/>
      <w:sz w:val="28"/>
    </w:rPr>
  </w:style>
  <w:style w:type="character" w:customStyle="1" w:styleId="195">
    <w:name w:val="表头 Char"/>
    <w:link w:val="196"/>
    <w:autoRedefine/>
    <w:qFormat/>
    <w:uiPriority w:val="0"/>
    <w:rPr>
      <w:rFonts w:eastAsia="黑体"/>
      <w:kern w:val="2"/>
      <w:sz w:val="21"/>
      <w:szCs w:val="24"/>
    </w:rPr>
  </w:style>
  <w:style w:type="paragraph" w:customStyle="1" w:styleId="196">
    <w:name w:val="表头"/>
    <w:basedOn w:val="1"/>
    <w:link w:val="195"/>
    <w:autoRedefine/>
    <w:qFormat/>
    <w:uiPriority w:val="0"/>
    <w:pPr>
      <w:spacing w:line="320" w:lineRule="exact"/>
      <w:jc w:val="center"/>
    </w:pPr>
    <w:rPr>
      <w:rFonts w:eastAsia="黑体"/>
    </w:rPr>
  </w:style>
  <w:style w:type="character" w:customStyle="1" w:styleId="197">
    <w:name w:val="环正文 Char5"/>
    <w:link w:val="198"/>
    <w:autoRedefine/>
    <w:qFormat/>
    <w:uiPriority w:val="0"/>
    <w:rPr>
      <w:bCs/>
      <w:color w:val="000000"/>
      <w:sz w:val="24"/>
      <w:szCs w:val="24"/>
    </w:rPr>
  </w:style>
  <w:style w:type="paragraph" w:customStyle="1" w:styleId="198">
    <w:name w:val="环正文"/>
    <w:basedOn w:val="1"/>
    <w:link w:val="197"/>
    <w:autoRedefine/>
    <w:qFormat/>
    <w:uiPriority w:val="0"/>
    <w:pPr>
      <w:widowControl/>
      <w:suppressAutoHyphens/>
      <w:adjustRightInd w:val="0"/>
      <w:snapToGrid w:val="0"/>
      <w:spacing w:line="360" w:lineRule="auto"/>
      <w:ind w:left="-24" w:right="6" w:firstLine="480" w:firstLineChars="200"/>
      <w:jc w:val="left"/>
      <w:textAlignment w:val="baseline"/>
    </w:pPr>
    <w:rPr>
      <w:bCs/>
      <w:color w:val="000000"/>
      <w:kern w:val="0"/>
      <w:sz w:val="24"/>
    </w:rPr>
  </w:style>
  <w:style w:type="character" w:customStyle="1" w:styleId="199">
    <w:name w:val="apple-converted-space"/>
    <w:basedOn w:val="90"/>
    <w:autoRedefine/>
    <w:qFormat/>
    <w:uiPriority w:val="0"/>
    <w:rPr>
      <w:rFonts w:ascii="Times New Roman" w:hAnsi="Times New Roman" w:eastAsia="宋体" w:cs="Times New Roman"/>
    </w:rPr>
  </w:style>
  <w:style w:type="character" w:customStyle="1" w:styleId="200">
    <w:name w:val="表格文字 Char"/>
    <w:link w:val="201"/>
    <w:autoRedefine/>
    <w:qFormat/>
    <w:uiPriority w:val="0"/>
    <w:rPr>
      <w:rFonts w:ascii="仿宋_GB2312" w:hAnsi="Arial Black" w:eastAsia="仿宋_GB2312"/>
      <w:kern w:val="44"/>
      <w:sz w:val="24"/>
    </w:rPr>
  </w:style>
  <w:style w:type="paragraph" w:customStyle="1" w:styleId="201">
    <w:name w:val="表格文字"/>
    <w:basedOn w:val="1"/>
    <w:link w:val="200"/>
    <w:autoRedefine/>
    <w:qFormat/>
    <w:uiPriority w:val="0"/>
    <w:pPr>
      <w:widowControl/>
      <w:jc w:val="center"/>
    </w:pPr>
    <w:rPr>
      <w:rFonts w:ascii="仿宋_GB2312" w:hAnsi="Arial Black" w:eastAsia="仿宋_GB2312"/>
      <w:kern w:val="44"/>
      <w:sz w:val="24"/>
      <w:szCs w:val="20"/>
    </w:rPr>
  </w:style>
  <w:style w:type="character" w:customStyle="1" w:styleId="202">
    <w:name w:val="环科院正文 Char"/>
    <w:link w:val="203"/>
    <w:autoRedefine/>
    <w:qFormat/>
    <w:uiPriority w:val="0"/>
    <w:rPr>
      <w:rFonts w:ascii="宋体"/>
      <w:bCs/>
      <w:color w:val="FF0000"/>
      <w:sz w:val="24"/>
      <w:szCs w:val="24"/>
      <w:u w:color="000000"/>
      <w:lang w:val="zh-CN"/>
    </w:rPr>
  </w:style>
  <w:style w:type="paragraph" w:customStyle="1" w:styleId="203">
    <w:name w:val="环科院正文"/>
    <w:basedOn w:val="1"/>
    <w:link w:val="202"/>
    <w:autoRedefine/>
    <w:qFormat/>
    <w:uiPriority w:val="0"/>
    <w:pPr>
      <w:tabs>
        <w:tab w:val="left" w:pos="5760"/>
      </w:tabs>
      <w:adjustRightInd w:val="0"/>
      <w:snapToGrid w:val="0"/>
      <w:spacing w:line="360" w:lineRule="auto"/>
      <w:ind w:firstLine="480" w:firstLineChars="200"/>
    </w:pPr>
    <w:rPr>
      <w:rFonts w:ascii="宋体"/>
      <w:bCs/>
      <w:color w:val="FF0000"/>
      <w:kern w:val="0"/>
      <w:sz w:val="24"/>
      <w:u w:color="000000"/>
      <w:lang w:val="zh-CN"/>
    </w:rPr>
  </w:style>
  <w:style w:type="character" w:customStyle="1" w:styleId="204">
    <w:name w:val="明显引用 Char"/>
    <w:basedOn w:val="90"/>
    <w:autoRedefine/>
    <w:qFormat/>
    <w:uiPriority w:val="30"/>
    <w:rPr>
      <w:b/>
      <w:bCs/>
      <w:i/>
      <w:iCs/>
      <w:color w:val="4F81BD"/>
    </w:rPr>
  </w:style>
  <w:style w:type="paragraph" w:styleId="205">
    <w:name w:val="Intense Quote"/>
    <w:basedOn w:val="1"/>
    <w:next w:val="1"/>
    <w:link w:val="206"/>
    <w:autoRedefine/>
    <w:qFormat/>
    <w:uiPriority w:val="30"/>
    <w:pPr>
      <w:widowControl/>
      <w:pBdr>
        <w:bottom w:val="single" w:color="4F81BD" w:sz="4" w:space="4"/>
      </w:pBdr>
      <w:spacing w:before="200" w:after="280"/>
      <w:ind w:left="936" w:right="936"/>
      <w:jc w:val="left"/>
    </w:pPr>
    <w:rPr>
      <w:b/>
      <w:bCs/>
      <w:i/>
      <w:iCs/>
      <w:color w:val="4F81BD"/>
      <w:kern w:val="0"/>
      <w:sz w:val="20"/>
      <w:szCs w:val="20"/>
    </w:rPr>
  </w:style>
  <w:style w:type="character" w:customStyle="1" w:styleId="206">
    <w:name w:val="明显引用 Char1"/>
    <w:basedOn w:val="90"/>
    <w:link w:val="205"/>
    <w:autoRedefine/>
    <w:semiHidden/>
    <w:qFormat/>
    <w:uiPriority w:val="99"/>
    <w:rPr>
      <w:b/>
      <w:bCs/>
      <w:i/>
      <w:iCs/>
      <w:color w:val="4F81BD" w:themeColor="accent1"/>
      <w:kern w:val="2"/>
      <w:sz w:val="21"/>
      <w:szCs w:val="24"/>
      <w14:textFill>
        <w14:solidFill>
          <w14:schemeClr w14:val="accent1"/>
        </w14:solidFill>
      </w14:textFill>
    </w:rPr>
  </w:style>
  <w:style w:type="character" w:customStyle="1" w:styleId="207">
    <w:name w:val="description"/>
    <w:basedOn w:val="90"/>
    <w:autoRedefine/>
    <w:qFormat/>
    <w:uiPriority w:val="0"/>
    <w:rPr>
      <w:rFonts w:ascii="Times New Roman" w:hAnsi="Times New Roman" w:eastAsia="宋体" w:cs="Times New Roman"/>
    </w:rPr>
  </w:style>
  <w:style w:type="paragraph" w:customStyle="1" w:styleId="208">
    <w:name w:val="Body Text 21"/>
    <w:basedOn w:val="1"/>
    <w:autoRedefine/>
    <w:qFormat/>
    <w:uiPriority w:val="0"/>
    <w:pPr>
      <w:widowControl/>
      <w:adjustRightInd w:val="0"/>
      <w:jc w:val="left"/>
      <w:textAlignment w:val="baseline"/>
    </w:pPr>
    <w:rPr>
      <w:rFonts w:ascii="仿宋_GB2312" w:hAnsi="宋体" w:eastAsia="仿宋体" w:cs="宋体"/>
      <w:kern w:val="0"/>
      <w:sz w:val="24"/>
    </w:rPr>
  </w:style>
  <w:style w:type="paragraph" w:customStyle="1" w:styleId="209">
    <w:name w:val="小四表文左齐"/>
    <w:basedOn w:val="1"/>
    <w:autoRedefine/>
    <w:qFormat/>
    <w:uiPriority w:val="0"/>
    <w:pPr>
      <w:widowControl/>
      <w:tabs>
        <w:tab w:val="left" w:pos="1800"/>
      </w:tabs>
      <w:jc w:val="center"/>
    </w:pPr>
    <w:rPr>
      <w:rFonts w:ascii="宋体" w:hAnsi="宋体" w:cs="宋体"/>
      <w:kern w:val="0"/>
      <w:sz w:val="24"/>
      <w:szCs w:val="21"/>
    </w:rPr>
  </w:style>
  <w:style w:type="paragraph" w:customStyle="1" w:styleId="210">
    <w:name w:val="Plain Text1"/>
    <w:basedOn w:val="1"/>
    <w:autoRedefine/>
    <w:qFormat/>
    <w:uiPriority w:val="0"/>
    <w:pPr>
      <w:adjustRightInd w:val="0"/>
    </w:pPr>
    <w:rPr>
      <w:rFonts w:hint="eastAsia" w:ascii="宋体" w:hAnsi="Courier New" w:cs="宋体"/>
    </w:rPr>
  </w:style>
  <w:style w:type="paragraph" w:customStyle="1" w:styleId="211">
    <w:name w:val="表标题"/>
    <w:basedOn w:val="1"/>
    <w:autoRedefine/>
    <w:qFormat/>
    <w:uiPriority w:val="0"/>
    <w:pPr>
      <w:widowControl/>
      <w:tabs>
        <w:tab w:val="left" w:pos="0"/>
      </w:tabs>
      <w:spacing w:before="240" w:after="120"/>
      <w:jc w:val="center"/>
    </w:pPr>
    <w:rPr>
      <w:rFonts w:ascii="宋体" w:hAnsi="宋体" w:cs="宋体"/>
      <w:b/>
      <w:kern w:val="0"/>
      <w:sz w:val="24"/>
    </w:rPr>
  </w:style>
  <w:style w:type="paragraph" w:customStyle="1" w:styleId="212">
    <w:name w:val="标题11"/>
    <w:basedOn w:val="1"/>
    <w:next w:val="1"/>
    <w:autoRedefine/>
    <w:qFormat/>
    <w:uiPriority w:val="0"/>
    <w:pPr>
      <w:tabs>
        <w:tab w:val="left" w:pos="9193"/>
        <w:tab w:val="left" w:pos="9827"/>
      </w:tabs>
      <w:autoSpaceDE w:val="0"/>
      <w:autoSpaceDN w:val="0"/>
      <w:snapToGrid w:val="0"/>
      <w:spacing w:line="700" w:lineRule="atLeast"/>
      <w:jc w:val="center"/>
    </w:pPr>
    <w:rPr>
      <w:rFonts w:ascii="宋体" w:hAnsi="宋体" w:eastAsia="方正小标宋_GBK" w:cs="宋体"/>
      <w:snapToGrid w:val="0"/>
      <w:kern w:val="0"/>
      <w:sz w:val="44"/>
    </w:rPr>
  </w:style>
  <w:style w:type="paragraph" w:customStyle="1" w:styleId="213">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宋体"/>
      <w:kern w:val="0"/>
      <w:sz w:val="24"/>
      <w:szCs w:val="21"/>
    </w:rPr>
  </w:style>
  <w:style w:type="paragraph" w:customStyle="1" w:styleId="214">
    <w:name w:val="图文框"/>
    <w:basedOn w:val="1"/>
    <w:autoRedefine/>
    <w:qFormat/>
    <w:uiPriority w:val="0"/>
    <w:pPr>
      <w:widowControl/>
      <w:ind w:right="-84" w:rightChars="-42"/>
      <w:jc w:val="center"/>
    </w:pPr>
    <w:rPr>
      <w:rFonts w:ascii="宋体" w:hAnsi="宋体" w:cs="宋体"/>
      <w:kern w:val="0"/>
      <w:sz w:val="24"/>
    </w:rPr>
  </w:style>
  <w:style w:type="paragraph" w:customStyle="1" w:styleId="215">
    <w:name w:val="reader-word-layer reader-word-s4-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6">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7">
    <w:name w:val="列出段落1"/>
    <w:basedOn w:val="1"/>
    <w:autoRedefine/>
    <w:qFormat/>
    <w:uiPriority w:val="34"/>
    <w:pPr>
      <w:widowControl/>
      <w:ind w:firstLine="420" w:firstLineChars="200"/>
      <w:jc w:val="left"/>
    </w:pPr>
    <w:rPr>
      <w:rFonts w:ascii="宋体" w:hAnsi="宋体" w:cs="宋体"/>
      <w:kern w:val="0"/>
      <w:sz w:val="24"/>
    </w:rPr>
  </w:style>
  <w:style w:type="paragraph" w:customStyle="1" w:styleId="218">
    <w:name w:val="reader-word-layer reader-word-s4-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9">
    <w:name w:val="图表头"/>
    <w:basedOn w:val="1"/>
    <w:autoRedefine/>
    <w:qFormat/>
    <w:uiPriority w:val="0"/>
    <w:pPr>
      <w:adjustRightInd w:val="0"/>
      <w:spacing w:line="360" w:lineRule="auto"/>
      <w:jc w:val="center"/>
      <w:textAlignment w:val="baseline"/>
    </w:pPr>
    <w:rPr>
      <w:rFonts w:ascii="黑体" w:hAnsi="宋体" w:eastAsia="黑体" w:cs="宋体"/>
      <w:spacing w:val="5"/>
      <w:kern w:val="0"/>
    </w:rPr>
  </w:style>
  <w:style w:type="paragraph" w:customStyle="1" w:styleId="220">
    <w:name w:val="Char1"/>
    <w:basedOn w:val="1"/>
    <w:autoRedefine/>
    <w:qFormat/>
    <w:uiPriority w:val="0"/>
    <w:rPr>
      <w:rFonts w:ascii="宋体" w:hAnsi="宋体" w:cs="宋体"/>
    </w:rPr>
  </w:style>
  <w:style w:type="paragraph" w:customStyle="1" w:styleId="221">
    <w:name w:val="样式4"/>
    <w:basedOn w:val="34"/>
    <w:autoRedefine/>
    <w:qFormat/>
    <w:uiPriority w:val="0"/>
    <w:pPr>
      <w:widowControl/>
      <w:spacing w:after="0"/>
      <w:ind w:right="-105" w:rightChars="-50"/>
      <w:jc w:val="left"/>
    </w:pPr>
    <w:rPr>
      <w:rFonts w:ascii="宋体" w:hAnsi="宋体" w:cs="宋体"/>
      <w:snapToGrid w:val="0"/>
      <w:color w:val="000000"/>
      <w:kern w:val="0"/>
      <w:sz w:val="15"/>
      <w:szCs w:val="15"/>
    </w:rPr>
  </w:style>
  <w:style w:type="paragraph" w:customStyle="1" w:styleId="222">
    <w:name w:val="表"/>
    <w:basedOn w:val="1"/>
    <w:autoRedefine/>
    <w:qFormat/>
    <w:uiPriority w:val="0"/>
    <w:pPr>
      <w:widowControl/>
      <w:snapToGrid w:val="0"/>
      <w:jc w:val="center"/>
    </w:pPr>
    <w:rPr>
      <w:rFonts w:ascii="宋体" w:hAnsi="宋体" w:cs="宋体"/>
      <w:spacing w:val="2"/>
      <w:kern w:val="0"/>
      <w:sz w:val="24"/>
    </w:rPr>
  </w:style>
  <w:style w:type="paragraph" w:customStyle="1" w:styleId="223">
    <w:name w:val="修订1"/>
    <w:autoRedefine/>
    <w:qFormat/>
    <w:uiPriority w:val="0"/>
    <w:rPr>
      <w:rFonts w:ascii="Times New Roman" w:hAnsi="Times New Roman" w:cs="Times New Roman" w:eastAsiaTheme="minorEastAsia"/>
      <w:lang w:val="en-US" w:eastAsia="zh-CN" w:bidi="ar-SA"/>
    </w:rPr>
  </w:style>
  <w:style w:type="paragraph" w:customStyle="1" w:styleId="224">
    <w:name w:val="三级条标题"/>
    <w:basedOn w:val="1"/>
    <w:next w:val="1"/>
    <w:autoRedefine/>
    <w:qFormat/>
    <w:uiPriority w:val="0"/>
    <w:pPr>
      <w:widowControl/>
      <w:tabs>
        <w:tab w:val="left" w:pos="2520"/>
      </w:tabs>
      <w:outlineLvl w:val="4"/>
    </w:pPr>
    <w:rPr>
      <w:rFonts w:ascii="黑体" w:hAnsi="宋体" w:eastAsia="黑体" w:cs="宋体"/>
      <w:kern w:val="0"/>
    </w:rPr>
  </w:style>
  <w:style w:type="paragraph" w:customStyle="1" w:styleId="225">
    <w:name w:val="Char Char Char1"/>
    <w:basedOn w:val="1"/>
    <w:autoRedefine/>
    <w:qFormat/>
    <w:uiPriority w:val="0"/>
    <w:pPr>
      <w:widowControl/>
      <w:jc w:val="left"/>
    </w:pPr>
    <w:rPr>
      <w:rFonts w:ascii="宋体" w:hAnsi="宋体" w:cs="宋体"/>
      <w:kern w:val="0"/>
      <w:sz w:val="24"/>
    </w:rPr>
  </w:style>
  <w:style w:type="paragraph" w:customStyle="1" w:styleId="226">
    <w:name w:val="Char Char Char"/>
    <w:basedOn w:val="1"/>
    <w:autoRedefine/>
    <w:qFormat/>
    <w:uiPriority w:val="0"/>
    <w:pPr>
      <w:widowControl/>
      <w:jc w:val="left"/>
    </w:pPr>
    <w:rPr>
      <w:rFonts w:ascii="宋体" w:hAnsi="宋体" w:cs="宋体"/>
      <w:kern w:val="0"/>
      <w:sz w:val="24"/>
    </w:rPr>
  </w:style>
  <w:style w:type="paragraph" w:customStyle="1" w:styleId="227">
    <w:name w:val="样式1"/>
    <w:basedOn w:val="1"/>
    <w:autoRedefine/>
    <w:qFormat/>
    <w:uiPriority w:val="0"/>
    <w:pPr>
      <w:widowControl/>
      <w:jc w:val="left"/>
    </w:pPr>
    <w:rPr>
      <w:rFonts w:ascii="宋体" w:hAnsi="宋体" w:cs="宋体"/>
      <w:kern w:val="0"/>
      <w:sz w:val="24"/>
    </w:rPr>
  </w:style>
  <w:style w:type="paragraph" w:customStyle="1" w:styleId="228">
    <w:name w:val="默认段落字体 Para Char Char Char Char"/>
    <w:basedOn w:val="1"/>
    <w:autoRedefine/>
    <w:qFormat/>
    <w:uiPriority w:val="0"/>
    <w:pPr>
      <w:widowControl/>
      <w:jc w:val="left"/>
    </w:pPr>
    <w:rPr>
      <w:rFonts w:ascii="宋体" w:hAnsi="宋体" w:cs="宋体"/>
      <w:kern w:val="0"/>
      <w:sz w:val="24"/>
    </w:rPr>
  </w:style>
  <w:style w:type="paragraph" w:customStyle="1" w:styleId="229">
    <w:name w:val="1"/>
    <w:basedOn w:val="1"/>
    <w:next w:val="35"/>
    <w:autoRedefine/>
    <w:qFormat/>
    <w:uiPriority w:val="0"/>
    <w:pPr>
      <w:widowControl/>
      <w:spacing w:line="360" w:lineRule="auto"/>
      <w:ind w:firstLine="480" w:firstLineChars="200"/>
      <w:jc w:val="left"/>
    </w:pPr>
    <w:rPr>
      <w:rFonts w:ascii="仿宋_GB2312" w:hAnsi="宋体" w:eastAsia="仿宋_GB2312" w:cs="宋体"/>
      <w:kern w:val="0"/>
      <w:sz w:val="24"/>
    </w:rPr>
  </w:style>
  <w:style w:type="paragraph" w:customStyle="1" w:styleId="230">
    <w:name w:val="Char"/>
    <w:basedOn w:val="1"/>
    <w:autoRedefine/>
    <w:qFormat/>
    <w:uiPriority w:val="0"/>
    <w:pPr>
      <w:widowControl/>
      <w:jc w:val="left"/>
    </w:pPr>
    <w:rPr>
      <w:rFonts w:ascii="宋体" w:hAnsi="宋体" w:cs="宋体"/>
      <w:kern w:val="0"/>
      <w:sz w:val="24"/>
    </w:rPr>
  </w:style>
  <w:style w:type="paragraph" w:styleId="231">
    <w:name w:val="No Spacing"/>
    <w:autoRedefine/>
    <w:qFormat/>
    <w:uiPriority w:val="1"/>
    <w:rPr>
      <w:rFonts w:ascii="Times New Roman" w:hAnsi="Times New Roman" w:cs="Times New Roman" w:eastAsiaTheme="minorEastAsia"/>
      <w:lang w:val="en-US" w:eastAsia="zh-CN" w:bidi="ar-SA"/>
    </w:rPr>
  </w:style>
  <w:style w:type="paragraph" w:customStyle="1" w:styleId="232">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233">
    <w:name w:val="Char Char Char Char Char Char Char"/>
    <w:basedOn w:val="1"/>
    <w:autoRedefine/>
    <w:qFormat/>
    <w:uiPriority w:val="0"/>
    <w:pPr>
      <w:widowControl/>
      <w:spacing w:after="160"/>
      <w:jc w:val="left"/>
    </w:pPr>
    <w:rPr>
      <w:rFonts w:ascii="宋体" w:hAnsi="宋体" w:cs="宋体"/>
    </w:rPr>
  </w:style>
  <w:style w:type="paragraph" w:customStyle="1" w:styleId="234">
    <w:name w:val="Char Char Char Char Char Char Char1"/>
    <w:basedOn w:val="1"/>
    <w:autoRedefine/>
    <w:qFormat/>
    <w:uiPriority w:val="0"/>
    <w:rPr>
      <w:rFonts w:ascii="宋体" w:hAnsi="宋体" w:cs="宋体"/>
      <w:szCs w:val="21"/>
    </w:rPr>
  </w:style>
  <w:style w:type="paragraph" w:customStyle="1" w:styleId="235">
    <w:name w:val="reader-word-layer reader-word-s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6">
    <w:name w:val="reader-word-layer reader-word-s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7">
    <w:name w:val="样式 小四 行距: 固定值 27 磅"/>
    <w:basedOn w:val="1"/>
    <w:autoRedefine/>
    <w:qFormat/>
    <w:uiPriority w:val="0"/>
    <w:pPr>
      <w:spacing w:line="360" w:lineRule="auto"/>
      <w:ind w:firstLine="200" w:firstLineChars="200"/>
    </w:pPr>
    <w:rPr>
      <w:rFonts w:ascii="宋体" w:hAnsi="宋体" w:cs="宋体"/>
      <w:sz w:val="24"/>
    </w:rPr>
  </w:style>
  <w:style w:type="paragraph" w:customStyle="1" w:styleId="238">
    <w:name w:val="TOC 标题1"/>
    <w:basedOn w:val="3"/>
    <w:next w:val="1"/>
    <w:autoRedefine/>
    <w:qFormat/>
    <w:uiPriority w:val="39"/>
    <w:pPr>
      <w:keepLines/>
      <w:numPr>
        <w:numId w:val="0"/>
      </w:numPr>
      <w:spacing w:before="340" w:after="330" w:line="578" w:lineRule="atLeast"/>
      <w:outlineLvl w:val="9"/>
    </w:pPr>
    <w:rPr>
      <w:rFonts w:ascii="Times New Roman"/>
      <w:b/>
      <w:bCs/>
      <w:kern w:val="44"/>
      <w:sz w:val="44"/>
      <w:szCs w:val="44"/>
    </w:rPr>
  </w:style>
  <w:style w:type="paragraph" w:customStyle="1" w:styleId="239">
    <w:name w:val="书目1"/>
    <w:basedOn w:val="1"/>
    <w:next w:val="1"/>
    <w:autoRedefine/>
    <w:unhideWhenUsed/>
    <w:qFormat/>
    <w:uiPriority w:val="37"/>
    <w:pPr>
      <w:widowControl/>
      <w:jc w:val="left"/>
    </w:pPr>
    <w:rPr>
      <w:rFonts w:ascii="宋体" w:hAnsi="宋体" w:cs="宋体"/>
      <w:kern w:val="0"/>
      <w:sz w:val="24"/>
    </w:rPr>
  </w:style>
  <w:style w:type="character" w:customStyle="1" w:styleId="240">
    <w:name w:val="表格 Char Char"/>
    <w:autoRedefine/>
    <w:qFormat/>
    <w:uiPriority w:val="0"/>
    <w:rPr>
      <w:rFonts w:eastAsia="宋体"/>
      <w:kern w:val="2"/>
      <w:sz w:val="24"/>
      <w:lang w:val="en-US" w:eastAsia="zh-CN" w:bidi="ar-SA"/>
    </w:rPr>
  </w:style>
  <w:style w:type="character" w:customStyle="1" w:styleId="241">
    <w:name w:val="font31"/>
    <w:basedOn w:val="90"/>
    <w:autoRedefine/>
    <w:qFormat/>
    <w:uiPriority w:val="0"/>
    <w:rPr>
      <w:rFonts w:hint="default"/>
      <w:color w:val="000000"/>
      <w:sz w:val="22"/>
      <w:szCs w:val="22"/>
      <w:u w:val="none"/>
    </w:rPr>
  </w:style>
  <w:style w:type="character" w:customStyle="1" w:styleId="242">
    <w:name w:val="t_tag"/>
    <w:basedOn w:val="90"/>
    <w:autoRedefine/>
    <w:qFormat/>
    <w:uiPriority w:val="0"/>
  </w:style>
  <w:style w:type="paragraph" w:customStyle="1" w:styleId="243">
    <w:name w:val="+列表1"/>
    <w:basedOn w:val="1"/>
    <w:autoRedefine/>
    <w:qFormat/>
    <w:uiPriority w:val="0"/>
    <w:pPr>
      <w:widowControl/>
      <w:jc w:val="center"/>
    </w:pPr>
    <w:rPr>
      <w:rFonts w:ascii="宋体" w:hAnsi="宋体" w:cs="宋体"/>
      <w:kern w:val="0"/>
      <w:sz w:val="24"/>
      <w:lang w:eastAsia="en-US"/>
    </w:rPr>
  </w:style>
  <w:style w:type="character" w:customStyle="1" w:styleId="244">
    <w:name w:val="表格 首行文字 Char"/>
    <w:link w:val="245"/>
    <w:autoRedefine/>
    <w:qFormat/>
    <w:uiPriority w:val="0"/>
    <w:rPr>
      <w:rFonts w:ascii="Arial" w:hAnsi="Arial" w:eastAsia="仿宋_GB2312"/>
      <w:b/>
      <w:kern w:val="2"/>
      <w:sz w:val="21"/>
      <w:szCs w:val="22"/>
    </w:rPr>
  </w:style>
  <w:style w:type="paragraph" w:customStyle="1" w:styleId="245">
    <w:name w:val="表格 首行文字"/>
    <w:basedOn w:val="1"/>
    <w:link w:val="244"/>
    <w:autoRedefine/>
    <w:qFormat/>
    <w:uiPriority w:val="0"/>
    <w:pPr>
      <w:jc w:val="center"/>
    </w:pPr>
    <w:rPr>
      <w:rFonts w:ascii="Arial" w:hAnsi="Arial" w:eastAsia="仿宋_GB2312"/>
      <w:b/>
      <w:szCs w:val="22"/>
    </w:rPr>
  </w:style>
  <w:style w:type="paragraph" w:customStyle="1" w:styleId="246">
    <w:name w:val="文1"/>
    <w:basedOn w:val="1"/>
    <w:autoRedefine/>
    <w:qFormat/>
    <w:uiPriority w:val="0"/>
    <w:pPr>
      <w:snapToGrid w:val="0"/>
      <w:spacing w:line="360" w:lineRule="auto"/>
      <w:ind w:firstLine="567"/>
    </w:pPr>
    <w:rPr>
      <w:rFonts w:ascii="Arial" w:hAnsi="Arial" w:eastAsia="幼圆" w:cs="宋体"/>
      <w:sz w:val="24"/>
    </w:rPr>
  </w:style>
  <w:style w:type="character" w:customStyle="1" w:styleId="247">
    <w:name w:val="页脚 Char5"/>
    <w:autoRedefine/>
    <w:qFormat/>
    <w:locked/>
    <w:uiPriority w:val="0"/>
    <w:rPr>
      <w:rFonts w:cs="Times New Roman"/>
      <w:sz w:val="18"/>
      <w:szCs w:val="18"/>
    </w:rPr>
  </w:style>
  <w:style w:type="paragraph" w:customStyle="1" w:styleId="248">
    <w:name w:val="Char Char1 Char"/>
    <w:basedOn w:val="1"/>
    <w:autoRedefine/>
    <w:qFormat/>
    <w:uiPriority w:val="0"/>
    <w:pPr>
      <w:widowControl/>
      <w:adjustRightInd w:val="0"/>
      <w:jc w:val="center"/>
    </w:pPr>
    <w:rPr>
      <w:rFonts w:ascii="宋体" w:hAnsi="宋体" w:cs="宋体"/>
      <w:kern w:val="0"/>
      <w:szCs w:val="21"/>
      <w:lang w:eastAsia="en-US"/>
    </w:rPr>
  </w:style>
  <w:style w:type="paragraph" w:customStyle="1" w:styleId="249">
    <w:name w:val="参加人员"/>
    <w:basedOn w:val="1"/>
    <w:autoRedefine/>
    <w:qFormat/>
    <w:uiPriority w:val="0"/>
    <w:pPr>
      <w:spacing w:line="500" w:lineRule="atLeast"/>
    </w:pPr>
    <w:rPr>
      <w:rFonts w:ascii="宋体" w:hAnsi="宋体" w:cs="宋体"/>
      <w:sz w:val="24"/>
    </w:rPr>
  </w:style>
  <w:style w:type="paragraph" w:customStyle="1" w:styleId="250">
    <w:name w:val="文件册号"/>
    <w:basedOn w:val="1"/>
    <w:next w:val="1"/>
    <w:autoRedefine/>
    <w:qFormat/>
    <w:uiPriority w:val="0"/>
    <w:pPr>
      <w:spacing w:line="800" w:lineRule="atLeast"/>
      <w:jc w:val="center"/>
    </w:pPr>
    <w:rPr>
      <w:rFonts w:ascii="宋体" w:hAnsi="宋体" w:cs="宋体"/>
      <w:sz w:val="52"/>
      <w:szCs w:val="52"/>
    </w:rPr>
  </w:style>
  <w:style w:type="paragraph" w:customStyle="1" w:styleId="251">
    <w:name w:val="文件名称"/>
    <w:basedOn w:val="1"/>
    <w:next w:val="1"/>
    <w:autoRedefine/>
    <w:qFormat/>
    <w:uiPriority w:val="0"/>
    <w:pPr>
      <w:spacing w:beforeLines="100" w:line="500" w:lineRule="atLeast"/>
      <w:jc w:val="center"/>
    </w:pPr>
    <w:rPr>
      <w:rFonts w:ascii="黑体" w:hAnsi="宋体" w:eastAsia="黑体" w:cs="宋体"/>
      <w:sz w:val="84"/>
      <w:szCs w:val="84"/>
    </w:rPr>
  </w:style>
  <w:style w:type="paragraph" w:customStyle="1" w:styleId="252">
    <w:name w:val="6"/>
    <w:basedOn w:val="1"/>
    <w:next w:val="9"/>
    <w:autoRedefine/>
    <w:qFormat/>
    <w:uiPriority w:val="0"/>
    <w:pPr>
      <w:snapToGrid w:val="0"/>
      <w:spacing w:line="480" w:lineRule="atLeast"/>
      <w:ind w:firstLine="420"/>
    </w:pPr>
    <w:rPr>
      <w:rFonts w:ascii="宋体" w:hAnsi="宋体" w:cs="宋体"/>
      <w:sz w:val="28"/>
    </w:rPr>
  </w:style>
  <w:style w:type="paragraph" w:customStyle="1" w:styleId="253">
    <w:name w:val="样式 标题 3 + 字距调整二号 行距: 最小值 25 磅"/>
    <w:basedOn w:val="5"/>
    <w:autoRedefine/>
    <w:qFormat/>
    <w:uiPriority w:val="0"/>
    <w:pPr>
      <w:keepLines w:val="0"/>
      <w:tabs>
        <w:tab w:val="left" w:pos="0"/>
        <w:tab w:val="left" w:pos="720"/>
      </w:tabs>
      <w:spacing w:before="0" w:after="0" w:line="500" w:lineRule="atLeast"/>
      <w:ind w:left="720" w:hanging="720"/>
    </w:pPr>
    <w:rPr>
      <w:rFonts w:ascii="Calibri" w:hAnsi="Calibri" w:cs="宋体"/>
      <w:b w:val="0"/>
      <w:bCs w:val="0"/>
      <w:kern w:val="44"/>
      <w:sz w:val="28"/>
      <w:szCs w:val="20"/>
    </w:rPr>
  </w:style>
  <w:style w:type="paragraph" w:customStyle="1" w:styleId="254">
    <w:name w:val="样式 标题 3 + 左侧:  0 毫米 首行缩进:  0 毫米 行距: 最小值 25 磅"/>
    <w:basedOn w:val="5"/>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5">
    <w:name w:val="样式2"/>
    <w:basedOn w:val="5"/>
    <w:autoRedefine/>
    <w:qFormat/>
    <w:uiPriority w:val="0"/>
    <w:pPr>
      <w:keepLines w:val="0"/>
      <w:spacing w:before="0" w:after="0" w:line="500" w:lineRule="atLeast"/>
      <w:jc w:val="left"/>
    </w:pPr>
    <w:rPr>
      <w:rFonts w:ascii="Calibri" w:hAnsi="Calibri" w:cs="宋体"/>
      <w:b w:val="0"/>
      <w:bCs w:val="0"/>
      <w:color w:val="000000"/>
      <w:kern w:val="0"/>
      <w:sz w:val="28"/>
      <w:szCs w:val="20"/>
    </w:rPr>
  </w:style>
  <w:style w:type="paragraph" w:customStyle="1" w:styleId="256">
    <w:name w:val="样式 标题 3 + 黑色 行距: 最小值 25 磅"/>
    <w:basedOn w:val="5"/>
    <w:autoRedefine/>
    <w:qFormat/>
    <w:uiPriority w:val="0"/>
    <w:pPr>
      <w:keepLines w:val="0"/>
      <w:tabs>
        <w:tab w:val="left" w:pos="720"/>
      </w:tabs>
      <w:spacing w:before="0" w:after="0" w:line="500" w:lineRule="atLeast"/>
      <w:ind w:left="720" w:hanging="720"/>
    </w:pPr>
    <w:rPr>
      <w:rFonts w:ascii="Calibri" w:hAnsi="Calibri" w:cs="宋体"/>
      <w:b w:val="0"/>
      <w:bCs w:val="0"/>
      <w:color w:val="000000"/>
      <w:kern w:val="0"/>
      <w:sz w:val="28"/>
      <w:szCs w:val="20"/>
    </w:rPr>
  </w:style>
  <w:style w:type="paragraph" w:customStyle="1" w:styleId="257">
    <w:name w:val="样式3"/>
    <w:basedOn w:val="5"/>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8">
    <w:name w:val="样式 标题 3 + 行距: 最小值 25 磅"/>
    <w:basedOn w:val="5"/>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9">
    <w:name w:val="样式 标题 3 + 左侧:  0 毫米 悬挂缩进: 7.09 字符 行距: 最小值 25 磅"/>
    <w:basedOn w:val="5"/>
    <w:autoRedefine/>
    <w:qFormat/>
    <w:uiPriority w:val="0"/>
    <w:pPr>
      <w:keepLines w:val="0"/>
      <w:tabs>
        <w:tab w:val="left" w:pos="720"/>
      </w:tabs>
      <w:spacing w:before="0" w:after="0" w:line="500" w:lineRule="atLeast"/>
      <w:ind w:left="709" w:hanging="709"/>
    </w:pPr>
    <w:rPr>
      <w:rFonts w:ascii="Calibri" w:hAnsi="Calibri" w:cs="宋体"/>
      <w:b w:val="0"/>
      <w:bCs w:val="0"/>
      <w:kern w:val="0"/>
      <w:sz w:val="28"/>
      <w:szCs w:val="20"/>
    </w:rPr>
  </w:style>
  <w:style w:type="paragraph" w:customStyle="1" w:styleId="260">
    <w:name w:val="样式 标题 3 + 左侧:  0 毫米 首行缩进:  0 毫米 行距: 最小值 25 磅1"/>
    <w:basedOn w:val="5"/>
    <w:autoRedefine/>
    <w:qFormat/>
    <w:uiPriority w:val="0"/>
    <w:pPr>
      <w:keepLines w:val="0"/>
      <w:tabs>
        <w:tab w:val="left" w:pos="720"/>
      </w:tabs>
      <w:spacing w:before="0" w:after="0" w:line="500" w:lineRule="atLeast"/>
      <w:ind w:left="720" w:hanging="720"/>
    </w:pPr>
    <w:rPr>
      <w:rFonts w:ascii="Calibri" w:hAnsi="Calibri" w:cs="宋体"/>
      <w:b w:val="0"/>
      <w:bCs w:val="0"/>
      <w:sz w:val="28"/>
      <w:szCs w:val="20"/>
    </w:rPr>
  </w:style>
  <w:style w:type="paragraph" w:customStyle="1" w:styleId="261">
    <w:name w:val="样式 标题 3 + 左侧:  0 毫米 首行缩进:  0 毫米 行距: 最小值 25 磅2"/>
    <w:basedOn w:val="5"/>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62">
    <w:name w:val="样式 行距: 最小值 25 磅"/>
    <w:basedOn w:val="1"/>
    <w:autoRedefine/>
    <w:qFormat/>
    <w:uiPriority w:val="0"/>
    <w:pPr>
      <w:tabs>
        <w:tab w:val="left" w:pos="425"/>
      </w:tabs>
      <w:spacing w:line="500" w:lineRule="atLeast"/>
      <w:ind w:left="425" w:hanging="425"/>
    </w:pPr>
    <w:rPr>
      <w:rFonts w:ascii="宋体" w:hAnsi="宋体" w:cs="宋体"/>
      <w:sz w:val="28"/>
    </w:rPr>
  </w:style>
  <w:style w:type="paragraph" w:customStyle="1" w:styleId="263">
    <w:name w:val="4"/>
    <w:basedOn w:val="1"/>
    <w:next w:val="9"/>
    <w:autoRedefine/>
    <w:qFormat/>
    <w:uiPriority w:val="0"/>
    <w:pPr>
      <w:spacing w:line="560" w:lineRule="exact"/>
      <w:ind w:firstLine="420"/>
    </w:pPr>
    <w:rPr>
      <w:rFonts w:ascii="宋体" w:hAnsi="宋体" w:cs="宋体"/>
      <w:sz w:val="28"/>
    </w:rPr>
  </w:style>
  <w:style w:type="paragraph" w:customStyle="1" w:styleId="264">
    <w:name w:val="样式 标题 4 + 行距: 最小值 25 磅"/>
    <w:basedOn w:val="6"/>
    <w:autoRedefine/>
    <w:qFormat/>
    <w:uiPriority w:val="0"/>
    <w:pPr>
      <w:keepNext w:val="0"/>
      <w:keepLines w:val="0"/>
      <w:widowControl w:val="0"/>
      <w:tabs>
        <w:tab w:val="left" w:pos="864"/>
        <w:tab w:val="clear" w:pos="1276"/>
      </w:tabs>
      <w:adjustRightInd w:val="0"/>
      <w:spacing w:line="500" w:lineRule="atLeast"/>
      <w:ind w:left="0" w:firstLine="0"/>
      <w:jc w:val="both"/>
    </w:pPr>
    <w:rPr>
      <w:rFonts w:ascii="Calibri" w:hAnsi="Calibri"/>
      <w:b w:val="0"/>
      <w:bCs w:val="0"/>
      <w:sz w:val="28"/>
      <w:szCs w:val="20"/>
    </w:rPr>
  </w:style>
  <w:style w:type="paragraph" w:customStyle="1" w:styleId="265">
    <w:name w:val="参加人员名单"/>
    <w:basedOn w:val="1"/>
    <w:next w:val="1"/>
    <w:autoRedefine/>
    <w:qFormat/>
    <w:uiPriority w:val="0"/>
    <w:pPr>
      <w:spacing w:line="500" w:lineRule="atLeast"/>
      <w:jc w:val="center"/>
      <w:outlineLvl w:val="0"/>
    </w:pPr>
    <w:rPr>
      <w:rFonts w:ascii="宋体" w:hAnsi="宋体" w:cs="宋体"/>
      <w:sz w:val="32"/>
      <w:szCs w:val="32"/>
    </w:rPr>
  </w:style>
  <w:style w:type="paragraph" w:customStyle="1" w:styleId="266">
    <w:name w:val="单位名称"/>
    <w:basedOn w:val="1"/>
    <w:next w:val="1"/>
    <w:autoRedefine/>
    <w:qFormat/>
    <w:uiPriority w:val="0"/>
    <w:pPr>
      <w:spacing w:line="500" w:lineRule="atLeast"/>
      <w:jc w:val="center"/>
    </w:pPr>
    <w:rPr>
      <w:rFonts w:ascii="宋体" w:hAnsi="宋体" w:cs="宋体"/>
      <w:sz w:val="44"/>
      <w:szCs w:val="44"/>
    </w:rPr>
  </w:style>
  <w:style w:type="paragraph" w:customStyle="1" w:styleId="267">
    <w:name w:val="文件编号"/>
    <w:basedOn w:val="1"/>
    <w:next w:val="1"/>
    <w:autoRedefine/>
    <w:qFormat/>
    <w:uiPriority w:val="0"/>
    <w:pPr>
      <w:spacing w:line="500" w:lineRule="atLeast"/>
      <w:jc w:val="center"/>
    </w:pPr>
    <w:rPr>
      <w:rFonts w:ascii="黑体" w:hAnsi="宋体" w:eastAsia="黑体" w:cs="宋体"/>
      <w:sz w:val="44"/>
      <w:szCs w:val="44"/>
    </w:rPr>
  </w:style>
  <w:style w:type="paragraph" w:customStyle="1" w:styleId="268">
    <w:name w:val="项目名称"/>
    <w:basedOn w:val="1"/>
    <w:next w:val="1"/>
    <w:autoRedefine/>
    <w:qFormat/>
    <w:uiPriority w:val="0"/>
    <w:pPr>
      <w:spacing w:line="800" w:lineRule="atLeast"/>
      <w:jc w:val="center"/>
      <w:outlineLvl w:val="0"/>
    </w:pPr>
    <w:rPr>
      <w:rFonts w:ascii="黑体" w:hAnsi="宋体" w:eastAsia="黑体" w:cs="宋体"/>
      <w:sz w:val="52"/>
      <w:szCs w:val="52"/>
    </w:rPr>
  </w:style>
  <w:style w:type="paragraph" w:customStyle="1" w:styleId="269">
    <w:name w:val="主要负责人"/>
    <w:basedOn w:val="1"/>
    <w:next w:val="1"/>
    <w:autoRedefine/>
    <w:qFormat/>
    <w:uiPriority w:val="0"/>
    <w:pPr>
      <w:spacing w:line="500" w:lineRule="atLeast"/>
      <w:jc w:val="center"/>
    </w:pPr>
    <w:rPr>
      <w:rFonts w:ascii="宋体" w:hAnsi="宋体" w:cs="宋体"/>
      <w:sz w:val="36"/>
      <w:szCs w:val="36"/>
    </w:rPr>
  </w:style>
  <w:style w:type="paragraph" w:customStyle="1" w:styleId="270">
    <w:name w:val="2"/>
    <w:basedOn w:val="1"/>
    <w:next w:val="34"/>
    <w:autoRedefine/>
    <w:qFormat/>
    <w:uiPriority w:val="0"/>
    <w:pPr>
      <w:spacing w:line="500" w:lineRule="atLeast"/>
    </w:pPr>
    <w:rPr>
      <w:rFonts w:ascii="宋体" w:hAnsi="宋体" w:cs="宋体"/>
      <w:sz w:val="24"/>
    </w:rPr>
  </w:style>
  <w:style w:type="character" w:customStyle="1" w:styleId="271">
    <w:name w:val="text1"/>
    <w:autoRedefine/>
    <w:qFormat/>
    <w:uiPriority w:val="0"/>
    <w:rPr>
      <w:color w:val="000000"/>
      <w:sz w:val="20"/>
      <w:szCs w:val="20"/>
      <w:u w:val="none"/>
    </w:rPr>
  </w:style>
  <w:style w:type="character" w:customStyle="1" w:styleId="272">
    <w:name w:val="标题 31"/>
    <w:autoRedefine/>
    <w:qFormat/>
    <w:uiPriority w:val="0"/>
    <w:rPr>
      <w:rFonts w:eastAsia="宋体"/>
      <w:sz w:val="28"/>
      <w:lang w:val="en-US" w:eastAsia="zh-CN" w:bidi="ar-SA"/>
    </w:rPr>
  </w:style>
  <w:style w:type="character" w:customStyle="1" w:styleId="273">
    <w:name w:val="14fz1"/>
    <w:autoRedefine/>
    <w:qFormat/>
    <w:uiPriority w:val="0"/>
    <w:rPr>
      <w:rFonts w:hint="default"/>
      <w:color w:val="000000"/>
      <w:sz w:val="32"/>
      <w:szCs w:val="32"/>
    </w:rPr>
  </w:style>
  <w:style w:type="character" w:customStyle="1" w:styleId="274">
    <w:name w:val="BOD 0 Char"/>
    <w:autoRedefine/>
    <w:qFormat/>
    <w:uiPriority w:val="0"/>
    <w:rPr>
      <w:rFonts w:eastAsia="宋体"/>
      <w:sz w:val="28"/>
      <w:lang w:val="en-US" w:eastAsia="zh-CN" w:bidi="ar-SA"/>
    </w:rPr>
  </w:style>
  <w:style w:type="character" w:customStyle="1" w:styleId="275">
    <w:name w:val="s"/>
    <w:basedOn w:val="90"/>
    <w:autoRedefine/>
    <w:qFormat/>
    <w:uiPriority w:val="0"/>
  </w:style>
  <w:style w:type="paragraph" w:customStyle="1" w:styleId="276">
    <w:name w:val="正文文字缩进2字符"/>
    <w:basedOn w:val="1"/>
    <w:next w:val="35"/>
    <w:autoRedefine/>
    <w:qFormat/>
    <w:uiPriority w:val="0"/>
    <w:pPr>
      <w:tabs>
        <w:tab w:val="left" w:pos="360"/>
        <w:tab w:val="center" w:pos="630"/>
      </w:tabs>
      <w:spacing w:line="480" w:lineRule="exact"/>
      <w:ind w:firstLine="567"/>
    </w:pPr>
    <w:rPr>
      <w:rFonts w:ascii="宋体" w:hAnsi="宋体" w:cs="宋体"/>
      <w:spacing w:val="6"/>
      <w:sz w:val="28"/>
    </w:rPr>
  </w:style>
  <w:style w:type="paragraph" w:customStyle="1" w:styleId="277">
    <w:name w:val="Char Char Char2"/>
    <w:basedOn w:val="1"/>
    <w:autoRedefine/>
    <w:qFormat/>
    <w:uiPriority w:val="0"/>
    <w:rPr>
      <w:rFonts w:ascii="宋体" w:hAnsi="宋体" w:cs="宋体"/>
      <w:sz w:val="24"/>
    </w:rPr>
  </w:style>
  <w:style w:type="paragraph" w:customStyle="1" w:styleId="278">
    <w:name w:val="xl39"/>
    <w:basedOn w:val="1"/>
    <w:autoRedefine/>
    <w:qFormat/>
    <w:uiPriority w:val="0"/>
    <w:pPr>
      <w:widowControl/>
      <w:pBdr>
        <w:bottom w:val="single" w:color="auto" w:sz="4" w:space="0"/>
      </w:pBdr>
      <w:spacing w:before="100" w:beforeAutospacing="1" w:after="100" w:afterAutospacing="1"/>
      <w:jc w:val="center"/>
    </w:pPr>
    <w:rPr>
      <w:rFonts w:ascii="宋体" w:hAnsi="宋体" w:cs="宋体"/>
      <w:kern w:val="0"/>
      <w:sz w:val="24"/>
    </w:rPr>
  </w:style>
  <w:style w:type="paragraph" w:customStyle="1" w:styleId="279">
    <w:name w:val="Char4"/>
    <w:basedOn w:val="1"/>
    <w:autoRedefine/>
    <w:qFormat/>
    <w:uiPriority w:val="0"/>
    <w:rPr>
      <w:rFonts w:ascii="宋体" w:hAnsi="宋体" w:cs="宋体"/>
      <w:sz w:val="24"/>
    </w:rPr>
  </w:style>
  <w:style w:type="paragraph" w:customStyle="1" w:styleId="280">
    <w:name w:val="font5"/>
    <w:basedOn w:val="1"/>
    <w:autoRedefine/>
    <w:qFormat/>
    <w:uiPriority w:val="0"/>
    <w:pPr>
      <w:widowControl/>
      <w:spacing w:before="100" w:beforeAutospacing="1" w:after="100" w:afterAutospacing="1"/>
      <w:jc w:val="left"/>
    </w:pPr>
    <w:rPr>
      <w:rFonts w:hint="eastAsia" w:ascii="宋体" w:hAnsi="宋体" w:cs="宋体"/>
      <w:kern w:val="0"/>
      <w:sz w:val="18"/>
      <w:szCs w:val="18"/>
    </w:rPr>
  </w:style>
  <w:style w:type="character" w:customStyle="1" w:styleId="281">
    <w:name w:val="页眉zxl Char1"/>
    <w:autoRedefine/>
    <w:qFormat/>
    <w:uiPriority w:val="0"/>
    <w:rPr>
      <w:rFonts w:ascii="隶书" w:eastAsia="隶书"/>
      <w:kern w:val="2"/>
      <w:sz w:val="24"/>
      <w:szCs w:val="24"/>
      <w:lang w:val="en-US" w:eastAsia="zh-CN" w:bidi="ar-SA"/>
    </w:rPr>
  </w:style>
  <w:style w:type="character" w:customStyle="1" w:styleId="282">
    <w:name w:val="页眉zxl Char"/>
    <w:autoRedefine/>
    <w:qFormat/>
    <w:uiPriority w:val="0"/>
    <w:rPr>
      <w:rFonts w:ascii="隶书" w:eastAsia="隶书"/>
      <w:kern w:val="2"/>
      <w:sz w:val="24"/>
      <w:szCs w:val="24"/>
    </w:rPr>
  </w:style>
  <w:style w:type="paragraph" w:customStyle="1" w:styleId="283">
    <w:name w:val="表格内容"/>
    <w:basedOn w:val="1"/>
    <w:link w:val="284"/>
    <w:autoRedefine/>
    <w:qFormat/>
    <w:uiPriority w:val="0"/>
    <w:pPr>
      <w:overflowPunct w:val="0"/>
      <w:adjustRightInd w:val="0"/>
      <w:spacing w:line="200" w:lineRule="atLeast"/>
      <w:jc w:val="center"/>
      <w:textAlignment w:val="baseline"/>
    </w:pPr>
    <w:rPr>
      <w:rFonts w:ascii="Arial" w:hAnsi="Arial" w:eastAsia="仿宋_GB2312" w:cs="宋体"/>
      <w:kern w:val="0"/>
      <w:sz w:val="24"/>
    </w:rPr>
  </w:style>
  <w:style w:type="character" w:customStyle="1" w:styleId="284">
    <w:name w:val="表格内容 Char"/>
    <w:link w:val="283"/>
    <w:autoRedefine/>
    <w:qFormat/>
    <w:uiPriority w:val="0"/>
    <w:rPr>
      <w:rFonts w:ascii="Arial" w:hAnsi="Arial" w:eastAsia="仿宋_GB2312" w:cs="宋体"/>
      <w:sz w:val="24"/>
      <w:szCs w:val="24"/>
    </w:rPr>
  </w:style>
  <w:style w:type="paragraph" w:customStyle="1" w:styleId="285">
    <w:name w:val="样式 标题 2 + (西文) Times New Roman (中文) 宋体"/>
    <w:basedOn w:val="4"/>
    <w:link w:val="286"/>
    <w:autoRedefine/>
    <w:qFormat/>
    <w:uiPriority w:val="0"/>
    <w:pPr>
      <w:widowControl w:val="0"/>
      <w:tabs>
        <w:tab w:val="left" w:pos="927"/>
        <w:tab w:val="clear" w:pos="1276"/>
      </w:tabs>
      <w:spacing w:line="500" w:lineRule="atLeast"/>
      <w:ind w:left="0" w:firstLine="567"/>
      <w:jc w:val="both"/>
    </w:pPr>
    <w:rPr>
      <w:rFonts w:ascii="Calibri" w:hAnsi="Calibri" w:cs="宋体"/>
      <w:sz w:val="28"/>
      <w:szCs w:val="28"/>
    </w:rPr>
  </w:style>
  <w:style w:type="character" w:customStyle="1" w:styleId="286">
    <w:name w:val="样式 标题 2 + (西文) Times New Roman (中文) 宋体 Char"/>
    <w:link w:val="285"/>
    <w:autoRedefine/>
    <w:qFormat/>
    <w:uiPriority w:val="0"/>
    <w:rPr>
      <w:rFonts w:ascii="Calibri" w:hAnsi="Calibri" w:cs="宋体"/>
      <w:sz w:val="28"/>
      <w:szCs w:val="28"/>
    </w:rPr>
  </w:style>
  <w:style w:type="paragraph" w:customStyle="1" w:styleId="287">
    <w:name w:val="Char Char Char Char Char Char Char Char Char1 Char Char Char Char"/>
    <w:basedOn w:val="1"/>
    <w:autoRedefine/>
    <w:qFormat/>
    <w:uiPriority w:val="0"/>
    <w:rPr>
      <w:rFonts w:ascii="宋体" w:hAnsi="宋体" w:cs="宋体"/>
      <w:szCs w:val="21"/>
    </w:rPr>
  </w:style>
  <w:style w:type="character" w:customStyle="1" w:styleId="288">
    <w:name w:val="Char Char Char Char2"/>
    <w:autoRedefine/>
    <w:qFormat/>
    <w:uiPriority w:val="0"/>
    <w:rPr>
      <w:rFonts w:eastAsia="宋体"/>
      <w:kern w:val="2"/>
      <w:sz w:val="21"/>
      <w:szCs w:val="21"/>
      <w:lang w:val="en-US" w:eastAsia="zh-CN" w:bidi="ar-SA"/>
    </w:rPr>
  </w:style>
  <w:style w:type="paragraph" w:customStyle="1" w:styleId="289">
    <w:name w:val="1 Char"/>
    <w:basedOn w:val="1"/>
    <w:autoRedefine/>
    <w:qFormat/>
    <w:uiPriority w:val="0"/>
    <w:rPr>
      <w:rFonts w:ascii="宋体" w:hAnsi="宋体" w:cs="宋体"/>
      <w:sz w:val="24"/>
    </w:rPr>
  </w:style>
  <w:style w:type="paragraph" w:customStyle="1" w:styleId="290">
    <w:name w:val="Char Char Char Char"/>
    <w:basedOn w:val="1"/>
    <w:autoRedefine/>
    <w:qFormat/>
    <w:uiPriority w:val="0"/>
    <w:rPr>
      <w:rFonts w:ascii="宋体" w:hAnsi="宋体" w:cs="宋体"/>
      <w:szCs w:val="21"/>
    </w:rPr>
  </w:style>
  <w:style w:type="paragraph" w:customStyle="1" w:styleId="291">
    <w:name w:val="样式 13.5 磅 首行缩进:  2 字符"/>
    <w:basedOn w:val="1"/>
    <w:autoRedefine/>
    <w:qFormat/>
    <w:uiPriority w:val="0"/>
    <w:pPr>
      <w:ind w:left="2" w:leftChars="1" w:firstLine="480" w:firstLineChars="200"/>
      <w:jc w:val="left"/>
    </w:pPr>
    <w:rPr>
      <w:rFonts w:ascii="宋体" w:hAnsi="宋体" w:cs="宋体"/>
      <w:kern w:val="10"/>
      <w:sz w:val="24"/>
    </w:rPr>
  </w:style>
  <w:style w:type="paragraph" w:customStyle="1" w:styleId="292">
    <w:name w:val="Char434"/>
    <w:basedOn w:val="1"/>
    <w:autoRedefine/>
    <w:qFormat/>
    <w:uiPriority w:val="0"/>
    <w:rPr>
      <w:rFonts w:ascii="宋体" w:hAnsi="宋体" w:cs="宋体"/>
      <w:sz w:val="24"/>
    </w:rPr>
  </w:style>
  <w:style w:type="character" w:customStyle="1" w:styleId="293">
    <w:name w:val="正文首行缩进 Char6"/>
    <w:autoRedefine/>
    <w:qFormat/>
    <w:uiPriority w:val="99"/>
    <w:rPr>
      <w:rFonts w:eastAsia="宋体"/>
      <w:kern w:val="2"/>
      <w:sz w:val="28"/>
      <w:lang w:val="en-US" w:eastAsia="zh-CN" w:bidi="ar-SA"/>
    </w:rPr>
  </w:style>
  <w:style w:type="paragraph" w:customStyle="1" w:styleId="294">
    <w:name w:val="文字"/>
    <w:basedOn w:val="1"/>
    <w:link w:val="295"/>
    <w:autoRedefine/>
    <w:qFormat/>
    <w:uiPriority w:val="0"/>
    <w:pPr>
      <w:spacing w:line="360" w:lineRule="auto"/>
      <w:ind w:firstLine="200" w:firstLineChars="200"/>
    </w:pPr>
    <w:rPr>
      <w:rFonts w:ascii="Calibri" w:hAnsi="Calibri" w:cs="宋体"/>
      <w:sz w:val="24"/>
    </w:rPr>
  </w:style>
  <w:style w:type="character" w:customStyle="1" w:styleId="295">
    <w:name w:val="文字 Char"/>
    <w:link w:val="294"/>
    <w:autoRedefine/>
    <w:qFormat/>
    <w:uiPriority w:val="0"/>
    <w:rPr>
      <w:rFonts w:ascii="Calibri" w:hAnsi="Calibri" w:cs="宋体"/>
      <w:kern w:val="2"/>
      <w:sz w:val="24"/>
      <w:szCs w:val="24"/>
    </w:rPr>
  </w:style>
  <w:style w:type="paragraph" w:customStyle="1" w:styleId="296">
    <w:name w:val="表头1"/>
    <w:basedOn w:val="45"/>
    <w:autoRedefine/>
    <w:qFormat/>
    <w:uiPriority w:val="0"/>
    <w:pPr>
      <w:widowControl w:val="0"/>
      <w:spacing w:line="360" w:lineRule="auto"/>
      <w:jc w:val="center"/>
      <w:textAlignment w:val="baseline"/>
    </w:pPr>
    <w:rPr>
      <w:rFonts w:ascii="Times New Roman" w:hAnsi="Times New Roman" w:cs="Times New Roman"/>
      <w:b/>
      <w:color w:val="000000"/>
      <w:szCs w:val="20"/>
    </w:rPr>
  </w:style>
  <w:style w:type="paragraph" w:customStyle="1" w:styleId="297">
    <w:name w:val="tu"/>
    <w:basedOn w:val="73"/>
    <w:autoRedefine/>
    <w:qFormat/>
    <w:uiPriority w:val="0"/>
    <w:pPr>
      <w:widowControl w:val="0"/>
      <w:spacing w:line="360" w:lineRule="auto"/>
      <w:ind w:left="0" w:leftChars="0" w:firstLine="0" w:firstLineChars="0"/>
      <w:jc w:val="center"/>
    </w:pPr>
    <w:rPr>
      <w:b/>
      <w:kern w:val="2"/>
      <w:sz w:val="28"/>
    </w:rPr>
  </w:style>
  <w:style w:type="paragraph" w:customStyle="1" w:styleId="298">
    <w:name w:val="Char Char Char Char Char Char Char Char Char1 Char Char Char Char Char Char1 Char"/>
    <w:basedOn w:val="1"/>
    <w:autoRedefine/>
    <w:qFormat/>
    <w:uiPriority w:val="0"/>
    <w:rPr>
      <w:rFonts w:ascii="宋体" w:hAnsi="宋体" w:cs="宋体"/>
      <w:szCs w:val="21"/>
    </w:rPr>
  </w:style>
  <w:style w:type="paragraph" w:customStyle="1" w:styleId="299">
    <w:name w:val="和桥报告正文"/>
    <w:basedOn w:val="1"/>
    <w:link w:val="300"/>
    <w:autoRedefine/>
    <w:qFormat/>
    <w:uiPriority w:val="0"/>
    <w:pPr>
      <w:adjustRightInd w:val="0"/>
      <w:snapToGrid w:val="0"/>
      <w:spacing w:line="360" w:lineRule="auto"/>
      <w:ind w:firstLine="482"/>
      <w:textAlignment w:val="baseline"/>
    </w:pPr>
    <w:rPr>
      <w:rFonts w:ascii="Calibri" w:hAnsi="Calibri" w:cs="宋体"/>
      <w:snapToGrid w:val="0"/>
      <w:kern w:val="24"/>
      <w:sz w:val="24"/>
      <w:szCs w:val="21"/>
    </w:rPr>
  </w:style>
  <w:style w:type="character" w:customStyle="1" w:styleId="300">
    <w:name w:val="和桥报告正文 Char"/>
    <w:link w:val="299"/>
    <w:autoRedefine/>
    <w:qFormat/>
    <w:uiPriority w:val="0"/>
    <w:rPr>
      <w:rFonts w:ascii="Calibri" w:hAnsi="Calibri" w:cs="宋体"/>
      <w:snapToGrid w:val="0"/>
      <w:kern w:val="24"/>
      <w:sz w:val="24"/>
      <w:szCs w:val="21"/>
    </w:rPr>
  </w:style>
  <w:style w:type="character" w:customStyle="1" w:styleId="301">
    <w:name w:val="报告书表格 Char"/>
    <w:link w:val="302"/>
    <w:autoRedefine/>
    <w:qFormat/>
    <w:uiPriority w:val="0"/>
    <w:rPr>
      <w:rFonts w:ascii="宋体" w:hAnsi="宋体" w:cs="宋体"/>
      <w:kern w:val="2"/>
      <w:sz w:val="21"/>
      <w:szCs w:val="24"/>
    </w:rPr>
  </w:style>
  <w:style w:type="paragraph" w:customStyle="1" w:styleId="302">
    <w:name w:val="报告书表格"/>
    <w:basedOn w:val="1"/>
    <w:link w:val="301"/>
    <w:autoRedefine/>
    <w:qFormat/>
    <w:uiPriority w:val="0"/>
    <w:pPr>
      <w:adjustRightInd w:val="0"/>
      <w:spacing w:before="60" w:after="60" w:line="240" w:lineRule="atLeast"/>
      <w:jc w:val="center"/>
      <w:textAlignment w:val="baseline"/>
    </w:pPr>
    <w:rPr>
      <w:rFonts w:ascii="宋体" w:hAnsi="宋体" w:cs="宋体"/>
    </w:rPr>
  </w:style>
  <w:style w:type="paragraph" w:customStyle="1" w:styleId="303">
    <w:name w:val="表格001"/>
    <w:basedOn w:val="1"/>
    <w:autoRedefine/>
    <w:qFormat/>
    <w:uiPriority w:val="0"/>
    <w:pPr>
      <w:spacing w:line="360" w:lineRule="exact"/>
      <w:jc w:val="center"/>
    </w:pPr>
    <w:rPr>
      <w:rFonts w:ascii="Arial" w:hAnsi="Arial" w:cs="宋体"/>
    </w:rPr>
  </w:style>
  <w:style w:type="paragraph" w:customStyle="1" w:styleId="304">
    <w:name w:val="新正文"/>
    <w:basedOn w:val="1"/>
    <w:link w:val="305"/>
    <w:autoRedefine/>
    <w:qFormat/>
    <w:uiPriority w:val="0"/>
    <w:pPr>
      <w:spacing w:line="480" w:lineRule="exact"/>
      <w:ind w:firstLine="567"/>
    </w:pPr>
    <w:rPr>
      <w:rFonts w:ascii="仿宋_GB2312" w:hAnsi="Calibri" w:eastAsia="仿宋_GB2312" w:cs="宋体"/>
      <w:bCs/>
      <w:kern w:val="0"/>
      <w:sz w:val="28"/>
    </w:rPr>
  </w:style>
  <w:style w:type="character" w:customStyle="1" w:styleId="305">
    <w:name w:val="新正文 Char"/>
    <w:link w:val="304"/>
    <w:autoRedefine/>
    <w:qFormat/>
    <w:uiPriority w:val="0"/>
    <w:rPr>
      <w:rFonts w:ascii="仿宋_GB2312" w:hAnsi="Calibri" w:eastAsia="仿宋_GB2312" w:cs="宋体"/>
      <w:bCs/>
      <w:sz w:val="28"/>
      <w:szCs w:val="24"/>
    </w:rPr>
  </w:style>
  <w:style w:type="paragraph" w:customStyle="1" w:styleId="306">
    <w:name w:val="表题"/>
    <w:basedOn w:val="66"/>
    <w:autoRedefine/>
    <w:qFormat/>
    <w:uiPriority w:val="0"/>
    <w:pPr>
      <w:spacing w:beforeLines="50" w:line="480" w:lineRule="exact"/>
      <w:ind w:left="0" w:firstLine="0" w:firstLineChars="0"/>
      <w:contextualSpacing w:val="0"/>
      <w:jc w:val="center"/>
    </w:pPr>
    <w:rPr>
      <w:rFonts w:hAnsi="宋体" w:eastAsia="黑体" w:cs="宋体"/>
      <w:sz w:val="28"/>
    </w:rPr>
  </w:style>
  <w:style w:type="character" w:customStyle="1" w:styleId="307">
    <w:name w:val="文本条款 Char Char"/>
    <w:autoRedefine/>
    <w:qFormat/>
    <w:uiPriority w:val="0"/>
    <w:rPr>
      <w:rFonts w:eastAsia="宋体"/>
      <w:kern w:val="2"/>
      <w:sz w:val="28"/>
      <w:lang w:val="en-US" w:eastAsia="zh-CN" w:bidi="ar-SA"/>
    </w:rPr>
  </w:style>
  <w:style w:type="paragraph" w:customStyle="1" w:styleId="308">
    <w:name w:val="默认段落字体 Para Char"/>
    <w:basedOn w:val="1"/>
    <w:autoRedefine/>
    <w:qFormat/>
    <w:uiPriority w:val="0"/>
    <w:rPr>
      <w:rFonts w:ascii="宋体" w:hAnsi="宋体" w:cs="宋体"/>
      <w:sz w:val="24"/>
    </w:rPr>
  </w:style>
  <w:style w:type="paragraph" w:customStyle="1" w:styleId="309">
    <w:name w:val="条题"/>
    <w:basedOn w:val="9"/>
    <w:next w:val="9"/>
    <w:autoRedefine/>
    <w:qFormat/>
    <w:uiPriority w:val="0"/>
    <w:pPr>
      <w:tabs>
        <w:tab w:val="left" w:pos="360"/>
      </w:tabs>
      <w:adjustRightInd/>
      <w:snapToGrid/>
      <w:spacing w:line="360" w:lineRule="auto"/>
      <w:ind w:firstLine="420" w:firstLineChars="0"/>
    </w:pPr>
    <w:rPr>
      <w:rFonts w:ascii="Calibri" w:hAnsi="Calibri" w:eastAsia="宋体" w:cs="宋体"/>
      <w:bCs/>
      <w:color w:val="auto"/>
      <w:sz w:val="24"/>
      <w:szCs w:val="20"/>
    </w:rPr>
  </w:style>
  <w:style w:type="paragraph" w:customStyle="1" w:styleId="310">
    <w:name w:val="表格字体"/>
    <w:basedOn w:val="9"/>
    <w:autoRedefine/>
    <w:qFormat/>
    <w:uiPriority w:val="0"/>
    <w:pPr>
      <w:adjustRightInd/>
      <w:snapToGrid/>
      <w:spacing w:line="360" w:lineRule="auto"/>
      <w:ind w:firstLine="0" w:firstLineChars="0"/>
      <w:jc w:val="center"/>
    </w:pPr>
    <w:rPr>
      <w:rFonts w:ascii="Calibri" w:hAnsi="Calibri" w:eastAsia="宋体" w:cs="宋体"/>
      <w:color w:val="auto"/>
      <w:sz w:val="24"/>
      <w:szCs w:val="20"/>
    </w:rPr>
  </w:style>
  <w:style w:type="character" w:customStyle="1" w:styleId="311">
    <w:name w:val="样式 (西文) 宋体 小四"/>
    <w:autoRedefine/>
    <w:qFormat/>
    <w:uiPriority w:val="0"/>
    <w:rPr>
      <w:rFonts w:ascii="宋体" w:hAnsi="宋体" w:eastAsia="宋体"/>
      <w:sz w:val="24"/>
      <w:szCs w:val="24"/>
    </w:rPr>
  </w:style>
  <w:style w:type="paragraph" w:customStyle="1" w:styleId="312">
    <w:name w:val="Char Char Char1 Char Char Char1 Char Char Char1 Char"/>
    <w:basedOn w:val="1"/>
    <w:autoRedefine/>
    <w:qFormat/>
    <w:uiPriority w:val="0"/>
    <w:pPr>
      <w:spacing w:line="400" w:lineRule="exact"/>
      <w:ind w:firstLine="200" w:firstLineChars="200"/>
    </w:pPr>
    <w:rPr>
      <w:rFonts w:ascii="宋体" w:hAnsi="宋体" w:cs="宋体"/>
      <w:sz w:val="28"/>
      <w:szCs w:val="28"/>
    </w:rPr>
  </w:style>
  <w:style w:type="paragraph" w:customStyle="1" w:styleId="313">
    <w:name w:val="正文01"/>
    <w:basedOn w:val="1"/>
    <w:autoRedefine/>
    <w:qFormat/>
    <w:uiPriority w:val="0"/>
    <w:pPr>
      <w:spacing w:before="60" w:line="460" w:lineRule="exact"/>
      <w:ind w:firstLine="539"/>
    </w:pPr>
    <w:rPr>
      <w:rFonts w:ascii="宋体" w:hAnsi="宋体" w:cs="宋体"/>
      <w:sz w:val="27"/>
    </w:rPr>
  </w:style>
  <w:style w:type="paragraph" w:customStyle="1" w:styleId="314">
    <w:name w:val="表格下方正文"/>
    <w:basedOn w:val="1"/>
    <w:autoRedefine/>
    <w:qFormat/>
    <w:uiPriority w:val="0"/>
    <w:pPr>
      <w:spacing w:before="260" w:line="440" w:lineRule="exact"/>
      <w:ind w:firstLine="200" w:firstLineChars="200"/>
    </w:pPr>
    <w:rPr>
      <w:rFonts w:ascii="宋体" w:hAnsi="宋体" w:cs="宋体"/>
      <w:kern w:val="0"/>
      <w:sz w:val="24"/>
    </w:rPr>
  </w:style>
  <w:style w:type="character" w:customStyle="1" w:styleId="315">
    <w:name w:val="正文格式 Char"/>
    <w:link w:val="316"/>
    <w:autoRedefine/>
    <w:qFormat/>
    <w:uiPriority w:val="0"/>
    <w:rPr>
      <w:rFonts w:ascii="宋体" w:hAnsi="黑体"/>
      <w:b/>
      <w:spacing w:val="10"/>
      <w:kern w:val="2"/>
      <w:sz w:val="24"/>
    </w:rPr>
  </w:style>
  <w:style w:type="paragraph" w:customStyle="1" w:styleId="316">
    <w:name w:val="正文格式"/>
    <w:basedOn w:val="1"/>
    <w:link w:val="315"/>
    <w:autoRedefine/>
    <w:qFormat/>
    <w:uiPriority w:val="0"/>
    <w:pPr>
      <w:spacing w:line="360" w:lineRule="auto"/>
      <w:ind w:firstLine="482"/>
    </w:pPr>
    <w:rPr>
      <w:rFonts w:ascii="宋体" w:hAnsi="黑体"/>
      <w:b/>
      <w:spacing w:val="10"/>
      <w:sz w:val="24"/>
      <w:szCs w:val="20"/>
    </w:rPr>
  </w:style>
  <w:style w:type="character" w:customStyle="1" w:styleId="317">
    <w:name w:val="infodetail1"/>
    <w:autoRedefine/>
    <w:qFormat/>
    <w:uiPriority w:val="0"/>
    <w:rPr>
      <w:rFonts w:hint="default" w:ascii="ˎ̥" w:hAnsi="ˎ̥" w:eastAsia="黑体"/>
      <w:b/>
      <w:color w:val="000000"/>
      <w:spacing w:val="10"/>
      <w:kern w:val="44"/>
      <w:sz w:val="24"/>
      <w:u w:val="none"/>
      <w:lang w:val="en-US" w:eastAsia="zh-CN"/>
    </w:rPr>
  </w:style>
  <w:style w:type="character" w:customStyle="1" w:styleId="318">
    <w:name w:val="缩进 Char"/>
    <w:link w:val="319"/>
    <w:autoRedefine/>
    <w:qFormat/>
    <w:uiPriority w:val="0"/>
    <w:rPr>
      <w:rFonts w:ascii="宋体" w:hAnsi="宋体" w:eastAsia="仿宋_GB2312"/>
      <w:b/>
      <w:color w:val="000000"/>
      <w:spacing w:val="10"/>
      <w:kern w:val="44"/>
      <w:sz w:val="24"/>
    </w:rPr>
  </w:style>
  <w:style w:type="paragraph" w:customStyle="1" w:styleId="319">
    <w:name w:val="缩进"/>
    <w:basedOn w:val="1"/>
    <w:link w:val="318"/>
    <w:autoRedefine/>
    <w:qFormat/>
    <w:uiPriority w:val="0"/>
    <w:pPr>
      <w:spacing w:line="480" w:lineRule="exact"/>
      <w:ind w:firstLine="480" w:firstLineChars="200"/>
      <w:jc w:val="left"/>
    </w:pPr>
    <w:rPr>
      <w:rFonts w:ascii="宋体" w:hAnsi="宋体" w:eastAsia="仿宋_GB2312"/>
      <w:b/>
      <w:color w:val="000000"/>
      <w:spacing w:val="10"/>
      <w:kern w:val="44"/>
      <w:sz w:val="24"/>
      <w:szCs w:val="20"/>
    </w:rPr>
  </w:style>
  <w:style w:type="character" w:customStyle="1" w:styleId="320">
    <w:name w:val="纯文本 Char2"/>
    <w:autoRedefine/>
    <w:qFormat/>
    <w:uiPriority w:val="0"/>
    <w:rPr>
      <w:rFonts w:ascii="宋体" w:hAnsi="Courier New" w:eastAsia="宋体" w:cs="Courier New"/>
      <w:kern w:val="2"/>
      <w:sz w:val="21"/>
      <w:szCs w:val="21"/>
      <w:lang w:val="en-US" w:eastAsia="zh-CN" w:bidi="ar-SA"/>
    </w:rPr>
  </w:style>
  <w:style w:type="character" w:customStyle="1" w:styleId="321">
    <w:name w:val="fsl1"/>
    <w:autoRedefine/>
    <w:qFormat/>
    <w:uiPriority w:val="0"/>
    <w:rPr>
      <w:rFonts w:ascii="黑体" w:hAnsi="黑体" w:eastAsia="黑体"/>
      <w:b/>
      <w:color w:val="0082C6"/>
      <w:spacing w:val="10"/>
      <w:kern w:val="44"/>
      <w:sz w:val="21"/>
      <w:lang w:val="en-US" w:eastAsia="zh-CN"/>
    </w:rPr>
  </w:style>
  <w:style w:type="paragraph" w:customStyle="1" w:styleId="322">
    <w:name w:val="样式 标题 2标题 2 Char标2h2H2标题21.1标题 2 + Times New Roman"/>
    <w:basedOn w:val="4"/>
    <w:autoRedefine/>
    <w:qFormat/>
    <w:uiPriority w:val="0"/>
    <w:pPr>
      <w:widowControl w:val="0"/>
      <w:tabs>
        <w:tab w:val="clear" w:pos="1276"/>
      </w:tabs>
      <w:autoSpaceDE w:val="0"/>
      <w:autoSpaceDN w:val="0"/>
      <w:adjustRightInd w:val="0"/>
      <w:spacing w:before="200" w:after="163"/>
      <w:ind w:left="0" w:firstLine="0"/>
      <w:jc w:val="center"/>
    </w:pPr>
    <w:rPr>
      <w:rFonts w:ascii="Calibri" w:hAnsi="Calibri" w:eastAsia="仿宋_GB2312" w:cs="宋体"/>
      <w:sz w:val="24"/>
      <w:szCs w:val="24"/>
    </w:rPr>
  </w:style>
  <w:style w:type="paragraph" w:customStyle="1" w:styleId="323">
    <w:name w:val="Char Char Char Char Char Char Char Char Char Char Char Char Char Char Char Char"/>
    <w:basedOn w:val="1"/>
    <w:autoRedefine/>
    <w:qFormat/>
    <w:uiPriority w:val="0"/>
    <w:rPr>
      <w:rFonts w:ascii="宋体" w:hAnsi="宋体" w:cs="宋体"/>
    </w:rPr>
  </w:style>
  <w:style w:type="paragraph" w:customStyle="1" w:styleId="324">
    <w:name w:val="样式 首行缩进:  2 字符"/>
    <w:basedOn w:val="1"/>
    <w:autoRedefine/>
    <w:qFormat/>
    <w:uiPriority w:val="0"/>
    <w:pPr>
      <w:spacing w:line="360" w:lineRule="auto"/>
      <w:ind w:firstLine="560" w:firstLineChars="200"/>
    </w:pPr>
    <w:rPr>
      <w:rFonts w:ascii="仿宋_GB2312" w:hAnsi="宋体" w:cs="宋体"/>
      <w:sz w:val="28"/>
    </w:rPr>
  </w:style>
  <w:style w:type="paragraph" w:customStyle="1" w:styleId="325">
    <w:name w:val="广西炼油"/>
    <w:basedOn w:val="1"/>
    <w:autoRedefine/>
    <w:qFormat/>
    <w:uiPriority w:val="0"/>
    <w:pPr>
      <w:spacing w:beforeLines="5" w:line="360" w:lineRule="auto"/>
      <w:ind w:firstLine="480"/>
    </w:pPr>
    <w:rPr>
      <w:rFonts w:ascii="宋体" w:hAnsi="宋体" w:cs="宋体"/>
      <w:sz w:val="24"/>
    </w:rPr>
  </w:style>
  <w:style w:type="paragraph" w:customStyle="1" w:styleId="326">
    <w:name w:val="报告表格"/>
    <w:basedOn w:val="1"/>
    <w:autoRedefine/>
    <w:qFormat/>
    <w:uiPriority w:val="0"/>
    <w:pPr>
      <w:autoSpaceDE w:val="0"/>
      <w:autoSpaceDN w:val="0"/>
      <w:adjustRightInd w:val="0"/>
      <w:spacing w:line="320" w:lineRule="exact"/>
      <w:jc w:val="left"/>
      <w:textAlignment w:val="bottom"/>
    </w:pPr>
    <w:rPr>
      <w:rFonts w:ascii="宋体" w:hAnsi="宋体" w:cs="宋体"/>
      <w:kern w:val="0"/>
    </w:rPr>
  </w:style>
  <w:style w:type="paragraph" w:customStyle="1" w:styleId="327">
    <w:name w:val="表内文字"/>
    <w:basedOn w:val="1"/>
    <w:autoRedefine/>
    <w:qFormat/>
    <w:uiPriority w:val="0"/>
    <w:pPr>
      <w:adjustRightInd w:val="0"/>
      <w:spacing w:line="400" w:lineRule="exact"/>
      <w:jc w:val="center"/>
      <w:textAlignment w:val="baseline"/>
    </w:pPr>
    <w:rPr>
      <w:rFonts w:ascii="宋体" w:hAnsi="宋体" w:cs="宋体"/>
      <w:snapToGrid w:val="0"/>
      <w:kern w:val="24"/>
    </w:rPr>
  </w:style>
  <w:style w:type="paragraph" w:customStyle="1" w:styleId="328">
    <w:name w:val="Char Char Char1 Char"/>
    <w:basedOn w:val="1"/>
    <w:autoRedefine/>
    <w:qFormat/>
    <w:uiPriority w:val="0"/>
    <w:rPr>
      <w:rFonts w:ascii="宋体" w:hAnsi="宋体" w:cs="宋体"/>
    </w:rPr>
  </w:style>
  <w:style w:type="paragraph" w:customStyle="1" w:styleId="329">
    <w:name w:val="样式 标题 3条标题1.1.1条标题1.1.11条标题1.1.12条标题1.1.13条标题1.1.111条标题1.1...1"/>
    <w:basedOn w:val="5"/>
    <w:autoRedefine/>
    <w:qFormat/>
    <w:uiPriority w:val="0"/>
    <w:pPr>
      <w:spacing w:before="0" w:after="0" w:line="500" w:lineRule="exact"/>
    </w:pPr>
    <w:rPr>
      <w:rFonts w:ascii="宋体" w:hAnsi="宋体" w:cs="宋体"/>
      <w:bCs w:val="0"/>
      <w:sz w:val="28"/>
      <w:szCs w:val="20"/>
    </w:rPr>
  </w:style>
  <w:style w:type="paragraph" w:customStyle="1" w:styleId="330">
    <w:name w:val="表题格式"/>
    <w:basedOn w:val="1"/>
    <w:autoRedefine/>
    <w:qFormat/>
    <w:uiPriority w:val="0"/>
    <w:pPr>
      <w:spacing w:line="440" w:lineRule="exact"/>
      <w:ind w:firstLine="377" w:firstLineChars="377"/>
    </w:pPr>
    <w:rPr>
      <w:rFonts w:ascii="宋体" w:hAnsi="宋体" w:eastAsia="黑体" w:cs="宋体"/>
      <w:kern w:val="0"/>
      <w:sz w:val="24"/>
    </w:rPr>
  </w:style>
  <w:style w:type="paragraph" w:customStyle="1" w:styleId="331">
    <w:name w:val="表头样式1"/>
    <w:basedOn w:val="1"/>
    <w:autoRedefine/>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cs="宋体"/>
      <w:kern w:val="0"/>
      <w:sz w:val="24"/>
    </w:rPr>
  </w:style>
  <w:style w:type="paragraph" w:customStyle="1" w:styleId="332">
    <w:name w:val="样式 标题 31.1.1标题 3 + Times New Roman 自动设置 段前: 0.2 行 段后: 0.2 行"/>
    <w:basedOn w:val="5"/>
    <w:autoRedefine/>
    <w:qFormat/>
    <w:uiPriority w:val="0"/>
    <w:pPr>
      <w:autoSpaceDE w:val="0"/>
      <w:autoSpaceDN w:val="0"/>
      <w:adjustRightInd w:val="0"/>
      <w:spacing w:beforeLines="20" w:afterLines="20" w:line="360" w:lineRule="auto"/>
      <w:jc w:val="left"/>
    </w:pPr>
    <w:rPr>
      <w:rFonts w:ascii="Calibri" w:hAnsi="Calibri" w:cs="宋体"/>
      <w:bCs w:val="0"/>
      <w:kern w:val="0"/>
      <w:sz w:val="24"/>
      <w:szCs w:val="20"/>
    </w:rPr>
  </w:style>
  <w:style w:type="paragraph" w:customStyle="1" w:styleId="333">
    <w:name w:val="标题003"/>
    <w:basedOn w:val="1"/>
    <w:autoRedefine/>
    <w:qFormat/>
    <w:uiPriority w:val="0"/>
    <w:pPr>
      <w:spacing w:before="120" w:line="440" w:lineRule="exact"/>
      <w:outlineLvl w:val="2"/>
    </w:pPr>
    <w:rPr>
      <w:rFonts w:ascii="宋体" w:hAnsi="宋体" w:cs="宋体"/>
      <w:b/>
      <w:sz w:val="27"/>
    </w:rPr>
  </w:style>
  <w:style w:type="paragraph" w:customStyle="1" w:styleId="334">
    <w:name w:val="环评正文"/>
    <w:basedOn w:val="50"/>
    <w:link w:val="335"/>
    <w:autoRedefine/>
    <w:qFormat/>
    <w:uiPriority w:val="0"/>
    <w:pPr>
      <w:widowControl w:val="0"/>
      <w:spacing w:line="500" w:lineRule="exact"/>
      <w:ind w:left="0" w:leftChars="0" w:firstLine="560" w:firstLineChars="200"/>
      <w:jc w:val="both"/>
    </w:pPr>
    <w:rPr>
      <w:rFonts w:ascii="仿宋_GB2312" w:hAnsi="Calibri" w:eastAsia="仿宋_GB2312"/>
      <w:kern w:val="2"/>
      <w:sz w:val="28"/>
    </w:rPr>
  </w:style>
  <w:style w:type="character" w:customStyle="1" w:styleId="335">
    <w:name w:val="环评正文 Char"/>
    <w:link w:val="334"/>
    <w:autoRedefine/>
    <w:qFormat/>
    <w:uiPriority w:val="0"/>
    <w:rPr>
      <w:rFonts w:ascii="仿宋_GB2312" w:hAnsi="Calibri" w:eastAsia="仿宋_GB2312" w:cs="宋体"/>
      <w:kern w:val="2"/>
      <w:sz w:val="28"/>
      <w:szCs w:val="24"/>
    </w:rPr>
  </w:style>
  <w:style w:type="paragraph" w:customStyle="1" w:styleId="336">
    <w:name w:val="普通表格1"/>
    <w:basedOn w:val="45"/>
    <w:autoRedefine/>
    <w:qFormat/>
    <w:uiPriority w:val="0"/>
    <w:pPr>
      <w:widowControl w:val="0"/>
      <w:snapToGrid w:val="0"/>
      <w:spacing w:line="380" w:lineRule="exact"/>
      <w:jc w:val="both"/>
    </w:pPr>
    <w:rPr>
      <w:rFonts w:ascii="Times New Roman" w:hAnsi="Times New Roman" w:cs="Times New Roman"/>
      <w:kern w:val="2"/>
      <w:szCs w:val="20"/>
    </w:rPr>
  </w:style>
  <w:style w:type="paragraph" w:customStyle="1" w:styleId="337">
    <w:name w:val="Char Char Char1 Char Char Char Char"/>
    <w:basedOn w:val="1"/>
    <w:autoRedefine/>
    <w:qFormat/>
    <w:uiPriority w:val="0"/>
    <w:rPr>
      <w:rFonts w:ascii="宋体" w:hAnsi="宋体" w:cs="宋体"/>
    </w:rPr>
  </w:style>
  <w:style w:type="paragraph" w:customStyle="1" w:styleId="338">
    <w:name w:val="样式 正文文本缩进 + 左侧:  0.95 厘米 首行缩进:  0.63 厘米"/>
    <w:basedOn w:val="35"/>
    <w:autoRedefine/>
    <w:qFormat/>
    <w:uiPriority w:val="0"/>
    <w:pPr>
      <w:spacing w:after="0" w:line="480" w:lineRule="exact"/>
      <w:ind w:left="0" w:leftChars="0" w:firstLine="480" w:firstLineChars="200"/>
    </w:pPr>
    <w:rPr>
      <w:rFonts w:ascii="宋体" w:hAnsi="宋体" w:cs="宋体"/>
      <w:color w:val="000000"/>
      <w:sz w:val="24"/>
    </w:rPr>
  </w:style>
  <w:style w:type="paragraph" w:customStyle="1" w:styleId="339">
    <w:name w:val="Char Char Char Char Char Char Char Char Char Char"/>
    <w:basedOn w:val="1"/>
    <w:autoRedefine/>
    <w:qFormat/>
    <w:uiPriority w:val="0"/>
    <w:rPr>
      <w:rFonts w:ascii="黑体" w:hAnsi="黑体" w:eastAsia="黑体" w:cs="宋体"/>
      <w:b/>
      <w:spacing w:val="10"/>
      <w:kern w:val="44"/>
      <w:sz w:val="28"/>
    </w:rPr>
  </w:style>
  <w:style w:type="paragraph" w:customStyle="1" w:styleId="340">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
    <w:name w:val="表样式1.1"/>
    <w:basedOn w:val="1"/>
    <w:autoRedefine/>
    <w:qFormat/>
    <w:uiPriority w:val="0"/>
    <w:pPr>
      <w:autoSpaceDE w:val="0"/>
      <w:autoSpaceDN w:val="0"/>
      <w:adjustRightInd w:val="0"/>
      <w:snapToGrid w:val="0"/>
      <w:spacing w:line="374" w:lineRule="exact"/>
      <w:jc w:val="center"/>
    </w:pPr>
    <w:rPr>
      <w:rFonts w:ascii="宋体" w:hAnsi="宋体" w:cs="宋体"/>
      <w:color w:val="000000"/>
      <w:kern w:val="0"/>
    </w:rPr>
  </w:style>
  <w:style w:type="paragraph" w:customStyle="1" w:styleId="342">
    <w:name w:val="正文（行首缩进2字）"/>
    <w:basedOn w:val="1"/>
    <w:autoRedefine/>
    <w:qFormat/>
    <w:uiPriority w:val="0"/>
    <w:pPr>
      <w:spacing w:line="360" w:lineRule="auto"/>
      <w:ind w:firstLine="200" w:firstLineChars="200"/>
    </w:pPr>
    <w:rPr>
      <w:rFonts w:ascii="宋体" w:hAnsi="宋体" w:cs="宋体"/>
      <w:sz w:val="28"/>
    </w:rPr>
  </w:style>
  <w:style w:type="paragraph" w:customStyle="1" w:styleId="343">
    <w:name w:val="正文段落"/>
    <w:basedOn w:val="1"/>
    <w:autoRedefine/>
    <w:qFormat/>
    <w:uiPriority w:val="0"/>
    <w:pPr>
      <w:autoSpaceDE w:val="0"/>
      <w:autoSpaceDN w:val="0"/>
      <w:adjustRightInd w:val="0"/>
      <w:spacing w:line="500" w:lineRule="exact"/>
      <w:ind w:firstLine="200" w:firstLineChars="200"/>
      <w:textAlignment w:val="baseline"/>
    </w:pPr>
    <w:rPr>
      <w:rFonts w:ascii="宋体" w:hAnsi="Tms Rmn" w:eastAsia="仿宋_GB2312" w:cs="宋体"/>
      <w:kern w:val="0"/>
      <w:sz w:val="28"/>
    </w:rPr>
  </w:style>
  <w:style w:type="paragraph" w:customStyle="1" w:styleId="344">
    <w:name w:val="标题002"/>
    <w:basedOn w:val="1"/>
    <w:autoRedefine/>
    <w:qFormat/>
    <w:uiPriority w:val="0"/>
    <w:pPr>
      <w:spacing w:before="160" w:line="480" w:lineRule="exact"/>
      <w:outlineLvl w:val="1"/>
    </w:pPr>
    <w:rPr>
      <w:rFonts w:ascii="宋体" w:hAnsi="宋体" w:cs="宋体"/>
      <w:b/>
      <w:sz w:val="28"/>
    </w:rPr>
  </w:style>
  <w:style w:type="paragraph" w:customStyle="1" w:styleId="345">
    <w:name w:val="表格1"/>
    <w:basedOn w:val="1"/>
    <w:autoRedefine/>
    <w:qFormat/>
    <w:uiPriority w:val="0"/>
    <w:pPr>
      <w:adjustRightInd w:val="0"/>
      <w:spacing w:line="360" w:lineRule="exact"/>
      <w:jc w:val="center"/>
      <w:textAlignment w:val="baseline"/>
    </w:pPr>
    <w:rPr>
      <w:rFonts w:ascii="CG Times (W1)" w:hAnsi="CG Times (W1)" w:cs="宋体"/>
      <w:kern w:val="0"/>
      <w:sz w:val="24"/>
    </w:rPr>
  </w:style>
  <w:style w:type="paragraph" w:customStyle="1" w:styleId="346">
    <w:name w:val="样式 标题 3 + 首行缩进:  2 字符1"/>
    <w:basedOn w:val="5"/>
    <w:autoRedefine/>
    <w:qFormat/>
    <w:uiPriority w:val="0"/>
    <w:pPr>
      <w:spacing w:before="240" w:after="240" w:line="413" w:lineRule="auto"/>
    </w:pPr>
    <w:rPr>
      <w:rFonts w:ascii="Calibri" w:hAnsi="Calibri" w:cs="宋体"/>
      <w:bCs w:val="0"/>
      <w:sz w:val="28"/>
      <w:szCs w:val="20"/>
    </w:rPr>
  </w:style>
  <w:style w:type="paragraph" w:customStyle="1" w:styleId="347">
    <w:name w:val="Char Char Char1 Char Char Char Char Char Char Char Char Char Char Char Char Char Char Char Char Char Char Char Char Char Char"/>
    <w:basedOn w:val="1"/>
    <w:autoRedefine/>
    <w:qFormat/>
    <w:uiPriority w:val="0"/>
    <w:rPr>
      <w:rFonts w:ascii="宋体" w:hAnsi="宋体" w:cs="宋体"/>
    </w:rPr>
  </w:style>
  <w:style w:type="paragraph" w:customStyle="1" w:styleId="348">
    <w:name w:val="二级无标题条"/>
    <w:basedOn w:val="1"/>
    <w:autoRedefine/>
    <w:qFormat/>
    <w:uiPriority w:val="0"/>
    <w:rPr>
      <w:rFonts w:ascii="宋体" w:hAnsi="宋体" w:cs="宋体"/>
    </w:rPr>
  </w:style>
  <w:style w:type="paragraph" w:customStyle="1" w:styleId="349">
    <w:name w:val="图表标题"/>
    <w:basedOn w:val="350"/>
    <w:next w:val="1"/>
    <w:autoRedefine/>
    <w:qFormat/>
    <w:uiPriority w:val="0"/>
    <w:pPr>
      <w:snapToGrid w:val="0"/>
      <w:spacing w:line="240" w:lineRule="auto"/>
      <w:ind w:firstLine="0"/>
      <w:jc w:val="center"/>
      <w:textAlignment w:val="baseline"/>
    </w:pPr>
    <w:rPr>
      <w:rFonts w:ascii="Arial" w:hAnsi="Arial"/>
      <w:b/>
    </w:rPr>
  </w:style>
  <w:style w:type="paragraph" w:customStyle="1" w:styleId="350">
    <w:name w:val="报告"/>
    <w:basedOn w:val="1"/>
    <w:autoRedefine/>
    <w:qFormat/>
    <w:uiPriority w:val="0"/>
    <w:pPr>
      <w:adjustRightInd w:val="0"/>
      <w:spacing w:line="360" w:lineRule="auto"/>
      <w:ind w:firstLine="505"/>
      <w:textAlignment w:val="center"/>
    </w:pPr>
    <w:rPr>
      <w:rFonts w:ascii="TimesNewRoman" w:hAnsi="TimesNewRoman" w:cs="宋体"/>
      <w:kern w:val="0"/>
      <w:sz w:val="24"/>
    </w:rPr>
  </w:style>
  <w:style w:type="paragraph" w:customStyle="1" w:styleId="351">
    <w:name w:val="标题001"/>
    <w:basedOn w:val="1"/>
    <w:autoRedefine/>
    <w:qFormat/>
    <w:uiPriority w:val="0"/>
    <w:pPr>
      <w:spacing w:before="60" w:line="480" w:lineRule="exact"/>
      <w:outlineLvl w:val="0"/>
    </w:pPr>
    <w:rPr>
      <w:rFonts w:ascii="宋体" w:hAnsi="宋体" w:cs="宋体"/>
      <w:b/>
      <w:sz w:val="32"/>
    </w:rPr>
  </w:style>
  <w:style w:type="paragraph" w:customStyle="1" w:styleId="352">
    <w:name w:val="wangjunbo.bullet"/>
    <w:basedOn w:val="1"/>
    <w:autoRedefine/>
    <w:qFormat/>
    <w:uiPriority w:val="0"/>
    <w:pPr>
      <w:jc w:val="center"/>
    </w:pPr>
    <w:rPr>
      <w:rFonts w:ascii="宋体" w:hAnsi="宋体" w:cs="宋体"/>
    </w:rPr>
  </w:style>
  <w:style w:type="paragraph" w:customStyle="1" w:styleId="353">
    <w:name w:val="3级标题"/>
    <w:basedOn w:val="1"/>
    <w:link w:val="354"/>
    <w:autoRedefine/>
    <w:qFormat/>
    <w:uiPriority w:val="0"/>
    <w:pPr>
      <w:keepNext/>
      <w:keepLines/>
      <w:adjustRightInd w:val="0"/>
      <w:snapToGrid w:val="0"/>
      <w:spacing w:before="80" w:after="80" w:line="400" w:lineRule="exact"/>
      <w:outlineLvl w:val="2"/>
    </w:pPr>
    <w:rPr>
      <w:rFonts w:ascii="Calibri" w:hAnsi="Calibri" w:cs="宋体"/>
      <w:b/>
      <w:color w:val="000000"/>
      <w:sz w:val="24"/>
    </w:rPr>
  </w:style>
  <w:style w:type="character" w:customStyle="1" w:styleId="354">
    <w:name w:val="3级标题 Char"/>
    <w:link w:val="353"/>
    <w:autoRedefine/>
    <w:qFormat/>
    <w:uiPriority w:val="0"/>
    <w:rPr>
      <w:rFonts w:ascii="Calibri" w:hAnsi="Calibri" w:cs="宋体"/>
      <w:b/>
      <w:color w:val="000000"/>
      <w:kern w:val="2"/>
      <w:sz w:val="24"/>
      <w:szCs w:val="24"/>
    </w:rPr>
  </w:style>
  <w:style w:type="paragraph" w:customStyle="1" w:styleId="355">
    <w:name w:val="标准"/>
    <w:basedOn w:val="1"/>
    <w:autoRedefine/>
    <w:qFormat/>
    <w:uiPriority w:val="0"/>
    <w:pPr>
      <w:adjustRightInd w:val="0"/>
      <w:spacing w:line="312" w:lineRule="atLeast"/>
      <w:jc w:val="center"/>
      <w:textAlignment w:val="baseline"/>
    </w:pPr>
    <w:rPr>
      <w:rFonts w:ascii="宋体" w:hAnsi="宋体" w:cs="宋体"/>
      <w:kern w:val="0"/>
    </w:rPr>
  </w:style>
  <w:style w:type="paragraph" w:customStyle="1" w:styleId="356">
    <w:name w:val="样式 标题 2节第一章 标题 2Heading 2 HiddenHeading 2 CCBSheading 2H2...1"/>
    <w:basedOn w:val="4"/>
    <w:autoRedefine/>
    <w:qFormat/>
    <w:uiPriority w:val="0"/>
    <w:pPr>
      <w:widowControl w:val="0"/>
      <w:tabs>
        <w:tab w:val="clear" w:pos="1276"/>
      </w:tabs>
      <w:spacing w:before="120" w:after="120" w:line="500" w:lineRule="exact"/>
      <w:ind w:left="0" w:firstLine="0"/>
      <w:jc w:val="both"/>
    </w:pPr>
    <w:rPr>
      <w:rFonts w:ascii="宋体" w:hAnsi="宋体" w:cs="宋体"/>
      <w:b/>
      <w:kern w:val="2"/>
      <w:sz w:val="24"/>
      <w:szCs w:val="24"/>
    </w:rPr>
  </w:style>
  <w:style w:type="paragraph" w:customStyle="1" w:styleId="357">
    <w:name w:val="样式6"/>
    <w:basedOn w:val="1"/>
    <w:autoRedefine/>
    <w:qFormat/>
    <w:uiPriority w:val="0"/>
    <w:pPr>
      <w:tabs>
        <w:tab w:val="left" w:leader="dot" w:pos="1092"/>
        <w:tab w:val="left" w:pos="1260"/>
      </w:tabs>
      <w:adjustRightInd w:val="0"/>
      <w:snapToGrid w:val="0"/>
      <w:spacing w:beforeLines="50" w:afterLines="50" w:line="360" w:lineRule="auto"/>
      <w:ind w:left="1260" w:hanging="720"/>
      <w:jc w:val="left"/>
      <w:outlineLvl w:val="2"/>
    </w:pPr>
    <w:rPr>
      <w:rFonts w:ascii="宋体" w:hAnsi="宋体" w:cs="宋体"/>
      <w:sz w:val="24"/>
    </w:rPr>
  </w:style>
  <w:style w:type="paragraph" w:customStyle="1" w:styleId="358">
    <w:name w:val="标题004"/>
    <w:basedOn w:val="359"/>
    <w:autoRedefine/>
    <w:qFormat/>
    <w:uiPriority w:val="0"/>
    <w:pPr>
      <w:ind w:firstLine="0"/>
      <w:outlineLvl w:val="3"/>
    </w:pPr>
    <w:rPr>
      <w:b/>
    </w:rPr>
  </w:style>
  <w:style w:type="paragraph" w:customStyle="1" w:styleId="359">
    <w:name w:val="正文001"/>
    <w:basedOn w:val="1"/>
    <w:autoRedefine/>
    <w:qFormat/>
    <w:uiPriority w:val="0"/>
    <w:pPr>
      <w:spacing w:before="60" w:line="420" w:lineRule="exact"/>
      <w:ind w:firstLine="482"/>
    </w:pPr>
    <w:rPr>
      <w:rFonts w:ascii="宋体" w:hAnsi="宋体" w:cs="宋体"/>
      <w:sz w:val="24"/>
    </w:rPr>
  </w:style>
  <w:style w:type="paragraph" w:customStyle="1" w:styleId="360">
    <w:name w:val="样式 图表"/>
    <w:basedOn w:val="1"/>
    <w:autoRedefine/>
    <w:qFormat/>
    <w:uiPriority w:val="0"/>
    <w:pPr>
      <w:adjustRightInd w:val="0"/>
      <w:spacing w:line="360" w:lineRule="auto"/>
      <w:jc w:val="center"/>
      <w:textAlignment w:val="baseline"/>
    </w:pPr>
    <w:rPr>
      <w:rFonts w:ascii="宋体" w:hAnsi="宋体" w:cs="宋体"/>
      <w:b/>
      <w:kern w:val="0"/>
      <w:sz w:val="24"/>
    </w:rPr>
  </w:style>
  <w:style w:type="paragraph" w:customStyle="1" w:styleId="361">
    <w:name w:val="文本框"/>
    <w:basedOn w:val="1"/>
    <w:next w:val="1"/>
    <w:autoRedefine/>
    <w:qFormat/>
    <w:uiPriority w:val="0"/>
    <w:pPr>
      <w:widowControl/>
      <w:spacing w:line="320" w:lineRule="exact"/>
      <w:ind w:firstLine="200" w:firstLineChars="200"/>
      <w:jc w:val="center"/>
    </w:pPr>
    <w:rPr>
      <w:rFonts w:ascii="仿宋_GB2312" w:hAnsi="宋体" w:eastAsia="仿宋_GB2312" w:cs="宋体"/>
      <w:kern w:val="0"/>
      <w:sz w:val="24"/>
    </w:rPr>
  </w:style>
  <w:style w:type="paragraph" w:customStyle="1" w:styleId="362">
    <w:name w:val="表样式1"/>
    <w:basedOn w:val="1"/>
    <w:autoRedefine/>
    <w:qFormat/>
    <w:uiPriority w:val="0"/>
    <w:pPr>
      <w:spacing w:line="360" w:lineRule="auto"/>
      <w:jc w:val="center"/>
    </w:pPr>
    <w:rPr>
      <w:rFonts w:ascii="宋体" w:hAnsi="宋体" w:cs="宋体"/>
      <w:color w:val="000000"/>
    </w:rPr>
  </w:style>
  <w:style w:type="paragraph" w:customStyle="1" w:styleId="363">
    <w:name w:val="样式 正文缩进正文缩进 Char正文缩进1 Char正文缩进1正文（首行缩进两字） Char正文缩进 Char Cha..."/>
    <w:basedOn w:val="9"/>
    <w:autoRedefine/>
    <w:qFormat/>
    <w:uiPriority w:val="0"/>
    <w:pPr>
      <w:adjustRightInd/>
      <w:snapToGrid/>
      <w:spacing w:beforeLines="50" w:line="360" w:lineRule="auto"/>
      <w:ind w:firstLine="567" w:firstLineChars="0"/>
      <w:jc w:val="left"/>
    </w:pPr>
    <w:rPr>
      <w:rFonts w:ascii="Calibri" w:hAnsi="Calibri" w:eastAsia="宋体" w:cs="宋体"/>
      <w:color w:val="auto"/>
      <w:sz w:val="24"/>
      <w:szCs w:val="20"/>
    </w:rPr>
  </w:style>
  <w:style w:type="paragraph" w:customStyle="1" w:styleId="364">
    <w:name w:val="小四宋居中1.0"/>
    <w:basedOn w:val="1"/>
    <w:next w:val="1"/>
    <w:autoRedefine/>
    <w:qFormat/>
    <w:uiPriority w:val="0"/>
    <w:pPr>
      <w:jc w:val="center"/>
    </w:pPr>
    <w:rPr>
      <w:rFonts w:ascii="仿宋_GB2312" w:hAnsi="宋体" w:eastAsia="仿宋_GB2312" w:cs="宋体"/>
      <w:sz w:val="24"/>
    </w:rPr>
  </w:style>
  <w:style w:type="paragraph" w:customStyle="1" w:styleId="365">
    <w:name w:val="2级标题"/>
    <w:autoRedefine/>
    <w:qFormat/>
    <w:uiPriority w:val="0"/>
    <w:pPr>
      <w:adjustRightInd w:val="0"/>
      <w:snapToGrid w:val="0"/>
      <w:spacing w:beforeLines="50" w:line="480" w:lineRule="atLeast"/>
      <w:jc w:val="both"/>
      <w:outlineLvl w:val="1"/>
    </w:pPr>
    <w:rPr>
      <w:rFonts w:ascii="宋体" w:hAnsi="宋体" w:cs="Times New Roman" w:eastAsiaTheme="minorEastAsia"/>
      <w:b/>
      <w:kern w:val="2"/>
      <w:sz w:val="28"/>
      <w:lang w:val="en-US" w:eastAsia="zh-CN" w:bidi="ar-SA"/>
    </w:rPr>
  </w:style>
  <w:style w:type="paragraph" w:customStyle="1" w:styleId="366">
    <w:name w:val="样式 标题 3 + 11 磅 蓝色"/>
    <w:basedOn w:val="5"/>
    <w:autoRedefine/>
    <w:qFormat/>
    <w:uiPriority w:val="0"/>
    <w:pPr>
      <w:autoSpaceDE w:val="0"/>
      <w:autoSpaceDN w:val="0"/>
      <w:adjustRightInd w:val="0"/>
      <w:snapToGrid w:val="0"/>
      <w:spacing w:before="0" w:after="0" w:line="500" w:lineRule="exact"/>
      <w:jc w:val="left"/>
      <w:textAlignment w:val="baseline"/>
    </w:pPr>
    <w:rPr>
      <w:rFonts w:ascii="宋体" w:hAnsi="宋体" w:cs="宋体"/>
      <w:b w:val="0"/>
      <w:bCs w:val="0"/>
      <w:snapToGrid w:val="0"/>
      <w:color w:val="0000FF"/>
      <w:kern w:val="0"/>
      <w:sz w:val="28"/>
      <w:szCs w:val="20"/>
    </w:rPr>
  </w:style>
  <w:style w:type="paragraph" w:customStyle="1" w:styleId="367">
    <w:name w:val="Char Char Char Char Char Char Char49"/>
    <w:basedOn w:val="1"/>
    <w:autoRedefine/>
    <w:qFormat/>
    <w:uiPriority w:val="0"/>
    <w:rPr>
      <w:rFonts w:ascii="宋体" w:hAnsi="宋体" w:cs="宋体"/>
    </w:rPr>
  </w:style>
  <w:style w:type="paragraph" w:customStyle="1" w:styleId="368">
    <w:name w:val="样式 标题 3条标题1.1.1条标题1.1.11条标题1.1.12条标题1.1.13条标题1.1.111条标题1.1..."/>
    <w:basedOn w:val="5"/>
    <w:autoRedefine/>
    <w:qFormat/>
    <w:uiPriority w:val="0"/>
    <w:pPr>
      <w:spacing w:before="0" w:after="0" w:line="500" w:lineRule="exact"/>
    </w:pPr>
    <w:rPr>
      <w:rFonts w:ascii="宋体" w:hAnsi="宋体" w:cs="宋体"/>
      <w:bCs w:val="0"/>
      <w:sz w:val="28"/>
      <w:szCs w:val="20"/>
    </w:rPr>
  </w:style>
  <w:style w:type="paragraph" w:customStyle="1" w:styleId="369">
    <w:name w:val="首行缩进两字"/>
    <w:basedOn w:val="1"/>
    <w:autoRedefine/>
    <w:qFormat/>
    <w:uiPriority w:val="0"/>
    <w:pPr>
      <w:ind w:firstLine="549" w:firstLineChars="196"/>
      <w:jc w:val="left"/>
    </w:pPr>
    <w:rPr>
      <w:rFonts w:ascii="宋体" w:hAnsi="宋体" w:cs="宋体"/>
      <w:sz w:val="28"/>
    </w:rPr>
  </w:style>
  <w:style w:type="paragraph" w:customStyle="1" w:styleId="370">
    <w:name w:val="xl54"/>
    <w:basedOn w:val="1"/>
    <w:autoRedefine/>
    <w:qFormat/>
    <w:uiPriority w:val="0"/>
    <w:pPr>
      <w:widowControl/>
      <w:pBdr>
        <w:right w:val="single" w:color="auto" w:sz="4" w:space="0"/>
      </w:pBdr>
      <w:spacing w:before="100" w:after="100"/>
      <w:jc w:val="center"/>
      <w:textAlignment w:val="center"/>
    </w:pPr>
    <w:rPr>
      <w:rFonts w:ascii="宋体" w:hAnsi="宋体" w:cs="宋体"/>
      <w:kern w:val="0"/>
      <w:sz w:val="24"/>
    </w:rPr>
  </w:style>
  <w:style w:type="paragraph" w:customStyle="1" w:styleId="371">
    <w:name w:val="Char Char Char Char Char Char Char Char Char Char1"/>
    <w:basedOn w:val="1"/>
    <w:autoRedefine/>
    <w:qFormat/>
    <w:uiPriority w:val="0"/>
    <w:rPr>
      <w:rFonts w:ascii="宋体" w:hAnsi="宋体" w:cs="宋体"/>
    </w:rPr>
  </w:style>
  <w:style w:type="paragraph" w:customStyle="1" w:styleId="372">
    <w:name w:val="图表文字"/>
    <w:basedOn w:val="9"/>
    <w:autoRedefine/>
    <w:qFormat/>
    <w:uiPriority w:val="0"/>
    <w:pPr>
      <w:adjustRightInd/>
      <w:snapToGrid/>
      <w:spacing w:beforeLines="50" w:line="240" w:lineRule="auto"/>
      <w:ind w:firstLine="0" w:firstLineChars="0"/>
      <w:jc w:val="center"/>
    </w:pPr>
    <w:rPr>
      <w:rFonts w:ascii="Calibri" w:hAnsi="Calibri" w:eastAsia="宋体" w:cs="宋体"/>
      <w:color w:val="auto"/>
      <w:sz w:val="21"/>
      <w:szCs w:val="20"/>
    </w:rPr>
  </w:style>
  <w:style w:type="paragraph" w:customStyle="1" w:styleId="373">
    <w:name w:val="纯文本2"/>
    <w:basedOn w:val="1"/>
    <w:autoRedefine/>
    <w:qFormat/>
    <w:uiPriority w:val="0"/>
    <w:pPr>
      <w:adjustRightInd w:val="0"/>
      <w:textAlignment w:val="baseline"/>
    </w:pPr>
    <w:rPr>
      <w:rFonts w:ascii="宋体" w:hAnsi="Courier New" w:cs="宋体"/>
    </w:rPr>
  </w:style>
  <w:style w:type="paragraph" w:customStyle="1" w:styleId="374">
    <w:name w:val="正文缩进1"/>
    <w:basedOn w:val="1"/>
    <w:autoRedefine/>
    <w:qFormat/>
    <w:uiPriority w:val="0"/>
    <w:pPr>
      <w:ind w:firstLine="420" w:firstLineChars="200"/>
    </w:pPr>
    <w:rPr>
      <w:rFonts w:hint="eastAsia" w:ascii="宋体" w:hAnsi="宋体" w:cs="宋体"/>
    </w:rPr>
  </w:style>
  <w:style w:type="paragraph" w:customStyle="1" w:styleId="375">
    <w:name w:val="表格文字2"/>
    <w:basedOn w:val="201"/>
    <w:autoRedefine/>
    <w:qFormat/>
    <w:uiPriority w:val="0"/>
    <w:pPr>
      <w:widowControl w:val="0"/>
      <w:tabs>
        <w:tab w:val="left" w:pos="560"/>
      </w:tabs>
      <w:overflowPunct w:val="0"/>
      <w:adjustRightInd w:val="0"/>
      <w:snapToGrid w:val="0"/>
      <w:spacing w:line="400" w:lineRule="exact"/>
    </w:pPr>
    <w:rPr>
      <w:rFonts w:ascii="Times New Roman" w:hAnsi="Times New Roman" w:eastAsia="宋体"/>
      <w:snapToGrid w:val="0"/>
      <w:color w:val="000000"/>
      <w:kern w:val="0"/>
      <w:sz w:val="21"/>
      <w:szCs w:val="21"/>
    </w:rPr>
  </w:style>
  <w:style w:type="paragraph" w:customStyle="1" w:styleId="376">
    <w:name w:val="样式 表格文字 + (西文) 宋体 (中文) 华文仿宋 小四 黑色"/>
    <w:basedOn w:val="201"/>
    <w:autoRedefine/>
    <w:qFormat/>
    <w:uiPriority w:val="0"/>
    <w:pPr>
      <w:widowControl w:val="0"/>
      <w:tabs>
        <w:tab w:val="left" w:pos="560"/>
      </w:tabs>
      <w:overflowPunct w:val="0"/>
      <w:adjustRightInd w:val="0"/>
      <w:snapToGrid w:val="0"/>
      <w:spacing w:line="400" w:lineRule="exact"/>
    </w:pPr>
    <w:rPr>
      <w:rFonts w:ascii="Times New Roman" w:hAnsi="宋体" w:eastAsia="宋体"/>
      <w:snapToGrid w:val="0"/>
      <w:color w:val="000000"/>
      <w:kern w:val="0"/>
      <w:sz w:val="21"/>
    </w:rPr>
  </w:style>
  <w:style w:type="paragraph" w:customStyle="1" w:styleId="377">
    <w:name w:val="样式 表格文字 + (西文) 宋体 (中文) 华文仿宋 小四 黑色1"/>
    <w:basedOn w:val="201"/>
    <w:autoRedefine/>
    <w:qFormat/>
    <w:uiPriority w:val="0"/>
    <w:pPr>
      <w:widowControl w:val="0"/>
      <w:tabs>
        <w:tab w:val="left" w:pos="560"/>
      </w:tabs>
      <w:overflowPunct w:val="0"/>
      <w:adjustRightInd w:val="0"/>
      <w:snapToGrid w:val="0"/>
      <w:spacing w:line="400" w:lineRule="exact"/>
    </w:pPr>
    <w:rPr>
      <w:rFonts w:ascii="Times New Roman" w:hAnsi="宋体" w:eastAsia="宋体"/>
      <w:snapToGrid w:val="0"/>
      <w:color w:val="000000"/>
      <w:kern w:val="0"/>
      <w:sz w:val="21"/>
      <w:szCs w:val="21"/>
    </w:rPr>
  </w:style>
  <w:style w:type="paragraph" w:customStyle="1" w:styleId="378">
    <w:name w:val="样式 报告书表格 + 小五 底端: (单实线 自动设置  0.75 磅 行宽)"/>
    <w:basedOn w:val="1"/>
    <w:autoRedefine/>
    <w:qFormat/>
    <w:uiPriority w:val="0"/>
    <w:pPr>
      <w:adjustRightInd w:val="0"/>
      <w:spacing w:line="400" w:lineRule="exact"/>
      <w:jc w:val="center"/>
      <w:textAlignment w:val="baseline"/>
    </w:pPr>
    <w:rPr>
      <w:rFonts w:ascii="宋体" w:hAnsi="宋体" w:eastAsia="仿宋_GB2312" w:cs="宋体"/>
      <w:kern w:val="0"/>
      <w:sz w:val="18"/>
      <w:szCs w:val="18"/>
    </w:rPr>
  </w:style>
  <w:style w:type="paragraph" w:customStyle="1" w:styleId="379">
    <w:name w:val="正文-标准"/>
    <w:basedOn w:val="1"/>
    <w:autoRedefine/>
    <w:qFormat/>
    <w:uiPriority w:val="0"/>
    <w:pPr>
      <w:spacing w:line="500" w:lineRule="exact"/>
      <w:ind w:firstLine="200" w:firstLineChars="200"/>
    </w:pPr>
    <w:rPr>
      <w:rFonts w:ascii="宋体" w:hAnsi="宋体" w:cs="宋体"/>
      <w:sz w:val="24"/>
    </w:rPr>
  </w:style>
  <w:style w:type="paragraph" w:customStyle="1" w:styleId="380">
    <w:name w:val="样式 标题 4 + 黑体 小四 非加粗"/>
    <w:basedOn w:val="6"/>
    <w:autoRedefine/>
    <w:qFormat/>
    <w:uiPriority w:val="0"/>
    <w:pPr>
      <w:widowControl w:val="0"/>
      <w:tabs>
        <w:tab w:val="clear" w:pos="1276"/>
      </w:tabs>
      <w:adjustRightInd w:val="0"/>
      <w:spacing w:line="500" w:lineRule="exact"/>
      <w:ind w:left="0" w:firstLine="0"/>
      <w:jc w:val="both"/>
      <w:textAlignment w:val="baseline"/>
    </w:pPr>
    <w:rPr>
      <w:rFonts w:ascii="黑体" w:hAnsi="黑体"/>
      <w:spacing w:val="10"/>
      <w:szCs w:val="24"/>
    </w:rPr>
  </w:style>
  <w:style w:type="character" w:customStyle="1" w:styleId="381">
    <w:name w:val="unnamed11"/>
    <w:autoRedefine/>
    <w:qFormat/>
    <w:uiPriority w:val="0"/>
    <w:rPr>
      <w:rFonts w:ascii="黑体" w:hAnsi="黑体" w:eastAsia="宋体"/>
      <w:b/>
      <w:color w:val="000000"/>
      <w:spacing w:val="10"/>
      <w:kern w:val="2"/>
      <w:sz w:val="19"/>
      <w:szCs w:val="19"/>
      <w:u w:val="none"/>
      <w:lang w:val="en-US" w:eastAsia="zh-CN" w:bidi="ar-SA"/>
    </w:rPr>
  </w:style>
  <w:style w:type="character" w:customStyle="1" w:styleId="382">
    <w:name w:val="a51"/>
    <w:autoRedefine/>
    <w:qFormat/>
    <w:uiPriority w:val="0"/>
    <w:rPr>
      <w:rFonts w:ascii="黑体" w:hAnsi="黑体" w:eastAsia="宋体"/>
      <w:b/>
      <w:color w:val="000000"/>
      <w:spacing w:val="10"/>
      <w:kern w:val="2"/>
      <w:sz w:val="21"/>
      <w:szCs w:val="21"/>
      <w:u w:val="none"/>
      <w:lang w:val="en-US" w:eastAsia="zh-CN" w:bidi="ar-SA"/>
    </w:rPr>
  </w:style>
  <w:style w:type="paragraph" w:customStyle="1" w:styleId="383">
    <w:name w:val="样式 表头样式1 + 首行缩进:  2 字符 段前: 0.5 行"/>
    <w:basedOn w:val="331"/>
    <w:autoRedefine/>
    <w:qFormat/>
    <w:uiPriority w:val="0"/>
    <w:pPr>
      <w:snapToGrid/>
      <w:spacing w:afterLines="0" w:afterAutospacing="1"/>
    </w:pPr>
    <w:rPr>
      <w:rFonts w:ascii="Times New Roman" w:hAnsi="Times New Roman"/>
      <w:bCs/>
      <w:color w:val="000000"/>
      <w:lang w:eastAsia="zh-TW"/>
    </w:rPr>
  </w:style>
  <w:style w:type="paragraph" w:customStyle="1" w:styleId="384">
    <w:name w:val="样式5"/>
    <w:basedOn w:val="1"/>
    <w:autoRedefine/>
    <w:qFormat/>
    <w:uiPriority w:val="0"/>
    <w:pPr>
      <w:snapToGrid w:val="0"/>
      <w:spacing w:line="360" w:lineRule="auto"/>
      <w:ind w:firstLine="510"/>
    </w:pPr>
    <w:rPr>
      <w:rFonts w:ascii="宋体" w:hAnsi="宋体" w:cs="宋体"/>
      <w:sz w:val="24"/>
    </w:rPr>
  </w:style>
  <w:style w:type="paragraph" w:customStyle="1" w:styleId="385">
    <w:name w:val="样式 标题 4 + 段前: 7.8 磅"/>
    <w:basedOn w:val="6"/>
    <w:autoRedefine/>
    <w:qFormat/>
    <w:uiPriority w:val="0"/>
    <w:pPr>
      <w:widowControl w:val="0"/>
      <w:tabs>
        <w:tab w:val="clear" w:pos="1276"/>
      </w:tabs>
      <w:spacing w:line="500" w:lineRule="exact"/>
      <w:ind w:left="0" w:firstLine="0"/>
      <w:jc w:val="both"/>
      <w:outlineLvl w:val="0"/>
    </w:pPr>
    <w:rPr>
      <w:rFonts w:eastAsia="仿宋_GB2312" w:cs="Arial"/>
      <w:bCs w:val="0"/>
      <w:kern w:val="2"/>
      <w:szCs w:val="21"/>
    </w:rPr>
  </w:style>
  <w:style w:type="paragraph" w:customStyle="1" w:styleId="386">
    <w:name w:val="正文文字"/>
    <w:basedOn w:val="1"/>
    <w:autoRedefine/>
    <w:qFormat/>
    <w:uiPriority w:val="0"/>
    <w:pPr>
      <w:snapToGrid w:val="0"/>
      <w:spacing w:beforeLines="50" w:line="312" w:lineRule="auto"/>
      <w:ind w:firstLine="540" w:firstLineChars="225"/>
    </w:pPr>
    <w:rPr>
      <w:rFonts w:ascii="Arial" w:hAnsi="Arial" w:eastAsia="仿宋_GB2312" w:cs="Arial"/>
      <w:bCs/>
      <w:kern w:val="0"/>
      <w:sz w:val="24"/>
      <w:lang w:val="de-DE"/>
    </w:rPr>
  </w:style>
  <w:style w:type="paragraph" w:customStyle="1" w:styleId="387">
    <w:name w:val="样式 正文文本 + 首行缩进:  2 字符4"/>
    <w:basedOn w:val="34"/>
    <w:autoRedefine/>
    <w:qFormat/>
    <w:uiPriority w:val="0"/>
    <w:pPr>
      <w:adjustRightInd w:val="0"/>
      <w:spacing w:after="0" w:line="460" w:lineRule="exact"/>
      <w:ind w:firstLine="520"/>
      <w:textAlignment w:val="baseline"/>
    </w:pPr>
    <w:rPr>
      <w:rFonts w:ascii="宋体" w:hAnsi="宋体" w:cs="宋体"/>
      <w:bCs/>
      <w:color w:val="000000"/>
      <w:sz w:val="24"/>
    </w:rPr>
  </w:style>
  <w:style w:type="paragraph" w:customStyle="1" w:styleId="388">
    <w:name w:val="样式 标题 3 + (西文)粗体"/>
    <w:basedOn w:val="5"/>
    <w:autoRedefine/>
    <w:qFormat/>
    <w:uiPriority w:val="0"/>
    <w:rPr>
      <w:rFonts w:ascii="Arial" w:hAnsi="Arial" w:eastAsia="仿宋_GB2312" w:cs="Angsana New"/>
      <w:sz w:val="24"/>
      <w:lang w:bidi="th-TH"/>
    </w:rPr>
  </w:style>
  <w:style w:type="paragraph" w:customStyle="1" w:styleId="389">
    <w:name w:val="Date1"/>
    <w:basedOn w:val="1"/>
    <w:next w:val="1"/>
    <w:autoRedefine/>
    <w:qFormat/>
    <w:uiPriority w:val="0"/>
    <w:pPr>
      <w:adjustRightInd w:val="0"/>
      <w:textAlignment w:val="baseline"/>
    </w:pPr>
    <w:rPr>
      <w:rFonts w:ascii="宋体" w:hAnsi="宋体" w:cs="宋体"/>
    </w:rPr>
  </w:style>
  <w:style w:type="paragraph" w:customStyle="1" w:styleId="390">
    <w:name w:val="样式 标题 2 + 首行缩进:  2 字符"/>
    <w:basedOn w:val="4"/>
    <w:autoRedefine/>
    <w:qFormat/>
    <w:uiPriority w:val="0"/>
    <w:pPr>
      <w:widowControl w:val="0"/>
      <w:tabs>
        <w:tab w:val="clear" w:pos="1276"/>
      </w:tabs>
      <w:spacing w:after="120" w:line="500" w:lineRule="exact"/>
      <w:ind w:left="0" w:firstLine="0"/>
      <w:jc w:val="both"/>
    </w:pPr>
    <w:rPr>
      <w:rFonts w:ascii="Calibri" w:hAnsi="Calibri" w:eastAsia="黑体" w:cs="宋体"/>
      <w:b/>
      <w:bCs/>
      <w:kern w:val="2"/>
      <w:szCs w:val="24"/>
    </w:rPr>
  </w:style>
  <w:style w:type="paragraph" w:customStyle="1" w:styleId="391">
    <w:name w:val="正文(1)"/>
    <w:basedOn w:val="1"/>
    <w:autoRedefine/>
    <w:qFormat/>
    <w:uiPriority w:val="0"/>
    <w:pPr>
      <w:adjustRightInd w:val="0"/>
      <w:snapToGrid w:val="0"/>
      <w:spacing w:before="120" w:line="300" w:lineRule="auto"/>
      <w:ind w:firstLine="480" w:firstLineChars="200"/>
    </w:pPr>
    <w:rPr>
      <w:rFonts w:ascii="黑体" w:hAnsi="宋体" w:eastAsia="黑体" w:cs="宋体"/>
      <w:b/>
      <w:snapToGrid w:val="0"/>
      <w:color w:val="339966"/>
      <w:kern w:val="0"/>
      <w:sz w:val="24"/>
    </w:rPr>
  </w:style>
  <w:style w:type="character" w:customStyle="1" w:styleId="392">
    <w:name w:val="默认段落字体 Char"/>
    <w:autoRedefine/>
    <w:qFormat/>
    <w:uiPriority w:val="0"/>
    <w:rPr>
      <w:rFonts w:hint="eastAsia"/>
      <w:color w:val="000000"/>
      <w:sz w:val="21"/>
      <w:u w:color="000000"/>
      <w:lang w:val="en-US" w:eastAsia="zh-CN"/>
    </w:rPr>
  </w:style>
  <w:style w:type="character" w:customStyle="1" w:styleId="393">
    <w:name w:val="批注引用 Char"/>
    <w:basedOn w:val="392"/>
    <w:autoRedefine/>
    <w:qFormat/>
    <w:uiPriority w:val="0"/>
    <w:rPr>
      <w:rFonts w:hint="eastAsia"/>
      <w:color w:val="000000"/>
      <w:sz w:val="21"/>
      <w:u w:color="000000"/>
      <w:lang w:val="en-US" w:eastAsia="zh-CN"/>
    </w:rPr>
  </w:style>
  <w:style w:type="character" w:customStyle="1" w:styleId="394">
    <w:name w:val="页码 Char"/>
    <w:basedOn w:val="392"/>
    <w:autoRedefine/>
    <w:qFormat/>
    <w:uiPriority w:val="0"/>
    <w:rPr>
      <w:rFonts w:hint="eastAsia"/>
      <w:color w:val="000000"/>
      <w:sz w:val="21"/>
      <w:u w:color="000000"/>
      <w:lang w:val="en-US" w:eastAsia="zh-CN"/>
    </w:rPr>
  </w:style>
  <w:style w:type="paragraph" w:customStyle="1" w:styleId="395">
    <w:name w:val="节标题"/>
    <w:basedOn w:val="1"/>
    <w:next w:val="1"/>
    <w:autoRedefine/>
    <w:qFormat/>
    <w:uiPriority w:val="0"/>
    <w:pPr>
      <w:snapToGrid w:val="0"/>
      <w:spacing w:line="360" w:lineRule="auto"/>
      <w:jc w:val="left"/>
    </w:pPr>
    <w:rPr>
      <w:rFonts w:hint="eastAsia" w:ascii="宋体" w:hAnsi="黑体" w:eastAsia="黑体" w:cs="宋体"/>
      <w:sz w:val="28"/>
    </w:rPr>
  </w:style>
  <w:style w:type="paragraph" w:customStyle="1" w:styleId="396">
    <w:name w:val="目录 9 Char Char"/>
    <w:basedOn w:val="1"/>
    <w:next w:val="1"/>
    <w:autoRedefine/>
    <w:qFormat/>
    <w:uiPriority w:val="0"/>
    <w:pPr>
      <w:spacing w:line="351" w:lineRule="atLeast"/>
      <w:ind w:left="1678" w:firstLine="419"/>
      <w:jc w:val="left"/>
    </w:pPr>
    <w:rPr>
      <w:rFonts w:hint="eastAsia" w:ascii="宋体" w:hAnsi="宋体" w:cs="宋体"/>
    </w:rPr>
  </w:style>
  <w:style w:type="paragraph" w:customStyle="1" w:styleId="397">
    <w:name w:val="目录 7 Char Char"/>
    <w:basedOn w:val="1"/>
    <w:next w:val="1"/>
    <w:autoRedefine/>
    <w:qFormat/>
    <w:uiPriority w:val="0"/>
    <w:pPr>
      <w:spacing w:line="351" w:lineRule="atLeast"/>
      <w:ind w:left="1258" w:firstLine="419"/>
      <w:jc w:val="left"/>
    </w:pPr>
    <w:rPr>
      <w:rFonts w:hint="eastAsia" w:ascii="宋体" w:hAnsi="宋体" w:cs="宋体"/>
    </w:rPr>
  </w:style>
  <w:style w:type="paragraph" w:customStyle="1" w:styleId="398">
    <w:name w:val="页脚 Char Char"/>
    <w:basedOn w:val="1"/>
    <w:autoRedefine/>
    <w:qFormat/>
    <w:uiPriority w:val="0"/>
    <w:pPr>
      <w:tabs>
        <w:tab w:val="left" w:pos="4149"/>
        <w:tab w:val="left" w:pos="8016"/>
      </w:tabs>
      <w:spacing w:line="351" w:lineRule="atLeast"/>
      <w:ind w:firstLine="419"/>
      <w:jc w:val="left"/>
    </w:pPr>
    <w:rPr>
      <w:rFonts w:hint="eastAsia" w:ascii="宋体" w:hAnsi="宋体" w:cs="宋体"/>
      <w:sz w:val="18"/>
    </w:rPr>
  </w:style>
  <w:style w:type="paragraph" w:customStyle="1" w:styleId="399">
    <w:name w:val="目录 4 Char Char"/>
    <w:basedOn w:val="1"/>
    <w:next w:val="1"/>
    <w:autoRedefine/>
    <w:qFormat/>
    <w:uiPriority w:val="0"/>
    <w:pPr>
      <w:spacing w:line="351" w:lineRule="atLeast"/>
      <w:ind w:left="629" w:firstLine="419"/>
      <w:jc w:val="left"/>
    </w:pPr>
    <w:rPr>
      <w:rFonts w:hint="eastAsia" w:ascii="宋体" w:hAnsi="宋体" w:cs="宋体"/>
    </w:rPr>
  </w:style>
  <w:style w:type="paragraph" w:customStyle="1" w:styleId="400">
    <w:name w:val="目录 3 Char Char"/>
    <w:basedOn w:val="1"/>
    <w:next w:val="1"/>
    <w:autoRedefine/>
    <w:qFormat/>
    <w:uiPriority w:val="0"/>
    <w:pPr>
      <w:spacing w:line="351" w:lineRule="atLeast"/>
      <w:ind w:left="419" w:firstLine="419"/>
      <w:jc w:val="left"/>
    </w:pPr>
    <w:rPr>
      <w:rFonts w:hint="eastAsia" w:ascii="宋体" w:hAnsi="宋体" w:cs="宋体"/>
      <w:i/>
    </w:rPr>
  </w:style>
  <w:style w:type="paragraph" w:customStyle="1" w:styleId="401">
    <w:name w:val="目录 8 Char Char"/>
    <w:basedOn w:val="1"/>
    <w:next w:val="1"/>
    <w:autoRedefine/>
    <w:qFormat/>
    <w:uiPriority w:val="0"/>
    <w:pPr>
      <w:spacing w:line="351" w:lineRule="atLeast"/>
      <w:ind w:left="1468" w:firstLine="419"/>
      <w:jc w:val="left"/>
    </w:pPr>
    <w:rPr>
      <w:rFonts w:hint="eastAsia" w:ascii="宋体" w:hAnsi="宋体" w:cs="宋体"/>
    </w:rPr>
  </w:style>
  <w:style w:type="paragraph" w:customStyle="1" w:styleId="402">
    <w:name w:val="页眉 Char Char"/>
    <w:basedOn w:val="1"/>
    <w:autoRedefine/>
    <w:qFormat/>
    <w:uiPriority w:val="0"/>
    <w:pPr>
      <w:tabs>
        <w:tab w:val="left" w:pos="4149"/>
        <w:tab w:val="left" w:pos="8016"/>
      </w:tabs>
      <w:spacing w:line="351" w:lineRule="atLeast"/>
      <w:ind w:firstLine="419"/>
      <w:jc w:val="center"/>
    </w:pPr>
    <w:rPr>
      <w:rFonts w:hint="eastAsia" w:ascii="宋体" w:hAnsi="宋体" w:cs="宋体"/>
      <w:sz w:val="18"/>
    </w:rPr>
  </w:style>
  <w:style w:type="paragraph" w:customStyle="1" w:styleId="403">
    <w:name w:val="目录标题"/>
    <w:basedOn w:val="1"/>
    <w:next w:val="1"/>
    <w:autoRedefine/>
    <w:qFormat/>
    <w:uiPriority w:val="0"/>
    <w:pPr>
      <w:spacing w:before="215" w:after="419" w:line="436" w:lineRule="atLeast"/>
      <w:ind w:firstLine="419"/>
      <w:jc w:val="center"/>
    </w:pPr>
    <w:rPr>
      <w:rFonts w:hint="eastAsia" w:ascii="Arial" w:hAnsi="宋体" w:eastAsia="黑体" w:cs="宋体"/>
      <w:spacing w:val="283"/>
      <w:sz w:val="42"/>
    </w:rPr>
  </w:style>
  <w:style w:type="paragraph" w:customStyle="1" w:styleId="404">
    <w:name w:val="日期 Char Char"/>
    <w:basedOn w:val="1"/>
    <w:next w:val="1"/>
    <w:autoRedefine/>
    <w:qFormat/>
    <w:uiPriority w:val="0"/>
    <w:pPr>
      <w:spacing w:line="351" w:lineRule="atLeast"/>
      <w:ind w:firstLine="419"/>
    </w:pPr>
    <w:rPr>
      <w:rFonts w:hint="eastAsia" w:ascii="宋体" w:hAnsi="宋体" w:eastAsia="仿宋_GB2312" w:cs="宋体"/>
      <w:sz w:val="31"/>
    </w:rPr>
  </w:style>
  <w:style w:type="paragraph" w:customStyle="1" w:styleId="405">
    <w:name w:val="批注文字 Char Char"/>
    <w:basedOn w:val="1"/>
    <w:autoRedefine/>
    <w:qFormat/>
    <w:uiPriority w:val="0"/>
    <w:pPr>
      <w:spacing w:line="351" w:lineRule="atLeast"/>
      <w:ind w:firstLine="419"/>
      <w:jc w:val="left"/>
    </w:pPr>
    <w:rPr>
      <w:rFonts w:hint="eastAsia" w:ascii="宋体" w:hAnsi="宋体" w:cs="宋体"/>
    </w:rPr>
  </w:style>
  <w:style w:type="paragraph" w:customStyle="1" w:styleId="406">
    <w:name w:val="批注框文本 Char Char"/>
    <w:basedOn w:val="1"/>
    <w:autoRedefine/>
    <w:qFormat/>
    <w:uiPriority w:val="0"/>
    <w:rPr>
      <w:rFonts w:ascii="宋体" w:hAnsi="宋体" w:cs="宋体"/>
      <w:sz w:val="18"/>
    </w:rPr>
  </w:style>
  <w:style w:type="paragraph" w:customStyle="1" w:styleId="407">
    <w:name w:val="目录3"/>
    <w:basedOn w:val="1"/>
    <w:next w:val="1"/>
    <w:autoRedefine/>
    <w:qFormat/>
    <w:uiPriority w:val="0"/>
    <w:pPr>
      <w:tabs>
        <w:tab w:val="left" w:leader="dot" w:pos="8503"/>
      </w:tabs>
      <w:spacing w:line="317" w:lineRule="atLeast"/>
      <w:ind w:left="419" w:firstLine="419"/>
    </w:pPr>
    <w:rPr>
      <w:rFonts w:hint="eastAsia" w:ascii="宋体" w:hAnsi="宋体" w:cs="宋体"/>
    </w:rPr>
  </w:style>
  <w:style w:type="paragraph" w:customStyle="1" w:styleId="408">
    <w:name w:val="表格样式1"/>
    <w:basedOn w:val="1"/>
    <w:next w:val="1"/>
    <w:autoRedefine/>
    <w:qFormat/>
    <w:uiPriority w:val="0"/>
    <w:pPr>
      <w:adjustRightInd w:val="0"/>
      <w:spacing w:line="40" w:lineRule="atLeast"/>
      <w:jc w:val="center"/>
    </w:pPr>
    <w:rPr>
      <w:rFonts w:hint="eastAsia" w:ascii="宋体" w:hAnsi="宋体" w:cs="宋体"/>
      <w:sz w:val="24"/>
    </w:rPr>
  </w:style>
  <w:style w:type="paragraph" w:customStyle="1" w:styleId="409">
    <w:name w:val="正文首行缩进 Char Char"/>
    <w:basedOn w:val="1"/>
    <w:autoRedefine/>
    <w:qFormat/>
    <w:uiPriority w:val="0"/>
    <w:pPr>
      <w:spacing w:line="606" w:lineRule="atLeast"/>
      <w:ind w:firstLine="538"/>
    </w:pPr>
    <w:rPr>
      <w:rFonts w:hint="eastAsia" w:ascii="宋体" w:hAnsi="宋体" w:cs="宋体"/>
      <w:sz w:val="24"/>
    </w:rPr>
  </w:style>
  <w:style w:type="paragraph" w:customStyle="1" w:styleId="410">
    <w:name w:val="目录4"/>
    <w:basedOn w:val="1"/>
    <w:next w:val="1"/>
    <w:autoRedefine/>
    <w:qFormat/>
    <w:uiPriority w:val="0"/>
    <w:pPr>
      <w:tabs>
        <w:tab w:val="left" w:leader="dot" w:pos="8503"/>
      </w:tabs>
      <w:spacing w:line="317" w:lineRule="atLeast"/>
      <w:ind w:left="419" w:firstLine="629"/>
    </w:pPr>
    <w:rPr>
      <w:rFonts w:hint="eastAsia" w:ascii="宋体" w:hAnsi="宋体" w:cs="宋体"/>
    </w:rPr>
  </w:style>
  <w:style w:type="paragraph" w:customStyle="1" w:styleId="411">
    <w:name w:val="目录 2 Char Char"/>
    <w:basedOn w:val="1"/>
    <w:next w:val="1"/>
    <w:autoRedefine/>
    <w:qFormat/>
    <w:uiPriority w:val="0"/>
    <w:pPr>
      <w:spacing w:line="351" w:lineRule="atLeast"/>
      <w:ind w:left="209" w:firstLine="419"/>
      <w:jc w:val="left"/>
    </w:pPr>
    <w:rPr>
      <w:rFonts w:hint="eastAsia" w:ascii="宋体" w:hAnsi="宋体" w:cs="宋体"/>
    </w:rPr>
  </w:style>
  <w:style w:type="paragraph" w:customStyle="1" w:styleId="412">
    <w:name w:val="目录1"/>
    <w:basedOn w:val="1"/>
    <w:next w:val="1"/>
    <w:autoRedefine/>
    <w:qFormat/>
    <w:uiPriority w:val="0"/>
    <w:pPr>
      <w:tabs>
        <w:tab w:val="left" w:leader="dot" w:pos="8503"/>
      </w:tabs>
      <w:spacing w:after="102" w:line="215" w:lineRule="atLeast"/>
      <w:ind w:firstLine="419"/>
      <w:jc w:val="left"/>
    </w:pPr>
    <w:rPr>
      <w:rFonts w:hint="eastAsia" w:ascii="宋体" w:hAnsi="宋体" w:cs="宋体"/>
    </w:rPr>
  </w:style>
  <w:style w:type="paragraph" w:customStyle="1" w:styleId="413">
    <w:name w:val="目录 6 Char Char"/>
    <w:basedOn w:val="1"/>
    <w:next w:val="1"/>
    <w:autoRedefine/>
    <w:qFormat/>
    <w:uiPriority w:val="0"/>
    <w:pPr>
      <w:spacing w:line="351" w:lineRule="atLeast"/>
      <w:ind w:left="1048" w:firstLine="419"/>
      <w:jc w:val="left"/>
    </w:pPr>
    <w:rPr>
      <w:rFonts w:hint="eastAsia" w:ascii="宋体" w:hAnsi="宋体" w:cs="宋体"/>
    </w:rPr>
  </w:style>
  <w:style w:type="paragraph" w:customStyle="1" w:styleId="414">
    <w:name w:val="目录2"/>
    <w:basedOn w:val="1"/>
    <w:next w:val="1"/>
    <w:autoRedefine/>
    <w:qFormat/>
    <w:uiPriority w:val="0"/>
    <w:pPr>
      <w:tabs>
        <w:tab w:val="left" w:leader="dot" w:pos="8503"/>
      </w:tabs>
      <w:spacing w:line="317" w:lineRule="atLeast"/>
      <w:ind w:left="419" w:firstLine="419"/>
    </w:pPr>
    <w:rPr>
      <w:rFonts w:hint="eastAsia" w:ascii="宋体" w:hAnsi="宋体" w:cs="宋体"/>
    </w:rPr>
  </w:style>
  <w:style w:type="paragraph" w:customStyle="1" w:styleId="415">
    <w:name w:val="目录 1 Char Char"/>
    <w:basedOn w:val="1"/>
    <w:next w:val="1"/>
    <w:autoRedefine/>
    <w:qFormat/>
    <w:uiPriority w:val="0"/>
    <w:pPr>
      <w:tabs>
        <w:tab w:val="left" w:leader="dot" w:pos="8010"/>
      </w:tabs>
      <w:snapToGrid w:val="0"/>
      <w:spacing w:line="300" w:lineRule="auto"/>
      <w:jc w:val="left"/>
    </w:pPr>
    <w:rPr>
      <w:rFonts w:hint="eastAsia" w:ascii="宋体" w:hAnsi="宋体" w:eastAsia="黑体" w:cs="宋体"/>
      <w:sz w:val="28"/>
    </w:rPr>
  </w:style>
  <w:style w:type="paragraph" w:customStyle="1" w:styleId="416">
    <w:name w:val="目录 5 Char Char"/>
    <w:basedOn w:val="1"/>
    <w:next w:val="1"/>
    <w:autoRedefine/>
    <w:qFormat/>
    <w:uiPriority w:val="0"/>
    <w:pPr>
      <w:spacing w:line="351" w:lineRule="atLeast"/>
      <w:ind w:left="839" w:firstLine="419"/>
      <w:jc w:val="left"/>
    </w:pPr>
    <w:rPr>
      <w:rFonts w:hint="eastAsia" w:ascii="宋体" w:hAnsi="宋体" w:cs="宋体"/>
    </w:rPr>
  </w:style>
  <w:style w:type="paragraph" w:customStyle="1" w:styleId="417">
    <w:name w:val="目录fuxi"/>
    <w:basedOn w:val="1"/>
    <w:autoRedefine/>
    <w:qFormat/>
    <w:uiPriority w:val="0"/>
    <w:pPr>
      <w:snapToGrid w:val="0"/>
      <w:spacing w:before="60" w:after="60"/>
      <w:jc w:val="center"/>
    </w:pPr>
    <w:rPr>
      <w:rFonts w:hint="eastAsia" w:ascii="宋体" w:hAnsi="宋体" w:cs="宋体"/>
      <w:outline/>
      <w14:textOutline w14:w="9525" w14:cap="flat" w14:cmpd="sng" w14:algn="ctr">
        <w14:solidFill>
          <w14:srgbClr w14:val="000000"/>
        </w14:solidFill>
        <w14:prstDash w14:val="solid"/>
        <w14:round/>
      </w14:textOutline>
      <w14:textFill>
        <w14:noFill/>
      </w14:textFill>
    </w:rPr>
  </w:style>
  <w:style w:type="paragraph" w:customStyle="1" w:styleId="418">
    <w:name w:val="前言、引言标题"/>
    <w:next w:val="1"/>
    <w:autoRedefine/>
    <w:qFormat/>
    <w:uiPriority w:val="0"/>
    <w:pPr>
      <w:shd w:val="clear" w:color="FFFFFF" w:fill="FFFFFF"/>
      <w:tabs>
        <w:tab w:val="left" w:pos="903"/>
        <w:tab w:val="left" w:pos="930"/>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419">
    <w:name w:val="一级条标题"/>
    <w:basedOn w:val="3"/>
    <w:next w:val="1"/>
    <w:autoRedefine/>
    <w:qFormat/>
    <w:uiPriority w:val="0"/>
    <w:pPr>
      <w:keepNext w:val="0"/>
      <w:numPr>
        <w:numId w:val="0"/>
      </w:numPr>
      <w:spacing w:line="240" w:lineRule="auto"/>
      <w:jc w:val="both"/>
      <w:outlineLvl w:val="2"/>
    </w:pPr>
    <w:rPr>
      <w:rFonts w:ascii="黑体" w:hAnsi="Calibri" w:eastAsia="黑体"/>
      <w:sz w:val="21"/>
      <w:szCs w:val="21"/>
    </w:rPr>
  </w:style>
  <w:style w:type="paragraph" w:customStyle="1" w:styleId="420">
    <w:name w:val="二级条标题"/>
    <w:basedOn w:val="419"/>
    <w:next w:val="1"/>
    <w:autoRedefine/>
    <w:qFormat/>
    <w:uiPriority w:val="0"/>
    <w:pPr>
      <w:tabs>
        <w:tab w:val="left" w:pos="2218"/>
      </w:tabs>
      <w:outlineLvl w:val="3"/>
    </w:pPr>
  </w:style>
  <w:style w:type="paragraph" w:customStyle="1" w:styleId="421">
    <w:name w:val="四级条标题"/>
    <w:basedOn w:val="224"/>
    <w:next w:val="1"/>
    <w:autoRedefine/>
    <w:qFormat/>
    <w:uiPriority w:val="0"/>
    <w:pPr>
      <w:tabs>
        <w:tab w:val="left" w:pos="3058"/>
        <w:tab w:val="clear" w:pos="2520"/>
      </w:tabs>
      <w:outlineLvl w:val="5"/>
    </w:pPr>
    <w:rPr>
      <w:rFonts w:hAnsi="Calibri"/>
      <w:szCs w:val="21"/>
    </w:rPr>
  </w:style>
  <w:style w:type="paragraph" w:customStyle="1" w:styleId="422">
    <w:name w:val="宏福4"/>
    <w:basedOn w:val="1"/>
    <w:autoRedefine/>
    <w:qFormat/>
    <w:uiPriority w:val="0"/>
    <w:pPr>
      <w:adjustRightInd w:val="0"/>
      <w:spacing w:line="400" w:lineRule="atLeast"/>
      <w:ind w:firstLine="567"/>
      <w:jc w:val="left"/>
      <w:textAlignment w:val="baseline"/>
    </w:pPr>
    <w:rPr>
      <w:rFonts w:ascii="宋体" w:hAnsi="宋体" w:cs="宋体"/>
      <w:sz w:val="28"/>
      <w:szCs w:val="28"/>
    </w:rPr>
  </w:style>
  <w:style w:type="paragraph" w:customStyle="1" w:styleId="423">
    <w:name w:val="xl30"/>
    <w:basedOn w:val="1"/>
    <w:autoRedefine/>
    <w:qFormat/>
    <w:uiPriority w:val="0"/>
    <w:pPr>
      <w:widowControl/>
      <w:spacing w:before="100" w:after="100"/>
      <w:jc w:val="center"/>
      <w:textAlignment w:val="center"/>
    </w:pPr>
    <w:rPr>
      <w:rFonts w:ascii="宋体" w:hAnsi="宋体" w:cs="宋体"/>
      <w:kern w:val="0"/>
      <w:sz w:val="24"/>
    </w:rPr>
  </w:style>
  <w:style w:type="paragraph" w:customStyle="1" w:styleId="424">
    <w:name w:val="正文新 Char"/>
    <w:basedOn w:val="1"/>
    <w:autoRedefine/>
    <w:qFormat/>
    <w:uiPriority w:val="0"/>
    <w:pPr>
      <w:spacing w:line="360" w:lineRule="auto"/>
      <w:ind w:firstLine="480" w:firstLineChars="200"/>
    </w:pPr>
    <w:rPr>
      <w:rFonts w:ascii="宋体" w:hAnsi="宋体" w:cs="宋体"/>
      <w:sz w:val="24"/>
    </w:rPr>
  </w:style>
  <w:style w:type="paragraph" w:customStyle="1" w:styleId="425">
    <w:name w:val="gy"/>
    <w:basedOn w:val="1"/>
    <w:autoRedefine/>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cs="宋体"/>
      <w:kern w:val="0"/>
      <w:sz w:val="18"/>
    </w:rPr>
  </w:style>
  <w:style w:type="paragraph" w:customStyle="1" w:styleId="426">
    <w:name w:val="xl22"/>
    <w:basedOn w:val="1"/>
    <w:autoRedefine/>
    <w:qFormat/>
    <w:uiPriority w:val="0"/>
    <w:pPr>
      <w:widowControl/>
      <w:pBdr>
        <w:bottom w:val="single" w:color="auto" w:sz="4" w:space="0"/>
        <w:right w:val="single" w:color="auto" w:sz="4" w:space="0"/>
      </w:pBdr>
      <w:spacing w:before="100" w:after="100"/>
      <w:jc w:val="center"/>
    </w:pPr>
    <w:rPr>
      <w:rFonts w:ascii="宋体" w:hAnsi="宋体" w:cs="宋体"/>
      <w:kern w:val="0"/>
    </w:rPr>
  </w:style>
  <w:style w:type="paragraph" w:customStyle="1" w:styleId="427">
    <w:name w:val="正文新"/>
    <w:basedOn w:val="1"/>
    <w:autoRedefine/>
    <w:qFormat/>
    <w:uiPriority w:val="0"/>
    <w:pPr>
      <w:spacing w:before="80" w:after="60" w:line="300" w:lineRule="auto"/>
      <w:ind w:firstLine="510"/>
    </w:pPr>
    <w:rPr>
      <w:rFonts w:ascii="宋体" w:hAnsi="宋体" w:cs="宋体"/>
      <w:snapToGrid w:val="0"/>
      <w:kern w:val="0"/>
      <w:sz w:val="24"/>
    </w:rPr>
  </w:style>
  <w:style w:type="paragraph" w:customStyle="1" w:styleId="428">
    <w:name w:val="Style1"/>
    <w:basedOn w:val="1"/>
    <w:autoRedefine/>
    <w:qFormat/>
    <w:uiPriority w:val="0"/>
    <w:pPr>
      <w:spacing w:after="120"/>
      <w:ind w:left="851"/>
    </w:pPr>
    <w:rPr>
      <w:rFonts w:ascii="宋体" w:hAnsi="宋体" w:cs="宋体"/>
    </w:rPr>
  </w:style>
  <w:style w:type="paragraph" w:customStyle="1" w:styleId="429">
    <w:name w:val="Char4 Char Char Char Char Char Char Char Char Char Char Char Char Char Char Char Char Char1 Char Char Char Char Char Char1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430">
    <w:name w:val="样式 报告书表格 + 字距调整二号"/>
    <w:basedOn w:val="302"/>
    <w:link w:val="431"/>
    <w:autoRedefine/>
    <w:qFormat/>
    <w:uiPriority w:val="0"/>
    <w:pPr>
      <w:spacing w:before="0" w:after="0" w:line="400" w:lineRule="exact"/>
    </w:pPr>
    <w:rPr>
      <w:rFonts w:eastAsia="仿宋_GB2312"/>
      <w:kern w:val="44"/>
      <w:sz w:val="24"/>
      <w:szCs w:val="21"/>
    </w:rPr>
  </w:style>
  <w:style w:type="character" w:customStyle="1" w:styleId="431">
    <w:name w:val="样式 报告书表格 + 字距调整二号 Char"/>
    <w:link w:val="430"/>
    <w:autoRedefine/>
    <w:qFormat/>
    <w:uiPriority w:val="0"/>
    <w:rPr>
      <w:rFonts w:ascii="宋体" w:hAnsi="宋体" w:eastAsia="仿宋_GB2312" w:cs="宋体"/>
      <w:kern w:val="44"/>
      <w:sz w:val="24"/>
      <w:szCs w:val="21"/>
    </w:rPr>
  </w:style>
  <w:style w:type="paragraph" w:customStyle="1" w:styleId="432">
    <w:name w:val="样式 样式 报告书表格 + 字距调整二号 +"/>
    <w:basedOn w:val="430"/>
    <w:autoRedefine/>
    <w:qFormat/>
    <w:uiPriority w:val="0"/>
  </w:style>
  <w:style w:type="paragraph" w:customStyle="1" w:styleId="433">
    <w:name w:val="样式 标题 1 + (中文) 宋体 小三 行距: 多倍行距 1.35 字行"/>
    <w:basedOn w:val="3"/>
    <w:autoRedefine/>
    <w:qFormat/>
    <w:uiPriority w:val="0"/>
    <w:pPr>
      <w:keepLines/>
      <w:widowControl w:val="0"/>
      <w:numPr>
        <w:numId w:val="0"/>
      </w:numPr>
      <w:tabs>
        <w:tab w:val="left" w:pos="360"/>
        <w:tab w:val="left" w:pos="432"/>
        <w:tab w:val="left" w:pos="1003"/>
      </w:tabs>
      <w:snapToGrid w:val="0"/>
      <w:spacing w:beforeLines="150" w:afterLines="150" w:line="300" w:lineRule="auto"/>
      <w:ind w:left="432" w:hanging="432"/>
      <w:jc w:val="both"/>
    </w:pPr>
    <w:rPr>
      <w:rFonts w:ascii="幼圆" w:hAnsi="Calibri" w:eastAsia="幼圆"/>
      <w:b/>
      <w:bCs/>
      <w:color w:val="0000FF"/>
      <w:kern w:val="44"/>
      <w:szCs w:val="32"/>
    </w:rPr>
  </w:style>
  <w:style w:type="paragraph" w:customStyle="1" w:styleId="434">
    <w:name w:val="样式 样式 标题 2节 + (西文) Times New Roman (中文) 宋体 四号 段前: 0.5 行 段后: 0......"/>
    <w:basedOn w:val="1"/>
    <w:autoRedefine/>
    <w:qFormat/>
    <w:uiPriority w:val="0"/>
    <w:pPr>
      <w:keepNext/>
      <w:keepLines/>
      <w:tabs>
        <w:tab w:val="left" w:pos="720"/>
      </w:tabs>
      <w:adjustRightInd w:val="0"/>
      <w:snapToGrid w:val="0"/>
      <w:spacing w:beforeLines="90" w:afterLines="90" w:line="300" w:lineRule="auto"/>
      <w:ind w:left="397" w:hanging="397"/>
      <w:outlineLvl w:val="1"/>
    </w:pPr>
    <w:rPr>
      <w:rFonts w:ascii="幼圆" w:hAnsi="宋体" w:eastAsia="幼圆" w:cs="宋体"/>
      <w:b/>
      <w:bCs/>
      <w:sz w:val="28"/>
      <w:szCs w:val="28"/>
    </w:rPr>
  </w:style>
  <w:style w:type="paragraph" w:customStyle="1" w:styleId="435">
    <w:name w:val="样式 标题 3 + (西文) Times New Roman (中文) 宋体 小四 加粗"/>
    <w:basedOn w:val="5"/>
    <w:autoRedefine/>
    <w:qFormat/>
    <w:uiPriority w:val="0"/>
    <w:pPr>
      <w:tabs>
        <w:tab w:val="left" w:pos="1021"/>
      </w:tabs>
      <w:adjustRightInd w:val="0"/>
      <w:snapToGrid w:val="0"/>
      <w:spacing w:before="0" w:after="0" w:line="360" w:lineRule="auto"/>
      <w:ind w:left="1021" w:hanging="1021"/>
      <w:jc w:val="left"/>
    </w:pPr>
    <w:rPr>
      <w:rFonts w:ascii="幼圆" w:hAnsi="Calibri" w:eastAsia="幼圆" w:cs="宋体"/>
      <w:snapToGrid w:val="0"/>
      <w:color w:val="0000FF"/>
      <w:kern w:val="0"/>
      <w:sz w:val="24"/>
      <w:szCs w:val="24"/>
    </w:rPr>
  </w:style>
  <w:style w:type="paragraph" w:customStyle="1" w:styleId="436">
    <w:name w:val="9"/>
    <w:basedOn w:val="1"/>
    <w:next w:val="34"/>
    <w:autoRedefine/>
    <w:qFormat/>
    <w:uiPriority w:val="0"/>
    <w:pPr>
      <w:spacing w:after="120"/>
    </w:pPr>
    <w:rPr>
      <w:rFonts w:ascii="仿宋_GB2312" w:hAnsi="宋体" w:eastAsia="仿宋_GB2312" w:cs="宋体"/>
      <w:sz w:val="28"/>
    </w:rPr>
  </w:style>
  <w:style w:type="paragraph" w:customStyle="1" w:styleId="437">
    <w:name w:val="8"/>
    <w:basedOn w:val="1"/>
    <w:next w:val="70"/>
    <w:autoRedefine/>
    <w:qFormat/>
    <w:uiPriority w:val="0"/>
    <w:pPr>
      <w:ind w:firstLine="556"/>
      <w:jc w:val="left"/>
    </w:pPr>
    <w:rPr>
      <w:rFonts w:ascii="仿宋_GB2312" w:hAnsi="宋体" w:eastAsia="仿宋_GB2312" w:cs="宋体"/>
      <w:sz w:val="28"/>
    </w:rPr>
  </w:style>
  <w:style w:type="paragraph" w:customStyle="1" w:styleId="438">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KaiTi_GB2312" w:hAnsi="Arial Unicode MS" w:eastAsia="KaiTi_GB2312" w:cs="KaiTi_GB2312"/>
      <w:kern w:val="0"/>
      <w:sz w:val="24"/>
    </w:rPr>
  </w:style>
  <w:style w:type="paragraph" w:customStyle="1" w:styleId="439">
    <w:name w:val="谏壁正文chen"/>
    <w:basedOn w:val="1"/>
    <w:link w:val="440"/>
    <w:autoRedefine/>
    <w:qFormat/>
    <w:uiPriority w:val="0"/>
    <w:pPr>
      <w:spacing w:line="360" w:lineRule="auto"/>
      <w:ind w:firstLine="200" w:firstLineChars="200"/>
    </w:pPr>
    <w:rPr>
      <w:rFonts w:ascii="Calibri" w:hAnsi="Calibri" w:cs="宋体"/>
      <w:sz w:val="24"/>
    </w:rPr>
  </w:style>
  <w:style w:type="character" w:customStyle="1" w:styleId="440">
    <w:name w:val="谏壁正文chen Char"/>
    <w:link w:val="439"/>
    <w:autoRedefine/>
    <w:qFormat/>
    <w:uiPriority w:val="0"/>
    <w:rPr>
      <w:rFonts w:ascii="Calibri" w:hAnsi="Calibri" w:cs="宋体"/>
      <w:kern w:val="2"/>
      <w:sz w:val="24"/>
      <w:szCs w:val="24"/>
    </w:rPr>
  </w:style>
  <w:style w:type="paragraph" w:customStyle="1" w:styleId="441">
    <w:name w:val="hhcwt正文"/>
    <w:basedOn w:val="1"/>
    <w:link w:val="442"/>
    <w:autoRedefine/>
    <w:qFormat/>
    <w:uiPriority w:val="0"/>
    <w:pPr>
      <w:spacing w:line="360" w:lineRule="auto"/>
      <w:ind w:firstLine="480" w:firstLineChars="200"/>
    </w:pPr>
    <w:rPr>
      <w:rFonts w:ascii="Calibri" w:hAnsi="Calibri" w:cs="宋体"/>
      <w:sz w:val="24"/>
    </w:rPr>
  </w:style>
  <w:style w:type="character" w:customStyle="1" w:styleId="442">
    <w:name w:val="hhcwt正文 Char"/>
    <w:link w:val="441"/>
    <w:autoRedefine/>
    <w:qFormat/>
    <w:uiPriority w:val="0"/>
    <w:rPr>
      <w:rFonts w:ascii="Calibri" w:hAnsi="Calibri" w:cs="宋体"/>
      <w:kern w:val="2"/>
      <w:sz w:val="24"/>
      <w:szCs w:val="24"/>
    </w:rPr>
  </w:style>
  <w:style w:type="paragraph" w:customStyle="1" w:styleId="443">
    <w:name w:val="chen 正文字体"/>
    <w:basedOn w:val="1"/>
    <w:link w:val="444"/>
    <w:autoRedefine/>
    <w:qFormat/>
    <w:uiPriority w:val="0"/>
    <w:pPr>
      <w:spacing w:line="360" w:lineRule="auto"/>
      <w:ind w:firstLine="200" w:firstLineChars="200"/>
    </w:pPr>
    <w:rPr>
      <w:rFonts w:ascii="宋体" w:hAnsi="宋体" w:cs="宋体"/>
      <w:color w:val="000000"/>
      <w:sz w:val="24"/>
    </w:rPr>
  </w:style>
  <w:style w:type="character" w:customStyle="1" w:styleId="444">
    <w:name w:val="chen 正文字体 Char"/>
    <w:basedOn w:val="445"/>
    <w:link w:val="443"/>
    <w:autoRedefine/>
    <w:qFormat/>
    <w:uiPriority w:val="0"/>
    <w:rPr>
      <w:rFonts w:ascii="宋体" w:hAnsi="宋体" w:cs="宋体"/>
      <w:color w:val="000000"/>
      <w:spacing w:val="10"/>
      <w:kern w:val="2"/>
      <w:sz w:val="24"/>
      <w:szCs w:val="24"/>
    </w:rPr>
  </w:style>
  <w:style w:type="character" w:customStyle="1" w:styleId="445">
    <w:name w:val="样式 样式 宋体 小四 行距: 多倍行距 1.4 字行2 + 黑色 Char"/>
    <w:link w:val="446"/>
    <w:autoRedefine/>
    <w:qFormat/>
    <w:uiPriority w:val="0"/>
    <w:rPr>
      <w:rFonts w:ascii="宋体" w:hAnsi="宋体" w:cs="宋体"/>
      <w:b/>
      <w:color w:val="000000"/>
      <w:spacing w:val="10"/>
      <w:kern w:val="2"/>
      <w:sz w:val="24"/>
      <w:szCs w:val="24"/>
    </w:rPr>
  </w:style>
  <w:style w:type="paragraph" w:customStyle="1" w:styleId="446">
    <w:name w:val="样式 样式 宋体 小四 行距: 多倍行距 1.4 字行2 + 黑色"/>
    <w:basedOn w:val="1"/>
    <w:link w:val="445"/>
    <w:autoRedefine/>
    <w:qFormat/>
    <w:uiPriority w:val="0"/>
    <w:pPr>
      <w:spacing w:line="336" w:lineRule="auto"/>
      <w:ind w:firstLine="480" w:firstLineChars="200"/>
    </w:pPr>
    <w:rPr>
      <w:rFonts w:ascii="宋体" w:hAnsi="宋体" w:cs="宋体"/>
      <w:b/>
      <w:color w:val="000000"/>
      <w:spacing w:val="10"/>
      <w:sz w:val="24"/>
    </w:rPr>
  </w:style>
  <w:style w:type="paragraph" w:customStyle="1" w:styleId="447">
    <w:name w:val="样式 样式 样式 宋体 小四 行距: 多倍行距 1.4 字行2 + 黑色 + Times New Roman1"/>
    <w:basedOn w:val="1"/>
    <w:link w:val="448"/>
    <w:autoRedefine/>
    <w:qFormat/>
    <w:uiPriority w:val="0"/>
    <w:pPr>
      <w:spacing w:line="360" w:lineRule="auto"/>
      <w:ind w:firstLine="200" w:firstLineChars="200"/>
    </w:pPr>
    <w:rPr>
      <w:rFonts w:ascii="Calibri" w:hAnsi="Calibri" w:cs="宋体"/>
      <w:color w:val="000000"/>
      <w:sz w:val="24"/>
    </w:rPr>
  </w:style>
  <w:style w:type="character" w:customStyle="1" w:styleId="448">
    <w:name w:val="样式 样式 样式 宋体 小四 行距: 多倍行距 1.4 字行2 + 黑色 + Times New Roman1 Char"/>
    <w:link w:val="447"/>
    <w:autoRedefine/>
    <w:qFormat/>
    <w:uiPriority w:val="0"/>
    <w:rPr>
      <w:rFonts w:ascii="Calibri" w:hAnsi="Calibri" w:cs="宋体"/>
      <w:color w:val="000000"/>
      <w:kern w:val="2"/>
      <w:sz w:val="24"/>
      <w:szCs w:val="24"/>
    </w:rPr>
  </w:style>
  <w:style w:type="paragraph" w:customStyle="1" w:styleId="449">
    <w:name w:val="chen正文字体11"/>
    <w:basedOn w:val="1"/>
    <w:link w:val="450"/>
    <w:autoRedefine/>
    <w:qFormat/>
    <w:uiPriority w:val="0"/>
    <w:pPr>
      <w:spacing w:line="360" w:lineRule="auto"/>
      <w:ind w:firstLine="480" w:firstLineChars="200"/>
    </w:pPr>
    <w:rPr>
      <w:rFonts w:ascii="Calibri" w:hAnsi="Calibri" w:cs="宋体"/>
      <w:color w:val="000000"/>
      <w:sz w:val="24"/>
    </w:rPr>
  </w:style>
  <w:style w:type="character" w:customStyle="1" w:styleId="450">
    <w:name w:val="chen正文字体11 Char"/>
    <w:link w:val="449"/>
    <w:autoRedefine/>
    <w:qFormat/>
    <w:uiPriority w:val="0"/>
    <w:rPr>
      <w:rFonts w:ascii="Calibri" w:hAnsi="Calibri" w:cs="宋体"/>
      <w:color w:val="000000"/>
      <w:kern w:val="2"/>
      <w:sz w:val="24"/>
      <w:szCs w:val="24"/>
    </w:rPr>
  </w:style>
  <w:style w:type="paragraph" w:customStyle="1" w:styleId="451">
    <w:name w:val="chen表头1"/>
    <w:basedOn w:val="1"/>
    <w:link w:val="452"/>
    <w:autoRedefine/>
    <w:qFormat/>
    <w:uiPriority w:val="0"/>
    <w:pPr>
      <w:spacing w:after="120" w:line="500" w:lineRule="exact"/>
      <w:jc w:val="center"/>
    </w:pPr>
    <w:rPr>
      <w:rFonts w:ascii="Calibri" w:hAnsi="Calibri" w:eastAsia="KaiTi_GB2312" w:cs="宋体"/>
      <w:b/>
      <w:sz w:val="24"/>
    </w:rPr>
  </w:style>
  <w:style w:type="character" w:customStyle="1" w:styleId="452">
    <w:name w:val="chen表头1 Char"/>
    <w:link w:val="451"/>
    <w:autoRedefine/>
    <w:qFormat/>
    <w:uiPriority w:val="0"/>
    <w:rPr>
      <w:rFonts w:ascii="Calibri" w:hAnsi="Calibri" w:eastAsia="KaiTi_GB2312" w:cs="宋体"/>
      <w:b/>
      <w:kern w:val="2"/>
      <w:sz w:val="24"/>
      <w:szCs w:val="24"/>
    </w:rPr>
  </w:style>
  <w:style w:type="paragraph" w:customStyle="1" w:styleId="453">
    <w:name w:val="样式 样式 样式 宋体 小四 行距: 多倍行距 1.4 字行2 + 黑色 + Times New Roman2"/>
    <w:basedOn w:val="446"/>
    <w:link w:val="454"/>
    <w:autoRedefine/>
    <w:qFormat/>
    <w:uiPriority w:val="0"/>
    <w:pPr>
      <w:spacing w:line="360" w:lineRule="auto"/>
      <w:ind w:firstLine="200"/>
    </w:pPr>
  </w:style>
  <w:style w:type="character" w:customStyle="1" w:styleId="454">
    <w:name w:val="样式 样式 样式 宋体 小四 行距: 多倍行距 1.4 字行2 + 黑色 + Times New Roman2 Char"/>
    <w:basedOn w:val="445"/>
    <w:link w:val="453"/>
    <w:autoRedefine/>
    <w:qFormat/>
    <w:uiPriority w:val="0"/>
    <w:rPr>
      <w:rFonts w:ascii="宋体" w:hAnsi="宋体" w:cs="宋体"/>
      <w:color w:val="000000"/>
      <w:spacing w:val="10"/>
      <w:kern w:val="2"/>
      <w:sz w:val="24"/>
      <w:szCs w:val="24"/>
    </w:rPr>
  </w:style>
  <w:style w:type="paragraph" w:customStyle="1" w:styleId="455">
    <w:name w:val="样式正文"/>
    <w:basedOn w:val="1"/>
    <w:link w:val="456"/>
    <w:autoRedefine/>
    <w:qFormat/>
    <w:uiPriority w:val="0"/>
    <w:pPr>
      <w:spacing w:line="400" w:lineRule="exact"/>
      <w:ind w:firstLine="200" w:firstLineChars="200"/>
    </w:pPr>
    <w:rPr>
      <w:rFonts w:ascii="Calibri" w:hAnsi="Calibri" w:cs="宋体"/>
      <w:sz w:val="24"/>
    </w:rPr>
  </w:style>
  <w:style w:type="character" w:customStyle="1" w:styleId="456">
    <w:name w:val="样式正文 Char"/>
    <w:link w:val="455"/>
    <w:autoRedefine/>
    <w:qFormat/>
    <w:uiPriority w:val="0"/>
    <w:rPr>
      <w:rFonts w:ascii="Calibri" w:hAnsi="Calibri" w:cs="宋体"/>
      <w:kern w:val="2"/>
      <w:sz w:val="24"/>
      <w:szCs w:val="24"/>
    </w:rPr>
  </w:style>
  <w:style w:type="paragraph" w:customStyle="1" w:styleId="457">
    <w:name w:val="hhcwt标题3"/>
    <w:basedOn w:val="1"/>
    <w:link w:val="458"/>
    <w:autoRedefine/>
    <w:qFormat/>
    <w:uiPriority w:val="0"/>
    <w:pPr>
      <w:keepNext/>
      <w:keepLines/>
      <w:spacing w:line="336" w:lineRule="auto"/>
      <w:outlineLvl w:val="2"/>
    </w:pPr>
    <w:rPr>
      <w:rFonts w:ascii="Calibri" w:hAnsi="Calibri" w:eastAsia="KaiTi_GB2312" w:cs="宋体"/>
      <w:bCs/>
      <w:sz w:val="28"/>
    </w:rPr>
  </w:style>
  <w:style w:type="character" w:customStyle="1" w:styleId="458">
    <w:name w:val="hhcwt标题3 Char Char"/>
    <w:link w:val="457"/>
    <w:autoRedefine/>
    <w:qFormat/>
    <w:uiPriority w:val="0"/>
    <w:rPr>
      <w:rFonts w:ascii="Calibri" w:hAnsi="Calibri" w:eastAsia="KaiTi_GB2312" w:cs="宋体"/>
      <w:bCs/>
      <w:kern w:val="2"/>
      <w:sz w:val="28"/>
      <w:szCs w:val="24"/>
    </w:rPr>
  </w:style>
  <w:style w:type="paragraph" w:customStyle="1" w:styleId="459">
    <w:name w:val="hhcwt标题4"/>
    <w:basedOn w:val="6"/>
    <w:link w:val="460"/>
    <w:autoRedefine/>
    <w:qFormat/>
    <w:uiPriority w:val="0"/>
    <w:pPr>
      <w:widowControl w:val="0"/>
      <w:tabs>
        <w:tab w:val="clear" w:pos="1276"/>
      </w:tabs>
      <w:ind w:left="0" w:firstLine="0"/>
      <w:jc w:val="both"/>
    </w:pPr>
    <w:rPr>
      <w:rFonts w:ascii="Calibri" w:hAnsi="Calibri"/>
      <w:b w:val="0"/>
      <w:kern w:val="2"/>
      <w:szCs w:val="24"/>
    </w:rPr>
  </w:style>
  <w:style w:type="character" w:customStyle="1" w:styleId="460">
    <w:name w:val="hhcwt标题4 Char Char"/>
    <w:link w:val="459"/>
    <w:autoRedefine/>
    <w:qFormat/>
    <w:uiPriority w:val="0"/>
    <w:rPr>
      <w:rFonts w:ascii="Calibri" w:hAnsi="Calibri" w:cs="宋体"/>
      <w:bCs/>
      <w:kern w:val="2"/>
      <w:sz w:val="24"/>
      <w:szCs w:val="24"/>
    </w:rPr>
  </w:style>
  <w:style w:type="paragraph" w:customStyle="1" w:styleId="461">
    <w:name w:val="hhcwt表头"/>
    <w:basedOn w:val="1"/>
    <w:link w:val="462"/>
    <w:autoRedefine/>
    <w:qFormat/>
    <w:uiPriority w:val="0"/>
    <w:pPr>
      <w:spacing w:after="120" w:line="500" w:lineRule="exact"/>
      <w:jc w:val="center"/>
    </w:pPr>
    <w:rPr>
      <w:rFonts w:ascii="KaiTi_GB2312" w:hAnsi="Calibri" w:eastAsia="KaiTi_GB2312" w:cs="宋体"/>
      <w:b/>
      <w:bCs/>
      <w:sz w:val="24"/>
    </w:rPr>
  </w:style>
  <w:style w:type="character" w:customStyle="1" w:styleId="462">
    <w:name w:val="hhcwt表头 Char Char"/>
    <w:link w:val="461"/>
    <w:autoRedefine/>
    <w:qFormat/>
    <w:uiPriority w:val="0"/>
    <w:rPr>
      <w:rFonts w:ascii="KaiTi_GB2312" w:hAnsi="Calibri" w:eastAsia="KaiTi_GB2312" w:cs="宋体"/>
      <w:b/>
      <w:bCs/>
      <w:kern w:val="2"/>
      <w:sz w:val="24"/>
      <w:szCs w:val="24"/>
    </w:rPr>
  </w:style>
  <w:style w:type="paragraph" w:customStyle="1" w:styleId="463">
    <w:name w:val="hhcwt标题1"/>
    <w:basedOn w:val="1"/>
    <w:link w:val="464"/>
    <w:autoRedefine/>
    <w:qFormat/>
    <w:uiPriority w:val="0"/>
    <w:pPr>
      <w:keepNext/>
      <w:keepLines/>
      <w:autoSpaceDE w:val="0"/>
      <w:autoSpaceDN w:val="0"/>
      <w:adjustRightInd w:val="0"/>
      <w:spacing w:before="120" w:after="120" w:line="336" w:lineRule="auto"/>
      <w:outlineLvl w:val="0"/>
    </w:pPr>
    <w:rPr>
      <w:rFonts w:ascii="Calibri" w:hAnsi="Calibri" w:eastAsia="黑体" w:cs="宋体"/>
      <w:kern w:val="44"/>
      <w:sz w:val="36"/>
      <w:lang w:val="zh-CN"/>
    </w:rPr>
  </w:style>
  <w:style w:type="character" w:customStyle="1" w:styleId="464">
    <w:name w:val="hhcwt标题1 Char Char"/>
    <w:link w:val="463"/>
    <w:autoRedefine/>
    <w:qFormat/>
    <w:uiPriority w:val="0"/>
    <w:rPr>
      <w:rFonts w:ascii="Calibri" w:hAnsi="Calibri" w:eastAsia="黑体" w:cs="宋体"/>
      <w:kern w:val="44"/>
      <w:sz w:val="36"/>
      <w:szCs w:val="24"/>
      <w:lang w:val="zh-CN"/>
    </w:rPr>
  </w:style>
  <w:style w:type="paragraph" w:customStyle="1" w:styleId="465">
    <w:name w:val="表序号"/>
    <w:basedOn w:val="7"/>
    <w:autoRedefine/>
    <w:qFormat/>
    <w:uiPriority w:val="0"/>
    <w:pPr>
      <w:spacing w:before="0" w:after="0" w:line="360" w:lineRule="auto"/>
      <w:jc w:val="center"/>
    </w:pPr>
    <w:rPr>
      <w:rFonts w:ascii="宋体" w:hAnsi="宋体" w:cs="宋体"/>
      <w:bCs w:val="0"/>
      <w:sz w:val="24"/>
      <w:szCs w:val="24"/>
    </w:rPr>
  </w:style>
  <w:style w:type="character" w:customStyle="1" w:styleId="466">
    <w:name w:val="p9l1"/>
    <w:autoRedefine/>
    <w:qFormat/>
    <w:uiPriority w:val="0"/>
    <w:rPr>
      <w:rFonts w:ascii="黑体" w:hAnsi="黑体" w:eastAsia="宋体"/>
      <w:b/>
      <w:spacing w:val="10"/>
      <w:kern w:val="2"/>
      <w:sz w:val="18"/>
      <w:szCs w:val="18"/>
      <w:u w:val="none"/>
      <w:lang w:val="en-US" w:eastAsia="zh-CN" w:bidi="ar-SA"/>
    </w:rPr>
  </w:style>
  <w:style w:type="paragraph" w:customStyle="1" w:styleId="467">
    <w:name w:val="表格正文"/>
    <w:basedOn w:val="9"/>
    <w:autoRedefine/>
    <w:qFormat/>
    <w:uiPriority w:val="0"/>
    <w:pPr>
      <w:snapToGrid/>
      <w:spacing w:line="240" w:lineRule="auto"/>
      <w:ind w:firstLine="0" w:firstLineChars="0"/>
    </w:pPr>
    <w:rPr>
      <w:rFonts w:ascii="Calibri" w:hAnsi="Calibri" w:eastAsia="宋体" w:cs="宋体"/>
      <w:spacing w:val="12"/>
      <w:kern w:val="0"/>
      <w:sz w:val="24"/>
      <w:szCs w:val="20"/>
    </w:rPr>
  </w:style>
  <w:style w:type="paragraph" w:customStyle="1" w:styleId="468">
    <w:name w:val="Char Char Char1 Char Char Char Char Char Char Char Char Char Char Char Char Char Char Char1 Char Char Char Char Char Char Char Char Char Char Char Char"/>
    <w:basedOn w:val="1"/>
    <w:autoRedefine/>
    <w:qFormat/>
    <w:uiPriority w:val="0"/>
    <w:rPr>
      <w:rFonts w:ascii="宋体" w:hAnsi="宋体" w:cs="宋体"/>
      <w:szCs w:val="21"/>
    </w:rPr>
  </w:style>
  <w:style w:type="paragraph" w:customStyle="1" w:styleId="469">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character" w:customStyle="1" w:styleId="470">
    <w:name w:val="javascript"/>
    <w:autoRedefine/>
    <w:qFormat/>
    <w:uiPriority w:val="0"/>
    <w:rPr>
      <w:rFonts w:ascii="黑体" w:hAnsi="黑体" w:eastAsia="宋体"/>
      <w:b/>
      <w:spacing w:val="10"/>
      <w:kern w:val="2"/>
      <w:sz w:val="28"/>
      <w:szCs w:val="28"/>
      <w:lang w:val="en-US" w:eastAsia="zh-CN" w:bidi="ar-SA"/>
    </w:rPr>
  </w:style>
  <w:style w:type="character" w:customStyle="1" w:styleId="471">
    <w:name w:val="ourfont31"/>
    <w:autoRedefine/>
    <w:qFormat/>
    <w:uiPriority w:val="0"/>
    <w:rPr>
      <w:rFonts w:ascii="黑体" w:hAnsi="黑体" w:eastAsia="宋体"/>
      <w:b/>
      <w:spacing w:val="20"/>
      <w:kern w:val="2"/>
      <w:sz w:val="21"/>
      <w:szCs w:val="21"/>
      <w:lang w:val="en-US" w:eastAsia="zh-CN" w:bidi="ar-SA"/>
    </w:rPr>
  </w:style>
  <w:style w:type="paragraph" w:customStyle="1" w:styleId="472">
    <w:name w:val="环表头"/>
    <w:basedOn w:val="1"/>
    <w:next w:val="1"/>
    <w:link w:val="473"/>
    <w:autoRedefine/>
    <w:qFormat/>
    <w:uiPriority w:val="0"/>
    <w:pPr>
      <w:widowControl/>
      <w:suppressAutoHyphens/>
      <w:adjustRightInd w:val="0"/>
      <w:snapToGrid w:val="0"/>
      <w:jc w:val="center"/>
      <w:textAlignment w:val="baseline"/>
    </w:pPr>
    <w:rPr>
      <w:rFonts w:ascii="宋体" w:hAnsi="宋体" w:eastAsia="仿宋_GB2312" w:cs="宋体"/>
      <w:kern w:val="0"/>
      <w:sz w:val="24"/>
    </w:rPr>
  </w:style>
  <w:style w:type="character" w:customStyle="1" w:styleId="473">
    <w:name w:val="环表头 Char"/>
    <w:basedOn w:val="474"/>
    <w:link w:val="472"/>
    <w:autoRedefine/>
    <w:qFormat/>
    <w:uiPriority w:val="0"/>
    <w:rPr>
      <w:rFonts w:ascii="宋体" w:hAnsi="宋体" w:eastAsia="仿宋_GB2312" w:cs="宋体"/>
      <w:sz w:val="24"/>
      <w:szCs w:val="24"/>
      <w:lang w:val="en-US" w:eastAsia="zh-CN" w:bidi="ar-SA"/>
    </w:rPr>
  </w:style>
  <w:style w:type="character" w:customStyle="1" w:styleId="474">
    <w:name w:val="环正文 Char1"/>
    <w:autoRedefine/>
    <w:qFormat/>
    <w:uiPriority w:val="0"/>
    <w:rPr>
      <w:rFonts w:eastAsia="仿宋_GB2312"/>
      <w:sz w:val="24"/>
      <w:szCs w:val="24"/>
      <w:lang w:val="en-US" w:eastAsia="zh-CN" w:bidi="ar-SA"/>
    </w:rPr>
  </w:style>
  <w:style w:type="paragraph" w:customStyle="1" w:styleId="475">
    <w:name w:val="封面正文"/>
    <w:basedOn w:val="100"/>
    <w:next w:val="100"/>
    <w:autoRedefine/>
    <w:qFormat/>
    <w:uiPriority w:val="0"/>
    <w:pPr>
      <w:framePr w:wrap="around"/>
    </w:pPr>
  </w:style>
  <w:style w:type="paragraph" w:customStyle="1" w:styleId="476">
    <w:name w:val="5"/>
    <w:basedOn w:val="1"/>
    <w:next w:val="45"/>
    <w:autoRedefine/>
    <w:qFormat/>
    <w:uiPriority w:val="0"/>
    <w:rPr>
      <w:rFonts w:ascii="宋体" w:hAnsi="Courier New" w:cs="Courier New"/>
      <w:szCs w:val="21"/>
    </w:rPr>
  </w:style>
  <w:style w:type="paragraph" w:customStyle="1" w:styleId="477">
    <w:name w:val="小4黑居中行1"/>
    <w:autoRedefine/>
    <w:qFormat/>
    <w:uiPriority w:val="0"/>
    <w:pPr>
      <w:spacing w:line="360" w:lineRule="auto"/>
      <w:jc w:val="center"/>
    </w:pPr>
    <w:rPr>
      <w:rFonts w:ascii="Times New Roman" w:hAnsi="Times New Roman" w:cs="Times New Roman" w:eastAsiaTheme="minorEastAsia"/>
      <w:kern w:val="2"/>
      <w:sz w:val="21"/>
      <w:lang w:val="en-US" w:eastAsia="zh-CN" w:bidi="ar-SA"/>
    </w:rPr>
  </w:style>
  <w:style w:type="paragraph" w:customStyle="1" w:styleId="478">
    <w:name w:val="a3"/>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79">
    <w:name w:val="大纲封面"/>
    <w:basedOn w:val="1"/>
    <w:autoRedefine/>
    <w:qFormat/>
    <w:uiPriority w:val="0"/>
    <w:pPr>
      <w:spacing w:line="360" w:lineRule="auto"/>
      <w:jc w:val="center"/>
    </w:pPr>
    <w:rPr>
      <w:rFonts w:ascii="宋体" w:hAnsi="宋体" w:eastAsia="KaiTi_GB2312" w:cs="宋体"/>
      <w:b/>
      <w:spacing w:val="100"/>
      <w:sz w:val="72"/>
    </w:rPr>
  </w:style>
  <w:style w:type="paragraph" w:customStyle="1" w:styleId="480">
    <w:name w:val="封面单位"/>
    <w:basedOn w:val="1"/>
    <w:autoRedefine/>
    <w:qFormat/>
    <w:uiPriority w:val="0"/>
    <w:pPr>
      <w:tabs>
        <w:tab w:val="right" w:leader="middleDot" w:pos="8222"/>
      </w:tabs>
      <w:spacing w:line="360" w:lineRule="auto"/>
      <w:jc w:val="center"/>
    </w:pPr>
    <w:rPr>
      <w:rFonts w:ascii="KaiTi_GB2312" w:hAnsi="宋体" w:eastAsia="KaiTi_GB2312" w:cs="宋体"/>
      <w:b/>
      <w:sz w:val="36"/>
    </w:rPr>
  </w:style>
  <w:style w:type="paragraph" w:customStyle="1" w:styleId="481">
    <w:name w:val="我的样式（正文）"/>
    <w:basedOn w:val="1"/>
    <w:autoRedefine/>
    <w:qFormat/>
    <w:uiPriority w:val="0"/>
    <w:pPr>
      <w:spacing w:line="440" w:lineRule="exact"/>
    </w:pPr>
    <w:rPr>
      <w:rFonts w:ascii="宋体" w:hAnsi="宋体" w:cs="宋体"/>
      <w:sz w:val="28"/>
    </w:rPr>
  </w:style>
  <w:style w:type="paragraph" w:customStyle="1" w:styleId="482">
    <w:name w:val="我的样式（正文） Char"/>
    <w:basedOn w:val="1"/>
    <w:autoRedefine/>
    <w:qFormat/>
    <w:uiPriority w:val="0"/>
    <w:pPr>
      <w:spacing w:line="440" w:lineRule="exact"/>
    </w:pPr>
    <w:rPr>
      <w:rFonts w:ascii="宋体" w:hAnsi="华文楷体" w:cs="宋体"/>
      <w:sz w:val="28"/>
    </w:rPr>
  </w:style>
  <w:style w:type="paragraph" w:customStyle="1" w:styleId="483">
    <w:name w:val="样式"/>
    <w:basedOn w:val="1"/>
    <w:next w:val="35"/>
    <w:autoRedefine/>
    <w:qFormat/>
    <w:uiPriority w:val="0"/>
    <w:pPr>
      <w:adjustRightInd w:val="0"/>
      <w:spacing w:line="360" w:lineRule="auto"/>
      <w:ind w:firstLine="564"/>
      <w:textAlignment w:val="baseline"/>
    </w:pPr>
    <w:rPr>
      <w:rFonts w:ascii="宋体" w:hAnsi="宋体" w:eastAsia="仿宋_GB2312" w:cs="宋体"/>
      <w:kern w:val="0"/>
      <w:sz w:val="28"/>
    </w:rPr>
  </w:style>
  <w:style w:type="paragraph" w:customStyle="1" w:styleId="484">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宋体"/>
      <w:kern w:val="0"/>
      <w:sz w:val="24"/>
    </w:rPr>
  </w:style>
  <w:style w:type="paragraph" w:customStyle="1" w:styleId="485">
    <w:name w:val="文档正文"/>
    <w:basedOn w:val="1"/>
    <w:autoRedefine/>
    <w:qFormat/>
    <w:uiPriority w:val="0"/>
    <w:pPr>
      <w:adjustRightInd w:val="0"/>
      <w:spacing w:line="480" w:lineRule="atLeast"/>
      <w:ind w:firstLine="567"/>
      <w:textAlignment w:val="baseline"/>
    </w:pPr>
    <w:rPr>
      <w:rFonts w:ascii="宋体" w:hAnsi="宋体" w:cs="宋体"/>
      <w:kern w:val="0"/>
      <w:sz w:val="24"/>
    </w:rPr>
  </w:style>
  <w:style w:type="paragraph" w:customStyle="1" w:styleId="486">
    <w:name w:val="框图-1"/>
    <w:basedOn w:val="1"/>
    <w:autoRedefine/>
    <w:qFormat/>
    <w:uiPriority w:val="0"/>
    <w:pPr>
      <w:jc w:val="center"/>
    </w:pPr>
    <w:rPr>
      <w:rFonts w:ascii="宋体" w:hAnsi="宋体" w:eastAsia="仿宋_GB2312" w:cs="宋体"/>
      <w:snapToGrid w:val="0"/>
      <w:kern w:val="0"/>
    </w:rPr>
  </w:style>
  <w:style w:type="paragraph" w:customStyle="1" w:styleId="487">
    <w:name w:val="正文王"/>
    <w:basedOn w:val="45"/>
    <w:autoRedefine/>
    <w:qFormat/>
    <w:uiPriority w:val="0"/>
    <w:pPr>
      <w:widowControl w:val="0"/>
      <w:spacing w:line="440" w:lineRule="exact"/>
      <w:jc w:val="both"/>
    </w:pPr>
    <w:rPr>
      <w:rFonts w:ascii="Arial" w:hAnsi="Arial" w:cs="Times New Roman"/>
      <w:snapToGrid w:val="0"/>
      <w:szCs w:val="20"/>
    </w:rPr>
  </w:style>
  <w:style w:type="paragraph" w:customStyle="1" w:styleId="488">
    <w:name w:val="表 头"/>
    <w:basedOn w:val="1"/>
    <w:autoRedefine/>
    <w:qFormat/>
    <w:uiPriority w:val="0"/>
    <w:pPr>
      <w:adjustRightInd w:val="0"/>
      <w:spacing w:before="120" w:after="120" w:line="360" w:lineRule="atLeast"/>
      <w:jc w:val="center"/>
    </w:pPr>
    <w:rPr>
      <w:rFonts w:ascii="宋体" w:hAnsi="宋体" w:eastAsia="黑体" w:cs="宋体"/>
      <w:spacing w:val="10"/>
      <w:kern w:val="0"/>
      <w:sz w:val="24"/>
    </w:rPr>
  </w:style>
  <w:style w:type="paragraph" w:customStyle="1" w:styleId="489">
    <w:name w:val="五级条标题"/>
    <w:basedOn w:val="421"/>
    <w:next w:val="1"/>
    <w:autoRedefine/>
    <w:qFormat/>
    <w:uiPriority w:val="0"/>
    <w:pPr>
      <w:tabs>
        <w:tab w:val="left" w:pos="360"/>
        <w:tab w:val="left" w:pos="864"/>
        <w:tab w:val="left" w:pos="1008"/>
        <w:tab w:val="left" w:pos="1080"/>
        <w:tab w:val="left" w:pos="1152"/>
        <w:tab w:val="left" w:pos="1260"/>
        <w:tab w:val="left" w:pos="1296"/>
        <w:tab w:val="left" w:pos="1680"/>
        <w:tab w:val="left" w:pos="2100"/>
        <w:tab w:val="left" w:pos="2520"/>
        <w:tab w:val="left" w:pos="2940"/>
        <w:tab w:val="clear" w:pos="3058"/>
      </w:tabs>
      <w:ind w:left="2940" w:hanging="420"/>
      <w:outlineLvl w:val="6"/>
    </w:pPr>
    <w:rPr>
      <w:szCs w:val="20"/>
    </w:rPr>
  </w:style>
  <w:style w:type="paragraph" w:customStyle="1" w:styleId="490">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pPr>
    <w:rPr>
      <w:rFonts w:ascii="宋体" w:hAnsi="宋体" w:cs="宋体"/>
      <w:kern w:val="0"/>
      <w:sz w:val="24"/>
    </w:rPr>
  </w:style>
  <w:style w:type="character" w:customStyle="1" w:styleId="491">
    <w:name w:val="正文首行缩进 2 + Times New Roman Char"/>
    <w:autoRedefine/>
    <w:qFormat/>
    <w:locked/>
    <w:uiPriority w:val="0"/>
    <w:rPr>
      <w:rFonts w:ascii="黑体" w:hAnsi="宋体" w:eastAsia="宋体"/>
      <w:b/>
      <w:spacing w:val="10"/>
      <w:kern w:val="2"/>
      <w:sz w:val="24"/>
      <w:szCs w:val="24"/>
      <w:lang w:val="en-US" w:eastAsia="zh-CN" w:bidi="ar-SA"/>
    </w:rPr>
  </w:style>
  <w:style w:type="paragraph" w:customStyle="1" w:styleId="492">
    <w:name w:val="条目"/>
    <w:basedOn w:val="45"/>
    <w:next w:val="34"/>
    <w:autoRedefine/>
    <w:qFormat/>
    <w:uiPriority w:val="0"/>
    <w:pPr>
      <w:widowControl w:val="0"/>
      <w:ind w:firstLine="567"/>
      <w:jc w:val="both"/>
      <w:outlineLvl w:val="4"/>
    </w:pPr>
    <w:rPr>
      <w:rFonts w:cs="Times New Roman"/>
      <w:kern w:val="2"/>
      <w:szCs w:val="20"/>
    </w:rPr>
  </w:style>
  <w:style w:type="paragraph" w:customStyle="1" w:styleId="493">
    <w:name w:val="样式11"/>
    <w:basedOn w:val="1"/>
    <w:autoRedefine/>
    <w:qFormat/>
    <w:uiPriority w:val="0"/>
    <w:pPr>
      <w:tabs>
        <w:tab w:val="left" w:pos="1820"/>
      </w:tabs>
      <w:adjustRightInd w:val="0"/>
      <w:snapToGrid w:val="0"/>
      <w:spacing w:line="312" w:lineRule="auto"/>
      <w:ind w:left="1820" w:hanging="420"/>
    </w:pPr>
    <w:rPr>
      <w:rFonts w:ascii="仿宋_GB2312" w:hAnsi="宋体" w:eastAsia="仿宋_GB2312" w:cs="宋体"/>
      <w:sz w:val="28"/>
    </w:rPr>
  </w:style>
  <w:style w:type="paragraph" w:customStyle="1" w:styleId="494">
    <w:name w:val="样式 标题 4 + 四号 段前: 1 行"/>
    <w:basedOn w:val="6"/>
    <w:autoRedefine/>
    <w:qFormat/>
    <w:uiPriority w:val="0"/>
    <w:pPr>
      <w:tabs>
        <w:tab w:val="left" w:pos="2218"/>
        <w:tab w:val="clear" w:pos="1276"/>
      </w:tabs>
      <w:spacing w:beforeLines="100" w:line="420" w:lineRule="exact"/>
      <w:ind w:left="560" w:firstLine="0"/>
      <w:jc w:val="both"/>
    </w:pPr>
    <w:rPr>
      <w:rFonts w:eastAsia="黑体"/>
      <w:b w:val="0"/>
      <w:bCs w:val="0"/>
      <w:sz w:val="28"/>
      <w:szCs w:val="20"/>
    </w:rPr>
  </w:style>
  <w:style w:type="paragraph" w:customStyle="1" w:styleId="495">
    <w:name w:val="样式（大表格）"/>
    <w:basedOn w:val="1"/>
    <w:autoRedefine/>
    <w:qFormat/>
    <w:uiPriority w:val="0"/>
    <w:pPr>
      <w:adjustRightInd w:val="0"/>
      <w:snapToGrid w:val="0"/>
      <w:spacing w:line="400" w:lineRule="exact"/>
    </w:pPr>
    <w:rPr>
      <w:rFonts w:ascii="宋体" w:hAnsi="宋体" w:cs="宋体"/>
      <w:color w:val="FF0000"/>
      <w:sz w:val="24"/>
    </w:rPr>
  </w:style>
  <w:style w:type="paragraph" w:customStyle="1" w:styleId="496">
    <w:name w:val="表格内容1"/>
    <w:basedOn w:val="1"/>
    <w:autoRedefine/>
    <w:qFormat/>
    <w:uiPriority w:val="0"/>
    <w:pPr>
      <w:adjustRightInd w:val="0"/>
      <w:snapToGrid w:val="0"/>
      <w:spacing w:beforeLines="15" w:afterLines="15"/>
      <w:jc w:val="center"/>
    </w:pPr>
    <w:rPr>
      <w:rFonts w:ascii="宋体" w:hAnsi="宋体" w:cs="宋体"/>
      <w:snapToGrid w:val="0"/>
      <w:kern w:val="0"/>
    </w:rPr>
  </w:style>
  <w:style w:type="paragraph" w:customStyle="1" w:styleId="497">
    <w:name w:val="Char Char Char Char Char Char Char Char Char1 Char Char Char Char Char Char Char"/>
    <w:basedOn w:val="1"/>
    <w:autoRedefine/>
    <w:qFormat/>
    <w:uiPriority w:val="0"/>
    <w:rPr>
      <w:rFonts w:ascii="宋体" w:hAnsi="宋体" w:cs="宋体"/>
      <w:szCs w:val="21"/>
    </w:rPr>
  </w:style>
  <w:style w:type="paragraph" w:customStyle="1" w:styleId="498">
    <w:name w:val="表居中（中文）"/>
    <w:basedOn w:val="1"/>
    <w:autoRedefine/>
    <w:qFormat/>
    <w:uiPriority w:val="0"/>
    <w:pPr>
      <w:adjustRightInd w:val="0"/>
      <w:spacing w:line="380" w:lineRule="atLeast"/>
      <w:jc w:val="center"/>
      <w:textAlignment w:val="baseline"/>
    </w:pPr>
    <w:rPr>
      <w:rFonts w:ascii="宋体" w:hAnsi="宋体" w:eastAsia="KaiTi_GB2312" w:cs="宋体"/>
      <w:kern w:val="0"/>
    </w:rPr>
  </w:style>
  <w:style w:type="character" w:customStyle="1" w:styleId="499">
    <w:name w:val="black1"/>
    <w:autoRedefine/>
    <w:qFormat/>
    <w:uiPriority w:val="0"/>
    <w:rPr>
      <w:rFonts w:ascii="黑体" w:hAnsi="黑体" w:eastAsia="宋体"/>
      <w:b/>
      <w:color w:val="000000"/>
      <w:spacing w:val="10"/>
      <w:kern w:val="2"/>
      <w:sz w:val="18"/>
      <w:szCs w:val="18"/>
      <w:u w:val="none"/>
      <w:lang w:val="en-US" w:eastAsia="zh-CN" w:bidi="ar-SA"/>
    </w:rPr>
  </w:style>
  <w:style w:type="paragraph" w:customStyle="1" w:styleId="500">
    <w:name w:val="小四表格"/>
    <w:basedOn w:val="1"/>
    <w:autoRedefine/>
    <w:qFormat/>
    <w:uiPriority w:val="0"/>
    <w:pPr>
      <w:keepNext/>
      <w:autoSpaceDE w:val="0"/>
      <w:autoSpaceDN w:val="0"/>
      <w:adjustRightInd w:val="0"/>
      <w:spacing w:line="480" w:lineRule="atLeast"/>
      <w:jc w:val="center"/>
    </w:pPr>
    <w:rPr>
      <w:rFonts w:ascii="宋体" w:hAnsi="宋体" w:cs="宋体"/>
      <w:color w:val="000000"/>
      <w:sz w:val="24"/>
    </w:rPr>
  </w:style>
  <w:style w:type="paragraph" w:customStyle="1" w:styleId="501">
    <w:name w:val="注解"/>
    <w:autoRedefine/>
    <w:qFormat/>
    <w:uiPriority w:val="0"/>
    <w:pPr>
      <w:widowControl w:val="0"/>
      <w:autoSpaceDE w:val="0"/>
      <w:autoSpaceDN w:val="0"/>
      <w:adjustRightInd w:val="0"/>
      <w:jc w:val="center"/>
    </w:pPr>
    <w:rPr>
      <w:rFonts w:ascii="宋体" w:hAnsi="Arial Black" w:cs="Times New Roman" w:eastAsiaTheme="minorEastAsia"/>
      <w:kern w:val="2"/>
      <w:sz w:val="21"/>
      <w:lang w:val="en-US" w:eastAsia="zh-CN" w:bidi="ar-SA"/>
    </w:rPr>
  </w:style>
  <w:style w:type="paragraph" w:customStyle="1" w:styleId="502">
    <w:name w:val="封面标准文稿编辑信息"/>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503">
    <w:name w:val="样式 标题 2 + 段前: 0.5 行 段后: 0.5 行"/>
    <w:basedOn w:val="4"/>
    <w:autoRedefine/>
    <w:qFormat/>
    <w:uiPriority w:val="0"/>
    <w:pPr>
      <w:widowControl w:val="0"/>
      <w:tabs>
        <w:tab w:val="left" w:pos="576"/>
        <w:tab w:val="clear" w:pos="1276"/>
      </w:tabs>
      <w:snapToGrid w:val="0"/>
      <w:spacing w:beforeLines="50" w:afterLines="50" w:line="300" w:lineRule="auto"/>
      <w:ind w:left="576" w:hanging="576"/>
      <w:jc w:val="both"/>
    </w:pPr>
    <w:rPr>
      <w:rFonts w:ascii="Calibri" w:hAnsi="Calibri" w:cs="宋体"/>
      <w:b/>
      <w:bCs/>
      <w:kern w:val="2"/>
      <w:sz w:val="24"/>
      <w:szCs w:val="28"/>
    </w:rPr>
  </w:style>
  <w:style w:type="paragraph" w:customStyle="1" w:styleId="504">
    <w:name w:val="10"/>
    <w:basedOn w:val="1"/>
    <w:next w:val="9"/>
    <w:autoRedefine/>
    <w:qFormat/>
    <w:uiPriority w:val="0"/>
    <w:pPr>
      <w:spacing w:line="500" w:lineRule="exact"/>
      <w:ind w:firstLine="420"/>
    </w:pPr>
    <w:rPr>
      <w:rFonts w:ascii="仿宋_GB2312" w:hAnsi="宋体" w:eastAsia="仿宋_GB2312" w:cs="宋体"/>
      <w:sz w:val="28"/>
    </w:rPr>
  </w:style>
  <w:style w:type="paragraph" w:customStyle="1" w:styleId="505">
    <w:name w:val="Char Char Char Char Char"/>
    <w:basedOn w:val="1"/>
    <w:autoRedefine/>
    <w:qFormat/>
    <w:uiPriority w:val="0"/>
    <w:rPr>
      <w:rFonts w:ascii="宋体" w:hAnsi="宋体" w:cs="宋体"/>
      <w:szCs w:val="21"/>
    </w:rPr>
  </w:style>
  <w:style w:type="paragraph" w:customStyle="1" w:styleId="506">
    <w:name w:val="样式 标题 4 + (西文) Times New Roman (中文) 宋体 小四"/>
    <w:basedOn w:val="6"/>
    <w:autoRedefine/>
    <w:qFormat/>
    <w:uiPriority w:val="0"/>
    <w:pPr>
      <w:widowControl w:val="0"/>
      <w:tabs>
        <w:tab w:val="left" w:pos="1247"/>
        <w:tab w:val="clear" w:pos="1276"/>
      </w:tabs>
      <w:snapToGrid w:val="0"/>
      <w:spacing w:beforeLines="25" w:afterLines="25"/>
      <w:ind w:left="964" w:hanging="964"/>
      <w:jc w:val="both"/>
    </w:pPr>
    <w:rPr>
      <w:rFonts w:ascii="幼圆" w:hAnsi="Calibri" w:eastAsia="幼圆"/>
      <w:b w:val="0"/>
      <w:bCs w:val="0"/>
      <w:color w:val="0000FF"/>
      <w:kern w:val="2"/>
      <w:szCs w:val="24"/>
    </w:rPr>
  </w:style>
  <w:style w:type="paragraph" w:customStyle="1" w:styleId="507">
    <w:name w:val="Char4 Char Char Char Char Char Char Char Char Char Char Char Char Char Char Char Char Char1 Char Char Char Char"/>
    <w:basedOn w:val="1"/>
    <w:autoRedefine/>
    <w:qFormat/>
    <w:uiPriority w:val="0"/>
    <w:pPr>
      <w:ind w:firstLine="200" w:firstLineChars="200"/>
    </w:pPr>
    <w:rPr>
      <w:rFonts w:ascii="宋体" w:hAnsi="宋体" w:cs="宋体"/>
      <w:sz w:val="28"/>
      <w:szCs w:val="28"/>
    </w:rPr>
  </w:style>
  <w:style w:type="character" w:customStyle="1" w:styleId="508">
    <w:name w:val="未命名11"/>
    <w:autoRedefine/>
    <w:qFormat/>
    <w:uiPriority w:val="0"/>
    <w:rPr>
      <w:rFonts w:hint="eastAsia" w:ascii="宋体" w:hAnsi="宋体" w:eastAsia="宋体"/>
      <w:b/>
      <w:spacing w:val="10"/>
      <w:kern w:val="2"/>
      <w:sz w:val="18"/>
      <w:szCs w:val="18"/>
      <w:lang w:val="en-US" w:eastAsia="zh-CN" w:bidi="ar-SA"/>
    </w:rPr>
  </w:style>
  <w:style w:type="paragraph" w:customStyle="1" w:styleId="509">
    <w:name w:val="Char Char Char1 Char Char Char Char Char Char Char Char Char Char Char Char Char Char Char1 Char Char Char Char Char Char Char Char Char Char Char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510">
    <w:name w:val="Char Char Char11"/>
    <w:basedOn w:val="1"/>
    <w:autoRedefine/>
    <w:qFormat/>
    <w:uiPriority w:val="0"/>
    <w:rPr>
      <w:rFonts w:ascii="宋体" w:hAnsi="宋体" w:cs="宋体"/>
      <w:szCs w:val="21"/>
    </w:rPr>
  </w:style>
  <w:style w:type="paragraph" w:customStyle="1" w:styleId="511">
    <w:name w:val="Char Char Char Char Char Char Char Char"/>
    <w:basedOn w:val="1"/>
    <w:autoRedefine/>
    <w:qFormat/>
    <w:uiPriority w:val="0"/>
    <w:rPr>
      <w:rFonts w:ascii="宋体" w:hAnsi="宋体" w:cs="宋体"/>
      <w:szCs w:val="21"/>
    </w:rPr>
  </w:style>
  <w:style w:type="paragraph" w:customStyle="1" w:styleId="512">
    <w:name w:val="Char Char Char1 Char Char Char Char Char Char"/>
    <w:basedOn w:val="1"/>
    <w:autoRedefine/>
    <w:qFormat/>
    <w:uiPriority w:val="0"/>
    <w:rPr>
      <w:rFonts w:ascii="宋体" w:hAnsi="宋体" w:cs="宋体"/>
      <w:szCs w:val="21"/>
    </w:rPr>
  </w:style>
  <w:style w:type="paragraph" w:customStyle="1" w:styleId="513">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514">
    <w:name w:val="表前文"/>
    <w:basedOn w:val="1"/>
    <w:autoRedefine/>
    <w:qFormat/>
    <w:uiPriority w:val="0"/>
    <w:pPr>
      <w:adjustRightInd w:val="0"/>
      <w:spacing w:after="120" w:line="400" w:lineRule="exact"/>
      <w:ind w:firstLine="601"/>
      <w:textAlignment w:val="baseline"/>
    </w:pPr>
    <w:rPr>
      <w:rFonts w:ascii="宋体" w:hAnsi="宋体" w:eastAsia="KaiTi_GB2312" w:cs="宋体"/>
      <w:spacing w:val="8"/>
      <w:kern w:val="0"/>
      <w:sz w:val="28"/>
    </w:rPr>
  </w:style>
  <w:style w:type="paragraph" w:customStyle="1" w:styleId="515">
    <w:name w:val="Char3"/>
    <w:basedOn w:val="1"/>
    <w:autoRedefine/>
    <w:qFormat/>
    <w:uiPriority w:val="0"/>
    <w:rPr>
      <w:rFonts w:ascii="宋体" w:hAnsi="宋体" w:cs="宋体"/>
      <w:szCs w:val="21"/>
    </w:rPr>
  </w:style>
  <w:style w:type="paragraph" w:customStyle="1" w:styleId="516">
    <w:name w:val="Char Char Char1 Char Char Char Char Char Char Char Char Char"/>
    <w:basedOn w:val="1"/>
    <w:autoRedefine/>
    <w:qFormat/>
    <w:uiPriority w:val="0"/>
    <w:rPr>
      <w:rFonts w:ascii="宋体" w:hAnsi="宋体" w:cs="宋体"/>
      <w:szCs w:val="21"/>
    </w:rPr>
  </w:style>
  <w:style w:type="paragraph" w:customStyle="1" w:styleId="517">
    <w:name w:val="Char Char Char Char Char Char"/>
    <w:basedOn w:val="1"/>
    <w:autoRedefine/>
    <w:qFormat/>
    <w:uiPriority w:val="0"/>
    <w:rPr>
      <w:rFonts w:ascii="宋体" w:hAnsi="宋体" w:cs="宋体"/>
      <w:szCs w:val="21"/>
    </w:rPr>
  </w:style>
  <w:style w:type="paragraph" w:customStyle="1" w:styleId="518">
    <w:name w:val="Bullet"/>
    <w:basedOn w:val="1"/>
    <w:autoRedefine/>
    <w:qFormat/>
    <w:uiPriority w:val="0"/>
    <w:pPr>
      <w:widowControl/>
      <w:tabs>
        <w:tab w:val="left" w:pos="2040"/>
      </w:tabs>
      <w:spacing w:after="60" w:line="300" w:lineRule="atLeast"/>
      <w:ind w:left="2040" w:leftChars="800" w:hanging="360" w:hangingChars="200"/>
    </w:pPr>
    <w:rPr>
      <w:rFonts w:ascii="宋体" w:hAnsi="宋体" w:cs="宋体"/>
      <w:kern w:val="0"/>
      <w:sz w:val="22"/>
    </w:rPr>
  </w:style>
  <w:style w:type="paragraph" w:customStyle="1" w:styleId="519">
    <w:name w:val="样式7"/>
    <w:basedOn w:val="3"/>
    <w:autoRedefine/>
    <w:qFormat/>
    <w:uiPriority w:val="0"/>
    <w:pPr>
      <w:keepLines/>
      <w:widowControl w:val="0"/>
      <w:numPr>
        <w:numId w:val="0"/>
      </w:numPr>
      <w:tabs>
        <w:tab w:val="left" w:pos="2040"/>
      </w:tabs>
      <w:adjustRightInd w:val="0"/>
      <w:snapToGrid w:val="0"/>
      <w:spacing w:beforeLines="200" w:afterLines="200" w:line="500" w:lineRule="exact"/>
      <w:ind w:left="2040" w:leftChars="800" w:hanging="360" w:hangingChars="200"/>
      <w:jc w:val="both"/>
    </w:pPr>
    <w:rPr>
      <w:rFonts w:ascii="Calibri" w:hAnsi="Calibri" w:eastAsia="黑体"/>
      <w:color w:val="000000"/>
      <w:kern w:val="44"/>
      <w:sz w:val="30"/>
      <w:szCs w:val="44"/>
    </w:rPr>
  </w:style>
  <w:style w:type="paragraph" w:customStyle="1" w:styleId="520">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rPr>
  </w:style>
  <w:style w:type="paragraph" w:customStyle="1" w:styleId="521">
    <w:name w:val="文本"/>
    <w:basedOn w:val="1"/>
    <w:autoRedefine/>
    <w:qFormat/>
    <w:uiPriority w:val="0"/>
    <w:pPr>
      <w:tabs>
        <w:tab w:val="right" w:leader="dot" w:pos="8296"/>
      </w:tabs>
      <w:adjustRightInd w:val="0"/>
      <w:snapToGrid w:val="0"/>
      <w:spacing w:beforeLines="20"/>
      <w:jc w:val="center"/>
    </w:pPr>
    <w:rPr>
      <w:rFonts w:ascii="宋体" w:hAnsi="宋体" w:cs="宋体"/>
      <w:snapToGrid w:val="0"/>
      <w:kern w:val="21"/>
    </w:rPr>
  </w:style>
  <w:style w:type="paragraph" w:customStyle="1" w:styleId="522">
    <w:name w:val="Plain Text2"/>
    <w:basedOn w:val="1"/>
    <w:autoRedefine/>
    <w:qFormat/>
    <w:uiPriority w:val="0"/>
    <w:pPr>
      <w:autoSpaceDE w:val="0"/>
      <w:autoSpaceDN w:val="0"/>
      <w:adjustRightInd w:val="0"/>
      <w:textAlignment w:val="baseline"/>
    </w:pPr>
    <w:rPr>
      <w:rFonts w:ascii="宋体" w:hAnsi="Tms Rmn" w:cs="宋体"/>
      <w:kern w:val="0"/>
    </w:rPr>
  </w:style>
  <w:style w:type="paragraph" w:customStyle="1" w:styleId="523">
    <w:name w:val="三级标题"/>
    <w:basedOn w:val="84"/>
    <w:autoRedefine/>
    <w:qFormat/>
    <w:uiPriority w:val="0"/>
    <w:pPr>
      <w:widowControl w:val="0"/>
      <w:spacing w:before="260" w:after="0" w:line="460" w:lineRule="exact"/>
      <w:jc w:val="both"/>
      <w:outlineLvl w:val="2"/>
    </w:pPr>
    <w:rPr>
      <w:rFonts w:ascii="Times New Roman" w:hAnsi="Times New Roman" w:cs="Arial"/>
      <w:sz w:val="24"/>
      <w:szCs w:val="24"/>
    </w:rPr>
  </w:style>
  <w:style w:type="paragraph" w:customStyle="1" w:styleId="524">
    <w:name w:val="注释"/>
    <w:basedOn w:val="1"/>
    <w:autoRedefine/>
    <w:qFormat/>
    <w:uiPriority w:val="0"/>
    <w:pPr>
      <w:spacing w:before="60" w:line="360" w:lineRule="exact"/>
      <w:ind w:firstLine="200" w:firstLineChars="200"/>
    </w:pPr>
    <w:rPr>
      <w:rFonts w:ascii="宋体" w:hAnsi="宋体" w:cs="宋体"/>
      <w:kern w:val="0"/>
      <w:szCs w:val="21"/>
    </w:rPr>
  </w:style>
  <w:style w:type="paragraph" w:customStyle="1" w:styleId="525">
    <w:name w:val="标题3"/>
    <w:basedOn w:val="34"/>
    <w:next w:val="34"/>
    <w:autoRedefine/>
    <w:qFormat/>
    <w:uiPriority w:val="0"/>
    <w:pPr>
      <w:spacing w:after="0" w:line="520" w:lineRule="exact"/>
    </w:pPr>
    <w:rPr>
      <w:rFonts w:ascii="宋体" w:hAnsi="宋体" w:cs="Arial"/>
      <w:bCs/>
      <w:sz w:val="24"/>
    </w:rPr>
  </w:style>
  <w:style w:type="paragraph" w:customStyle="1" w:styleId="526">
    <w:name w:val="ST20_1"/>
    <w:basedOn w:val="1"/>
    <w:autoRedefine/>
    <w:qFormat/>
    <w:uiPriority w:val="0"/>
    <w:pPr>
      <w:autoSpaceDE w:val="0"/>
      <w:autoSpaceDN w:val="0"/>
      <w:adjustRightInd w:val="0"/>
      <w:spacing w:line="312" w:lineRule="atLeast"/>
      <w:jc w:val="center"/>
      <w:textAlignment w:val="baseline"/>
    </w:pPr>
    <w:rPr>
      <w:rFonts w:ascii="宋体" w:hAnsi="Tms Rmn" w:cs="宋体"/>
      <w:kern w:val="0"/>
      <w:sz w:val="24"/>
    </w:rPr>
  </w:style>
  <w:style w:type="paragraph" w:customStyle="1" w:styleId="527">
    <w:name w:val="图文字"/>
    <w:basedOn w:val="1"/>
    <w:autoRedefine/>
    <w:qFormat/>
    <w:uiPriority w:val="0"/>
    <w:pPr>
      <w:spacing w:line="280" w:lineRule="exact"/>
      <w:jc w:val="center"/>
    </w:pPr>
    <w:rPr>
      <w:rFonts w:ascii="宋体" w:hAnsi="宋体" w:cs="宋体"/>
    </w:rPr>
  </w:style>
  <w:style w:type="paragraph" w:customStyle="1" w:styleId="528">
    <w:name w:val="图标题"/>
    <w:basedOn w:val="1"/>
    <w:autoRedefine/>
    <w:qFormat/>
    <w:uiPriority w:val="0"/>
    <w:pPr>
      <w:framePr w:hSpace="181" w:vSpace="181" w:wrap="around" w:vAnchor="text" w:hAnchor="text" w:y="1"/>
      <w:spacing w:line="260" w:lineRule="exact"/>
      <w:jc w:val="center"/>
    </w:pPr>
    <w:rPr>
      <w:rFonts w:ascii="宋体" w:hAnsi="宋体" w:cs="宋体"/>
      <w:b/>
      <w:bCs/>
      <w:sz w:val="24"/>
    </w:rPr>
  </w:style>
  <w:style w:type="character" w:customStyle="1" w:styleId="529">
    <w:name w:val="common1"/>
    <w:autoRedefine/>
    <w:qFormat/>
    <w:uiPriority w:val="0"/>
    <w:rPr>
      <w:rFonts w:ascii="黑体" w:hAnsi="黑体" w:eastAsia="黑体"/>
      <w:b/>
      <w:spacing w:val="10"/>
      <w:kern w:val="44"/>
      <w:sz w:val="18"/>
      <w:szCs w:val="18"/>
      <w:lang w:val="en-US" w:eastAsia="zh-CN"/>
    </w:rPr>
  </w:style>
  <w:style w:type="paragraph" w:customStyle="1" w:styleId="530">
    <w:name w:val="首行缩进"/>
    <w:basedOn w:val="1"/>
    <w:autoRedefine/>
    <w:qFormat/>
    <w:uiPriority w:val="0"/>
    <w:pPr>
      <w:spacing w:line="360" w:lineRule="auto"/>
      <w:ind w:firstLine="480" w:firstLineChars="200"/>
    </w:pPr>
    <w:rPr>
      <w:rFonts w:ascii="宋体" w:hAnsi="宋体" w:cs="宋体"/>
      <w:sz w:val="24"/>
    </w:rPr>
  </w:style>
  <w:style w:type="paragraph" w:customStyle="1" w:styleId="531">
    <w:name w:val="表文字"/>
    <w:basedOn w:val="1"/>
    <w:autoRedefine/>
    <w:qFormat/>
    <w:uiPriority w:val="0"/>
    <w:pPr>
      <w:widowControl/>
      <w:jc w:val="center"/>
    </w:pPr>
    <w:rPr>
      <w:rFonts w:ascii="宋体" w:hAnsi="宋体" w:cs="宋体"/>
      <w:kern w:val="0"/>
      <w:szCs w:val="21"/>
    </w:rPr>
  </w:style>
  <w:style w:type="paragraph" w:customStyle="1" w:styleId="532">
    <w:name w:val="xl"/>
    <w:basedOn w:val="1"/>
    <w:autoRedefine/>
    <w:qFormat/>
    <w:uiPriority w:val="0"/>
    <w:pPr>
      <w:widowControl/>
      <w:spacing w:before="100" w:beforeAutospacing="1" w:after="100" w:afterAutospacing="1"/>
      <w:jc w:val="left"/>
    </w:pPr>
    <w:rPr>
      <w:rFonts w:hint="eastAsia" w:ascii="隶书" w:hAnsi="Arial Unicode MS" w:eastAsia="隶书" w:cs="宋体"/>
      <w:color w:val="008000"/>
      <w:kern w:val="0"/>
      <w:sz w:val="36"/>
      <w:szCs w:val="36"/>
    </w:rPr>
  </w:style>
  <w:style w:type="paragraph" w:customStyle="1" w:styleId="533">
    <w:name w:val="标题正4"/>
    <w:basedOn w:val="1"/>
    <w:autoRedefine/>
    <w:qFormat/>
    <w:uiPriority w:val="0"/>
    <w:pPr>
      <w:spacing w:line="280" w:lineRule="exact"/>
      <w:jc w:val="center"/>
    </w:pPr>
    <w:rPr>
      <w:rFonts w:ascii="宋体" w:hAnsi="宋体" w:cs="宋体"/>
      <w:color w:val="000000"/>
    </w:rPr>
  </w:style>
  <w:style w:type="paragraph" w:customStyle="1" w:styleId="534">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535">
    <w:name w:val="nine-11"/>
    <w:autoRedefine/>
    <w:qFormat/>
    <w:uiPriority w:val="0"/>
    <w:rPr>
      <w:rFonts w:hint="default" w:eastAsia="黑体"/>
      <w:b/>
      <w:spacing w:val="10"/>
      <w:kern w:val="44"/>
      <w:sz w:val="18"/>
      <w:szCs w:val="18"/>
      <w:lang w:val="en-US" w:eastAsia="zh-CN"/>
    </w:rPr>
  </w:style>
  <w:style w:type="character" w:customStyle="1" w:styleId="536">
    <w:name w:val="style41"/>
    <w:autoRedefine/>
    <w:qFormat/>
    <w:uiPriority w:val="0"/>
    <w:rPr>
      <w:rFonts w:ascii="黑体" w:hAnsi="黑体" w:eastAsia="黑体"/>
      <w:b/>
      <w:bCs/>
      <w:color w:val="000000"/>
      <w:spacing w:val="10"/>
      <w:kern w:val="44"/>
      <w:sz w:val="28"/>
      <w:lang w:val="en-US" w:eastAsia="zh-CN"/>
    </w:rPr>
  </w:style>
  <w:style w:type="character" w:customStyle="1" w:styleId="537">
    <w:name w:val="title-blue1"/>
    <w:autoRedefine/>
    <w:qFormat/>
    <w:uiPriority w:val="0"/>
    <w:rPr>
      <w:rFonts w:hint="eastAsia" w:ascii="幼圆" w:hAnsi="黑体" w:eastAsia="幼圆"/>
      <w:b/>
      <w:bCs/>
      <w:color w:val="009FFF"/>
      <w:spacing w:val="75"/>
      <w:kern w:val="44"/>
      <w:sz w:val="24"/>
      <w:szCs w:val="24"/>
      <w:lang w:val="en-US" w:eastAsia="zh-CN"/>
    </w:rPr>
  </w:style>
  <w:style w:type="paragraph" w:customStyle="1" w:styleId="538">
    <w:name w:val="1 Char Char Char Char Char Char Char Char Char Char Char Char Char Char Char Char Char Char Char"/>
    <w:basedOn w:val="1"/>
    <w:autoRedefine/>
    <w:qFormat/>
    <w:uiPriority w:val="0"/>
    <w:pPr>
      <w:adjustRightInd w:val="0"/>
      <w:spacing w:line="360" w:lineRule="auto"/>
    </w:pPr>
    <w:rPr>
      <w:rFonts w:ascii="宋体" w:hAnsi="宋体" w:cs="宋体"/>
      <w:kern w:val="0"/>
      <w:sz w:val="24"/>
    </w:rPr>
  </w:style>
  <w:style w:type="paragraph" w:customStyle="1" w:styleId="539">
    <w:name w:val="表蕊"/>
    <w:basedOn w:val="1"/>
    <w:link w:val="540"/>
    <w:autoRedefine/>
    <w:qFormat/>
    <w:uiPriority w:val="0"/>
    <w:pPr>
      <w:adjustRightInd w:val="0"/>
      <w:spacing w:line="320" w:lineRule="atLeast"/>
      <w:jc w:val="left"/>
      <w:textAlignment w:val="baseline"/>
    </w:pPr>
    <w:rPr>
      <w:rFonts w:ascii="Calibri" w:hAnsi="Calibri" w:eastAsia="KaiTi_GB2312" w:cs="宋体"/>
      <w:spacing w:val="-10"/>
      <w:kern w:val="0"/>
    </w:rPr>
  </w:style>
  <w:style w:type="character" w:customStyle="1" w:styleId="540">
    <w:name w:val="表蕊 Char1"/>
    <w:link w:val="539"/>
    <w:autoRedefine/>
    <w:qFormat/>
    <w:uiPriority w:val="0"/>
    <w:rPr>
      <w:rFonts w:ascii="Calibri" w:hAnsi="Calibri" w:eastAsia="KaiTi_GB2312" w:cs="宋体"/>
      <w:spacing w:val="-10"/>
      <w:sz w:val="21"/>
      <w:szCs w:val="24"/>
    </w:rPr>
  </w:style>
  <w:style w:type="paragraph" w:customStyle="1" w:styleId="541">
    <w:name w:val="正文B"/>
    <w:basedOn w:val="1"/>
    <w:link w:val="542"/>
    <w:autoRedefine/>
    <w:qFormat/>
    <w:uiPriority w:val="0"/>
    <w:pPr>
      <w:adjustRightInd w:val="0"/>
      <w:spacing w:line="390" w:lineRule="exact"/>
      <w:ind w:firstLine="601"/>
      <w:textAlignment w:val="baseline"/>
    </w:pPr>
    <w:rPr>
      <w:rFonts w:ascii="Calibri" w:hAnsi="Calibri" w:eastAsia="KaiTi_GB2312" w:cs="宋体"/>
      <w:spacing w:val="8"/>
      <w:kern w:val="0"/>
      <w:sz w:val="28"/>
    </w:rPr>
  </w:style>
  <w:style w:type="character" w:customStyle="1" w:styleId="542">
    <w:name w:val="正文B Char"/>
    <w:link w:val="541"/>
    <w:autoRedefine/>
    <w:qFormat/>
    <w:uiPriority w:val="0"/>
    <w:rPr>
      <w:rFonts w:ascii="Calibri" w:hAnsi="Calibri" w:eastAsia="KaiTi_GB2312" w:cs="宋体"/>
      <w:spacing w:val="8"/>
      <w:sz w:val="28"/>
      <w:szCs w:val="24"/>
    </w:rPr>
  </w:style>
  <w:style w:type="character" w:customStyle="1" w:styleId="543">
    <w:name w:val="标题 1 Char1"/>
    <w:autoRedefine/>
    <w:qFormat/>
    <w:uiPriority w:val="0"/>
    <w:rPr>
      <w:rFonts w:ascii="黑体" w:hAnsi="黑体" w:eastAsia="宋体"/>
      <w:b/>
      <w:bCs/>
      <w:spacing w:val="10"/>
      <w:kern w:val="44"/>
      <w:sz w:val="44"/>
      <w:szCs w:val="44"/>
      <w:lang w:val="en-US" w:eastAsia="zh-CN" w:bidi="ar-SA"/>
    </w:rPr>
  </w:style>
  <w:style w:type="character" w:customStyle="1" w:styleId="544">
    <w:name w:val="unnamed91"/>
    <w:autoRedefine/>
    <w:qFormat/>
    <w:uiPriority w:val="0"/>
    <w:rPr>
      <w:rFonts w:hint="eastAsia" w:ascii="宋体" w:hAnsi="宋体" w:eastAsia="宋体"/>
      <w:color w:val="000000"/>
      <w:spacing w:val="10"/>
      <w:kern w:val="44"/>
      <w:sz w:val="18"/>
      <w:szCs w:val="18"/>
      <w:u w:val="none"/>
      <w:lang w:val="en-US" w:eastAsia="zh-CN"/>
    </w:rPr>
  </w:style>
  <w:style w:type="paragraph" w:customStyle="1" w:styleId="545">
    <w:name w:val="报告 Char"/>
    <w:basedOn w:val="1"/>
    <w:autoRedefine/>
    <w:qFormat/>
    <w:uiPriority w:val="0"/>
    <w:pPr>
      <w:adjustRightInd w:val="0"/>
      <w:spacing w:line="360" w:lineRule="auto"/>
      <w:ind w:firstLine="505"/>
      <w:textAlignment w:val="baseline"/>
    </w:pPr>
    <w:rPr>
      <w:rFonts w:ascii="宋体" w:hAnsi="宋体" w:cs="宋体"/>
      <w:sz w:val="24"/>
    </w:rPr>
  </w:style>
  <w:style w:type="paragraph" w:customStyle="1" w:styleId="546">
    <w:name w:val="样式 标题 3 + 黑色 Char Char Char Char"/>
    <w:basedOn w:val="5"/>
    <w:link w:val="547"/>
    <w:autoRedefine/>
    <w:qFormat/>
    <w:uiPriority w:val="0"/>
    <w:pPr>
      <w:keepNext w:val="0"/>
      <w:keepLines w:val="0"/>
      <w:tabs>
        <w:tab w:val="left" w:pos="993"/>
        <w:tab w:val="left" w:pos="1260"/>
      </w:tabs>
      <w:adjustRightInd w:val="0"/>
      <w:snapToGrid w:val="0"/>
      <w:spacing w:before="0" w:after="0" w:line="500" w:lineRule="exact"/>
      <w:outlineLvl w:val="9"/>
    </w:pPr>
    <w:rPr>
      <w:rFonts w:ascii="Calibri" w:hAnsi="Calibri" w:cs="宋体"/>
      <w:b w:val="0"/>
      <w:color w:val="000000"/>
      <w:sz w:val="28"/>
    </w:rPr>
  </w:style>
  <w:style w:type="character" w:customStyle="1" w:styleId="547">
    <w:name w:val="样式 标题 3 + 黑色 Char Char Char Char Char"/>
    <w:link w:val="546"/>
    <w:autoRedefine/>
    <w:qFormat/>
    <w:uiPriority w:val="0"/>
    <w:rPr>
      <w:rFonts w:ascii="Calibri" w:hAnsi="Calibri" w:cs="宋体"/>
      <w:bCs/>
      <w:color w:val="000000"/>
      <w:kern w:val="2"/>
      <w:sz w:val="28"/>
      <w:szCs w:val="32"/>
    </w:rPr>
  </w:style>
  <w:style w:type="paragraph" w:customStyle="1" w:styleId="548">
    <w:name w:val="报告 Char Char Char"/>
    <w:basedOn w:val="1"/>
    <w:link w:val="549"/>
    <w:autoRedefine/>
    <w:qFormat/>
    <w:uiPriority w:val="0"/>
    <w:pPr>
      <w:adjustRightInd w:val="0"/>
      <w:spacing w:line="360" w:lineRule="auto"/>
      <w:ind w:firstLine="505"/>
      <w:textAlignment w:val="baseline"/>
    </w:pPr>
    <w:rPr>
      <w:rFonts w:ascii="Calibri" w:hAnsi="Calibri" w:cs="宋体"/>
      <w:sz w:val="24"/>
    </w:rPr>
  </w:style>
  <w:style w:type="character" w:customStyle="1" w:styleId="549">
    <w:name w:val="报告 Char Char Char Char"/>
    <w:link w:val="548"/>
    <w:autoRedefine/>
    <w:qFormat/>
    <w:uiPriority w:val="0"/>
    <w:rPr>
      <w:rFonts w:ascii="Calibri" w:hAnsi="Calibri" w:cs="宋体"/>
      <w:kern w:val="2"/>
      <w:sz w:val="24"/>
      <w:szCs w:val="24"/>
    </w:rPr>
  </w:style>
  <w:style w:type="paragraph" w:customStyle="1" w:styleId="550">
    <w:name w:val="Char4 Char Char Char Char Char Char Char Char Char Char Char Char Char Char Char Char Char1 Char"/>
    <w:basedOn w:val="1"/>
    <w:autoRedefine/>
    <w:qFormat/>
    <w:uiPriority w:val="0"/>
    <w:pPr>
      <w:ind w:firstLine="200" w:firstLineChars="200"/>
    </w:pPr>
    <w:rPr>
      <w:rFonts w:ascii="宋体" w:hAnsi="宋体" w:cs="宋体"/>
      <w:sz w:val="28"/>
      <w:szCs w:val="28"/>
    </w:rPr>
  </w:style>
  <w:style w:type="paragraph" w:customStyle="1" w:styleId="551">
    <w:name w:val="正文(首行缩进)"/>
    <w:basedOn w:val="1"/>
    <w:autoRedefine/>
    <w:qFormat/>
    <w:uiPriority w:val="0"/>
    <w:pPr>
      <w:spacing w:line="500" w:lineRule="exact"/>
      <w:ind w:firstLine="480" w:firstLineChars="200"/>
    </w:pPr>
    <w:rPr>
      <w:rFonts w:ascii="宋体" w:hAnsi="宋体" w:cs="宋体"/>
      <w:snapToGrid w:val="0"/>
      <w:sz w:val="24"/>
    </w:rPr>
  </w:style>
  <w:style w:type="paragraph" w:customStyle="1" w:styleId="552">
    <w:name w:val="正文格式 Char Char Char2"/>
    <w:basedOn w:val="1"/>
    <w:link w:val="553"/>
    <w:autoRedefine/>
    <w:qFormat/>
    <w:uiPriority w:val="0"/>
    <w:pPr>
      <w:spacing w:line="360" w:lineRule="auto"/>
      <w:ind w:firstLine="482"/>
    </w:pPr>
    <w:rPr>
      <w:rFonts w:ascii="宋体" w:hAnsi="Calibri" w:cs="宋体"/>
      <w:sz w:val="24"/>
    </w:rPr>
  </w:style>
  <w:style w:type="character" w:customStyle="1" w:styleId="553">
    <w:name w:val="正文格式 Char Char Char2 Char"/>
    <w:link w:val="552"/>
    <w:autoRedefine/>
    <w:qFormat/>
    <w:uiPriority w:val="0"/>
    <w:rPr>
      <w:rFonts w:ascii="宋体" w:hAnsi="Calibri" w:cs="宋体"/>
      <w:kern w:val="2"/>
      <w:sz w:val="24"/>
      <w:szCs w:val="24"/>
    </w:rPr>
  </w:style>
  <w:style w:type="paragraph" w:customStyle="1" w:styleId="554">
    <w:name w:val="Char Char Char Char4"/>
    <w:basedOn w:val="26"/>
    <w:autoRedefine/>
    <w:qFormat/>
    <w:uiPriority w:val="0"/>
    <w:pPr>
      <w:widowControl/>
      <w:shd w:val="clear" w:color="auto" w:fill="000080"/>
      <w:adjustRightInd w:val="0"/>
      <w:snapToGrid w:val="0"/>
      <w:spacing w:line="360" w:lineRule="auto"/>
      <w:jc w:val="left"/>
    </w:pPr>
    <w:rPr>
      <w:rFonts w:ascii="Tahoma" w:hAnsi="Tahoma" w:cs="宋体"/>
      <w:kern w:val="0"/>
      <w:sz w:val="24"/>
      <w:szCs w:val="24"/>
    </w:rPr>
  </w:style>
  <w:style w:type="paragraph" w:customStyle="1" w:styleId="555">
    <w:name w:val="xl4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Arial Unicode MS" w:cs="宋体"/>
      <w:kern w:val="0"/>
      <w:sz w:val="24"/>
    </w:rPr>
  </w:style>
  <w:style w:type="paragraph" w:customStyle="1" w:styleId="556">
    <w:name w:val="xl36"/>
    <w:basedOn w:val="1"/>
    <w:autoRedefine/>
    <w:qFormat/>
    <w:uiPriority w:val="0"/>
    <w:pPr>
      <w:widowControl/>
      <w:spacing w:before="100" w:beforeAutospacing="1" w:after="100" w:afterAutospacing="1"/>
      <w:jc w:val="center"/>
    </w:pPr>
    <w:rPr>
      <w:rFonts w:ascii="KaiTi_GB2312" w:hAnsi="Arial Unicode MS" w:eastAsia="KaiTi_GB2312" w:cs="KaiTi_GB2312"/>
      <w:b/>
      <w:bCs/>
      <w:kern w:val="0"/>
      <w:sz w:val="28"/>
      <w:szCs w:val="28"/>
    </w:rPr>
  </w:style>
  <w:style w:type="character" w:customStyle="1" w:styleId="557">
    <w:name w:val="正文文本 Char1"/>
    <w:autoRedefine/>
    <w:qFormat/>
    <w:uiPriority w:val="99"/>
    <w:rPr>
      <w:rFonts w:eastAsia="宋体"/>
      <w:kern w:val="2"/>
      <w:sz w:val="21"/>
      <w:lang w:val="en-US" w:eastAsia="zh-CN" w:bidi="ar-SA"/>
    </w:rPr>
  </w:style>
  <w:style w:type="paragraph" w:customStyle="1" w:styleId="558">
    <w:name w:val="Char1 Char Char Char"/>
    <w:basedOn w:val="1"/>
    <w:autoRedefine/>
    <w:qFormat/>
    <w:uiPriority w:val="0"/>
    <w:pPr>
      <w:spacing w:line="400" w:lineRule="exact"/>
      <w:ind w:firstLine="200" w:firstLineChars="200"/>
    </w:pPr>
    <w:rPr>
      <w:rFonts w:ascii="宋体" w:hAnsi="宋体" w:cs="宋体"/>
      <w:sz w:val="28"/>
      <w:szCs w:val="28"/>
    </w:rPr>
  </w:style>
  <w:style w:type="paragraph" w:customStyle="1" w:styleId="559">
    <w:name w:val="Char1 Char Char Char Char Char Char Char Char Char1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cs="宋体"/>
      <w:kern w:val="0"/>
      <w:sz w:val="24"/>
      <w:szCs w:val="21"/>
      <w:lang w:eastAsia="en-US"/>
    </w:rPr>
  </w:style>
  <w:style w:type="paragraph" w:customStyle="1" w:styleId="560">
    <w:name w:val="font9"/>
    <w:basedOn w:val="1"/>
    <w:autoRedefine/>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561">
    <w:name w:val="Char Char Char Char Char Char1"/>
    <w:basedOn w:val="1"/>
    <w:autoRedefine/>
    <w:qFormat/>
    <w:uiPriority w:val="0"/>
    <w:pPr>
      <w:spacing w:beforeLines="50" w:line="480" w:lineRule="exact"/>
      <w:ind w:firstLine="200" w:firstLineChars="200"/>
      <w:jc w:val="left"/>
    </w:pPr>
    <w:rPr>
      <w:rFonts w:ascii="宋体" w:hAnsi="宋体" w:cs="宋体"/>
      <w:sz w:val="24"/>
      <w:szCs w:val="21"/>
    </w:rPr>
  </w:style>
  <w:style w:type="paragraph" w:customStyle="1" w:styleId="562">
    <w:name w:val="文本123"/>
    <w:basedOn w:val="9"/>
    <w:autoRedefine/>
    <w:semiHidden/>
    <w:qFormat/>
    <w:uiPriority w:val="0"/>
    <w:pPr>
      <w:tabs>
        <w:tab w:val="left" w:pos="958"/>
      </w:tabs>
      <w:adjustRightInd/>
      <w:snapToGrid/>
      <w:spacing w:line="460" w:lineRule="exact"/>
      <w:ind w:left="958" w:hanging="420" w:firstLineChars="0"/>
      <w:outlineLvl w:val="7"/>
    </w:pPr>
    <w:rPr>
      <w:rFonts w:ascii="Calibri" w:hAnsi="Calibri" w:eastAsia="宋体" w:cs="宋体"/>
      <w:color w:val="auto"/>
      <w:sz w:val="24"/>
      <w:szCs w:val="20"/>
    </w:rPr>
  </w:style>
  <w:style w:type="paragraph" w:customStyle="1" w:styleId="563">
    <w:name w:val="font11"/>
    <w:basedOn w:val="1"/>
    <w:autoRedefine/>
    <w:qFormat/>
    <w:uiPriority w:val="0"/>
    <w:pPr>
      <w:widowControl/>
      <w:tabs>
        <w:tab w:val="left" w:pos="1032"/>
      </w:tabs>
      <w:spacing w:before="100" w:after="100"/>
      <w:jc w:val="left"/>
    </w:pPr>
    <w:rPr>
      <w:rFonts w:ascii="Romantic" w:hAnsi="Romantic" w:cs="宋体"/>
      <w:kern w:val="0"/>
      <w:sz w:val="24"/>
    </w:rPr>
  </w:style>
  <w:style w:type="paragraph" w:customStyle="1" w:styleId="564">
    <w:name w:val="黑体标题"/>
    <w:basedOn w:val="1"/>
    <w:link w:val="565"/>
    <w:autoRedefine/>
    <w:semiHidden/>
    <w:qFormat/>
    <w:uiPriority w:val="0"/>
    <w:pPr>
      <w:spacing w:line="500" w:lineRule="exact"/>
      <w:ind w:firstLine="560" w:firstLineChars="200"/>
    </w:pPr>
    <w:rPr>
      <w:rFonts w:ascii="宋体" w:hAnsi="宋体" w:cs="宋体"/>
      <w:sz w:val="28"/>
    </w:rPr>
  </w:style>
  <w:style w:type="character" w:customStyle="1" w:styleId="565">
    <w:name w:val="黑体标题 Char"/>
    <w:link w:val="564"/>
    <w:autoRedefine/>
    <w:semiHidden/>
    <w:qFormat/>
    <w:uiPriority w:val="0"/>
    <w:rPr>
      <w:rFonts w:ascii="宋体" w:hAnsi="宋体" w:cs="宋体"/>
      <w:kern w:val="2"/>
      <w:sz w:val="28"/>
      <w:szCs w:val="24"/>
    </w:rPr>
  </w:style>
  <w:style w:type="paragraph" w:customStyle="1" w:styleId="566">
    <w:name w:val="默认段落字体 Para Char Char Char Char Char Char Char Char Char Char Char Char Char Char Char"/>
    <w:basedOn w:val="26"/>
    <w:autoRedefine/>
    <w:qFormat/>
    <w:uiPriority w:val="0"/>
    <w:pPr>
      <w:shd w:val="clear" w:color="auto" w:fill="000080"/>
    </w:pPr>
    <w:rPr>
      <w:rFonts w:ascii="Tahoma" w:hAnsi="Tahoma" w:cs="宋体"/>
      <w:sz w:val="24"/>
      <w:szCs w:val="24"/>
    </w:rPr>
  </w:style>
  <w:style w:type="paragraph" w:customStyle="1" w:styleId="567">
    <w:name w:val="mp"/>
    <w:basedOn w:val="1"/>
    <w:autoRedefine/>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568">
    <w:name w:val="标题正1"/>
    <w:basedOn w:val="1"/>
    <w:autoRedefine/>
    <w:qFormat/>
    <w:uiPriority w:val="0"/>
    <w:pPr>
      <w:spacing w:before="60" w:after="60" w:line="500" w:lineRule="exact"/>
    </w:pPr>
    <w:rPr>
      <w:rFonts w:ascii="黑体" w:hAnsi="宋体" w:eastAsia="黑体" w:cs="宋体"/>
      <w:sz w:val="32"/>
      <w:szCs w:val="28"/>
    </w:rPr>
  </w:style>
  <w:style w:type="paragraph" w:customStyle="1" w:styleId="569">
    <w:name w:val="Char2 Char Char Char Char Char"/>
    <w:basedOn w:val="1"/>
    <w:autoRedefine/>
    <w:qFormat/>
    <w:uiPriority w:val="0"/>
    <w:rPr>
      <w:rFonts w:ascii="宋体" w:hAnsi="宋体" w:cs="宋体"/>
      <w:sz w:val="24"/>
    </w:rPr>
  </w:style>
  <w:style w:type="character" w:customStyle="1" w:styleId="570">
    <w:name w:val="黑体标题 Char Char"/>
    <w:autoRedefine/>
    <w:qFormat/>
    <w:uiPriority w:val="0"/>
    <w:rPr>
      <w:rFonts w:ascii="宋体" w:hAnsi="宋体" w:eastAsia="宋体"/>
      <w:b/>
      <w:spacing w:val="10"/>
      <w:kern w:val="2"/>
      <w:sz w:val="28"/>
      <w:szCs w:val="18"/>
      <w:lang w:val="en-US" w:eastAsia="zh-CN" w:bidi="ar-SA"/>
    </w:rPr>
  </w:style>
  <w:style w:type="paragraph" w:customStyle="1" w:styleId="571">
    <w:name w:val="Char Char1 Char2"/>
    <w:basedOn w:val="1"/>
    <w:autoRedefine/>
    <w:qFormat/>
    <w:uiPriority w:val="0"/>
    <w:rPr>
      <w:rFonts w:ascii="宋体" w:hAnsi="宋体" w:cs="宋体"/>
      <w:szCs w:val="21"/>
    </w:rPr>
  </w:style>
  <w:style w:type="paragraph" w:customStyle="1" w:styleId="572">
    <w:name w:val="Char Char Char1 Char Char"/>
    <w:basedOn w:val="1"/>
    <w:autoRedefine/>
    <w:qFormat/>
    <w:uiPriority w:val="0"/>
    <w:rPr>
      <w:rFonts w:ascii="黑体" w:hAnsi="黑体" w:eastAsia="黑体" w:cs="宋体"/>
      <w:b/>
      <w:spacing w:val="10"/>
      <w:sz w:val="28"/>
    </w:rPr>
  </w:style>
  <w:style w:type="paragraph" w:customStyle="1" w:styleId="573">
    <w:name w:val="Char Char Char Char1 Char Char Char Char Char Char Char"/>
    <w:basedOn w:val="1"/>
    <w:autoRedefine/>
    <w:qFormat/>
    <w:uiPriority w:val="0"/>
    <w:pPr>
      <w:tabs>
        <w:tab w:val="left" w:pos="360"/>
      </w:tabs>
      <w:snapToGrid w:val="0"/>
      <w:spacing w:line="360" w:lineRule="auto"/>
    </w:pPr>
    <w:rPr>
      <w:rFonts w:ascii="宋体" w:hAnsi="宋体" w:eastAsia="仿宋_GB2312" w:cs="宋体"/>
      <w:sz w:val="24"/>
    </w:rPr>
  </w:style>
  <w:style w:type="paragraph" w:customStyle="1" w:styleId="574">
    <w:name w:val="little"/>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75">
    <w:name w:val="head121"/>
    <w:autoRedefine/>
    <w:qFormat/>
    <w:uiPriority w:val="0"/>
    <w:rPr>
      <w:rFonts w:ascii="宋体" w:hAnsi="宋体" w:eastAsia="宋体"/>
      <w:b/>
      <w:spacing w:val="10"/>
      <w:kern w:val="2"/>
      <w:sz w:val="22"/>
      <w:szCs w:val="22"/>
      <w:lang w:val="en-US" w:eastAsia="zh-CN" w:bidi="ar-SA"/>
    </w:rPr>
  </w:style>
  <w:style w:type="paragraph" w:customStyle="1" w:styleId="576">
    <w:name w:val="表格编号"/>
    <w:basedOn w:val="1"/>
    <w:next w:val="1"/>
    <w:autoRedefine/>
    <w:qFormat/>
    <w:uiPriority w:val="0"/>
    <w:pPr>
      <w:tabs>
        <w:tab w:val="left" w:pos="720"/>
      </w:tabs>
      <w:spacing w:before="300" w:after="200"/>
      <w:jc w:val="center"/>
    </w:pPr>
    <w:rPr>
      <w:rFonts w:ascii="宋体" w:hAnsi="宋体" w:cs="宋体"/>
      <w:sz w:val="24"/>
    </w:rPr>
  </w:style>
  <w:style w:type="paragraph" w:customStyle="1" w:styleId="577">
    <w:name w:val="项目编号"/>
    <w:basedOn w:val="1"/>
    <w:next w:val="578"/>
    <w:autoRedefine/>
    <w:qFormat/>
    <w:uiPriority w:val="0"/>
    <w:pPr>
      <w:spacing w:before="120" w:after="120" w:line="360" w:lineRule="auto"/>
    </w:pPr>
    <w:rPr>
      <w:rFonts w:ascii="宋体" w:hAnsi="宋体" w:cs="宋体"/>
      <w:sz w:val="24"/>
    </w:rPr>
  </w:style>
  <w:style w:type="paragraph" w:customStyle="1" w:styleId="578">
    <w:name w:val="项目编号文字"/>
    <w:basedOn w:val="1"/>
    <w:next w:val="9"/>
    <w:autoRedefine/>
    <w:qFormat/>
    <w:uiPriority w:val="0"/>
    <w:pPr>
      <w:spacing w:before="120" w:after="120" w:line="360" w:lineRule="auto"/>
      <w:ind w:left="1077"/>
    </w:pPr>
    <w:rPr>
      <w:rFonts w:ascii="宋体" w:hAnsi="宋体" w:cs="宋体"/>
      <w:sz w:val="24"/>
    </w:rPr>
  </w:style>
  <w:style w:type="paragraph" w:customStyle="1" w:styleId="579">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hAnsi="宋体" w:cs="宋体"/>
      <w:szCs w:val="21"/>
    </w:rPr>
  </w:style>
  <w:style w:type="character" w:customStyle="1" w:styleId="580">
    <w:name w:val="我的样式（正文） Char Char"/>
    <w:autoRedefine/>
    <w:qFormat/>
    <w:uiPriority w:val="0"/>
    <w:rPr>
      <w:rFonts w:ascii="宋体" w:hAnsi="华文楷体" w:eastAsia="宋体" w:cs="宋体"/>
      <w:b/>
      <w:spacing w:val="10"/>
      <w:kern w:val="2"/>
      <w:sz w:val="24"/>
      <w:szCs w:val="24"/>
      <w:lang w:val="en-US" w:eastAsia="zh-CN" w:bidi="ar-SA"/>
    </w:rPr>
  </w:style>
  <w:style w:type="character" w:customStyle="1" w:styleId="581">
    <w:name w:val="px141"/>
    <w:autoRedefine/>
    <w:qFormat/>
    <w:uiPriority w:val="0"/>
    <w:rPr>
      <w:rFonts w:ascii="宋体" w:hAnsi="宋体" w:eastAsia="宋体"/>
      <w:b/>
      <w:spacing w:val="10"/>
      <w:kern w:val="2"/>
      <w:sz w:val="25"/>
      <w:szCs w:val="25"/>
      <w:u w:val="none"/>
      <w:lang w:val="en-US" w:eastAsia="zh-CN" w:bidi="ar-SA"/>
    </w:rPr>
  </w:style>
  <w:style w:type="paragraph" w:customStyle="1" w:styleId="582">
    <w:name w:val="图编号"/>
    <w:basedOn w:val="1"/>
    <w:autoRedefine/>
    <w:qFormat/>
    <w:uiPriority w:val="0"/>
    <w:pPr>
      <w:tabs>
        <w:tab w:val="left" w:pos="720"/>
        <w:tab w:val="left" w:pos="780"/>
        <w:tab w:val="left" w:pos="980"/>
      </w:tabs>
      <w:spacing w:before="300" w:after="300" w:line="360" w:lineRule="auto"/>
      <w:ind w:left="425" w:hanging="425"/>
      <w:jc w:val="center"/>
    </w:pPr>
    <w:rPr>
      <w:rFonts w:ascii="宋体" w:hAnsi="宋体" w:cs="宋体"/>
      <w:sz w:val="24"/>
    </w:rPr>
  </w:style>
  <w:style w:type="paragraph" w:customStyle="1" w:styleId="583">
    <w:name w:val="框图"/>
    <w:basedOn w:val="1"/>
    <w:autoRedefine/>
    <w:qFormat/>
    <w:uiPriority w:val="0"/>
    <w:pPr>
      <w:adjustRightInd w:val="0"/>
      <w:snapToGrid w:val="0"/>
      <w:ind w:left="2" w:leftChars="-38" w:right="-106" w:rightChars="-38" w:hanging="108" w:hangingChars="54"/>
      <w:jc w:val="center"/>
    </w:pPr>
    <w:rPr>
      <w:rFonts w:ascii="宋体" w:hAnsi="宋体" w:cs="宋体"/>
      <w:sz w:val="24"/>
    </w:rPr>
  </w:style>
  <w:style w:type="paragraph" w:customStyle="1" w:styleId="584">
    <w:name w:val="公式样式1"/>
    <w:basedOn w:val="1"/>
    <w:autoRedefine/>
    <w:qFormat/>
    <w:uiPriority w:val="0"/>
    <w:pPr>
      <w:spacing w:line="360" w:lineRule="auto"/>
      <w:jc w:val="center"/>
    </w:pPr>
    <w:rPr>
      <w:rFonts w:ascii="宋体" w:hAnsi="宋体" w:cs="宋体"/>
      <w:b/>
      <w:bCs/>
      <w:sz w:val="24"/>
    </w:rPr>
  </w:style>
  <w:style w:type="paragraph" w:customStyle="1" w:styleId="585">
    <w:name w:val="Char Char Char Char Char Char 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586">
    <w:name w:val="样式 左侧:  -0.16 厘米"/>
    <w:basedOn w:val="1"/>
    <w:autoRedefine/>
    <w:qFormat/>
    <w:uiPriority w:val="0"/>
    <w:pPr>
      <w:ind w:left="-90"/>
    </w:pPr>
    <w:rPr>
      <w:rFonts w:ascii="宋体" w:hAnsi="宋体" w:cs="宋体"/>
      <w:snapToGrid w:val="0"/>
      <w:kern w:val="0"/>
      <w:sz w:val="24"/>
    </w:rPr>
  </w:style>
  <w:style w:type="paragraph" w:customStyle="1" w:styleId="587">
    <w:name w:val="样式 五号 居中"/>
    <w:basedOn w:val="1"/>
    <w:autoRedefine/>
    <w:qFormat/>
    <w:uiPriority w:val="0"/>
    <w:pPr>
      <w:jc w:val="center"/>
    </w:pPr>
    <w:rPr>
      <w:rFonts w:ascii="宋体" w:hAnsi="宋体" w:cs="宋体"/>
      <w:snapToGrid w:val="0"/>
      <w:kern w:val="0"/>
      <w:szCs w:val="21"/>
    </w:rPr>
  </w:style>
  <w:style w:type="paragraph" w:customStyle="1" w:styleId="588">
    <w:name w:val="样式 左侧:  -0.16 厘米1"/>
    <w:basedOn w:val="1"/>
    <w:autoRedefine/>
    <w:qFormat/>
    <w:uiPriority w:val="0"/>
    <w:pPr>
      <w:ind w:left="-90"/>
    </w:pPr>
    <w:rPr>
      <w:rFonts w:ascii="宋体" w:hAnsi="宋体" w:cs="宋体"/>
      <w:snapToGrid w:val="0"/>
      <w:kern w:val="0"/>
      <w:sz w:val="24"/>
    </w:rPr>
  </w:style>
  <w:style w:type="paragraph" w:customStyle="1" w:styleId="589">
    <w:name w:val="样式 首行缩进:  0.77 厘米 行距: 1.5 倍行距"/>
    <w:basedOn w:val="1"/>
    <w:autoRedefine/>
    <w:qFormat/>
    <w:uiPriority w:val="0"/>
    <w:pPr>
      <w:spacing w:line="360" w:lineRule="auto"/>
      <w:ind w:firstLine="435"/>
    </w:pPr>
    <w:rPr>
      <w:rFonts w:ascii="宋体" w:hAnsi="宋体" w:cs="宋体"/>
      <w:snapToGrid w:val="0"/>
      <w:kern w:val="0"/>
      <w:sz w:val="24"/>
    </w:rPr>
  </w:style>
  <w:style w:type="paragraph" w:customStyle="1" w:styleId="590">
    <w:name w:val="图注"/>
    <w:basedOn w:val="1"/>
    <w:next w:val="1"/>
    <w:autoRedefine/>
    <w:qFormat/>
    <w:uiPriority w:val="0"/>
    <w:pPr>
      <w:jc w:val="center"/>
    </w:pPr>
    <w:rPr>
      <w:rFonts w:ascii="宋体" w:hAnsi="宋体" w:cs="宋体"/>
      <w:color w:val="0000FF"/>
    </w:rPr>
  </w:style>
  <w:style w:type="paragraph" w:customStyle="1" w:styleId="591">
    <w:name w:val="font7"/>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592">
    <w:name w:val="xl29"/>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593">
    <w:name w:val="xl33"/>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594">
    <w:name w:val="xl34"/>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595">
    <w:name w:val="样式 标题 3标题 3 Char CharH3h33rd level标题3 + 段前: 0.5 行"/>
    <w:basedOn w:val="5"/>
    <w:autoRedefine/>
    <w:qFormat/>
    <w:uiPriority w:val="0"/>
    <w:pPr>
      <w:keepNext w:val="0"/>
      <w:keepLines w:val="0"/>
      <w:widowControl/>
      <w:spacing w:before="0" w:after="0" w:line="480" w:lineRule="exact"/>
      <w:ind w:firstLine="560" w:firstLineChars="200"/>
      <w:outlineLvl w:val="9"/>
    </w:pPr>
    <w:rPr>
      <w:rFonts w:ascii="KaiTi_GB2312" w:hAnsi="宋体" w:eastAsia="KaiTi_GB2312" w:cs="宋体"/>
      <w:b w:val="0"/>
      <w:color w:val="FF0000"/>
      <w:sz w:val="28"/>
      <w:szCs w:val="28"/>
    </w:rPr>
  </w:style>
  <w:style w:type="paragraph" w:customStyle="1" w:styleId="596">
    <w:name w:val="初设正文"/>
    <w:basedOn w:val="1"/>
    <w:autoRedefine/>
    <w:qFormat/>
    <w:uiPriority w:val="0"/>
    <w:pPr>
      <w:spacing w:after="120" w:line="440" w:lineRule="exact"/>
      <w:ind w:left="425" w:firstLine="425"/>
    </w:pPr>
    <w:rPr>
      <w:rFonts w:ascii="Arial" w:hAnsi="Arial" w:cs="宋体"/>
      <w:kern w:val="0"/>
      <w:sz w:val="24"/>
    </w:rPr>
  </w:style>
  <w:style w:type="paragraph" w:customStyle="1" w:styleId="597">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8">
    <w:name w:val="引言"/>
    <w:basedOn w:val="1"/>
    <w:next w:val="1"/>
    <w:autoRedefine/>
    <w:qFormat/>
    <w:uiPriority w:val="0"/>
    <w:pPr>
      <w:snapToGrid w:val="0"/>
      <w:jc w:val="center"/>
    </w:pPr>
    <w:rPr>
      <w:rFonts w:ascii="仿宋_GB2312" w:hAnsi="宋体" w:eastAsia="仿宋_GB2312" w:cs="宋体"/>
      <w:color w:val="000000"/>
      <w:sz w:val="24"/>
    </w:rPr>
  </w:style>
  <w:style w:type="paragraph" w:customStyle="1" w:styleId="599">
    <w:name w:val="xl40"/>
    <w:basedOn w:val="1"/>
    <w:autoRedefine/>
    <w:qFormat/>
    <w:uiPriority w:val="0"/>
    <w:pPr>
      <w:widowControl/>
      <w:spacing w:before="100" w:beforeAutospacing="1" w:after="100" w:afterAutospacing="1"/>
      <w:jc w:val="center"/>
    </w:pPr>
    <w:rPr>
      <w:rFonts w:ascii="宋体" w:hAnsi="宋体" w:cs="宋体"/>
      <w:kern w:val="0"/>
      <w:szCs w:val="21"/>
    </w:rPr>
  </w:style>
  <w:style w:type="paragraph" w:customStyle="1" w:styleId="600">
    <w:name w:val="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601">
    <w:name w:val="Char Char Char Char Char Char Char Char Char Char Char Char Char"/>
    <w:basedOn w:val="1"/>
    <w:autoRedefine/>
    <w:qFormat/>
    <w:uiPriority w:val="0"/>
    <w:rPr>
      <w:rFonts w:ascii="宋体" w:hAnsi="宋体" w:cs="宋体"/>
      <w:sz w:val="24"/>
    </w:rPr>
  </w:style>
  <w:style w:type="paragraph" w:customStyle="1" w:styleId="602">
    <w:name w:val="正文(首行缩进)宋旭峰"/>
    <w:basedOn w:val="9"/>
    <w:link w:val="603"/>
    <w:autoRedefine/>
    <w:qFormat/>
    <w:uiPriority w:val="0"/>
    <w:pPr>
      <w:adjustRightInd/>
      <w:snapToGrid/>
      <w:spacing w:line="500" w:lineRule="exact"/>
      <w:ind w:firstLine="560"/>
      <w:contextualSpacing/>
    </w:pPr>
    <w:rPr>
      <w:rFonts w:ascii="KaiTi_GB2312" w:hAnsi="宋体" w:eastAsia="KaiTi_GB2312" w:cs="Arial"/>
      <w:snapToGrid w:val="0"/>
      <w:color w:val="auto"/>
      <w:kern w:val="0"/>
      <w:szCs w:val="28"/>
    </w:rPr>
  </w:style>
  <w:style w:type="character" w:customStyle="1" w:styleId="603">
    <w:name w:val="正文(首行缩进)宋旭峰 Char Char"/>
    <w:link w:val="602"/>
    <w:autoRedefine/>
    <w:qFormat/>
    <w:uiPriority w:val="0"/>
    <w:rPr>
      <w:rFonts w:ascii="KaiTi_GB2312" w:hAnsi="宋体" w:eastAsia="KaiTi_GB2312" w:cs="Arial"/>
      <w:snapToGrid w:val="0"/>
      <w:sz w:val="28"/>
      <w:szCs w:val="28"/>
    </w:rPr>
  </w:style>
  <w:style w:type="paragraph" w:customStyle="1" w:styleId="604">
    <w:name w:val="表、图名宋旭峰"/>
    <w:basedOn w:val="1"/>
    <w:autoRedefine/>
    <w:qFormat/>
    <w:uiPriority w:val="0"/>
    <w:pPr>
      <w:spacing w:beforeLines="50" w:line="360" w:lineRule="auto"/>
      <w:jc w:val="center"/>
    </w:pPr>
    <w:rPr>
      <w:rFonts w:ascii="黑体" w:hAnsi="宋体" w:eastAsia="黑体" w:cs="宋体"/>
      <w:snapToGrid w:val="0"/>
      <w:kern w:val="0"/>
      <w:szCs w:val="21"/>
    </w:rPr>
  </w:style>
  <w:style w:type="paragraph" w:customStyle="1" w:styleId="605">
    <w:name w:val="表体宋旭峰"/>
    <w:basedOn w:val="1"/>
    <w:autoRedefine/>
    <w:qFormat/>
    <w:uiPriority w:val="0"/>
    <w:pPr>
      <w:overflowPunct w:val="0"/>
      <w:spacing w:line="320" w:lineRule="exact"/>
      <w:jc w:val="center"/>
      <w:textAlignment w:val="baseline"/>
    </w:pPr>
    <w:rPr>
      <w:rFonts w:ascii="KaiTi_GB2312" w:hAnsi="宋体" w:eastAsia="KaiTi_GB2312" w:cs="Courier New"/>
      <w:snapToGrid w:val="0"/>
      <w:spacing w:val="-20"/>
      <w:kern w:val="0"/>
      <w:szCs w:val="21"/>
    </w:rPr>
  </w:style>
  <w:style w:type="character" w:customStyle="1" w:styleId="606">
    <w:name w:val="表注 Char"/>
    <w:link w:val="607"/>
    <w:autoRedefine/>
    <w:qFormat/>
    <w:uiPriority w:val="0"/>
    <w:rPr>
      <w:rFonts w:ascii="宋体" w:hAnsi="宋体" w:cs="Courier New"/>
      <w:b/>
      <w:spacing w:val="10"/>
      <w:kern w:val="2"/>
      <w:sz w:val="18"/>
      <w:szCs w:val="21"/>
    </w:rPr>
  </w:style>
  <w:style w:type="paragraph" w:customStyle="1" w:styleId="607">
    <w:name w:val="表注"/>
    <w:basedOn w:val="1"/>
    <w:next w:val="1"/>
    <w:link w:val="606"/>
    <w:autoRedefine/>
    <w:qFormat/>
    <w:uiPriority w:val="0"/>
    <w:pPr>
      <w:keepLines/>
      <w:spacing w:line="240" w:lineRule="atLeast"/>
    </w:pPr>
    <w:rPr>
      <w:rFonts w:ascii="宋体" w:hAnsi="宋体" w:cs="Courier New"/>
      <w:b/>
      <w:spacing w:val="10"/>
      <w:sz w:val="18"/>
      <w:szCs w:val="21"/>
    </w:rPr>
  </w:style>
  <w:style w:type="paragraph" w:customStyle="1" w:styleId="608">
    <w:name w:val="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609">
    <w:name w:val="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character" w:customStyle="1" w:styleId="610">
    <w:name w:val="content"/>
    <w:autoRedefine/>
    <w:qFormat/>
    <w:uiPriority w:val="0"/>
    <w:rPr>
      <w:rFonts w:ascii="宋体" w:hAnsi="宋体" w:eastAsia="宋体"/>
      <w:b/>
      <w:spacing w:val="10"/>
      <w:kern w:val="2"/>
      <w:sz w:val="24"/>
      <w:szCs w:val="24"/>
      <w:lang w:val="en-US" w:eastAsia="zh-CN" w:bidi="ar-SA"/>
    </w:rPr>
  </w:style>
  <w:style w:type="paragraph" w:customStyle="1" w:styleId="611">
    <w:name w:val="Char Char Char 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612">
    <w:name w:val="小四表文居中"/>
    <w:autoRedefine/>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613">
    <w:name w:val="样式 首行缩进:  1.71 字符"/>
    <w:basedOn w:val="1"/>
    <w:autoRedefine/>
    <w:qFormat/>
    <w:uiPriority w:val="0"/>
    <w:pPr>
      <w:spacing w:line="360" w:lineRule="auto"/>
      <w:jc w:val="center"/>
    </w:pPr>
    <w:rPr>
      <w:rFonts w:ascii="宋体" w:hAnsi="宋体" w:cs="宋体"/>
      <w:color w:val="000000"/>
      <w:kern w:val="0"/>
      <w:szCs w:val="21"/>
    </w:rPr>
  </w:style>
  <w:style w:type="paragraph" w:customStyle="1" w:styleId="614">
    <w:name w:val="表体"/>
    <w:basedOn w:val="1"/>
    <w:autoRedefine/>
    <w:qFormat/>
    <w:uiPriority w:val="0"/>
    <w:pPr>
      <w:tabs>
        <w:tab w:val="left" w:pos="6440"/>
      </w:tabs>
      <w:adjustRightInd w:val="0"/>
      <w:snapToGrid w:val="0"/>
      <w:jc w:val="center"/>
    </w:pPr>
    <w:rPr>
      <w:rFonts w:ascii="KaiTi_GB2312" w:hAnsi="宋体" w:eastAsia="KaiTi_GB2312" w:cs="宋体"/>
      <w:w w:val="80"/>
    </w:rPr>
  </w:style>
  <w:style w:type="paragraph" w:customStyle="1" w:styleId="615">
    <w:name w:val="样式 标题 3条标题1.1.1条标题1.1.11条标题1.1.12条标题1.1.13条标题1.1.111条标题1.1...2"/>
    <w:basedOn w:val="5"/>
    <w:autoRedefine/>
    <w:qFormat/>
    <w:uiPriority w:val="0"/>
    <w:pPr>
      <w:spacing w:before="120" w:after="120" w:line="500" w:lineRule="exact"/>
    </w:pPr>
    <w:rPr>
      <w:rFonts w:ascii="宋体" w:hAnsi="宋体" w:cs="宋体"/>
      <w:sz w:val="24"/>
      <w:szCs w:val="20"/>
    </w:rPr>
  </w:style>
  <w:style w:type="paragraph" w:customStyle="1" w:styleId="616">
    <w:name w:val="表格2"/>
    <w:basedOn w:val="1"/>
    <w:autoRedefine/>
    <w:qFormat/>
    <w:uiPriority w:val="0"/>
    <w:pPr>
      <w:spacing w:line="400" w:lineRule="exact"/>
    </w:pPr>
    <w:rPr>
      <w:rFonts w:ascii="宋体" w:hAnsi="宋体" w:cs="宋体"/>
      <w:sz w:val="28"/>
    </w:rPr>
  </w:style>
  <w:style w:type="paragraph" w:customStyle="1" w:styleId="617">
    <w:name w:val="环标3"/>
    <w:basedOn w:val="5"/>
    <w:link w:val="618"/>
    <w:autoRedefine/>
    <w:qFormat/>
    <w:uiPriority w:val="0"/>
    <w:pPr>
      <w:keepNext w:val="0"/>
      <w:keepLines w:val="0"/>
      <w:spacing w:before="0" w:after="0" w:line="500" w:lineRule="atLeast"/>
      <w:jc w:val="left"/>
      <w:textAlignment w:val="baseline"/>
    </w:pPr>
    <w:rPr>
      <w:rFonts w:ascii="宋体" w:hAnsi="宋体" w:cs="宋体"/>
      <w:b w:val="0"/>
      <w:sz w:val="28"/>
      <w:szCs w:val="28"/>
    </w:rPr>
  </w:style>
  <w:style w:type="character" w:customStyle="1" w:styleId="618">
    <w:name w:val="环标3 Char"/>
    <w:link w:val="617"/>
    <w:autoRedefine/>
    <w:qFormat/>
    <w:uiPriority w:val="0"/>
    <w:rPr>
      <w:rFonts w:ascii="宋体" w:hAnsi="宋体" w:cs="宋体"/>
      <w:bCs/>
      <w:kern w:val="2"/>
      <w:sz w:val="28"/>
      <w:szCs w:val="28"/>
    </w:rPr>
  </w:style>
  <w:style w:type="paragraph" w:customStyle="1" w:styleId="619">
    <w:name w:val="段"/>
    <w:autoRedefine/>
    <w:qFormat/>
    <w:uiPriority w:val="0"/>
    <w:pPr>
      <w:autoSpaceDE w:val="0"/>
      <w:autoSpaceDN w:val="0"/>
      <w:ind w:firstLine="200" w:firstLineChars="200"/>
      <w:jc w:val="both"/>
    </w:pPr>
    <w:rPr>
      <w:rFonts w:ascii="宋体" w:hAnsi="Times New Roman" w:cs="Times New Roman" w:eastAsiaTheme="minorEastAsia"/>
      <w:sz w:val="21"/>
      <w:lang w:val="en-US" w:eastAsia="zh-CN" w:bidi="ar-SA"/>
    </w:rPr>
  </w:style>
  <w:style w:type="paragraph" w:customStyle="1" w:styleId="620">
    <w:name w:val="xl5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character" w:customStyle="1" w:styleId="621">
    <w:name w:val="标题 1 Char Char Char"/>
    <w:autoRedefine/>
    <w:qFormat/>
    <w:uiPriority w:val="0"/>
    <w:rPr>
      <w:rFonts w:ascii="黑体" w:eastAsia="黑体"/>
      <w:kern w:val="2"/>
      <w:sz w:val="30"/>
      <w:lang w:val="en-US" w:eastAsia="zh-CN" w:bidi="ar-SA"/>
    </w:rPr>
  </w:style>
  <w:style w:type="paragraph" w:customStyle="1" w:styleId="622">
    <w:name w:val="Chapter"/>
    <w:basedOn w:val="3"/>
    <w:autoRedefine/>
    <w:qFormat/>
    <w:uiPriority w:val="0"/>
    <w:pPr>
      <w:keepLines/>
      <w:widowControl w:val="0"/>
      <w:numPr>
        <w:numId w:val="0"/>
      </w:numPr>
      <w:tabs>
        <w:tab w:val="left" w:pos="926"/>
      </w:tabs>
      <w:spacing w:before="340" w:after="330" w:line="578" w:lineRule="auto"/>
      <w:ind w:left="-16"/>
      <w:jc w:val="center"/>
    </w:pPr>
    <w:rPr>
      <w:rFonts w:ascii="Calibri" w:hAnsi="Calibri"/>
      <w:b/>
      <w:bCs/>
      <w:kern w:val="44"/>
      <w:sz w:val="36"/>
      <w:szCs w:val="36"/>
    </w:rPr>
  </w:style>
  <w:style w:type="paragraph" w:customStyle="1" w:styleId="623">
    <w:name w:val="book1_1"/>
    <w:basedOn w:val="4"/>
    <w:autoRedefine/>
    <w:qFormat/>
    <w:uiPriority w:val="0"/>
    <w:pPr>
      <w:keepNext w:val="0"/>
      <w:widowControl w:val="0"/>
      <w:tabs>
        <w:tab w:val="left" w:pos="622"/>
        <w:tab w:val="left" w:pos="720"/>
        <w:tab w:val="clear" w:pos="1276"/>
      </w:tabs>
      <w:spacing w:beforeLines="50" w:afterLines="50" w:line="240" w:lineRule="auto"/>
      <w:ind w:left="0" w:firstLine="0"/>
      <w:jc w:val="both"/>
    </w:pPr>
    <w:rPr>
      <w:rFonts w:ascii="Arial" w:eastAsia="黑体" w:cs="宋体"/>
      <w:bCs/>
      <w:kern w:val="2"/>
      <w:sz w:val="24"/>
      <w:szCs w:val="32"/>
      <w:shd w:val="pct10" w:color="auto" w:fill="FFFFFF"/>
    </w:rPr>
  </w:style>
  <w:style w:type="paragraph" w:customStyle="1" w:styleId="624">
    <w:name w:val="样式1）"/>
    <w:basedOn w:val="7"/>
    <w:autoRedefine/>
    <w:qFormat/>
    <w:uiPriority w:val="0"/>
    <w:pPr>
      <w:tabs>
        <w:tab w:val="left" w:pos="1226"/>
      </w:tabs>
      <w:spacing w:beforeLines="50" w:afterLines="50" w:line="400" w:lineRule="exact"/>
      <w:ind w:left="821" w:leftChars="213" w:hanging="374" w:hangingChars="156"/>
    </w:pPr>
    <w:rPr>
      <w:rFonts w:ascii="Calibri" w:hAnsi="Calibri" w:cs="宋体"/>
      <w:b w:val="0"/>
      <w:sz w:val="24"/>
    </w:rPr>
  </w:style>
  <w:style w:type="paragraph" w:customStyle="1" w:styleId="625">
    <w:name w:val="book1_1_1"/>
    <w:basedOn w:val="5"/>
    <w:autoRedefine/>
    <w:qFormat/>
    <w:uiPriority w:val="0"/>
    <w:pPr>
      <w:keepNext w:val="0"/>
      <w:tabs>
        <w:tab w:val="left" w:pos="360"/>
        <w:tab w:val="left" w:pos="1050"/>
      </w:tabs>
      <w:spacing w:beforeLines="50" w:afterLines="50" w:line="400" w:lineRule="exact"/>
      <w:ind w:left="360" w:hanging="360" w:hangingChars="200"/>
    </w:pPr>
    <w:rPr>
      <w:rFonts w:ascii="Calibri" w:hAnsi="Calibri" w:cs="宋体"/>
      <w:b w:val="0"/>
      <w:sz w:val="24"/>
    </w:rPr>
  </w:style>
  <w:style w:type="paragraph" w:customStyle="1" w:styleId="626">
    <w:name w:val="book1_1_1_1"/>
    <w:basedOn w:val="6"/>
    <w:autoRedefine/>
    <w:qFormat/>
    <w:uiPriority w:val="0"/>
    <w:pPr>
      <w:keepNext w:val="0"/>
      <w:widowControl w:val="0"/>
      <w:tabs>
        <w:tab w:val="left" w:pos="360"/>
        <w:tab w:val="clear" w:pos="1276"/>
      </w:tabs>
      <w:spacing w:beforeLines="50" w:afterLines="50" w:line="400" w:lineRule="exact"/>
      <w:ind w:left="536" w:hanging="360" w:hangingChars="200"/>
      <w:jc w:val="both"/>
    </w:pPr>
    <w:rPr>
      <w:rFonts w:ascii="宋体" w:hAnsi="宋体" w:cs="Arial"/>
      <w:b w:val="0"/>
      <w:kern w:val="2"/>
    </w:rPr>
  </w:style>
  <w:style w:type="paragraph" w:customStyle="1" w:styleId="627">
    <w:name w:val="正文-1"/>
    <w:basedOn w:val="1"/>
    <w:autoRedefine/>
    <w:qFormat/>
    <w:uiPriority w:val="0"/>
    <w:pPr>
      <w:adjustRightInd w:val="0"/>
      <w:spacing w:line="440" w:lineRule="exact"/>
      <w:ind w:firstLine="200" w:firstLineChars="200"/>
    </w:pPr>
    <w:rPr>
      <w:rFonts w:ascii="宋体" w:hAnsi="宋体" w:cs="宋体"/>
      <w:sz w:val="24"/>
    </w:rPr>
  </w:style>
  <w:style w:type="paragraph" w:customStyle="1" w:styleId="628">
    <w:name w:val="条款"/>
    <w:basedOn w:val="1"/>
    <w:autoRedefine/>
    <w:qFormat/>
    <w:uiPriority w:val="0"/>
    <w:rPr>
      <w:rFonts w:ascii="宋体" w:hAnsi="宋体" w:cs="宋体"/>
    </w:rPr>
  </w:style>
  <w:style w:type="paragraph" w:customStyle="1" w:styleId="629">
    <w:name w:val="puce"/>
    <w:basedOn w:val="1"/>
    <w:autoRedefine/>
    <w:qFormat/>
    <w:uiPriority w:val="0"/>
    <w:pPr>
      <w:widowControl/>
      <w:tabs>
        <w:tab w:val="left" w:pos="1319"/>
      </w:tabs>
      <w:adjustRightInd w:val="0"/>
      <w:snapToGrid w:val="0"/>
      <w:spacing w:before="120" w:line="300" w:lineRule="auto"/>
      <w:ind w:left="1319" w:hanging="360"/>
    </w:pPr>
    <w:rPr>
      <w:rFonts w:ascii="Arial" w:hAnsi="Arial" w:cs="宋体"/>
      <w:kern w:val="0"/>
      <w:sz w:val="24"/>
    </w:rPr>
  </w:style>
  <w:style w:type="paragraph" w:customStyle="1" w:styleId="630">
    <w:name w:val="表中文字1"/>
    <w:autoRedefine/>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631">
    <w:name w:val="环评样式"/>
    <w:basedOn w:val="1"/>
    <w:autoRedefine/>
    <w:qFormat/>
    <w:uiPriority w:val="0"/>
    <w:pPr>
      <w:adjustRightInd w:val="0"/>
      <w:snapToGrid w:val="0"/>
      <w:spacing w:line="360" w:lineRule="auto"/>
      <w:textAlignment w:val="baseline"/>
      <w:outlineLvl w:val="0"/>
    </w:pPr>
    <w:rPr>
      <w:rFonts w:ascii="仿宋_GB2312" w:hAnsi="Alaska" w:eastAsia="仿宋_GB2312" w:cs="宋体"/>
      <w:kern w:val="0"/>
      <w:sz w:val="30"/>
    </w:rPr>
  </w:style>
  <w:style w:type="paragraph" w:customStyle="1" w:styleId="632">
    <w:name w:val="大港正文"/>
    <w:basedOn w:val="1"/>
    <w:next w:val="1"/>
    <w:link w:val="633"/>
    <w:autoRedefine/>
    <w:qFormat/>
    <w:uiPriority w:val="0"/>
    <w:pPr>
      <w:adjustRightInd w:val="0"/>
      <w:snapToGrid w:val="0"/>
      <w:spacing w:line="500" w:lineRule="atLeast"/>
      <w:ind w:firstLine="480" w:firstLineChars="200"/>
    </w:pPr>
    <w:rPr>
      <w:rFonts w:ascii="宋体" w:hAnsi="宋体" w:cs="宋体"/>
      <w:kern w:val="0"/>
      <w:sz w:val="24"/>
    </w:rPr>
  </w:style>
  <w:style w:type="character" w:customStyle="1" w:styleId="633">
    <w:name w:val="大港正文 Char"/>
    <w:link w:val="632"/>
    <w:autoRedefine/>
    <w:qFormat/>
    <w:uiPriority w:val="0"/>
    <w:rPr>
      <w:rFonts w:ascii="宋体" w:hAnsi="宋体" w:cs="宋体"/>
      <w:sz w:val="24"/>
      <w:szCs w:val="24"/>
    </w:rPr>
  </w:style>
  <w:style w:type="paragraph" w:customStyle="1" w:styleId="634">
    <w:name w:val="Char Char7 Char Char1 Char Char Char1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635">
    <w:name w:val="Char Char Char1 Char Char Char1 Char Char Char1 Char Char Char 字元 字元"/>
    <w:basedOn w:val="1"/>
    <w:autoRedefine/>
    <w:qFormat/>
    <w:uiPriority w:val="0"/>
    <w:pPr>
      <w:spacing w:line="400" w:lineRule="exact"/>
      <w:ind w:firstLine="200" w:firstLineChars="200"/>
    </w:pPr>
    <w:rPr>
      <w:rFonts w:ascii="宋体" w:hAnsi="宋体" w:cs="宋体"/>
      <w:sz w:val="28"/>
      <w:szCs w:val="28"/>
    </w:rPr>
  </w:style>
  <w:style w:type="character" w:customStyle="1" w:styleId="636">
    <w:name w:val="h3 Char2"/>
    <w:autoRedefine/>
    <w:qFormat/>
    <w:uiPriority w:val="0"/>
    <w:rPr>
      <w:rFonts w:eastAsia="仿宋_GB2312"/>
      <w:sz w:val="28"/>
      <w:lang w:val="en-US" w:eastAsia="zh-CN" w:bidi="ar-SA"/>
    </w:rPr>
  </w:style>
  <w:style w:type="character" w:customStyle="1" w:styleId="637">
    <w:name w:val="Body Text 21 Char"/>
    <w:autoRedefine/>
    <w:qFormat/>
    <w:uiPriority w:val="0"/>
    <w:rPr>
      <w:rFonts w:eastAsia="仿宋体"/>
      <w:kern w:val="2"/>
      <w:sz w:val="24"/>
      <w:szCs w:val="28"/>
      <w:lang w:val="en-US" w:eastAsia="zh-CN" w:bidi="ar-SA"/>
    </w:rPr>
  </w:style>
  <w:style w:type="paragraph" w:customStyle="1" w:styleId="638">
    <w:name w:val="正文表格"/>
    <w:basedOn w:val="1"/>
    <w:autoRedefine/>
    <w:qFormat/>
    <w:uiPriority w:val="0"/>
    <w:pPr>
      <w:keepNext/>
      <w:keepLines/>
      <w:overflowPunct w:val="0"/>
      <w:adjustRightInd w:val="0"/>
      <w:spacing w:before="80" w:line="500" w:lineRule="exact"/>
      <w:jc w:val="center"/>
      <w:textAlignment w:val="bottom"/>
    </w:pPr>
    <w:rPr>
      <w:rFonts w:ascii="宋体" w:hAnsi="宋体" w:eastAsia="仿宋_GB2312" w:cs="宋体"/>
      <w:kern w:val="0"/>
      <w:sz w:val="28"/>
    </w:rPr>
  </w:style>
  <w:style w:type="character" w:customStyle="1" w:styleId="639">
    <w:name w:val="richtextmngstyle1"/>
    <w:autoRedefine/>
    <w:qFormat/>
    <w:uiPriority w:val="0"/>
    <w:rPr>
      <w:rFonts w:eastAsia="宋体"/>
      <w:color w:val="000000"/>
      <w:spacing w:val="15"/>
      <w:kern w:val="2"/>
      <w:sz w:val="21"/>
      <w:szCs w:val="21"/>
      <w:u w:val="none"/>
      <w:lang w:val="en-US" w:eastAsia="zh-CN" w:bidi="ar-SA"/>
    </w:rPr>
  </w:style>
  <w:style w:type="paragraph" w:customStyle="1" w:styleId="640">
    <w:name w:val="24"/>
    <w:basedOn w:val="1"/>
    <w:next w:val="70"/>
    <w:autoRedefine/>
    <w:qFormat/>
    <w:uiPriority w:val="0"/>
    <w:pPr>
      <w:spacing w:line="500" w:lineRule="exact"/>
      <w:ind w:firstLine="560" w:firstLineChars="200"/>
    </w:pPr>
    <w:rPr>
      <w:rFonts w:ascii="仿宋_GB2312" w:hAnsi="宋体" w:eastAsia="仿宋_GB2312" w:cs="宋体"/>
      <w:sz w:val="28"/>
    </w:rPr>
  </w:style>
  <w:style w:type="paragraph" w:customStyle="1" w:styleId="641">
    <w:name w:val="23"/>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2">
    <w:name w:val="环表"/>
    <w:basedOn w:val="1"/>
    <w:autoRedefine/>
    <w:qFormat/>
    <w:uiPriority w:val="0"/>
    <w:pPr>
      <w:widowControl/>
      <w:tabs>
        <w:tab w:val="left" w:pos="5094"/>
      </w:tabs>
      <w:adjustRightInd w:val="0"/>
      <w:spacing w:before="120" w:after="120" w:line="312" w:lineRule="atLeast"/>
      <w:ind w:right="29"/>
      <w:jc w:val="center"/>
      <w:textAlignment w:val="baseline"/>
    </w:pPr>
    <w:rPr>
      <w:rFonts w:ascii="仿宋_GB2312" w:hAnsi="Courier New" w:eastAsia="仿宋_GB2312" w:cs="宋体"/>
      <w:kern w:val="0"/>
      <w:sz w:val="28"/>
    </w:rPr>
  </w:style>
  <w:style w:type="paragraph" w:customStyle="1" w:styleId="643">
    <w:name w:val="proposal"/>
    <w:basedOn w:val="1"/>
    <w:autoRedefine/>
    <w:qFormat/>
    <w:uiPriority w:val="0"/>
    <w:pPr>
      <w:widowControl/>
      <w:autoSpaceDE w:val="0"/>
      <w:autoSpaceDN w:val="0"/>
      <w:spacing w:line="300" w:lineRule="auto"/>
      <w:ind w:left="1440" w:hanging="1440"/>
    </w:pPr>
    <w:rPr>
      <w:rFonts w:ascii="宋体" w:hAnsi="宋体" w:eastAsia="仿宋_GB2312" w:cs="宋体"/>
      <w:kern w:val="0"/>
      <w:sz w:val="24"/>
      <w:lang w:val="en-GB" w:eastAsia="en-GB"/>
    </w:rPr>
  </w:style>
  <w:style w:type="paragraph" w:customStyle="1" w:styleId="644">
    <w:name w:val="样式 样式 题注 + 两端对齐 + 宋体"/>
    <w:basedOn w:val="1"/>
    <w:autoRedefine/>
    <w:qFormat/>
    <w:uiPriority w:val="0"/>
    <w:pPr>
      <w:keepNext/>
      <w:spacing w:line="360" w:lineRule="auto"/>
      <w:jc w:val="center"/>
    </w:pPr>
    <w:rPr>
      <w:rFonts w:ascii="宋体" w:hAnsi="宋体" w:eastAsia="仿宋_GB2312" w:cs="宋体"/>
      <w:snapToGrid w:val="0"/>
      <w:kern w:val="0"/>
      <w:sz w:val="28"/>
    </w:rPr>
  </w:style>
  <w:style w:type="paragraph" w:customStyle="1" w:styleId="645">
    <w:name w:val="xl63"/>
    <w:basedOn w:val="1"/>
    <w:autoRedefine/>
    <w:qFormat/>
    <w:uiPriority w:val="0"/>
    <w:pPr>
      <w:widowControl/>
      <w:spacing w:before="100" w:beforeAutospacing="1" w:after="100" w:afterAutospacing="1" w:line="500" w:lineRule="exact"/>
      <w:jc w:val="center"/>
    </w:pPr>
    <w:rPr>
      <w:rFonts w:ascii="宋体" w:hAnsi="宋体" w:eastAsia="仿宋_GB2312" w:cs="宋体"/>
      <w:b/>
      <w:bCs/>
      <w:kern w:val="0"/>
      <w:sz w:val="24"/>
    </w:rPr>
  </w:style>
  <w:style w:type="paragraph" w:customStyle="1" w:styleId="646">
    <w:name w:val="22"/>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7">
    <w:name w:val="21"/>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8">
    <w:name w:val="19"/>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9">
    <w:name w:val="17"/>
    <w:basedOn w:val="1"/>
    <w:next w:val="70"/>
    <w:autoRedefine/>
    <w:qFormat/>
    <w:uiPriority w:val="0"/>
    <w:pPr>
      <w:spacing w:line="500" w:lineRule="exact"/>
      <w:ind w:firstLine="560" w:firstLineChars="200"/>
    </w:pPr>
    <w:rPr>
      <w:rFonts w:ascii="仿宋_GB2312" w:hAnsi="宋体" w:eastAsia="仿宋_GB2312" w:cs="宋体"/>
      <w:sz w:val="28"/>
    </w:rPr>
  </w:style>
  <w:style w:type="paragraph" w:customStyle="1" w:styleId="650">
    <w:name w:val="7"/>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1">
    <w:name w:val="xl38"/>
    <w:basedOn w:val="1"/>
    <w:autoRedefine/>
    <w:qFormat/>
    <w:uiPriority w:val="0"/>
    <w:pPr>
      <w:widowControl/>
      <w:pBdr>
        <w:left w:val="single" w:color="auto" w:sz="4" w:space="0"/>
        <w:bottom w:val="single" w:color="auto" w:sz="4" w:space="0"/>
      </w:pBdr>
      <w:spacing w:before="100" w:beforeAutospacing="1" w:after="100" w:afterAutospacing="1" w:line="500" w:lineRule="exact"/>
      <w:jc w:val="center"/>
      <w:textAlignment w:val="top"/>
    </w:pPr>
    <w:rPr>
      <w:rFonts w:hint="eastAsia" w:ascii="仿宋_GB2312" w:hAnsi="宋体" w:eastAsia="仿宋_GB2312" w:cs="宋体"/>
      <w:kern w:val="0"/>
      <w:sz w:val="24"/>
    </w:rPr>
  </w:style>
  <w:style w:type="paragraph" w:customStyle="1" w:styleId="652">
    <w:name w:val="16"/>
    <w:basedOn w:val="1"/>
    <w:next w:val="45"/>
    <w:autoRedefine/>
    <w:qFormat/>
    <w:uiPriority w:val="0"/>
    <w:pPr>
      <w:spacing w:line="500" w:lineRule="exact"/>
    </w:pPr>
    <w:rPr>
      <w:rFonts w:ascii="宋体" w:hAnsi="Courier New" w:eastAsia="仿宋_GB2312" w:cs="宋体"/>
      <w:sz w:val="28"/>
    </w:rPr>
  </w:style>
  <w:style w:type="paragraph" w:customStyle="1" w:styleId="653">
    <w:name w:val="15"/>
    <w:basedOn w:val="1"/>
    <w:next w:val="70"/>
    <w:autoRedefine/>
    <w:qFormat/>
    <w:uiPriority w:val="0"/>
    <w:pPr>
      <w:spacing w:line="500" w:lineRule="exact"/>
      <w:ind w:firstLine="560" w:firstLineChars="200"/>
    </w:pPr>
    <w:rPr>
      <w:rFonts w:ascii="仿宋_GB2312" w:hAnsi="宋体" w:eastAsia="仿宋_GB2312" w:cs="宋体"/>
      <w:sz w:val="28"/>
    </w:rPr>
  </w:style>
  <w:style w:type="paragraph" w:customStyle="1" w:styleId="654">
    <w:name w:val="14"/>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5">
    <w:name w:val="13"/>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6">
    <w:name w:val="12"/>
    <w:basedOn w:val="1"/>
    <w:next w:val="35"/>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7">
    <w:name w:val="样式 标题 3 + 左侧:  0 厘米 首行缩进:  0 厘米"/>
    <w:basedOn w:val="5"/>
    <w:autoRedefine/>
    <w:qFormat/>
    <w:uiPriority w:val="0"/>
    <w:pPr>
      <w:autoSpaceDE w:val="0"/>
      <w:autoSpaceDN w:val="0"/>
      <w:adjustRightInd w:val="0"/>
      <w:snapToGrid w:val="0"/>
      <w:spacing w:before="0" w:after="0" w:line="500" w:lineRule="exact"/>
      <w:jc w:val="left"/>
      <w:textAlignment w:val="baseline"/>
    </w:pPr>
    <w:rPr>
      <w:rFonts w:ascii="Calibri" w:hAnsi="Calibri" w:eastAsia="仿宋_GB2312" w:cs="宋体"/>
      <w:b w:val="0"/>
      <w:bCs w:val="0"/>
      <w:kern w:val="0"/>
      <w:sz w:val="28"/>
      <w:szCs w:val="20"/>
    </w:rPr>
  </w:style>
  <w:style w:type="paragraph" w:customStyle="1" w:styleId="658">
    <w:name w:val="标题33"/>
    <w:basedOn w:val="51"/>
    <w:next w:val="5"/>
    <w:autoRedefine/>
    <w:qFormat/>
    <w:uiPriority w:val="0"/>
    <w:pPr>
      <w:spacing w:after="0" w:line="500" w:lineRule="exact"/>
      <w:ind w:left="0" w:leftChars="0"/>
    </w:pPr>
    <w:rPr>
      <w:rFonts w:ascii="仿宋_GB2312" w:hAnsi="仿宋_GB2312" w:eastAsia="仿宋_GB2312" w:cs="宋体"/>
      <w:color w:val="000000"/>
      <w:sz w:val="28"/>
    </w:rPr>
  </w:style>
  <w:style w:type="paragraph" w:customStyle="1" w:styleId="659">
    <w:name w:val="font0"/>
    <w:basedOn w:val="1"/>
    <w:autoRedefine/>
    <w:qFormat/>
    <w:uiPriority w:val="0"/>
    <w:pPr>
      <w:widowControl/>
      <w:spacing w:before="100" w:beforeAutospacing="1" w:after="100" w:afterAutospacing="1"/>
      <w:jc w:val="left"/>
    </w:pPr>
    <w:rPr>
      <w:rFonts w:hint="eastAsia" w:ascii="宋体" w:hAnsi="宋体" w:cs="宋体"/>
      <w:kern w:val="0"/>
      <w:sz w:val="24"/>
    </w:rPr>
  </w:style>
  <w:style w:type="paragraph" w:customStyle="1" w:styleId="660">
    <w:name w:val="font8"/>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61">
    <w:name w:val="font10"/>
    <w:basedOn w:val="1"/>
    <w:autoRedefine/>
    <w:qFormat/>
    <w:uiPriority w:val="0"/>
    <w:pPr>
      <w:widowControl/>
      <w:spacing w:before="100" w:beforeAutospacing="1" w:after="100" w:afterAutospacing="1"/>
      <w:jc w:val="left"/>
    </w:pPr>
    <w:rPr>
      <w:rFonts w:hint="eastAsia" w:ascii="宋体" w:hAnsi="宋体" w:cs="宋体"/>
      <w:kern w:val="0"/>
      <w:sz w:val="28"/>
      <w:szCs w:val="28"/>
    </w:rPr>
  </w:style>
  <w:style w:type="character" w:customStyle="1" w:styleId="662">
    <w:name w:val="hottext1"/>
    <w:autoRedefine/>
    <w:qFormat/>
    <w:uiPriority w:val="0"/>
    <w:rPr>
      <w:rFonts w:ascii="宋体" w:hAnsi="宋体" w:eastAsia="宋体"/>
      <w:strike/>
      <w:kern w:val="2"/>
      <w:sz w:val="22"/>
      <w:szCs w:val="28"/>
      <w:u w:val="none"/>
      <w:lang w:val="en-US" w:eastAsia="zh-CN" w:bidi="ar-SA"/>
    </w:rPr>
  </w:style>
  <w:style w:type="paragraph" w:customStyle="1" w:styleId="663">
    <w:name w:val="黑点"/>
    <w:basedOn w:val="1"/>
    <w:autoRedefine/>
    <w:qFormat/>
    <w:uiPriority w:val="0"/>
    <w:pPr>
      <w:tabs>
        <w:tab w:val="left" w:pos="425"/>
        <w:tab w:val="left" w:pos="600"/>
        <w:tab w:val="left" w:pos="2100"/>
      </w:tabs>
      <w:adjustRightInd w:val="0"/>
      <w:spacing w:line="360" w:lineRule="auto"/>
      <w:ind w:left="2100" w:hanging="425"/>
      <w:jc w:val="left"/>
      <w:textAlignment w:val="baseline"/>
    </w:pPr>
    <w:rPr>
      <w:rFonts w:ascii="宋体" w:hAnsi="宋体" w:cs="宋体"/>
      <w:color w:val="000000"/>
      <w:kern w:val="0"/>
      <w:sz w:val="24"/>
    </w:rPr>
  </w:style>
  <w:style w:type="paragraph" w:customStyle="1" w:styleId="664">
    <w:name w:val="样式 正文缩进正文（首行缩进两字） Char Char Char Char Char Char Char表格标题标题4文..."/>
    <w:basedOn w:val="9"/>
    <w:autoRedefine/>
    <w:qFormat/>
    <w:uiPriority w:val="0"/>
    <w:pPr>
      <w:overflowPunct w:val="0"/>
      <w:spacing w:line="500" w:lineRule="exact"/>
      <w:textAlignment w:val="baseline"/>
    </w:pPr>
    <w:rPr>
      <w:rFonts w:ascii="Calibri" w:hAnsi="Calibri" w:cs="宋体"/>
      <w:color w:val="auto"/>
      <w:kern w:val="0"/>
      <w:szCs w:val="20"/>
    </w:rPr>
  </w:style>
  <w:style w:type="paragraph" w:customStyle="1" w:styleId="665">
    <w:name w:val="样式 样式 正文缩进正文（首行缩进两字） Char Char Char Char Char Char Char表格标题标题4文...."/>
    <w:basedOn w:val="664"/>
    <w:autoRedefine/>
    <w:qFormat/>
    <w:uiPriority w:val="0"/>
  </w:style>
  <w:style w:type="paragraph" w:customStyle="1" w:styleId="666">
    <w:name w:val="样式 标题 4 + 行距: 多倍行距 1.3 字行"/>
    <w:basedOn w:val="6"/>
    <w:autoRedefine/>
    <w:qFormat/>
    <w:uiPriority w:val="0"/>
    <w:pPr>
      <w:widowControl w:val="0"/>
      <w:tabs>
        <w:tab w:val="left" w:pos="1200"/>
        <w:tab w:val="clear" w:pos="1276"/>
      </w:tabs>
      <w:snapToGrid w:val="0"/>
      <w:spacing w:beforeLines="20" w:afterLines="20" w:line="300" w:lineRule="auto"/>
      <w:ind w:left="0" w:firstLine="0"/>
      <w:jc w:val="both"/>
    </w:pPr>
    <w:rPr>
      <w:rFonts w:ascii="仿宋_GB2312" w:eastAsia="仿宋_GB2312"/>
      <w:b w:val="0"/>
      <w:kern w:val="2"/>
      <w:sz w:val="28"/>
    </w:rPr>
  </w:style>
  <w:style w:type="paragraph" w:customStyle="1" w:styleId="667">
    <w:name w:val="正文编号"/>
    <w:basedOn w:val="1"/>
    <w:autoRedefine/>
    <w:qFormat/>
    <w:uiPriority w:val="0"/>
    <w:pPr>
      <w:tabs>
        <w:tab w:val="left" w:pos="1200"/>
      </w:tabs>
      <w:adjustRightInd w:val="0"/>
      <w:spacing w:line="360" w:lineRule="auto"/>
      <w:ind w:left="1200" w:leftChars="400" w:hanging="360" w:hangingChars="200"/>
      <w:textAlignment w:val="baseline"/>
    </w:pPr>
    <w:rPr>
      <w:rFonts w:ascii="Arial" w:hAnsi="Arial" w:cs="宋体"/>
      <w:kern w:val="0"/>
      <w:sz w:val="24"/>
    </w:rPr>
  </w:style>
  <w:style w:type="paragraph" w:customStyle="1" w:styleId="668">
    <w:name w:val="样式 正文文本btBody Text(ch) + 仿宋_GB2312 五号"/>
    <w:basedOn w:val="34"/>
    <w:autoRedefine/>
    <w:qFormat/>
    <w:uiPriority w:val="0"/>
    <w:pPr>
      <w:adjustRightInd w:val="0"/>
      <w:snapToGrid w:val="0"/>
      <w:spacing w:after="0" w:line="500" w:lineRule="exact"/>
    </w:pPr>
    <w:rPr>
      <w:rFonts w:ascii="仿宋_GB2312" w:hAnsi="仿宋_GB2312" w:cs="宋体"/>
      <w:sz w:val="28"/>
    </w:rPr>
  </w:style>
  <w:style w:type="paragraph" w:customStyle="1" w:styleId="669">
    <w:name w:val="lz正文"/>
    <w:basedOn w:val="1"/>
    <w:autoRedefine/>
    <w:qFormat/>
    <w:uiPriority w:val="0"/>
    <w:pPr>
      <w:adjustRightInd w:val="0"/>
      <w:snapToGrid w:val="0"/>
      <w:spacing w:line="360" w:lineRule="auto"/>
      <w:ind w:firstLine="480" w:firstLineChars="200"/>
    </w:pPr>
    <w:rPr>
      <w:rFonts w:ascii="宋体" w:hAnsi="宋体" w:cs="宋体"/>
      <w:sz w:val="28"/>
      <w:szCs w:val="21"/>
    </w:rPr>
  </w:style>
  <w:style w:type="paragraph" w:customStyle="1" w:styleId="670">
    <w:name w:val="正文 居中"/>
    <w:basedOn w:val="1"/>
    <w:autoRedefine/>
    <w:qFormat/>
    <w:uiPriority w:val="0"/>
    <w:pPr>
      <w:spacing w:before="48" w:after="48" w:line="360" w:lineRule="auto"/>
      <w:jc w:val="center"/>
    </w:pPr>
    <w:rPr>
      <w:rFonts w:ascii="宋体" w:hAnsi="宋体" w:cs="宋体"/>
      <w:bCs/>
      <w:snapToGrid w:val="0"/>
      <w:kern w:val="0"/>
      <w:sz w:val="24"/>
    </w:rPr>
  </w:style>
  <w:style w:type="paragraph" w:customStyle="1" w:styleId="671">
    <w:name w:val="表格居中"/>
    <w:basedOn w:val="1"/>
    <w:autoRedefine/>
    <w:qFormat/>
    <w:uiPriority w:val="0"/>
    <w:pPr>
      <w:jc w:val="center"/>
    </w:pPr>
    <w:rPr>
      <w:rFonts w:ascii="宋体" w:hAnsi="宋体" w:cs="宋体"/>
      <w:bCs/>
      <w:snapToGrid w:val="0"/>
      <w:kern w:val="18"/>
      <w:szCs w:val="21"/>
      <w:u w:color="FF0000"/>
    </w:rPr>
  </w:style>
  <w:style w:type="paragraph" w:customStyle="1" w:styleId="672">
    <w:name w:val="表格两端对齐"/>
    <w:basedOn w:val="671"/>
    <w:autoRedefine/>
    <w:qFormat/>
    <w:uiPriority w:val="0"/>
    <w:pPr>
      <w:spacing w:line="360" w:lineRule="auto"/>
    </w:pPr>
  </w:style>
  <w:style w:type="character" w:customStyle="1" w:styleId="673">
    <w:name w:val="font_141"/>
    <w:autoRedefine/>
    <w:qFormat/>
    <w:uiPriority w:val="0"/>
    <w:rPr>
      <w:rFonts w:hint="default" w:ascii="ˎ̥" w:hAnsi="ˎ̥" w:eastAsia="宋体"/>
      <w:kern w:val="2"/>
      <w:sz w:val="21"/>
      <w:szCs w:val="21"/>
      <w:lang w:val="en-US" w:eastAsia="zh-CN" w:bidi="ar-SA"/>
    </w:rPr>
  </w:style>
  <w:style w:type="paragraph" w:customStyle="1" w:styleId="674">
    <w:name w:val="样式 仿宋_GB2312 小四 居中 行距: 最小值 12 磅"/>
    <w:basedOn w:val="1"/>
    <w:autoRedefine/>
    <w:qFormat/>
    <w:uiPriority w:val="0"/>
    <w:pPr>
      <w:spacing w:line="400" w:lineRule="exact"/>
      <w:jc w:val="center"/>
    </w:pPr>
    <w:rPr>
      <w:rFonts w:ascii="仿宋_GB2312" w:hAnsi="宋体" w:cs="宋体"/>
    </w:rPr>
  </w:style>
  <w:style w:type="paragraph" w:customStyle="1" w:styleId="675">
    <w:name w:val="样式 标题 2节标题 1.1H2（一）Underrubrik1prop2Heading 2 HiddenHeadi..."/>
    <w:basedOn w:val="4"/>
    <w:autoRedefine/>
    <w:qFormat/>
    <w:uiPriority w:val="0"/>
    <w:pPr>
      <w:widowControl w:val="0"/>
      <w:tabs>
        <w:tab w:val="clear" w:pos="1276"/>
      </w:tabs>
      <w:adjustRightInd w:val="0"/>
      <w:snapToGrid w:val="0"/>
      <w:spacing w:before="120" w:after="120" w:line="240" w:lineRule="auto"/>
      <w:ind w:left="0" w:firstLine="0"/>
      <w:jc w:val="both"/>
    </w:pPr>
    <w:rPr>
      <w:rFonts w:ascii="宋体" w:hAnsi="宋体" w:cs="宋体"/>
      <w:b/>
      <w:bCs/>
      <w:snapToGrid w:val="0"/>
      <w:kern w:val="2"/>
      <w:sz w:val="28"/>
      <w:szCs w:val="24"/>
    </w:rPr>
  </w:style>
  <w:style w:type="paragraph" w:customStyle="1" w:styleId="676">
    <w:name w:val="样式 宋体 四号 左 行距: 固定值 25 磅"/>
    <w:basedOn w:val="1"/>
    <w:autoRedefine/>
    <w:qFormat/>
    <w:uiPriority w:val="0"/>
    <w:pPr>
      <w:spacing w:line="500" w:lineRule="exact"/>
      <w:ind w:firstLine="200" w:firstLineChars="200"/>
      <w:jc w:val="left"/>
    </w:pPr>
    <w:rPr>
      <w:rFonts w:ascii="宋体" w:hAnsi="宋体" w:cs="宋体"/>
      <w:sz w:val="28"/>
    </w:rPr>
  </w:style>
  <w:style w:type="paragraph" w:customStyle="1" w:styleId="677">
    <w:name w:val="样式 正文文本缩进正文文字缩进 + 四号 首行缩进:  2 字符 行距: 最小值 25 磅"/>
    <w:basedOn w:val="35"/>
    <w:autoRedefine/>
    <w:qFormat/>
    <w:uiPriority w:val="0"/>
    <w:pPr>
      <w:spacing w:after="0" w:line="500" w:lineRule="exact"/>
      <w:ind w:left="0" w:leftChars="0" w:firstLine="200" w:firstLineChars="200"/>
    </w:pPr>
    <w:rPr>
      <w:rFonts w:ascii="Calibri" w:hAnsi="Calibri" w:cs="宋体"/>
      <w:sz w:val="28"/>
    </w:rPr>
  </w:style>
  <w:style w:type="paragraph" w:customStyle="1" w:styleId="678">
    <w:name w:val="样式 标题3 + Times New Roman"/>
    <w:basedOn w:val="525"/>
    <w:autoRedefine/>
    <w:qFormat/>
    <w:uiPriority w:val="0"/>
    <w:pPr>
      <w:adjustRightInd w:val="0"/>
      <w:spacing w:line="500" w:lineRule="exact"/>
      <w:textAlignment w:val="baseline"/>
    </w:pPr>
    <w:rPr>
      <w:rFonts w:ascii="Times New Roman" w:hAnsi="Times New Roman" w:cs="Times New Roman"/>
      <w:b/>
      <w:sz w:val="28"/>
      <w:szCs w:val="20"/>
    </w:rPr>
  </w:style>
  <w:style w:type="paragraph" w:customStyle="1" w:styleId="679">
    <w:name w:val="样式 正文文本缩进正文文字缩进 + 行距: 单倍行距"/>
    <w:basedOn w:val="35"/>
    <w:autoRedefine/>
    <w:qFormat/>
    <w:uiPriority w:val="0"/>
    <w:pPr>
      <w:spacing w:after="0"/>
      <w:ind w:left="0" w:leftChars="0" w:firstLine="480" w:firstLineChars="200"/>
    </w:pPr>
    <w:rPr>
      <w:rFonts w:ascii="Calibri" w:hAnsi="Calibri" w:cs="宋体"/>
      <w:sz w:val="28"/>
    </w:rPr>
  </w:style>
  <w:style w:type="paragraph" w:customStyle="1" w:styleId="680">
    <w:name w:val="样式 样式 正文文本缩进正文文字缩进 + 行距: 单倍行距 + 首行缩进:  2 字符"/>
    <w:basedOn w:val="679"/>
    <w:autoRedefine/>
    <w:qFormat/>
    <w:uiPriority w:val="0"/>
    <w:pPr>
      <w:spacing w:line="500" w:lineRule="exact"/>
      <w:ind w:firstLine="200"/>
    </w:pPr>
  </w:style>
  <w:style w:type="paragraph" w:customStyle="1" w:styleId="681">
    <w:name w:val="样式 标题2 + (西文) Times New Roman (中文) 宋体 加粗"/>
    <w:basedOn w:val="4"/>
    <w:autoRedefine/>
    <w:qFormat/>
    <w:uiPriority w:val="0"/>
    <w:pPr>
      <w:keepNext w:val="0"/>
      <w:keepLines w:val="0"/>
      <w:widowControl w:val="0"/>
      <w:tabs>
        <w:tab w:val="clear" w:pos="1276"/>
      </w:tabs>
      <w:spacing w:beforeLines="50" w:afterLines="50" w:line="500" w:lineRule="exact"/>
      <w:ind w:left="0" w:firstLine="0"/>
      <w:jc w:val="both"/>
      <w:outlineLvl w:val="0"/>
    </w:pPr>
    <w:rPr>
      <w:rFonts w:ascii="Calibri" w:hAnsi="Calibri" w:cs="宋体"/>
      <w:b/>
      <w:bCs/>
      <w:kern w:val="2"/>
      <w:sz w:val="28"/>
      <w:szCs w:val="24"/>
    </w:rPr>
  </w:style>
  <w:style w:type="paragraph" w:customStyle="1" w:styleId="682">
    <w:name w:val="样式 正文文本缩进正文文字缩进正文文字 21正文文字( 首段缩进两字） + (中文) 宋体 五号 居中 行距: 固定..."/>
    <w:basedOn w:val="35"/>
    <w:autoRedefine/>
    <w:qFormat/>
    <w:uiPriority w:val="0"/>
    <w:pPr>
      <w:spacing w:after="0" w:line="400" w:lineRule="exact"/>
      <w:ind w:left="0" w:leftChars="0"/>
      <w:jc w:val="center"/>
    </w:pPr>
    <w:rPr>
      <w:rFonts w:ascii="Calibri" w:hAnsi="Calibri" w:cs="宋体"/>
      <w:sz w:val="24"/>
    </w:rPr>
  </w:style>
  <w:style w:type="paragraph" w:customStyle="1" w:styleId="683">
    <w:name w:val="样式 列表 2 + 宋体 小四 行距: 固定值 19 磅"/>
    <w:basedOn w:val="37"/>
    <w:autoRedefine/>
    <w:qFormat/>
    <w:uiPriority w:val="0"/>
    <w:pPr>
      <w:widowControl w:val="0"/>
      <w:spacing w:line="400" w:lineRule="exact"/>
      <w:ind w:left="0" w:leftChars="0" w:firstLine="0" w:firstLineChars="0"/>
      <w:contextualSpacing w:val="0"/>
      <w:jc w:val="center"/>
    </w:pPr>
    <w:rPr>
      <w:rFonts w:ascii="宋体" w:hAnsi="宋体" w:cs="宋体"/>
      <w:kern w:val="2"/>
      <w:sz w:val="24"/>
      <w:szCs w:val="24"/>
    </w:rPr>
  </w:style>
  <w:style w:type="paragraph" w:customStyle="1" w:styleId="684">
    <w:name w:val="项目1"/>
    <w:basedOn w:val="1"/>
    <w:autoRedefine/>
    <w:qFormat/>
    <w:uiPriority w:val="0"/>
    <w:pPr>
      <w:tabs>
        <w:tab w:val="left" w:pos="425"/>
      </w:tabs>
      <w:snapToGrid w:val="0"/>
      <w:spacing w:line="0" w:lineRule="atLeast"/>
      <w:ind w:left="425" w:hanging="425"/>
    </w:pPr>
    <w:rPr>
      <w:rFonts w:ascii="宋体" w:hAnsi="宋体" w:cs="宋体"/>
      <w:sz w:val="28"/>
    </w:rPr>
  </w:style>
  <w:style w:type="paragraph" w:customStyle="1" w:styleId="685">
    <w:name w:val="样式 标题1 + 段前: 6 磅 段后: 6 磅"/>
    <w:basedOn w:val="212"/>
    <w:autoRedefine/>
    <w:qFormat/>
    <w:uiPriority w:val="0"/>
    <w:pPr>
      <w:keepNext/>
      <w:keepLines/>
      <w:tabs>
        <w:tab w:val="clear" w:pos="9193"/>
        <w:tab w:val="clear" w:pos="9827"/>
      </w:tabs>
      <w:autoSpaceDE/>
      <w:autoSpaceDN/>
      <w:snapToGrid/>
      <w:spacing w:before="120" w:after="120" w:line="500" w:lineRule="exact"/>
      <w:jc w:val="both"/>
      <w:outlineLvl w:val="0"/>
    </w:pPr>
    <w:rPr>
      <w:rFonts w:eastAsia="黑体"/>
      <w:b/>
      <w:bCs/>
      <w:snapToGrid/>
      <w:kern w:val="44"/>
      <w:sz w:val="30"/>
    </w:rPr>
  </w:style>
  <w:style w:type="paragraph" w:customStyle="1" w:styleId="686">
    <w:name w:val="样式 样式 标题2 + (西文) Times New Roman (中文) 宋体 加粗 + 段前: 0.5 行 段后: 0.5..."/>
    <w:basedOn w:val="681"/>
    <w:autoRedefine/>
    <w:qFormat/>
    <w:uiPriority w:val="0"/>
    <w:pPr/>
    <w:rPr>
      <w:rFonts w:eastAsia="仿宋_GB2312"/>
    </w:rPr>
  </w:style>
  <w:style w:type="paragraph" w:customStyle="1" w:styleId="687">
    <w:name w:val="样式 标题 1h1H1PIM 1标书11.标题 1Section HeadHeader11st levell1..."/>
    <w:basedOn w:val="3"/>
    <w:autoRedefine/>
    <w:qFormat/>
    <w:uiPriority w:val="0"/>
    <w:pPr>
      <w:keepLines/>
      <w:widowControl w:val="0"/>
      <w:numPr>
        <w:numId w:val="0"/>
      </w:numPr>
      <w:spacing w:before="240" w:after="240" w:line="500" w:lineRule="exact"/>
      <w:ind w:right="210"/>
      <w:jc w:val="both"/>
    </w:pPr>
    <w:rPr>
      <w:rFonts w:ascii="Calibri" w:hAnsi="Calibri" w:eastAsia="黑体"/>
      <w:b/>
      <w:bCs/>
      <w:color w:val="000000"/>
      <w:kern w:val="44"/>
      <w:sz w:val="30"/>
      <w:szCs w:val="20"/>
    </w:rPr>
  </w:style>
  <w:style w:type="paragraph" w:customStyle="1" w:styleId="688">
    <w:name w:val="样式 标题 2第一章 标题 2Heading 2 HiddenHeading 2 CCBSheading 2H2h2..."/>
    <w:basedOn w:val="4"/>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44"/>
      <w:sz w:val="28"/>
      <w:szCs w:val="32"/>
    </w:rPr>
  </w:style>
  <w:style w:type="paragraph" w:customStyle="1" w:styleId="689">
    <w:name w:val="样式 (西文) 宋体 段前: 6 磅 段后: 6 磅"/>
    <w:basedOn w:val="1"/>
    <w:autoRedefine/>
    <w:qFormat/>
    <w:uiPriority w:val="0"/>
    <w:pPr>
      <w:spacing w:before="120" w:after="120" w:line="500" w:lineRule="exact"/>
    </w:pPr>
    <w:rPr>
      <w:rFonts w:ascii="宋体" w:hAnsi="宋体" w:eastAsia="仿宋_GB2312" w:cs="宋体"/>
      <w:sz w:val="28"/>
    </w:rPr>
  </w:style>
  <w:style w:type="paragraph" w:customStyle="1" w:styleId="690">
    <w:name w:val="样式 标题 2第一章 标题 2Heading 2 HiddenHeading 2 CCBSheading 2H2h2...1"/>
    <w:basedOn w:val="4"/>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kern w:val="2"/>
      <w:sz w:val="28"/>
      <w:szCs w:val="24"/>
    </w:rPr>
  </w:style>
  <w:style w:type="paragraph" w:customStyle="1" w:styleId="691">
    <w:name w:val="样式 标题 2第一章 标题 2Heading 2 HiddenHeading 2 CCBSheading 2H2h2...2"/>
    <w:basedOn w:val="4"/>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2"/>
      <w:sz w:val="28"/>
      <w:szCs w:val="32"/>
    </w:rPr>
  </w:style>
  <w:style w:type="paragraph" w:customStyle="1" w:styleId="692">
    <w:name w:val="样式 样式 样式 标题2 + (西文) Times New Roman (中文) 宋体 加粗 + 段前: 0.5 行 段后: 0..."/>
    <w:basedOn w:val="686"/>
    <w:autoRedefine/>
    <w:qFormat/>
    <w:uiPriority w:val="0"/>
    <w:pPr/>
    <w:rPr>
      <w:color w:val="000000"/>
    </w:rPr>
  </w:style>
  <w:style w:type="paragraph" w:customStyle="1" w:styleId="693">
    <w:name w:val="样式 标题 2第一章 标题 2Heading 2 HiddenHeading 2 CCBSheading 2H2h2...3"/>
    <w:basedOn w:val="4"/>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kern w:val="2"/>
      <w:sz w:val="28"/>
      <w:szCs w:val="24"/>
    </w:rPr>
  </w:style>
  <w:style w:type="paragraph" w:customStyle="1" w:styleId="694">
    <w:name w:val="样式 标题 2第一章 标题 2Heading 2 HiddenHeading 2 CCBSheading 2H2h2...4"/>
    <w:basedOn w:val="4"/>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2"/>
      <w:sz w:val="28"/>
      <w:szCs w:val="32"/>
    </w:rPr>
  </w:style>
  <w:style w:type="paragraph" w:customStyle="1" w:styleId="695">
    <w:name w:val="样式 标题 1h1H1PIM 1标书11.标题 1Section HeadHeader11st levell1...1"/>
    <w:basedOn w:val="3"/>
    <w:link w:val="696"/>
    <w:autoRedefine/>
    <w:qFormat/>
    <w:uiPriority w:val="0"/>
    <w:pPr>
      <w:keepLines/>
      <w:widowControl w:val="0"/>
      <w:numPr>
        <w:numId w:val="0"/>
      </w:numPr>
      <w:spacing w:before="120" w:after="120" w:line="500" w:lineRule="exact"/>
      <w:jc w:val="both"/>
    </w:pPr>
    <w:rPr>
      <w:rFonts w:ascii="Calibri" w:hAnsi="Calibri" w:eastAsia="黑体"/>
      <w:b/>
      <w:bCs/>
      <w:kern w:val="44"/>
      <w:sz w:val="30"/>
      <w:szCs w:val="44"/>
    </w:rPr>
  </w:style>
  <w:style w:type="character" w:customStyle="1" w:styleId="696">
    <w:name w:val="样式 标题 1h1H1PIM 1标书11.标题 1Section HeadHeader11st levell1...1 Char"/>
    <w:link w:val="695"/>
    <w:autoRedefine/>
    <w:qFormat/>
    <w:uiPriority w:val="0"/>
    <w:rPr>
      <w:rFonts w:ascii="Calibri" w:hAnsi="Calibri" w:eastAsia="黑体" w:cs="宋体"/>
      <w:b/>
      <w:bCs/>
      <w:kern w:val="44"/>
      <w:sz w:val="30"/>
      <w:szCs w:val="44"/>
    </w:rPr>
  </w:style>
  <w:style w:type="character" w:customStyle="1" w:styleId="697">
    <w:name w:val="p141"/>
    <w:autoRedefine/>
    <w:qFormat/>
    <w:uiPriority w:val="0"/>
    <w:rPr>
      <w:rFonts w:eastAsia="宋体"/>
      <w:b/>
      <w:bCs/>
      <w:color w:val="FF9900"/>
      <w:kern w:val="2"/>
      <w:sz w:val="20"/>
      <w:szCs w:val="20"/>
      <w:lang w:val="en-US" w:eastAsia="zh-CN" w:bidi="ar-SA"/>
    </w:rPr>
  </w:style>
  <w:style w:type="character" w:customStyle="1" w:styleId="698">
    <w:name w:val="font141"/>
    <w:autoRedefine/>
    <w:qFormat/>
    <w:uiPriority w:val="0"/>
    <w:rPr>
      <w:rFonts w:hint="default" w:eastAsia="宋体"/>
      <w:color w:val="000000"/>
      <w:kern w:val="2"/>
      <w:sz w:val="18"/>
      <w:szCs w:val="28"/>
      <w:lang w:val="en-US" w:eastAsia="zh-CN" w:bidi="ar-SA"/>
    </w:rPr>
  </w:style>
  <w:style w:type="character" w:customStyle="1" w:styleId="699">
    <w:name w:val="标题1 Char"/>
    <w:autoRedefine/>
    <w:qFormat/>
    <w:uiPriority w:val="0"/>
    <w:rPr>
      <w:rFonts w:ascii="黑体" w:eastAsia="宋体"/>
      <w:b/>
      <w:kern w:val="44"/>
      <w:sz w:val="28"/>
      <w:szCs w:val="28"/>
      <w:lang w:val="en-US" w:eastAsia="zh-CN" w:bidi="ar-SA"/>
    </w:rPr>
  </w:style>
  <w:style w:type="character" w:customStyle="1" w:styleId="700">
    <w:name w:val="text"/>
    <w:autoRedefine/>
    <w:qFormat/>
    <w:uiPriority w:val="0"/>
    <w:rPr>
      <w:rFonts w:eastAsia="宋体"/>
      <w:kern w:val="2"/>
      <w:sz w:val="28"/>
      <w:szCs w:val="28"/>
      <w:lang w:val="en-US" w:eastAsia="zh-CN" w:bidi="ar-SA"/>
    </w:rPr>
  </w:style>
  <w:style w:type="paragraph" w:customStyle="1" w:styleId="701">
    <w:name w:val="小四居中行1"/>
    <w:basedOn w:val="1"/>
    <w:autoRedefine/>
    <w:qFormat/>
    <w:uiPriority w:val="0"/>
    <w:pPr>
      <w:ind w:left="140"/>
      <w:jc w:val="center"/>
    </w:pPr>
    <w:rPr>
      <w:rFonts w:ascii="宋体" w:hAnsi="宋体" w:eastAsia="仿宋_GB2312" w:cs="宋体"/>
      <w:sz w:val="24"/>
    </w:rPr>
  </w:style>
  <w:style w:type="paragraph" w:customStyle="1" w:styleId="702">
    <w:name w:val="小4仿宋居中行1"/>
    <w:autoRedefine/>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703">
    <w:name w:val="样式 表格标题 + 段前: 0.5 行"/>
    <w:basedOn w:val="9"/>
    <w:autoRedefine/>
    <w:qFormat/>
    <w:uiPriority w:val="0"/>
    <w:pPr>
      <w:autoSpaceDE w:val="0"/>
      <w:autoSpaceDN w:val="0"/>
      <w:snapToGrid/>
      <w:spacing w:before="120" w:line="400" w:lineRule="exact"/>
      <w:ind w:firstLine="0" w:firstLineChars="0"/>
      <w:jc w:val="center"/>
    </w:pPr>
    <w:rPr>
      <w:rFonts w:ascii="宋体" w:hAnsi="Calibri" w:eastAsia="黑体" w:cs="宋体"/>
      <w:color w:val="auto"/>
      <w:sz w:val="24"/>
      <w:szCs w:val="20"/>
      <w:lang w:val="zh-CN"/>
    </w:rPr>
  </w:style>
  <w:style w:type="paragraph" w:customStyle="1" w:styleId="704">
    <w:name w:val="gb1"/>
    <w:basedOn w:val="1"/>
    <w:autoRedefine/>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宋体"/>
      <w:kern w:val="0"/>
      <w:sz w:val="24"/>
    </w:rPr>
  </w:style>
  <w:style w:type="paragraph" w:customStyle="1" w:styleId="705">
    <w:name w:val="公式"/>
    <w:autoRedefine/>
    <w:qFormat/>
    <w:uiPriority w:val="0"/>
    <w:pPr>
      <w:widowControl w:val="0"/>
      <w:jc w:val="center"/>
    </w:pPr>
    <w:rPr>
      <w:rFonts w:ascii="Times New Roman" w:hAnsi="Times New Roman" w:cs="Times New Roman" w:eastAsiaTheme="minorEastAsia"/>
      <w:position w:val="-36"/>
      <w:sz w:val="30"/>
      <w:lang w:val="en-US" w:eastAsia="zh-CN" w:bidi="ar-SA"/>
    </w:rPr>
  </w:style>
  <w:style w:type="paragraph" w:customStyle="1" w:styleId="706">
    <w:name w:val="小四居左"/>
    <w:autoRedefine/>
    <w:qFormat/>
    <w:uiPriority w:val="0"/>
    <w:pPr>
      <w:adjustRightInd w:val="0"/>
      <w:snapToGrid w:val="0"/>
    </w:pPr>
    <w:rPr>
      <w:rFonts w:ascii="Times New Roman" w:hAnsi="Times New Roman" w:eastAsia="仿宋_GB2312" w:cs="Times New Roman"/>
      <w:sz w:val="24"/>
      <w:lang w:val="en-US" w:eastAsia="zh-CN" w:bidi="ar-SA"/>
    </w:rPr>
  </w:style>
  <w:style w:type="paragraph" w:customStyle="1" w:styleId="707">
    <w:name w:val="样式 标题 2节 + (符号) Arial Black 小四"/>
    <w:basedOn w:val="5"/>
    <w:autoRedefine/>
    <w:qFormat/>
    <w:uiPriority w:val="0"/>
    <w:pPr>
      <w:spacing w:before="0" w:after="0" w:line="360" w:lineRule="auto"/>
    </w:pPr>
    <w:rPr>
      <w:rFonts w:ascii="宋体" w:hAnsi="Arial Black" w:eastAsia="仿宋_GB2312" w:cs="宋体"/>
      <w:b w:val="0"/>
      <w:bCs w:val="0"/>
      <w:kern w:val="21"/>
      <w:sz w:val="28"/>
      <w:szCs w:val="20"/>
    </w:rPr>
  </w:style>
  <w:style w:type="paragraph" w:customStyle="1" w:styleId="708">
    <w:name w:val="样式 标题 1 + 加粗"/>
    <w:basedOn w:val="3"/>
    <w:autoRedefine/>
    <w:qFormat/>
    <w:uiPriority w:val="0"/>
    <w:pPr>
      <w:keepLines/>
      <w:widowControl w:val="0"/>
      <w:numPr>
        <w:numId w:val="0"/>
      </w:numPr>
      <w:tabs>
        <w:tab w:val="left" w:pos="1400"/>
      </w:tabs>
      <w:ind w:left="1400" w:hanging="420"/>
      <w:jc w:val="both"/>
    </w:pPr>
    <w:rPr>
      <w:rFonts w:ascii="黑体" w:hAnsi="Arial Black" w:eastAsia="黑体"/>
      <w:kern w:val="44"/>
      <w:szCs w:val="20"/>
    </w:rPr>
  </w:style>
  <w:style w:type="paragraph" w:customStyle="1" w:styleId="709">
    <w:name w:val="样式 标题 2"/>
    <w:basedOn w:val="5"/>
    <w:autoRedefine/>
    <w:qFormat/>
    <w:uiPriority w:val="0"/>
    <w:pPr>
      <w:spacing w:before="0" w:after="0" w:line="360" w:lineRule="auto"/>
    </w:pPr>
    <w:rPr>
      <w:rFonts w:ascii="仿宋_GB2312" w:hAnsi="仿宋_GB2312" w:eastAsia="仿宋_GB2312" w:cs="宋体"/>
      <w:b w:val="0"/>
      <w:bCs w:val="0"/>
      <w:kern w:val="21"/>
      <w:sz w:val="28"/>
      <w:szCs w:val="20"/>
    </w:rPr>
  </w:style>
  <w:style w:type="paragraph" w:customStyle="1" w:styleId="710">
    <w:name w:val="表格标题1"/>
    <w:basedOn w:val="66"/>
    <w:autoRedefine/>
    <w:qFormat/>
    <w:uiPriority w:val="0"/>
    <w:pPr>
      <w:spacing w:before="50" w:line="400" w:lineRule="exact"/>
      <w:ind w:left="0" w:firstLine="0" w:firstLineChars="0"/>
      <w:contextualSpacing w:val="0"/>
      <w:jc w:val="center"/>
    </w:pPr>
    <w:rPr>
      <w:rFonts w:ascii="黑体" w:hAnsi="宋体" w:eastAsia="黑体" w:cs="宋体"/>
      <w:sz w:val="24"/>
    </w:rPr>
  </w:style>
  <w:style w:type="paragraph" w:customStyle="1" w:styleId="711">
    <w:name w:val="图框文"/>
    <w:basedOn w:val="1"/>
    <w:autoRedefine/>
    <w:qFormat/>
    <w:uiPriority w:val="0"/>
    <w:pPr>
      <w:kinsoku w:val="0"/>
      <w:wordWrap w:val="0"/>
      <w:overflowPunct w:val="0"/>
      <w:autoSpaceDE w:val="0"/>
      <w:autoSpaceDN w:val="0"/>
      <w:spacing w:line="0" w:lineRule="atLeast"/>
      <w:jc w:val="center"/>
    </w:pPr>
    <w:rPr>
      <w:rFonts w:ascii="仿宋_GB2312" w:hAnsi="宋体" w:eastAsia="仿宋_GB2312" w:cs="宋体"/>
      <w:sz w:val="24"/>
    </w:rPr>
  </w:style>
  <w:style w:type="paragraph" w:customStyle="1" w:styleId="712">
    <w:name w:val="样式 样式 表格标题 + 段前: 0.5 行 + 段前: 0.5 行1"/>
    <w:basedOn w:val="1"/>
    <w:autoRedefine/>
    <w:qFormat/>
    <w:uiPriority w:val="0"/>
    <w:pPr>
      <w:tabs>
        <w:tab w:val="left" w:pos="6480"/>
      </w:tabs>
      <w:autoSpaceDE w:val="0"/>
      <w:autoSpaceDN w:val="0"/>
      <w:adjustRightInd w:val="0"/>
      <w:spacing w:before="156" w:line="400" w:lineRule="exact"/>
      <w:jc w:val="center"/>
    </w:pPr>
    <w:rPr>
      <w:rFonts w:ascii="宋体" w:hAnsi="宋体" w:cs="宋体"/>
      <w:sz w:val="28"/>
      <w:lang w:val="zh-CN"/>
    </w:rPr>
  </w:style>
  <w:style w:type="paragraph" w:customStyle="1" w:styleId="713">
    <w:name w:val="xl45"/>
    <w:basedOn w:val="1"/>
    <w:autoRedefine/>
    <w:qFormat/>
    <w:uiPriority w:val="0"/>
    <w:pPr>
      <w:widowControl/>
      <w:pBdr>
        <w:left w:val="single" w:color="auto" w:sz="4" w:space="0"/>
        <w:bottom w:val="single" w:color="auto" w:sz="4" w:space="0"/>
      </w:pBdr>
      <w:spacing w:before="100" w:after="100"/>
      <w:jc w:val="center"/>
    </w:pPr>
    <w:rPr>
      <w:rFonts w:hint="eastAsia" w:ascii="宋体" w:hAnsi="宋体" w:cs="宋体"/>
      <w:kern w:val="0"/>
      <w:sz w:val="24"/>
    </w:rPr>
  </w:style>
  <w:style w:type="paragraph" w:customStyle="1" w:styleId="714">
    <w:name w:val="小五表文"/>
    <w:autoRedefine/>
    <w:qFormat/>
    <w:uiPriority w:val="0"/>
    <w:pPr>
      <w:widowControl w:val="0"/>
      <w:jc w:val="center"/>
    </w:pPr>
    <w:rPr>
      <w:rFonts w:ascii="Times New Roman" w:hAnsi="Times New Roman" w:cs="Times New Roman" w:eastAsiaTheme="minorEastAsia"/>
      <w:sz w:val="21"/>
      <w:lang w:val="en-US" w:eastAsia="zh-CN" w:bidi="ar-SA"/>
    </w:rPr>
  </w:style>
  <w:style w:type="paragraph" w:customStyle="1" w:styleId="715">
    <w:name w:val="PP 行"/>
    <w:basedOn w:val="58"/>
    <w:autoRedefine/>
    <w:qFormat/>
    <w:uiPriority w:val="0"/>
    <w:pPr>
      <w:widowControl w:val="0"/>
      <w:jc w:val="both"/>
    </w:pPr>
    <w:rPr>
      <w:kern w:val="2"/>
      <w:sz w:val="21"/>
    </w:rPr>
  </w:style>
  <w:style w:type="paragraph" w:customStyle="1" w:styleId="716">
    <w:name w:val="表中"/>
    <w:basedOn w:val="1"/>
    <w:autoRedefine/>
    <w:qFormat/>
    <w:uiPriority w:val="0"/>
    <w:pPr>
      <w:jc w:val="center"/>
    </w:pPr>
    <w:rPr>
      <w:rFonts w:hint="eastAsia" w:ascii="宋体" w:hAnsi="宋体" w:cs="宋体"/>
      <w:lang w:val="en-GB"/>
    </w:rPr>
  </w:style>
  <w:style w:type="paragraph" w:customStyle="1" w:styleId="717">
    <w:name w:val="內文1階"/>
    <w:basedOn w:val="1"/>
    <w:autoRedefine/>
    <w:qFormat/>
    <w:uiPriority w:val="0"/>
    <w:pPr>
      <w:tabs>
        <w:tab w:val="left" w:pos="425"/>
        <w:tab w:val="left" w:pos="680"/>
      </w:tabs>
      <w:ind w:left="680" w:hanging="680"/>
      <w:jc w:val="left"/>
    </w:pPr>
    <w:rPr>
      <w:rFonts w:ascii="宋体" w:hAnsi="宋体" w:eastAsia="PMingLiU" w:cs="宋体"/>
      <w:sz w:val="24"/>
      <w:lang w:eastAsia="zh-TW"/>
    </w:rPr>
  </w:style>
  <w:style w:type="paragraph" w:customStyle="1" w:styleId="718">
    <w:name w:val="小四宋左齐1.5"/>
    <w:basedOn w:val="1"/>
    <w:autoRedefine/>
    <w:qFormat/>
    <w:uiPriority w:val="0"/>
    <w:pPr>
      <w:spacing w:line="360" w:lineRule="auto"/>
      <w:jc w:val="center"/>
    </w:pPr>
    <w:rPr>
      <w:rFonts w:ascii="宋体" w:hAnsi="宋体" w:cs="宋体"/>
      <w:sz w:val="18"/>
    </w:rPr>
  </w:style>
  <w:style w:type="paragraph" w:customStyle="1" w:styleId="719">
    <w:name w:val="5号表文"/>
    <w:autoRedefine/>
    <w:qFormat/>
    <w:uiPriority w:val="0"/>
    <w:pPr>
      <w:kinsoku w:val="0"/>
      <w:jc w:val="both"/>
    </w:pPr>
    <w:rPr>
      <w:rFonts w:ascii="Times New Roman" w:hAnsi="Times New Roman" w:cs="Times New Roman" w:eastAsiaTheme="minorEastAsia"/>
      <w:snapToGrid w:val="0"/>
      <w:sz w:val="21"/>
      <w:lang w:val="en-US" w:eastAsia="zh-CN" w:bidi="ar-SA"/>
    </w:rPr>
  </w:style>
  <w:style w:type="paragraph" w:customStyle="1" w:styleId="720">
    <w:name w:val="样式 表格文字 + 仿宋_GB2312"/>
    <w:basedOn w:val="201"/>
    <w:autoRedefine/>
    <w:qFormat/>
    <w:uiPriority w:val="0"/>
    <w:pPr>
      <w:widowControl w:val="0"/>
      <w:tabs>
        <w:tab w:val="left" w:pos="-66"/>
        <w:tab w:val="left" w:pos="425"/>
        <w:tab w:val="left" w:pos="600"/>
        <w:tab w:val="left" w:pos="2100"/>
      </w:tabs>
      <w:adjustRightInd w:val="0"/>
      <w:spacing w:line="400" w:lineRule="exact"/>
      <w:ind w:firstLine="57"/>
      <w:textAlignment w:val="baseline"/>
    </w:pPr>
    <w:rPr>
      <w:rFonts w:hAnsi="Times New Roman"/>
      <w:kern w:val="0"/>
      <w:sz w:val="21"/>
    </w:rPr>
  </w:style>
  <w:style w:type="paragraph" w:customStyle="1" w:styleId="721">
    <w:name w:val="样式 报告书表格 + 仿宋_GB2312"/>
    <w:basedOn w:val="302"/>
    <w:autoRedefine/>
    <w:qFormat/>
    <w:uiPriority w:val="0"/>
    <w:pPr>
      <w:spacing w:before="0" w:after="0" w:line="360" w:lineRule="exact"/>
      <w:ind w:firstLine="480" w:firstLineChars="200"/>
    </w:pPr>
    <w:rPr>
      <w:rFonts w:ascii="仿宋_GB2312"/>
      <w:color w:val="000000"/>
      <w:kern w:val="0"/>
      <w:szCs w:val="21"/>
    </w:rPr>
  </w:style>
  <w:style w:type="paragraph" w:customStyle="1" w:styleId="722">
    <w:name w:val="样式 (西文) 宋体"/>
    <w:basedOn w:val="1"/>
    <w:autoRedefine/>
    <w:qFormat/>
    <w:uiPriority w:val="0"/>
    <w:pPr>
      <w:spacing w:line="500" w:lineRule="exact"/>
      <w:ind w:firstLine="560" w:firstLineChars="200"/>
    </w:pPr>
    <w:rPr>
      <w:rFonts w:ascii="宋体" w:hAnsi="宋体" w:eastAsia="仿宋_GB2312" w:cs="宋体"/>
      <w:sz w:val="28"/>
    </w:rPr>
  </w:style>
  <w:style w:type="paragraph" w:customStyle="1" w:styleId="723">
    <w:name w:val="样式 标题 1H1Section HeadHeader1h11st levell1Heading 0Fab-1..."/>
    <w:basedOn w:val="3"/>
    <w:autoRedefine/>
    <w:qFormat/>
    <w:uiPriority w:val="0"/>
    <w:pPr>
      <w:keepLines/>
      <w:widowControl w:val="0"/>
      <w:numPr>
        <w:numId w:val="0"/>
      </w:numPr>
      <w:spacing w:before="340" w:after="330" w:line="498" w:lineRule="exact"/>
      <w:jc w:val="both"/>
    </w:pPr>
    <w:rPr>
      <w:rFonts w:ascii="黑体" w:eastAsia="黑体"/>
      <w:b/>
      <w:bCs/>
      <w:kern w:val="44"/>
      <w:szCs w:val="20"/>
    </w:rPr>
  </w:style>
  <w:style w:type="paragraph" w:customStyle="1" w:styleId="724">
    <w:name w:val="表后文"/>
    <w:basedOn w:val="1"/>
    <w:autoRedefine/>
    <w:qFormat/>
    <w:uiPriority w:val="0"/>
    <w:pPr>
      <w:adjustRightInd w:val="0"/>
      <w:spacing w:before="120" w:line="400" w:lineRule="exact"/>
      <w:ind w:firstLine="601"/>
      <w:textAlignment w:val="baseline"/>
    </w:pPr>
    <w:rPr>
      <w:rFonts w:ascii="宋体" w:hAnsi="宋体" w:eastAsia="KaiTi_GB2312" w:cs="宋体"/>
      <w:spacing w:val="8"/>
      <w:kern w:val="0"/>
      <w:sz w:val="28"/>
    </w:rPr>
  </w:style>
  <w:style w:type="paragraph" w:customStyle="1" w:styleId="725">
    <w:name w:val="表头文字"/>
    <w:basedOn w:val="1"/>
    <w:autoRedefine/>
    <w:qFormat/>
    <w:uiPriority w:val="0"/>
    <w:pPr>
      <w:topLinePunct/>
      <w:spacing w:before="60" w:after="60"/>
      <w:jc w:val="center"/>
    </w:pPr>
    <w:rPr>
      <w:rFonts w:ascii="宋体" w:hAnsi="宋体" w:cs="宋体"/>
    </w:rPr>
  </w:style>
  <w:style w:type="paragraph" w:customStyle="1" w:styleId="726">
    <w:name w:val="xl6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Cs w:val="21"/>
    </w:rPr>
  </w:style>
  <w:style w:type="paragraph" w:customStyle="1" w:styleId="727">
    <w:name w:val="样式 正文缩进文本条款表格标题正文（首行缩进两字） Char Char Char Char Char Char Char ..."/>
    <w:basedOn w:val="9"/>
    <w:autoRedefine/>
    <w:qFormat/>
    <w:uiPriority w:val="0"/>
    <w:pPr>
      <w:spacing w:line="460" w:lineRule="exact"/>
    </w:pPr>
    <w:rPr>
      <w:rFonts w:ascii="宋体" w:hAnsi="Calibri" w:eastAsia="宋体" w:cs="宋体"/>
      <w:color w:val="auto"/>
      <w:szCs w:val="20"/>
    </w:rPr>
  </w:style>
  <w:style w:type="paragraph" w:customStyle="1" w:styleId="728">
    <w:name w:val="样式 样式7 + 左侧:  4 字符"/>
    <w:basedOn w:val="519"/>
    <w:autoRedefine/>
    <w:qFormat/>
    <w:uiPriority w:val="0"/>
    <w:pPr>
      <w:keepNext w:val="0"/>
      <w:keepLines w:val="0"/>
      <w:tabs>
        <w:tab w:val="right" w:leader="dot" w:pos="8296"/>
        <w:tab w:val="clear" w:pos="2040"/>
      </w:tabs>
      <w:spacing w:beforeLines="0" w:afterLines="0" w:line="240" w:lineRule="auto"/>
      <w:ind w:left="200" w:leftChars="200" w:firstLine="0" w:firstLineChars="0"/>
      <w:jc w:val="center"/>
      <w:outlineLvl w:val="9"/>
    </w:pPr>
    <w:rPr>
      <w:rFonts w:ascii="宋体" w:hAnsi="宋体" w:eastAsia="宋体"/>
      <w:color w:val="auto"/>
      <w:kern w:val="2"/>
      <w:sz w:val="21"/>
      <w:szCs w:val="20"/>
    </w:rPr>
  </w:style>
  <w:style w:type="paragraph" w:customStyle="1" w:styleId="729">
    <w:name w:val="样式 目录 2 + 左侧:  2 字符"/>
    <w:basedOn w:val="74"/>
    <w:autoRedefine/>
    <w:qFormat/>
    <w:uiPriority w:val="0"/>
    <w:pPr>
      <w:widowControl w:val="0"/>
      <w:tabs>
        <w:tab w:val="right" w:leader="dot" w:pos="8296"/>
        <w:tab w:val="right" w:leader="dot" w:pos="9061"/>
      </w:tabs>
      <w:adjustRightInd w:val="0"/>
      <w:snapToGrid w:val="0"/>
      <w:jc w:val="center"/>
    </w:pPr>
    <w:rPr>
      <w:kern w:val="2"/>
      <w:sz w:val="21"/>
      <w:szCs w:val="21"/>
    </w:rPr>
  </w:style>
  <w:style w:type="paragraph" w:customStyle="1" w:styleId="730">
    <w:name w:val="表前文字"/>
    <w:basedOn w:val="1"/>
    <w:autoRedefine/>
    <w:qFormat/>
    <w:uiPriority w:val="0"/>
    <w:pPr>
      <w:spacing w:line="400" w:lineRule="exact"/>
      <w:ind w:right="-84" w:rightChars="-40"/>
      <w:jc w:val="center"/>
    </w:pPr>
    <w:rPr>
      <w:rFonts w:ascii="宋体" w:hAnsi="宋体" w:cs="宋体"/>
      <w:kern w:val="0"/>
      <w:szCs w:val="21"/>
    </w:rPr>
  </w:style>
  <w:style w:type="paragraph" w:customStyle="1" w:styleId="731">
    <w:name w:val="表头四号 + 段前: 0.5 行 + 段前: 0.5 行"/>
    <w:basedOn w:val="1"/>
    <w:autoRedefine/>
    <w:qFormat/>
    <w:uiPriority w:val="0"/>
    <w:pPr>
      <w:adjustRightInd w:val="0"/>
      <w:snapToGrid w:val="0"/>
      <w:spacing w:beforeLines="25" w:line="500" w:lineRule="atLeast"/>
    </w:pPr>
    <w:rPr>
      <w:rFonts w:ascii="宋体" w:hAnsi="宋体" w:cs="宋体"/>
      <w:b/>
      <w:bCs/>
      <w:sz w:val="28"/>
    </w:rPr>
  </w:style>
  <w:style w:type="paragraph" w:customStyle="1" w:styleId="732">
    <w:name w:val="样式 标题 3 + 黑体 小四 左侧:  0.86 厘米 首行缩进:  0 厘米"/>
    <w:basedOn w:val="5"/>
    <w:autoRedefine/>
    <w:qFormat/>
    <w:uiPriority w:val="0"/>
    <w:pPr>
      <w:keepLines w:val="0"/>
      <w:spacing w:before="0" w:after="0" w:line="360" w:lineRule="auto"/>
      <w:jc w:val="left"/>
    </w:pPr>
    <w:rPr>
      <w:rFonts w:ascii="黑体" w:hAnsi="Calibri" w:eastAsia="黑体" w:cs="宋体"/>
      <w:b w:val="0"/>
      <w:color w:val="000000"/>
      <w:sz w:val="24"/>
      <w:szCs w:val="24"/>
      <w:lang w:val="en-GB"/>
    </w:rPr>
  </w:style>
  <w:style w:type="paragraph" w:customStyle="1" w:styleId="733">
    <w:name w:val="样式8"/>
    <w:basedOn w:val="57"/>
    <w:autoRedefine/>
    <w:qFormat/>
    <w:uiPriority w:val="0"/>
    <w:pPr>
      <w:pBdr>
        <w:bottom w:val="single" w:color="auto" w:sz="4" w:space="1"/>
      </w:pBdr>
      <w:spacing w:line="240" w:lineRule="atLeast"/>
    </w:pPr>
    <w:rPr>
      <w:rFonts w:ascii="华文新魏" w:hAnsi="宋体" w:eastAsia="华文新魏" w:cs="宋体"/>
      <w:kern w:val="0"/>
    </w:rPr>
  </w:style>
  <w:style w:type="paragraph" w:customStyle="1" w:styleId="734">
    <w:name w:val="样式9"/>
    <w:basedOn w:val="74"/>
    <w:autoRedefine/>
    <w:qFormat/>
    <w:uiPriority w:val="0"/>
    <w:pPr>
      <w:widowControl w:val="0"/>
      <w:tabs>
        <w:tab w:val="right" w:leader="dot" w:pos="8100"/>
        <w:tab w:val="right" w:leader="dot" w:pos="8400"/>
        <w:tab w:val="right" w:leader="dot" w:pos="9061"/>
      </w:tabs>
      <w:adjustRightInd w:val="0"/>
      <w:snapToGrid w:val="0"/>
      <w:spacing w:line="400" w:lineRule="exact"/>
      <w:ind w:left="600" w:leftChars="600" w:right="100" w:rightChars="100"/>
      <w:jc w:val="center"/>
    </w:pPr>
    <w:rPr>
      <w:kern w:val="2"/>
      <w:sz w:val="21"/>
      <w:szCs w:val="28"/>
    </w:rPr>
  </w:style>
  <w:style w:type="paragraph" w:customStyle="1" w:styleId="735">
    <w:name w:val="样式10"/>
    <w:basedOn w:val="74"/>
    <w:autoRedefine/>
    <w:qFormat/>
    <w:uiPriority w:val="0"/>
    <w:pPr>
      <w:widowControl w:val="0"/>
      <w:tabs>
        <w:tab w:val="right" w:leader="dot" w:pos="8100"/>
        <w:tab w:val="right" w:leader="dot" w:pos="8400"/>
        <w:tab w:val="right" w:leader="dot" w:pos="9061"/>
      </w:tabs>
      <w:adjustRightInd w:val="0"/>
      <w:snapToGrid w:val="0"/>
      <w:spacing w:line="400" w:lineRule="exact"/>
      <w:ind w:left="400" w:leftChars="400" w:right="100" w:rightChars="100"/>
      <w:jc w:val="center"/>
    </w:pPr>
    <w:rPr>
      <w:kern w:val="2"/>
      <w:sz w:val="21"/>
      <w:szCs w:val="28"/>
    </w:rPr>
  </w:style>
  <w:style w:type="paragraph" w:customStyle="1" w:styleId="736">
    <w:name w:val="字元"/>
    <w:basedOn w:val="1"/>
    <w:autoRedefine/>
    <w:qFormat/>
    <w:uiPriority w:val="0"/>
    <w:rPr>
      <w:rFonts w:ascii="宋体" w:hAnsi="宋体" w:cs="宋体"/>
      <w:szCs w:val="21"/>
    </w:rPr>
  </w:style>
  <w:style w:type="paragraph" w:customStyle="1" w:styleId="737">
    <w:name w:val="字元 字元"/>
    <w:basedOn w:val="1"/>
    <w:autoRedefine/>
    <w:qFormat/>
    <w:uiPriority w:val="0"/>
    <w:rPr>
      <w:rFonts w:ascii="宋体" w:hAnsi="宋体" w:cs="宋体"/>
      <w:szCs w:val="21"/>
    </w:rPr>
  </w:style>
  <w:style w:type="paragraph" w:customStyle="1" w:styleId="738">
    <w:name w:val="Char Char Char1 Char Char Char1 Char"/>
    <w:basedOn w:val="1"/>
    <w:autoRedefine/>
    <w:qFormat/>
    <w:uiPriority w:val="0"/>
    <w:pPr>
      <w:ind w:firstLine="200" w:firstLineChars="200"/>
    </w:pPr>
    <w:rPr>
      <w:rFonts w:ascii="宋体" w:hAnsi="宋体" w:cs="宋体"/>
      <w:sz w:val="28"/>
      <w:szCs w:val="28"/>
    </w:rPr>
  </w:style>
  <w:style w:type="paragraph" w:customStyle="1" w:styleId="739">
    <w:name w:val="字元 字元 字元"/>
    <w:basedOn w:val="1"/>
    <w:autoRedefine/>
    <w:qFormat/>
    <w:uiPriority w:val="0"/>
    <w:rPr>
      <w:rFonts w:ascii="宋体" w:hAnsi="宋体" w:cs="宋体"/>
      <w:szCs w:val="21"/>
    </w:rPr>
  </w:style>
  <w:style w:type="paragraph" w:customStyle="1" w:styleId="740">
    <w:name w:val="样式 样式 正文文本缩进正文文字缩进正文文字 21正文文字( 首段缩进两字） + (中文) 宋体 五号 居中 行距: 固定......"/>
    <w:basedOn w:val="682"/>
    <w:autoRedefine/>
    <w:qFormat/>
    <w:uiPriority w:val="0"/>
    <w:rPr>
      <w:rFonts w:ascii="宋体"/>
      <w:szCs w:val="20"/>
    </w:rPr>
  </w:style>
  <w:style w:type="paragraph" w:customStyle="1" w:styleId="741">
    <w:name w:val="样式 表格文字 + (中文) 宋体"/>
    <w:basedOn w:val="201"/>
    <w:link w:val="742"/>
    <w:autoRedefine/>
    <w:qFormat/>
    <w:uiPriority w:val="0"/>
    <w:pPr>
      <w:widowControl w:val="0"/>
      <w:tabs>
        <w:tab w:val="left" w:pos="-66"/>
        <w:tab w:val="left" w:pos="425"/>
        <w:tab w:val="left" w:pos="600"/>
        <w:tab w:val="left" w:pos="2100"/>
      </w:tabs>
      <w:adjustRightInd w:val="0"/>
      <w:spacing w:line="400" w:lineRule="exact"/>
      <w:textAlignment w:val="baseline"/>
    </w:pPr>
    <w:rPr>
      <w:rFonts w:eastAsia="宋体"/>
      <w:sz w:val="21"/>
      <w:szCs w:val="21"/>
    </w:rPr>
  </w:style>
  <w:style w:type="character" w:customStyle="1" w:styleId="742">
    <w:name w:val="样式 表格文字 + (中文) 宋体 Char"/>
    <w:link w:val="741"/>
    <w:autoRedefine/>
    <w:qFormat/>
    <w:uiPriority w:val="0"/>
    <w:rPr>
      <w:rFonts w:ascii="仿宋_GB2312" w:hAnsi="Arial Black"/>
      <w:kern w:val="44"/>
      <w:sz w:val="21"/>
      <w:szCs w:val="21"/>
    </w:rPr>
  </w:style>
  <w:style w:type="paragraph" w:customStyle="1" w:styleId="743">
    <w:name w:val="样式 标题 2节第一章 标题 2Heading 2 HiddenHeading 2 CCBSheading 2H2..."/>
    <w:basedOn w:val="4"/>
    <w:autoRedefine/>
    <w:qFormat/>
    <w:uiPriority w:val="0"/>
    <w:pPr>
      <w:widowControl w:val="0"/>
      <w:tabs>
        <w:tab w:val="clear" w:pos="1276"/>
      </w:tabs>
      <w:spacing w:before="120" w:after="120" w:line="500" w:lineRule="exact"/>
      <w:ind w:left="0" w:firstLine="0"/>
      <w:jc w:val="both"/>
    </w:pPr>
    <w:rPr>
      <w:rFonts w:ascii="Calibri" w:hAnsi="Calibri" w:cs="宋体"/>
      <w:b/>
      <w:bCs/>
      <w:kern w:val="2"/>
      <w:sz w:val="28"/>
      <w:szCs w:val="24"/>
    </w:rPr>
  </w:style>
  <w:style w:type="paragraph" w:customStyle="1" w:styleId="744">
    <w:name w:val="Char Char Char Char Char Char Char Char Char1 Char Char Char Char1"/>
    <w:basedOn w:val="1"/>
    <w:autoRedefine/>
    <w:qFormat/>
    <w:uiPriority w:val="0"/>
    <w:pPr>
      <w:spacing w:line="400" w:lineRule="exact"/>
    </w:pPr>
    <w:rPr>
      <w:rFonts w:ascii="宋体" w:hAnsi="宋体" w:cs="宋体"/>
      <w:szCs w:val="21"/>
    </w:rPr>
  </w:style>
  <w:style w:type="paragraph" w:customStyle="1" w:styleId="745">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46">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宋体" w:hAnsi="宋体" w:cs="宋体"/>
      <w:kern w:val="0"/>
      <w:sz w:val="28"/>
    </w:rPr>
  </w:style>
  <w:style w:type="paragraph" w:customStyle="1" w:styleId="747">
    <w:name w:val="样式 标题 3标题 3 Char Char + (西文) Times New Roman (中文) 仿宋_GB2312 加..."/>
    <w:basedOn w:val="5"/>
    <w:autoRedefine/>
    <w:qFormat/>
    <w:uiPriority w:val="0"/>
    <w:pPr>
      <w:spacing w:before="120" w:after="120" w:line="498" w:lineRule="exact"/>
    </w:pPr>
    <w:rPr>
      <w:rFonts w:ascii="Calibri" w:hAnsi="Calibri" w:cs="宋体"/>
      <w:sz w:val="28"/>
      <w:szCs w:val="20"/>
    </w:rPr>
  </w:style>
  <w:style w:type="paragraph" w:customStyle="1" w:styleId="748">
    <w:name w:val="样式 标题 2H2（一）Underrubrik1prop2Heading 2 HiddenHeading 2 CCB..."/>
    <w:basedOn w:val="4"/>
    <w:autoRedefine/>
    <w:qFormat/>
    <w:uiPriority w:val="0"/>
    <w:pPr>
      <w:widowControl w:val="0"/>
      <w:tabs>
        <w:tab w:val="clear" w:pos="1276"/>
      </w:tabs>
      <w:spacing w:before="200" w:after="200" w:line="498" w:lineRule="exact"/>
      <w:ind w:left="0" w:firstLine="0"/>
      <w:jc w:val="both"/>
    </w:pPr>
    <w:rPr>
      <w:rFonts w:ascii="Calibri" w:hAnsi="Calibri" w:cs="宋体"/>
      <w:b/>
      <w:bCs/>
      <w:kern w:val="2"/>
      <w:sz w:val="28"/>
      <w:szCs w:val="28"/>
    </w:rPr>
  </w:style>
  <w:style w:type="character" w:customStyle="1" w:styleId="749">
    <w:name w:val="s c c"/>
    <w:autoRedefine/>
    <w:qFormat/>
    <w:uiPriority w:val="0"/>
    <w:rPr>
      <w:rFonts w:eastAsia="宋体"/>
      <w:kern w:val="2"/>
      <w:sz w:val="21"/>
      <w:szCs w:val="21"/>
      <w:lang w:val="en-US" w:eastAsia="zh-CN" w:bidi="ar-SA"/>
    </w:rPr>
  </w:style>
  <w:style w:type="paragraph" w:customStyle="1" w:styleId="750">
    <w:name w:val="正文文字 3"/>
    <w:basedOn w:val="1"/>
    <w:autoRedefine/>
    <w:qFormat/>
    <w:uiPriority w:val="0"/>
    <w:rPr>
      <w:rFonts w:ascii="宋体" w:hAnsi="宋体" w:cs="宋体"/>
      <w:szCs w:val="21"/>
    </w:rPr>
  </w:style>
  <w:style w:type="paragraph" w:customStyle="1" w:styleId="751">
    <w:name w:val="CM27"/>
    <w:basedOn w:val="1"/>
    <w:next w:val="1"/>
    <w:autoRedefine/>
    <w:qFormat/>
    <w:uiPriority w:val="0"/>
    <w:pPr>
      <w:autoSpaceDE w:val="0"/>
      <w:autoSpaceDN w:val="0"/>
      <w:adjustRightInd w:val="0"/>
      <w:spacing w:after="178"/>
      <w:jc w:val="left"/>
    </w:pPr>
    <w:rPr>
      <w:rFonts w:ascii="Li Super" w:hAnsi="宋体" w:eastAsia="Li Super" w:cs="宋体"/>
      <w:kern w:val="0"/>
      <w:sz w:val="24"/>
    </w:rPr>
  </w:style>
  <w:style w:type="paragraph" w:customStyle="1" w:styleId="752">
    <w:name w:val="CM32"/>
    <w:basedOn w:val="100"/>
    <w:next w:val="100"/>
    <w:autoRedefine/>
    <w:qFormat/>
    <w:uiPriority w:val="0"/>
    <w:pPr>
      <w:framePr w:wrap="around"/>
      <w:spacing w:after="230"/>
    </w:pPr>
    <w:rPr>
      <w:rFonts w:ascii="Li Super" w:eastAsia="Li Super"/>
    </w:rPr>
  </w:style>
  <w:style w:type="paragraph" w:customStyle="1" w:styleId="753">
    <w:name w:val="Char Char Char1 Char Char Char Char Char Char Char Char Char Char Char Char"/>
    <w:basedOn w:val="1"/>
    <w:autoRedefine/>
    <w:qFormat/>
    <w:uiPriority w:val="0"/>
    <w:rPr>
      <w:rFonts w:ascii="宋体" w:hAnsi="宋体" w:cs="宋体"/>
      <w:szCs w:val="21"/>
    </w:rPr>
  </w:style>
  <w:style w:type="paragraph" w:customStyle="1" w:styleId="754">
    <w:name w:val="环标2"/>
    <w:basedOn w:val="4"/>
    <w:autoRedefine/>
    <w:qFormat/>
    <w:uiPriority w:val="0"/>
    <w:pPr>
      <w:widowControl w:val="0"/>
      <w:tabs>
        <w:tab w:val="clear" w:pos="1276"/>
      </w:tabs>
      <w:adjustRightInd w:val="0"/>
      <w:spacing w:before="60" w:after="60" w:line="312" w:lineRule="atLeast"/>
      <w:ind w:left="0" w:firstLine="0"/>
      <w:textAlignment w:val="baseline"/>
    </w:pPr>
    <w:rPr>
      <w:rFonts w:ascii="黑体" w:eastAsia="黑体" w:cs="宋体"/>
      <w:sz w:val="28"/>
      <w:szCs w:val="24"/>
    </w:rPr>
  </w:style>
  <w:style w:type="character" w:customStyle="1" w:styleId="755">
    <w:name w:val="style21"/>
    <w:autoRedefine/>
    <w:qFormat/>
    <w:uiPriority w:val="0"/>
    <w:rPr>
      <w:rFonts w:eastAsia="宋体"/>
      <w:kern w:val="2"/>
      <w:sz w:val="18"/>
      <w:szCs w:val="18"/>
      <w:lang w:val="en-US" w:eastAsia="zh-CN" w:bidi="ar-SA"/>
    </w:rPr>
  </w:style>
  <w:style w:type="character" w:customStyle="1" w:styleId="756">
    <w:name w:val="f141"/>
    <w:autoRedefine/>
    <w:qFormat/>
    <w:uiPriority w:val="0"/>
    <w:rPr>
      <w:rFonts w:eastAsia="宋体"/>
      <w:kern w:val="2"/>
      <w:sz w:val="22"/>
      <w:szCs w:val="22"/>
      <w:lang w:val="en-US" w:eastAsia="zh-CN" w:bidi="ar-SA"/>
    </w:rPr>
  </w:style>
  <w:style w:type="paragraph" w:customStyle="1" w:styleId="757">
    <w:name w:val="默认段落字体 Para Char Char Char Char Char Char Char Char Char Char Char Char Char"/>
    <w:basedOn w:val="1"/>
    <w:autoRedefine/>
    <w:qFormat/>
    <w:uiPriority w:val="0"/>
    <w:rPr>
      <w:rFonts w:ascii="宋体" w:hAnsi="宋体" w:cs="宋体"/>
      <w:sz w:val="24"/>
    </w:rPr>
  </w:style>
  <w:style w:type="paragraph" w:customStyle="1" w:styleId="758">
    <w:name w:val="Char Char Char Char Char Char Char Char Char"/>
    <w:basedOn w:val="1"/>
    <w:autoRedefine/>
    <w:qFormat/>
    <w:uiPriority w:val="0"/>
    <w:rPr>
      <w:rFonts w:ascii="宋体" w:hAnsi="宋体" w:cs="宋体"/>
      <w:szCs w:val="21"/>
    </w:rPr>
  </w:style>
  <w:style w:type="paragraph" w:customStyle="1" w:styleId="759">
    <w:name w:val="Char6 Char Char Char1 Char Char Char"/>
    <w:basedOn w:val="1"/>
    <w:autoRedefine/>
    <w:qFormat/>
    <w:uiPriority w:val="0"/>
    <w:rPr>
      <w:rFonts w:ascii="宋体" w:hAnsi="宋体" w:cs="宋体"/>
      <w:szCs w:val="21"/>
    </w:rPr>
  </w:style>
  <w:style w:type="paragraph" w:customStyle="1" w:styleId="760">
    <w:name w:val="样式 宋体 首行缩进:  0.93 厘米 段前: 6 磅 段后: 6 磅 行距: 固定值 18 磅"/>
    <w:basedOn w:val="1"/>
    <w:autoRedefine/>
    <w:qFormat/>
    <w:uiPriority w:val="0"/>
    <w:pPr>
      <w:snapToGrid w:val="0"/>
      <w:spacing w:before="160" w:after="160" w:line="320" w:lineRule="exact"/>
      <w:ind w:firstLine="482"/>
    </w:pPr>
    <w:rPr>
      <w:rFonts w:ascii="宋体" w:hAnsi="宋体" w:cs="宋体"/>
      <w:sz w:val="24"/>
    </w:rPr>
  </w:style>
  <w:style w:type="paragraph" w:customStyle="1" w:styleId="761">
    <w:name w:val="样式 宋体 首行缩进:  0.93 厘米 段前: 6 磅 段后: 6 磅 行距: 固定值 16 磅"/>
    <w:basedOn w:val="1"/>
    <w:autoRedefine/>
    <w:qFormat/>
    <w:uiPriority w:val="0"/>
    <w:pPr>
      <w:snapToGrid w:val="0"/>
      <w:spacing w:before="160" w:after="160" w:line="320" w:lineRule="exact"/>
      <w:ind w:firstLine="527"/>
    </w:pPr>
    <w:rPr>
      <w:rFonts w:ascii="宋体" w:hAnsi="宋体" w:cs="宋体"/>
      <w:sz w:val="24"/>
    </w:rPr>
  </w:style>
  <w:style w:type="paragraph" w:customStyle="1" w:styleId="762">
    <w:name w:val="数据来源"/>
    <w:basedOn w:val="1"/>
    <w:autoRedefine/>
    <w:qFormat/>
    <w:uiPriority w:val="0"/>
    <w:pPr>
      <w:snapToGrid w:val="0"/>
      <w:spacing w:line="280" w:lineRule="exact"/>
    </w:pPr>
    <w:rPr>
      <w:rFonts w:ascii="宋体" w:hAnsi="宋体" w:eastAsia="KaiTi_GB2312" w:cs="宋体"/>
    </w:rPr>
  </w:style>
  <w:style w:type="paragraph" w:customStyle="1" w:styleId="763">
    <w:name w:val="a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4">
    <w:name w:val="样式 题注 + 首行缩进:  2 字符"/>
    <w:basedOn w:val="22"/>
    <w:autoRedefine/>
    <w:qFormat/>
    <w:uiPriority w:val="0"/>
    <w:pPr>
      <w:widowControl w:val="0"/>
      <w:spacing w:line="520" w:lineRule="exact"/>
      <w:jc w:val="center"/>
    </w:pPr>
    <w:rPr>
      <w:rFonts w:ascii="Arial" w:hAnsi="Arial"/>
      <w:kern w:val="2"/>
    </w:rPr>
  </w:style>
  <w:style w:type="character" w:customStyle="1" w:styleId="765">
    <w:name w:val="text31"/>
    <w:autoRedefine/>
    <w:qFormat/>
    <w:uiPriority w:val="0"/>
    <w:rPr>
      <w:rFonts w:hint="eastAsia" w:ascii="宋体" w:hAnsi="宋体" w:eastAsia="宋体"/>
      <w:color w:val="673434"/>
      <w:kern w:val="2"/>
      <w:sz w:val="22"/>
      <w:szCs w:val="22"/>
      <w:u w:val="none"/>
      <w:lang w:val="en-US" w:eastAsia="zh-CN" w:bidi="ar-SA"/>
    </w:rPr>
  </w:style>
  <w:style w:type="paragraph" w:customStyle="1" w:styleId="766">
    <w:name w:val="图框"/>
    <w:basedOn w:val="1"/>
    <w:autoRedefine/>
    <w:qFormat/>
    <w:uiPriority w:val="0"/>
    <w:pPr>
      <w:jc w:val="center"/>
    </w:pPr>
    <w:rPr>
      <w:rFonts w:ascii="宋体" w:hAnsi="宋体" w:cs="宋体"/>
      <w:szCs w:val="21"/>
    </w:rPr>
  </w:style>
  <w:style w:type="paragraph" w:customStyle="1" w:styleId="767">
    <w:name w:val="样式 样式 宋体 小四 行距: 1.5 倍行距 + 首行缩进:  2 字符 段前: 7.8 磅 段后: 7.8 磅"/>
    <w:basedOn w:val="1"/>
    <w:autoRedefine/>
    <w:qFormat/>
    <w:uiPriority w:val="0"/>
    <w:pPr>
      <w:snapToGrid w:val="0"/>
      <w:spacing w:beforeLines="50" w:afterLines="50" w:line="360" w:lineRule="auto"/>
      <w:ind w:firstLine="200" w:firstLineChars="200"/>
      <w:jc w:val="left"/>
    </w:pPr>
    <w:rPr>
      <w:rFonts w:ascii="宋体" w:hAnsi="宋体" w:cs="宋体"/>
      <w:sz w:val="24"/>
    </w:rPr>
  </w:style>
  <w:style w:type="paragraph" w:customStyle="1" w:styleId="768">
    <w:name w:val="样式 首行缩进:  2 字符 Char"/>
    <w:basedOn w:val="1"/>
    <w:autoRedefine/>
    <w:qFormat/>
    <w:uiPriority w:val="0"/>
    <w:pPr>
      <w:spacing w:line="480" w:lineRule="exact"/>
      <w:ind w:firstLine="560" w:firstLineChars="200"/>
    </w:pPr>
    <w:rPr>
      <w:rFonts w:ascii="宋体" w:hAnsi="宋体" w:cs="宋体"/>
      <w:kern w:val="28"/>
      <w:sz w:val="28"/>
    </w:rPr>
  </w:style>
  <w:style w:type="paragraph" w:customStyle="1" w:styleId="769">
    <w:name w:val="+标题1"/>
    <w:basedOn w:val="3"/>
    <w:autoRedefine/>
    <w:qFormat/>
    <w:uiPriority w:val="0"/>
    <w:pPr>
      <w:keepLines/>
      <w:pageBreakBefore/>
      <w:widowControl w:val="0"/>
      <w:numPr>
        <w:numId w:val="0"/>
      </w:numPr>
      <w:tabs>
        <w:tab w:val="left" w:pos="432"/>
      </w:tabs>
      <w:spacing w:beforeLines="100" w:afterLines="100"/>
      <w:ind w:left="432" w:hanging="632"/>
      <w:jc w:val="center"/>
    </w:pPr>
    <w:rPr>
      <w:rFonts w:ascii="Calibri" w:hAnsi="Calibri"/>
      <w:b/>
      <w:bCs/>
      <w:color w:val="000000"/>
      <w:kern w:val="44"/>
      <w:szCs w:val="32"/>
    </w:rPr>
  </w:style>
  <w:style w:type="paragraph" w:customStyle="1" w:styleId="770">
    <w:name w:val="Char2"/>
    <w:basedOn w:val="1"/>
    <w:autoRedefine/>
    <w:qFormat/>
    <w:uiPriority w:val="0"/>
    <w:rPr>
      <w:rFonts w:ascii="宋体" w:hAnsi="宋体" w:cs="宋体"/>
      <w:szCs w:val="21"/>
    </w:rPr>
  </w:style>
  <w:style w:type="paragraph" w:customStyle="1" w:styleId="771">
    <w:name w:val="默认段落字体 Para Char Char Char Char Char Char Char Char Char Char"/>
    <w:basedOn w:val="1"/>
    <w:autoRedefine/>
    <w:qFormat/>
    <w:uiPriority w:val="0"/>
    <w:rPr>
      <w:rFonts w:ascii="宋体" w:hAnsi="宋体" w:cs="宋体"/>
    </w:rPr>
  </w:style>
  <w:style w:type="paragraph" w:customStyle="1" w:styleId="772">
    <w:name w:val="样式 样式4 + 首行缩进:  0.75 字符"/>
    <w:basedOn w:val="1"/>
    <w:autoRedefine/>
    <w:qFormat/>
    <w:uiPriority w:val="0"/>
    <w:pPr>
      <w:adjustRightInd w:val="0"/>
      <w:snapToGrid w:val="0"/>
      <w:spacing w:beforeLines="100" w:line="240" w:lineRule="atLeast"/>
      <w:jc w:val="left"/>
    </w:pPr>
    <w:rPr>
      <w:rFonts w:ascii="宋体" w:hAnsi="宋体" w:cs="宋体"/>
      <w:sz w:val="24"/>
    </w:rPr>
  </w:style>
  <w:style w:type="paragraph" w:customStyle="1" w:styleId="773">
    <w:name w:val="样式 样式 样式 标题 3条标题1.1.1Section标题 3 Char Char + 首行缩进:  2 字符 + 段前: 0..."/>
    <w:basedOn w:val="1"/>
    <w:autoRedefine/>
    <w:qFormat/>
    <w:uiPriority w:val="0"/>
    <w:pPr>
      <w:keepNext/>
      <w:keepLines/>
      <w:snapToGrid w:val="0"/>
      <w:spacing w:beforeLines="30" w:afterLines="20"/>
      <w:jc w:val="left"/>
      <w:outlineLvl w:val="2"/>
    </w:pPr>
    <w:rPr>
      <w:rFonts w:ascii="宋体" w:hAnsi="宋体" w:cs="宋体"/>
      <w:b/>
      <w:bCs/>
      <w:sz w:val="28"/>
      <w:szCs w:val="28"/>
    </w:rPr>
  </w:style>
  <w:style w:type="paragraph" w:customStyle="1" w:styleId="774">
    <w:name w:val="正文+首行缩进"/>
    <w:basedOn w:val="1"/>
    <w:autoRedefine/>
    <w:qFormat/>
    <w:uiPriority w:val="0"/>
    <w:pPr>
      <w:overflowPunct w:val="0"/>
      <w:topLinePunct/>
      <w:adjustRightInd w:val="0"/>
      <w:spacing w:line="460" w:lineRule="atLeast"/>
      <w:ind w:firstLine="200" w:firstLineChars="200"/>
      <w:jc w:val="left"/>
      <w:textAlignment w:val="baseline"/>
    </w:pPr>
    <w:rPr>
      <w:rFonts w:ascii="宋体" w:hAnsi="宋体" w:cs="宋体"/>
      <w:kern w:val="0"/>
      <w:sz w:val="28"/>
    </w:rPr>
  </w:style>
  <w:style w:type="paragraph" w:customStyle="1" w:styleId="775">
    <w:name w:val="样式 样式 样式 样式 样式4 + 首行缩进:  0.75 字符 + 首行缩进:  2 字符 + 首行缩进:  2 字符 + 首..."/>
    <w:basedOn w:val="1"/>
    <w:autoRedefine/>
    <w:qFormat/>
    <w:uiPriority w:val="0"/>
    <w:pPr>
      <w:adjustRightInd w:val="0"/>
      <w:snapToGrid w:val="0"/>
      <w:spacing w:line="240" w:lineRule="atLeast"/>
      <w:ind w:firstLine="480" w:firstLineChars="200"/>
      <w:jc w:val="left"/>
    </w:pPr>
    <w:rPr>
      <w:rFonts w:ascii="宋体" w:hAnsi="宋体" w:cs="宋体"/>
      <w:sz w:val="28"/>
      <w:szCs w:val="28"/>
    </w:rPr>
  </w:style>
  <w:style w:type="paragraph" w:customStyle="1" w:styleId="776">
    <w:name w:val="样式 标题 3 + (西文) Times New Roman (中文) 宋体 行距: 固定值 24 磅1"/>
    <w:basedOn w:val="5"/>
    <w:autoRedefine/>
    <w:qFormat/>
    <w:uiPriority w:val="0"/>
    <w:pPr>
      <w:keepNext w:val="0"/>
      <w:keepLines w:val="0"/>
      <w:tabs>
        <w:tab w:val="left" w:pos="1560"/>
      </w:tabs>
      <w:spacing w:before="0" w:after="0" w:line="500" w:lineRule="exact"/>
      <w:ind w:firstLine="615" w:firstLineChars="200"/>
      <w:outlineLvl w:val="9"/>
    </w:pPr>
    <w:rPr>
      <w:rFonts w:ascii="宋体" w:hAnsi="宋体" w:cs="宋体"/>
      <w:b w:val="0"/>
      <w:sz w:val="28"/>
      <w:szCs w:val="28"/>
    </w:rPr>
  </w:style>
  <w:style w:type="paragraph" w:customStyle="1" w:styleId="777">
    <w:name w:val="默认段落字体 Para Char Char Char1 Char Char Char Char"/>
    <w:basedOn w:val="1"/>
    <w:autoRedefine/>
    <w:qFormat/>
    <w:uiPriority w:val="0"/>
    <w:rPr>
      <w:rFonts w:ascii="宋体" w:hAnsi="宋体" w:cs="宋体"/>
      <w:sz w:val="24"/>
    </w:rPr>
  </w:style>
  <w:style w:type="paragraph" w:customStyle="1" w:styleId="778">
    <w:name w:val="Char5"/>
    <w:basedOn w:val="1"/>
    <w:autoRedefine/>
    <w:qFormat/>
    <w:uiPriority w:val="0"/>
    <w:rPr>
      <w:rFonts w:ascii="宋体" w:hAnsi="宋体" w:cs="宋体"/>
      <w:szCs w:val="21"/>
    </w:rPr>
  </w:style>
  <w:style w:type="paragraph" w:customStyle="1" w:styleId="779">
    <w:name w:val="Char2 Char Char"/>
    <w:basedOn w:val="1"/>
    <w:autoRedefine/>
    <w:qFormat/>
    <w:uiPriority w:val="0"/>
    <w:rPr>
      <w:rFonts w:ascii="宋体" w:hAnsi="宋体" w:cs="宋体"/>
      <w:szCs w:val="21"/>
    </w:rPr>
  </w:style>
  <w:style w:type="paragraph" w:customStyle="1" w:styleId="780">
    <w:name w:val="Char6 Char Char Char"/>
    <w:basedOn w:val="1"/>
    <w:autoRedefine/>
    <w:qFormat/>
    <w:uiPriority w:val="0"/>
    <w:rPr>
      <w:rFonts w:ascii="宋体" w:hAnsi="宋体" w:cs="宋体"/>
      <w:szCs w:val="21"/>
    </w:rPr>
  </w:style>
  <w:style w:type="paragraph" w:customStyle="1" w:styleId="781">
    <w:name w:val="Char6"/>
    <w:basedOn w:val="1"/>
    <w:autoRedefine/>
    <w:qFormat/>
    <w:uiPriority w:val="0"/>
    <w:rPr>
      <w:rFonts w:ascii="宋体" w:hAnsi="宋体" w:cs="宋体"/>
      <w:szCs w:val="21"/>
    </w:rPr>
  </w:style>
  <w:style w:type="paragraph" w:customStyle="1" w:styleId="782">
    <w:name w:val="字元1"/>
    <w:basedOn w:val="1"/>
    <w:autoRedefine/>
    <w:qFormat/>
    <w:uiPriority w:val="0"/>
    <w:rPr>
      <w:rFonts w:ascii="宋体" w:hAnsi="宋体" w:cs="宋体"/>
      <w:szCs w:val="21"/>
    </w:rPr>
  </w:style>
  <w:style w:type="paragraph" w:customStyle="1" w:styleId="783">
    <w:name w:val="字元2"/>
    <w:basedOn w:val="1"/>
    <w:autoRedefine/>
    <w:qFormat/>
    <w:uiPriority w:val="0"/>
    <w:rPr>
      <w:rFonts w:ascii="宋体" w:hAnsi="宋体" w:cs="宋体"/>
      <w:szCs w:val="21"/>
    </w:rPr>
  </w:style>
  <w:style w:type="paragraph" w:customStyle="1" w:styleId="784">
    <w:name w:val="Char Char Char1 Char Char Char1 Char Char Char1 Char Char Char 字元 字元 Char Char 字元 字元 字元 字元 字元"/>
    <w:basedOn w:val="1"/>
    <w:autoRedefine/>
    <w:qFormat/>
    <w:uiPriority w:val="0"/>
    <w:pPr>
      <w:spacing w:line="400" w:lineRule="exact"/>
      <w:ind w:firstLine="200" w:firstLineChars="200"/>
    </w:pPr>
    <w:rPr>
      <w:rFonts w:ascii="宋体" w:hAnsi="宋体" w:cs="宋体"/>
      <w:sz w:val="28"/>
      <w:szCs w:val="28"/>
    </w:rPr>
  </w:style>
  <w:style w:type="paragraph" w:customStyle="1" w:styleId="785">
    <w:name w:val="样式 报告书表格 + (符号) 宋体"/>
    <w:basedOn w:val="302"/>
    <w:link w:val="786"/>
    <w:autoRedefine/>
    <w:qFormat/>
    <w:uiPriority w:val="0"/>
    <w:pPr>
      <w:spacing w:before="0" w:after="0" w:line="360" w:lineRule="exact"/>
      <w:ind w:firstLine="4" w:firstLineChars="2"/>
    </w:pPr>
    <w:rPr>
      <w:color w:val="000000"/>
      <w:szCs w:val="21"/>
    </w:rPr>
  </w:style>
  <w:style w:type="character" w:customStyle="1" w:styleId="786">
    <w:name w:val="样式 报告书表格 + (符号) 宋体 Char"/>
    <w:link w:val="785"/>
    <w:autoRedefine/>
    <w:qFormat/>
    <w:uiPriority w:val="0"/>
    <w:rPr>
      <w:rFonts w:ascii="宋体" w:hAnsi="宋体" w:cs="宋体"/>
      <w:color w:val="000000"/>
      <w:kern w:val="2"/>
      <w:sz w:val="21"/>
      <w:szCs w:val="21"/>
    </w:rPr>
  </w:style>
  <w:style w:type="paragraph" w:customStyle="1" w:styleId="787">
    <w:name w:val="样式 正文首行缩进 + 左侧:  2 字符 段前: 0.15 行 段后: 0.15 行"/>
    <w:basedOn w:val="86"/>
    <w:link w:val="788"/>
    <w:autoRedefine/>
    <w:qFormat/>
    <w:uiPriority w:val="0"/>
    <w:pPr>
      <w:widowControl w:val="0"/>
      <w:tabs>
        <w:tab w:val="left" w:pos="283"/>
      </w:tabs>
      <w:adjustRightInd w:val="0"/>
      <w:snapToGrid w:val="0"/>
      <w:spacing w:after="0" w:line="520" w:lineRule="atLeast"/>
      <w:ind w:firstLine="200" w:firstLineChars="200"/>
      <w:jc w:val="both"/>
    </w:pPr>
    <w:rPr>
      <w:rFonts w:ascii="Calibri" w:hAnsi="Calibri"/>
      <w:kern w:val="2"/>
      <w:sz w:val="28"/>
    </w:rPr>
  </w:style>
  <w:style w:type="character" w:customStyle="1" w:styleId="788">
    <w:name w:val="样式 正文首行缩进 + 左侧:  2 字符 段前: 0.15 行 段后: 0.15 行 Char"/>
    <w:link w:val="787"/>
    <w:autoRedefine/>
    <w:qFormat/>
    <w:uiPriority w:val="0"/>
    <w:rPr>
      <w:rFonts w:ascii="Calibri" w:hAnsi="Calibri" w:cs="宋体"/>
      <w:kern w:val="2"/>
      <w:sz w:val="28"/>
      <w:szCs w:val="24"/>
    </w:rPr>
  </w:style>
  <w:style w:type="character" w:customStyle="1" w:styleId="789">
    <w:name w:val="12p-18hg"/>
    <w:autoRedefine/>
    <w:qFormat/>
    <w:uiPriority w:val="0"/>
    <w:rPr>
      <w:rFonts w:eastAsia="宋体"/>
      <w:kern w:val="2"/>
      <w:sz w:val="28"/>
      <w:szCs w:val="28"/>
      <w:lang w:val="en-US" w:eastAsia="zh-CN" w:bidi="ar-SA"/>
    </w:rPr>
  </w:style>
  <w:style w:type="paragraph" w:customStyle="1" w:styleId="790">
    <w:name w:val="表头四号"/>
    <w:basedOn w:val="66"/>
    <w:autoRedefine/>
    <w:qFormat/>
    <w:uiPriority w:val="0"/>
    <w:pPr>
      <w:adjustRightInd w:val="0"/>
      <w:snapToGrid w:val="0"/>
      <w:spacing w:beforeLines="50" w:line="500" w:lineRule="atLeast"/>
      <w:ind w:left="0" w:firstLine="0" w:firstLineChars="0"/>
      <w:contextualSpacing w:val="0"/>
    </w:pPr>
    <w:rPr>
      <w:rFonts w:ascii="宋体" w:hAnsi="宋体" w:cs="宋体"/>
      <w:b/>
      <w:sz w:val="28"/>
    </w:rPr>
  </w:style>
  <w:style w:type="paragraph" w:customStyle="1" w:styleId="791">
    <w:name w:val="样式 标题 2节标题 1.11.1标题2b2标题20000000000000000000000000000000000..."/>
    <w:basedOn w:val="4"/>
    <w:autoRedefine/>
    <w:qFormat/>
    <w:uiPriority w:val="0"/>
    <w:pPr>
      <w:keepNext w:val="0"/>
      <w:keepLines w:val="0"/>
      <w:widowControl w:val="0"/>
      <w:tabs>
        <w:tab w:val="left" w:pos="283"/>
        <w:tab w:val="clear" w:pos="1276"/>
      </w:tabs>
      <w:adjustRightInd w:val="0"/>
      <w:snapToGrid w:val="0"/>
      <w:spacing w:beforeLines="30" w:afterLines="20" w:line="240" w:lineRule="auto"/>
      <w:ind w:left="1135"/>
      <w:jc w:val="both"/>
    </w:pPr>
    <w:rPr>
      <w:rFonts w:ascii="Calibri" w:hAnsi="Calibri" w:cs="宋体"/>
      <w:b/>
      <w:bCs/>
      <w:kern w:val="2"/>
      <w:sz w:val="28"/>
      <w:szCs w:val="30"/>
    </w:rPr>
  </w:style>
  <w:style w:type="character" w:customStyle="1" w:styleId="792">
    <w:name w:val="Char Char2"/>
    <w:autoRedefine/>
    <w:qFormat/>
    <w:uiPriority w:val="0"/>
    <w:rPr>
      <w:rFonts w:eastAsia="宋体"/>
      <w:kern w:val="2"/>
      <w:sz w:val="18"/>
      <w:szCs w:val="18"/>
      <w:lang w:val="en-US" w:eastAsia="zh-CN" w:bidi="ar-SA"/>
    </w:rPr>
  </w:style>
  <w:style w:type="character" w:customStyle="1" w:styleId="793">
    <w:name w:val="Char Char Char Char1"/>
    <w:autoRedefine/>
    <w:qFormat/>
    <w:uiPriority w:val="0"/>
    <w:rPr>
      <w:rFonts w:eastAsia="仿宋_GB2312"/>
      <w:kern w:val="2"/>
      <w:sz w:val="18"/>
      <w:szCs w:val="18"/>
      <w:lang w:val="en-US" w:eastAsia="zh-CN" w:bidi="ar-SA"/>
    </w:rPr>
  </w:style>
  <w:style w:type="character" w:customStyle="1" w:styleId="794">
    <w:name w:val="普通文字 Char Char"/>
    <w:autoRedefine/>
    <w:qFormat/>
    <w:uiPriority w:val="0"/>
    <w:rPr>
      <w:rFonts w:ascii="宋体" w:hAnsi="Courier New" w:eastAsia="宋体" w:cs="Courier New"/>
      <w:kern w:val="2"/>
      <w:sz w:val="21"/>
      <w:szCs w:val="21"/>
      <w:lang w:val="en-US" w:eastAsia="zh-CN" w:bidi="ar-SA"/>
    </w:rPr>
  </w:style>
  <w:style w:type="character" w:customStyle="1" w:styleId="795">
    <w:name w:val="正文文字缩进 Char1"/>
    <w:autoRedefine/>
    <w:qFormat/>
    <w:uiPriority w:val="0"/>
    <w:rPr>
      <w:rFonts w:eastAsia="仿宋_GB2312"/>
      <w:kern w:val="2"/>
      <w:sz w:val="24"/>
      <w:szCs w:val="24"/>
      <w:lang w:val="en-US" w:eastAsia="zh-CN" w:bidi="ar-SA"/>
    </w:rPr>
  </w:style>
  <w:style w:type="character" w:customStyle="1" w:styleId="796">
    <w:name w:val="题注1 Char1"/>
    <w:autoRedefine/>
    <w:qFormat/>
    <w:uiPriority w:val="0"/>
    <w:rPr>
      <w:rFonts w:eastAsia="仿宋_GB2312"/>
      <w:kern w:val="2"/>
      <w:sz w:val="28"/>
      <w:szCs w:val="24"/>
      <w:lang w:val="en-US" w:eastAsia="zh-CN" w:bidi="ar-SA"/>
    </w:rPr>
  </w:style>
  <w:style w:type="paragraph" w:customStyle="1" w:styleId="797">
    <w:name w:val="流程"/>
    <w:basedOn w:val="1"/>
    <w:autoRedefine/>
    <w:qFormat/>
    <w:uiPriority w:val="0"/>
    <w:pPr>
      <w:adjustRightInd w:val="0"/>
      <w:snapToGrid w:val="0"/>
      <w:jc w:val="center"/>
    </w:pPr>
    <w:rPr>
      <w:rFonts w:ascii="宋体" w:hAnsi="宋体" w:eastAsia="仿宋_GB2312" w:cs="宋体"/>
      <w:color w:val="000000"/>
    </w:rPr>
  </w:style>
  <w:style w:type="paragraph" w:customStyle="1" w:styleId="798">
    <w:name w:val="基准标题"/>
    <w:basedOn w:val="34"/>
    <w:next w:val="34"/>
    <w:autoRedefine/>
    <w:qFormat/>
    <w:uiPriority w:val="0"/>
    <w:pPr>
      <w:widowControl/>
      <w:spacing w:after="0" w:line="360" w:lineRule="exact"/>
      <w:jc w:val="left"/>
    </w:pPr>
    <w:rPr>
      <w:rFonts w:ascii="宋体" w:hAnsi="Garamond" w:cs="宋体"/>
      <w:kern w:val="0"/>
    </w:rPr>
  </w:style>
  <w:style w:type="character" w:customStyle="1" w:styleId="799">
    <w:name w:val="正文  首行缩进: 2 字符 Char"/>
    <w:link w:val="800"/>
    <w:autoRedefine/>
    <w:qFormat/>
    <w:uiPriority w:val="0"/>
    <w:rPr>
      <w:rFonts w:ascii="Arial" w:hAnsi="Arial" w:cs="Arial"/>
      <w:kern w:val="2"/>
      <w:sz w:val="24"/>
      <w:szCs w:val="24"/>
    </w:rPr>
  </w:style>
  <w:style w:type="paragraph" w:customStyle="1" w:styleId="800">
    <w:name w:val="正文  首行缩进: 2 字符"/>
    <w:basedOn w:val="1"/>
    <w:link w:val="799"/>
    <w:autoRedefine/>
    <w:qFormat/>
    <w:uiPriority w:val="0"/>
    <w:pPr>
      <w:snapToGrid w:val="0"/>
      <w:spacing w:line="360" w:lineRule="auto"/>
      <w:ind w:firstLine="480" w:firstLineChars="200"/>
    </w:pPr>
    <w:rPr>
      <w:rFonts w:ascii="Arial" w:hAnsi="Arial" w:cs="Arial"/>
      <w:sz w:val="24"/>
    </w:rPr>
  </w:style>
  <w:style w:type="paragraph" w:customStyle="1" w:styleId="801">
    <w:name w:val="标题 3  标题1.1.1"/>
    <w:basedOn w:val="1"/>
    <w:autoRedefine/>
    <w:qFormat/>
    <w:uiPriority w:val="0"/>
    <w:pPr>
      <w:keepNext/>
      <w:keepLines/>
      <w:adjustRightInd w:val="0"/>
      <w:snapToGrid w:val="0"/>
      <w:spacing w:beforeLines="50" w:afterLines="50"/>
      <w:ind w:right="-176" w:rightChars="-84"/>
      <w:textAlignment w:val="baseline"/>
      <w:outlineLvl w:val="2"/>
    </w:pPr>
    <w:rPr>
      <w:rFonts w:ascii="黑体" w:hAnsi="宋体" w:eastAsia="黑体" w:cs="宋体"/>
      <w:color w:val="000000"/>
      <w:kern w:val="0"/>
      <w:sz w:val="24"/>
    </w:rPr>
  </w:style>
  <w:style w:type="paragraph" w:customStyle="1" w:styleId="802">
    <w:name w:val="表标"/>
    <w:basedOn w:val="1"/>
    <w:next w:val="1"/>
    <w:autoRedefine/>
    <w:qFormat/>
    <w:uiPriority w:val="0"/>
    <w:pPr>
      <w:adjustRightInd w:val="0"/>
      <w:snapToGrid w:val="0"/>
      <w:spacing w:line="320" w:lineRule="exact"/>
      <w:ind w:right="315" w:rightChars="150"/>
      <w:jc w:val="center"/>
    </w:pPr>
    <w:rPr>
      <w:rFonts w:ascii="黑体" w:hAnsi="宋体" w:eastAsia="黑体" w:cs="宋体"/>
      <w:kern w:val="0"/>
      <w:sz w:val="24"/>
    </w:rPr>
  </w:style>
  <w:style w:type="character" w:customStyle="1" w:styleId="803">
    <w:name w:val="宋体四号 Char"/>
    <w:link w:val="804"/>
    <w:autoRedefine/>
    <w:qFormat/>
    <w:uiPriority w:val="0"/>
    <w:rPr>
      <w:kern w:val="2"/>
      <w:sz w:val="28"/>
      <w:szCs w:val="28"/>
    </w:rPr>
  </w:style>
  <w:style w:type="paragraph" w:customStyle="1" w:styleId="804">
    <w:name w:val="宋体四号"/>
    <w:basedOn w:val="1"/>
    <w:link w:val="803"/>
    <w:autoRedefine/>
    <w:qFormat/>
    <w:uiPriority w:val="0"/>
    <w:pPr>
      <w:spacing w:line="360" w:lineRule="auto"/>
      <w:ind w:firstLine="200" w:firstLineChars="200"/>
    </w:pPr>
    <w:rPr>
      <w:sz w:val="28"/>
      <w:szCs w:val="28"/>
    </w:rPr>
  </w:style>
  <w:style w:type="paragraph" w:customStyle="1" w:styleId="805">
    <w:name w:val="hhcwt表格内文字"/>
    <w:basedOn w:val="1"/>
    <w:link w:val="806"/>
    <w:autoRedefine/>
    <w:qFormat/>
    <w:uiPriority w:val="0"/>
    <w:pPr>
      <w:jc w:val="center"/>
    </w:pPr>
    <w:rPr>
      <w:rFonts w:ascii="Calibri" w:hAnsi="Calibri" w:eastAsia="仿宋_GB2312" w:cs="宋体"/>
      <w:szCs w:val="21"/>
    </w:rPr>
  </w:style>
  <w:style w:type="character" w:customStyle="1" w:styleId="806">
    <w:name w:val="hhcwt表格内文字 Char"/>
    <w:link w:val="805"/>
    <w:autoRedefine/>
    <w:qFormat/>
    <w:uiPriority w:val="0"/>
    <w:rPr>
      <w:rFonts w:ascii="Calibri" w:hAnsi="Calibri" w:eastAsia="仿宋_GB2312" w:cs="宋体"/>
      <w:kern w:val="2"/>
      <w:sz w:val="21"/>
      <w:szCs w:val="21"/>
    </w:rPr>
  </w:style>
  <w:style w:type="character" w:customStyle="1" w:styleId="807">
    <w:name w:val="ht1"/>
    <w:autoRedefine/>
    <w:qFormat/>
    <w:uiPriority w:val="0"/>
    <w:rPr>
      <w:rFonts w:ascii="黑体" w:eastAsia="黑体"/>
      <w:b/>
      <w:bCs/>
      <w:kern w:val="2"/>
      <w:sz w:val="28"/>
      <w:szCs w:val="28"/>
      <w:lang w:val="en-US" w:eastAsia="zh-CN" w:bidi="ar-SA"/>
    </w:rPr>
  </w:style>
  <w:style w:type="character" w:customStyle="1" w:styleId="808">
    <w:name w:val="l12"/>
    <w:autoRedefine/>
    <w:qFormat/>
    <w:uiPriority w:val="0"/>
    <w:rPr>
      <w:rFonts w:eastAsia="宋体"/>
      <w:kern w:val="2"/>
      <w:sz w:val="28"/>
      <w:szCs w:val="28"/>
      <w:lang w:val="en-US" w:eastAsia="zh-CN" w:bidi="ar-SA"/>
    </w:rPr>
  </w:style>
  <w:style w:type="paragraph" w:customStyle="1" w:styleId="809">
    <w:name w:val="11 Char Char Char Char Char Char Char Char Char Char"/>
    <w:basedOn w:val="1"/>
    <w:autoRedefine/>
    <w:qFormat/>
    <w:uiPriority w:val="0"/>
    <w:pPr>
      <w:snapToGrid w:val="0"/>
      <w:spacing w:line="360" w:lineRule="auto"/>
      <w:ind w:firstLine="200" w:firstLineChars="200"/>
    </w:pPr>
    <w:rPr>
      <w:rFonts w:ascii="宋体" w:hAnsi="宋体" w:eastAsia="仿宋_GB2312" w:cs="宋体"/>
      <w:sz w:val="24"/>
    </w:rPr>
  </w:style>
  <w:style w:type="paragraph" w:customStyle="1" w:styleId="810">
    <w:name w:val="Char Char Char Char Char Char Char Char Char Char Char Char Char Char Char Char Char Char Char Char Char Char Char Char Char"/>
    <w:basedOn w:val="1"/>
    <w:autoRedefine/>
    <w:qFormat/>
    <w:uiPriority w:val="0"/>
    <w:rPr>
      <w:rFonts w:ascii="宋体" w:hAnsi="宋体" w:cs="宋体"/>
    </w:rPr>
  </w:style>
  <w:style w:type="paragraph" w:customStyle="1" w:styleId="811">
    <w:name w:val="样式 表格文字 + 居中"/>
    <w:basedOn w:val="201"/>
    <w:autoRedefine/>
    <w:qFormat/>
    <w:uiPriority w:val="0"/>
    <w:pPr>
      <w:widowControl w:val="0"/>
      <w:spacing w:line="400" w:lineRule="exact"/>
    </w:pPr>
    <w:rPr>
      <w:rFonts w:ascii="Times New Roman" w:hAnsi="Times New Roman"/>
      <w:kern w:val="2"/>
      <w:sz w:val="28"/>
    </w:rPr>
  </w:style>
  <w:style w:type="paragraph" w:customStyle="1" w:styleId="812">
    <w:name w:val="样式 报告书表格 + 居中"/>
    <w:basedOn w:val="302"/>
    <w:autoRedefine/>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3">
    <w:name w:val="样式 报告书表格 + 居中1"/>
    <w:basedOn w:val="302"/>
    <w:autoRedefine/>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4">
    <w:name w:val="样式 报告书表格 + 居中2"/>
    <w:basedOn w:val="302"/>
    <w:autoRedefine/>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5">
    <w:name w:val="Char4 Char Char Char Char Char Char Char Char Char Char Char Char Char Char Char Char Char1 Char1"/>
    <w:basedOn w:val="1"/>
    <w:autoRedefine/>
    <w:qFormat/>
    <w:uiPriority w:val="0"/>
    <w:pPr>
      <w:ind w:firstLine="200" w:firstLineChars="200"/>
    </w:pPr>
    <w:rPr>
      <w:rFonts w:ascii="宋体" w:hAnsi="宋体" w:cs="宋体"/>
      <w:sz w:val="28"/>
      <w:szCs w:val="28"/>
    </w:rPr>
  </w:style>
  <w:style w:type="paragraph" w:customStyle="1" w:styleId="816">
    <w:name w:val="T表格"/>
    <w:autoRedefine/>
    <w:qFormat/>
    <w:uiPriority w:val="0"/>
    <w:pPr>
      <w:jc w:val="center"/>
    </w:pPr>
    <w:rPr>
      <w:rFonts w:ascii="仿宋_GB2312" w:hAnsi="Times New Roman" w:eastAsia="仿宋_GB2312" w:cs="Times New Roman"/>
      <w:kern w:val="2"/>
      <w:sz w:val="21"/>
      <w:lang w:val="en-US" w:eastAsia="zh-CN" w:bidi="ar-SA"/>
    </w:rPr>
  </w:style>
  <w:style w:type="paragraph" w:customStyle="1" w:styleId="817">
    <w:name w:val="表中字"/>
    <w:autoRedefine/>
    <w:qFormat/>
    <w:uiPriority w:val="0"/>
    <w:pPr>
      <w:widowControl w:val="0"/>
      <w:adjustRightInd w:val="0"/>
      <w:snapToGrid w:val="0"/>
      <w:jc w:val="center"/>
    </w:pPr>
    <w:rPr>
      <w:rFonts w:ascii="Times New Roman" w:hAnsi="Times New Roman" w:cs="Times New Roman" w:eastAsiaTheme="minorEastAsia"/>
      <w:w w:val="90"/>
      <w:sz w:val="21"/>
      <w:lang w:val="en-US" w:eastAsia="zh-CN" w:bidi="ar-SA"/>
    </w:rPr>
  </w:style>
  <w:style w:type="paragraph" w:customStyle="1" w:styleId="818">
    <w:name w:val="表格文字居中 Char"/>
    <w:basedOn w:val="86"/>
    <w:autoRedefine/>
    <w:qFormat/>
    <w:uiPriority w:val="0"/>
    <w:pPr>
      <w:keepNext/>
      <w:widowControl w:val="0"/>
      <w:tabs>
        <w:tab w:val="left" w:pos="628"/>
        <w:tab w:val="left" w:pos="1727"/>
        <w:tab w:val="left" w:pos="1884"/>
        <w:tab w:val="left" w:pos="2660"/>
        <w:tab w:val="left" w:pos="5460"/>
      </w:tabs>
      <w:spacing w:before="100" w:beforeAutospacing="1" w:after="0"/>
      <w:ind w:firstLine="0" w:firstLineChars="0"/>
      <w:jc w:val="center"/>
    </w:pPr>
    <w:rPr>
      <w:rFonts w:hAnsi="Calibri"/>
      <w:bCs/>
      <w:color w:val="000000"/>
      <w:sz w:val="24"/>
    </w:rPr>
  </w:style>
  <w:style w:type="paragraph" w:customStyle="1" w:styleId="819">
    <w:name w:val="p6"/>
    <w:basedOn w:val="1"/>
    <w:autoRedefine/>
    <w:qFormat/>
    <w:uiPriority w:val="0"/>
    <w:pPr>
      <w:tabs>
        <w:tab w:val="left" w:pos="4720"/>
      </w:tabs>
      <w:spacing w:line="240" w:lineRule="atLeast"/>
      <w:ind w:left="3280"/>
      <w:jc w:val="left"/>
    </w:pPr>
    <w:rPr>
      <w:rFonts w:ascii="Arial" w:hAnsi="Arial" w:cs="宋体"/>
      <w:snapToGrid w:val="0"/>
      <w:kern w:val="0"/>
      <w:sz w:val="24"/>
      <w:lang w:eastAsia="en-US"/>
    </w:rPr>
  </w:style>
  <w:style w:type="paragraph" w:customStyle="1" w:styleId="820">
    <w:name w:val="中文表内容1"/>
    <w:basedOn w:val="1"/>
    <w:next w:val="1"/>
    <w:autoRedefine/>
    <w:qFormat/>
    <w:uiPriority w:val="0"/>
    <w:pPr>
      <w:spacing w:line="440" w:lineRule="exact"/>
      <w:jc w:val="center"/>
    </w:pPr>
    <w:rPr>
      <w:rFonts w:ascii="宋体" w:hAnsi="宋体" w:eastAsia="KaiTi_GB2312" w:cs="宋体"/>
      <w:sz w:val="28"/>
    </w:rPr>
  </w:style>
  <w:style w:type="paragraph" w:customStyle="1" w:styleId="821">
    <w:name w:val="font12"/>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822">
    <w:name w:val="font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3">
    <w:name w:val="font14"/>
    <w:basedOn w:val="1"/>
    <w:autoRedefine/>
    <w:qFormat/>
    <w:uiPriority w:val="0"/>
    <w:pPr>
      <w:widowControl/>
      <w:spacing w:before="100" w:beforeAutospacing="1" w:after="100" w:afterAutospacing="1"/>
      <w:jc w:val="left"/>
    </w:pPr>
    <w:rPr>
      <w:rFonts w:hint="eastAsia" w:ascii="宋体" w:hAnsi="宋体" w:cs="宋体"/>
      <w:kern w:val="0"/>
      <w:sz w:val="24"/>
    </w:rPr>
  </w:style>
  <w:style w:type="paragraph" w:customStyle="1" w:styleId="824">
    <w:name w:val="font15"/>
    <w:basedOn w:val="1"/>
    <w:autoRedefine/>
    <w:qFormat/>
    <w:uiPriority w:val="0"/>
    <w:pPr>
      <w:widowControl/>
      <w:spacing w:before="100" w:beforeAutospacing="1" w:after="100" w:afterAutospacing="1"/>
      <w:jc w:val="left"/>
    </w:pPr>
    <w:rPr>
      <w:rFonts w:hint="eastAsia" w:ascii="仿宋_GB2312" w:hAnsi="宋体" w:eastAsia="仿宋_GB2312" w:cs="宋体"/>
      <w:kern w:val="0"/>
      <w:sz w:val="24"/>
    </w:rPr>
  </w:style>
  <w:style w:type="paragraph" w:customStyle="1" w:styleId="825">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仿宋_GB2312" w:hAnsi="宋体" w:eastAsia="仿宋_GB2312" w:cs="宋体"/>
      <w:kern w:val="0"/>
      <w:sz w:val="24"/>
    </w:rPr>
  </w:style>
  <w:style w:type="paragraph" w:customStyle="1" w:styleId="82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仿宋_GB2312" w:hAnsi="宋体" w:eastAsia="仿宋_GB2312" w:cs="宋体"/>
      <w:kern w:val="0"/>
      <w:sz w:val="24"/>
    </w:rPr>
  </w:style>
  <w:style w:type="paragraph" w:customStyle="1" w:styleId="827">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28">
    <w:name w:val="xl4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829">
    <w:name w:val="xl4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30">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31">
    <w:name w:val="xl5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2">
    <w:name w:val="xl5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3">
    <w:name w:val="xl5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4">
    <w:name w:val="xl5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5">
    <w:name w:val="xl56"/>
    <w:basedOn w:val="1"/>
    <w:autoRedefine/>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36">
    <w:name w:val="xl5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37">
    <w:name w:val="xl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8">
    <w:name w:val="xl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9">
    <w:name w:val="xl60"/>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0">
    <w:name w:val="xl61"/>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1">
    <w:name w:val="xl6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6"/>
      <w:szCs w:val="16"/>
    </w:rPr>
  </w:style>
  <w:style w:type="paragraph" w:customStyle="1" w:styleId="842">
    <w:name w:val="xl64"/>
    <w:basedOn w:val="1"/>
    <w:autoRedefine/>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3">
    <w:name w:val="xl66"/>
    <w:basedOn w:val="1"/>
    <w:autoRedefine/>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4">
    <w:name w:val="xl67"/>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5">
    <w:name w:val="xl68"/>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6">
    <w:name w:val="xl69"/>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7">
    <w:name w:val="xl70"/>
    <w:basedOn w:val="1"/>
    <w:autoRedefine/>
    <w:qFormat/>
    <w:uiPriority w:val="0"/>
    <w:pPr>
      <w:widowControl/>
      <w:pBdr>
        <w:top w:val="single" w:color="auto" w:sz="8"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48">
    <w:name w:val="xl71"/>
    <w:basedOn w:val="1"/>
    <w:autoRedefine/>
    <w:qFormat/>
    <w:uiPriority w:val="0"/>
    <w:pPr>
      <w:widowControl/>
      <w:pBdr>
        <w:top w:val="single" w:color="auto" w:sz="8" w:space="0"/>
        <w:bottom w:val="single" w:color="auto" w:sz="4" w:space="0"/>
      </w:pBdr>
      <w:spacing w:before="100" w:beforeAutospacing="1" w:after="100" w:afterAutospacing="1"/>
      <w:jc w:val="left"/>
      <w:textAlignment w:val="center"/>
    </w:pPr>
    <w:rPr>
      <w:rFonts w:hint="eastAsia" w:ascii="仿宋_GB2312" w:hAnsi="宋体" w:eastAsia="仿宋_GB2312" w:cs="宋体"/>
      <w:kern w:val="0"/>
      <w:sz w:val="24"/>
    </w:rPr>
  </w:style>
  <w:style w:type="paragraph" w:customStyle="1" w:styleId="849">
    <w:name w:val="xl72"/>
    <w:basedOn w:val="1"/>
    <w:autoRedefine/>
    <w:qFormat/>
    <w:uiPriority w:val="0"/>
    <w:pPr>
      <w:widowControl/>
      <w:pBdr>
        <w:top w:val="single" w:color="auto" w:sz="8" w:space="0"/>
        <w:bottom w:val="single" w:color="auto" w:sz="4" w:space="0"/>
        <w:right w:val="single" w:color="auto" w:sz="8" w:space="0"/>
      </w:pBdr>
      <w:spacing w:before="100" w:beforeAutospacing="1" w:after="100" w:afterAutospacing="1"/>
      <w:jc w:val="left"/>
      <w:textAlignment w:val="center"/>
    </w:pPr>
    <w:rPr>
      <w:rFonts w:hint="eastAsia" w:ascii="仿宋_GB2312" w:hAnsi="宋体" w:eastAsia="仿宋_GB2312" w:cs="宋体"/>
      <w:kern w:val="0"/>
      <w:sz w:val="24"/>
    </w:rPr>
  </w:style>
  <w:style w:type="paragraph" w:customStyle="1" w:styleId="850">
    <w:name w:val="xl73"/>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1">
    <w:name w:val="xl74"/>
    <w:basedOn w:val="1"/>
    <w:autoRedefine/>
    <w:qFormat/>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852">
    <w:name w:val="xl75"/>
    <w:basedOn w:val="1"/>
    <w:autoRedefine/>
    <w:qFormat/>
    <w:uiPriority w:val="0"/>
    <w:pPr>
      <w:widowControl/>
      <w:pBdr>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3">
    <w:name w:val="xl76"/>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4">
    <w:name w:val="xl77"/>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5">
    <w:name w:val="xl78"/>
    <w:basedOn w:val="1"/>
    <w:autoRedefine/>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6">
    <w:name w:val="xl79"/>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7">
    <w:name w:val="xl80"/>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8">
    <w:name w:val="xl81"/>
    <w:basedOn w:val="1"/>
    <w:autoRedefine/>
    <w:qFormat/>
    <w:uiPriority w:val="0"/>
    <w:pPr>
      <w:widowControl/>
      <w:pBdr>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9">
    <w:name w:val="xl8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0">
    <w:name w:val="xl8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1">
    <w:name w:val="xl8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2">
    <w:name w:val="xl85"/>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863">
    <w:name w:val="xl86"/>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4">
    <w:name w:val="xl87"/>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65">
    <w:name w:val="xl88"/>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6">
    <w:name w:val="xl89"/>
    <w:basedOn w:val="1"/>
    <w:autoRedefine/>
    <w:qFormat/>
    <w:uiPriority w:val="0"/>
    <w:pPr>
      <w:widowControl/>
      <w:pBdr>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7">
    <w:name w:val="xl90"/>
    <w:basedOn w:val="1"/>
    <w:autoRedefine/>
    <w:qFormat/>
    <w:uiPriority w:val="0"/>
    <w:pPr>
      <w:widowControl/>
      <w:pBdr>
        <w:bottom w:val="single" w:color="auto" w:sz="4" w:space="0"/>
        <w:right w:val="single" w:color="auto" w:sz="8" w:space="0"/>
      </w:pBdr>
      <w:spacing w:before="100" w:beforeAutospacing="1" w:after="100" w:afterAutospacing="1"/>
      <w:jc w:val="left"/>
      <w:textAlignment w:val="center"/>
    </w:pPr>
    <w:rPr>
      <w:rFonts w:ascii="宋体" w:hAnsi="宋体" w:cs="宋体"/>
      <w:kern w:val="0"/>
      <w:sz w:val="24"/>
    </w:rPr>
  </w:style>
  <w:style w:type="paragraph" w:customStyle="1" w:styleId="868">
    <w:name w:val="xl91"/>
    <w:basedOn w:val="1"/>
    <w:autoRedefine/>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9">
    <w:name w:val="xl92"/>
    <w:basedOn w:val="1"/>
    <w:autoRedefine/>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0">
    <w:name w:val="xl93"/>
    <w:basedOn w:val="1"/>
    <w:autoRedefine/>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1">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2">
    <w:name w:val="xl95"/>
    <w:basedOn w:val="1"/>
    <w:autoRedefine/>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73">
    <w:name w:val="xl96"/>
    <w:basedOn w:val="1"/>
    <w:autoRedefine/>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74">
    <w:name w:val="xl97"/>
    <w:basedOn w:val="1"/>
    <w:autoRedefine/>
    <w:qFormat/>
    <w:uiPriority w:val="0"/>
    <w:pPr>
      <w:widowControl/>
      <w:pBdr>
        <w:top w:val="single" w:color="auto" w:sz="8" w:space="0"/>
      </w:pBdr>
      <w:spacing w:before="100" w:beforeAutospacing="1" w:after="100" w:afterAutospacing="1"/>
      <w:jc w:val="left"/>
    </w:pPr>
    <w:rPr>
      <w:rFonts w:ascii="宋体" w:hAnsi="宋体" w:cs="宋体"/>
      <w:kern w:val="0"/>
      <w:sz w:val="24"/>
    </w:rPr>
  </w:style>
  <w:style w:type="paragraph" w:customStyle="1" w:styleId="875">
    <w:name w:val="xl98"/>
    <w:basedOn w:val="1"/>
    <w:autoRedefine/>
    <w:qFormat/>
    <w:uiPriority w:val="0"/>
    <w:pPr>
      <w:widowControl/>
      <w:pBdr>
        <w:top w:val="single" w:color="auto" w:sz="8" w:space="0"/>
        <w:right w:val="single" w:color="auto" w:sz="4" w:space="0"/>
      </w:pBdr>
      <w:spacing w:before="100" w:beforeAutospacing="1" w:after="100" w:afterAutospacing="1"/>
      <w:jc w:val="left"/>
    </w:pPr>
    <w:rPr>
      <w:rFonts w:ascii="宋体" w:hAnsi="宋体" w:cs="宋体"/>
      <w:kern w:val="0"/>
      <w:sz w:val="24"/>
    </w:rPr>
  </w:style>
  <w:style w:type="paragraph" w:customStyle="1" w:styleId="876">
    <w:name w:val="xl99"/>
    <w:basedOn w:val="1"/>
    <w:autoRedefine/>
    <w:qFormat/>
    <w:uiPriority w:val="0"/>
    <w:pPr>
      <w:widowControl/>
      <w:pBdr>
        <w:left w:val="single" w:color="auto" w:sz="8" w:space="0"/>
        <w:bottom w:val="single" w:color="auto" w:sz="4" w:space="0"/>
      </w:pBdr>
      <w:spacing w:before="100" w:beforeAutospacing="1" w:after="100" w:afterAutospacing="1"/>
      <w:jc w:val="left"/>
    </w:pPr>
    <w:rPr>
      <w:rFonts w:ascii="宋体" w:hAnsi="宋体" w:cs="宋体"/>
      <w:kern w:val="0"/>
      <w:sz w:val="24"/>
    </w:rPr>
  </w:style>
  <w:style w:type="paragraph" w:customStyle="1" w:styleId="877">
    <w:name w:val="xl100"/>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24"/>
    </w:rPr>
  </w:style>
  <w:style w:type="paragraph" w:customStyle="1" w:styleId="878">
    <w:name w:val="xl101"/>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79">
    <w:name w:val="xl102"/>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80">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81">
    <w:name w:val="xl104"/>
    <w:basedOn w:val="1"/>
    <w:autoRedefine/>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2">
    <w:name w:val="xl105"/>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3">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884">
    <w:name w:val="content1"/>
    <w:autoRedefine/>
    <w:qFormat/>
    <w:uiPriority w:val="0"/>
    <w:rPr>
      <w:rFonts w:eastAsia="宋体"/>
      <w:color w:val="000000"/>
      <w:kern w:val="2"/>
      <w:sz w:val="21"/>
      <w:szCs w:val="28"/>
      <w:lang w:val="en-US" w:eastAsia="zh-CN" w:bidi="ar-SA"/>
    </w:rPr>
  </w:style>
  <w:style w:type="character" w:customStyle="1" w:styleId="885">
    <w:name w:val="tpc_content1"/>
    <w:autoRedefine/>
    <w:qFormat/>
    <w:uiPriority w:val="0"/>
    <w:rPr>
      <w:rFonts w:eastAsia="宋体"/>
      <w:kern w:val="2"/>
      <w:sz w:val="20"/>
      <w:szCs w:val="28"/>
      <w:lang w:val="en-US" w:eastAsia="zh-CN" w:bidi="ar-SA"/>
    </w:rPr>
  </w:style>
  <w:style w:type="character" w:customStyle="1" w:styleId="886">
    <w:name w:val="样式 标题 4 + 图案: 清除 (白色)1 Char"/>
    <w:autoRedefine/>
    <w:qFormat/>
    <w:uiPriority w:val="0"/>
    <w:rPr>
      <w:rFonts w:ascii="Arial Narrow" w:hAnsi="Arial Narrow" w:eastAsia="仿宋_GB2312"/>
      <w:kern w:val="2"/>
      <w:sz w:val="24"/>
      <w:szCs w:val="28"/>
      <w:shd w:val="clear" w:color="auto" w:fill="FFFFFF"/>
      <w:lang w:val="en-US" w:eastAsia="zh-CN" w:bidi="ar-SA"/>
    </w:rPr>
  </w:style>
  <w:style w:type="character" w:customStyle="1" w:styleId="887">
    <w:name w:val="attach-title1"/>
    <w:autoRedefine/>
    <w:qFormat/>
    <w:uiPriority w:val="0"/>
    <w:rPr>
      <w:rFonts w:eastAsia="宋体"/>
      <w:b/>
      <w:color w:val="008080"/>
      <w:kern w:val="2"/>
      <w:sz w:val="27"/>
      <w:szCs w:val="28"/>
      <w:lang w:val="en-US" w:eastAsia="zh-CN" w:bidi="ar-SA"/>
    </w:rPr>
  </w:style>
  <w:style w:type="paragraph" w:customStyle="1" w:styleId="888">
    <w:name w:val="ISO标题3内文"/>
    <w:autoRedefine/>
    <w:qFormat/>
    <w:uiPriority w:val="0"/>
    <w:pPr>
      <w:ind w:left="1620"/>
    </w:pPr>
    <w:rPr>
      <w:rFonts w:ascii="宋体" w:hAnsi="宋体" w:cs="Times New Roman" w:eastAsiaTheme="minorEastAsia"/>
      <w:color w:val="000000"/>
      <w:sz w:val="24"/>
      <w:lang w:val="en-US" w:eastAsia="zh-CN" w:bidi="ar-SA"/>
    </w:rPr>
  </w:style>
  <w:style w:type="paragraph" w:customStyle="1" w:styleId="889">
    <w:name w:val="Char1 Char Char3"/>
    <w:basedOn w:val="1"/>
    <w:autoRedefine/>
    <w:qFormat/>
    <w:uiPriority w:val="0"/>
    <w:rPr>
      <w:rFonts w:ascii="宋体" w:hAnsi="宋体" w:cs="宋体"/>
    </w:rPr>
  </w:style>
  <w:style w:type="paragraph" w:customStyle="1" w:styleId="890">
    <w:name w:val="环评正文1"/>
    <w:basedOn w:val="334"/>
    <w:autoRedefine/>
    <w:qFormat/>
    <w:uiPriority w:val="0"/>
    <w:pPr>
      <w:ind w:firstLine="0" w:firstLineChars="0"/>
    </w:pPr>
  </w:style>
  <w:style w:type="paragraph" w:customStyle="1" w:styleId="891">
    <w:name w:val="样式 标题 1 + 段前: 1.5 行 段后: 1.5 行"/>
    <w:basedOn w:val="3"/>
    <w:autoRedefine/>
    <w:qFormat/>
    <w:uiPriority w:val="0"/>
    <w:pPr>
      <w:keepLines/>
      <w:widowControl w:val="0"/>
      <w:numPr>
        <w:numId w:val="0"/>
      </w:numPr>
      <w:tabs>
        <w:tab w:val="left" w:pos="432"/>
      </w:tabs>
      <w:adjustRightInd w:val="0"/>
      <w:snapToGrid w:val="0"/>
      <w:spacing w:before="100" w:after="100" w:line="300" w:lineRule="auto"/>
      <w:ind w:left="431" w:hanging="431"/>
      <w:jc w:val="both"/>
    </w:pPr>
    <w:rPr>
      <w:rFonts w:ascii="仿宋_GB2312" w:hAnsi="Calibri" w:eastAsia="仿宋_GB2312"/>
      <w:b/>
      <w:kern w:val="44"/>
      <w:szCs w:val="20"/>
    </w:rPr>
  </w:style>
  <w:style w:type="paragraph" w:customStyle="1" w:styleId="892">
    <w:name w:val="Print- From: To: Subject: Date:"/>
    <w:basedOn w:val="1"/>
    <w:autoRedefine/>
    <w:qFormat/>
    <w:uiPriority w:val="0"/>
    <w:pPr>
      <w:pBdr>
        <w:left w:val="single" w:color="auto" w:sz="18" w:space="1"/>
      </w:pBdr>
      <w:adjustRightInd w:val="0"/>
      <w:spacing w:line="360" w:lineRule="atLeast"/>
      <w:jc w:val="left"/>
      <w:textAlignment w:val="baseline"/>
    </w:pPr>
    <w:rPr>
      <w:rFonts w:ascii="宋体" w:hAnsi="宋体" w:eastAsia="PMingLiU" w:cs="宋体"/>
      <w:kern w:val="0"/>
      <w:sz w:val="24"/>
      <w:lang w:eastAsia="zh-TW"/>
    </w:rPr>
  </w:style>
  <w:style w:type="paragraph" w:customStyle="1" w:styleId="893">
    <w:name w:val="Char1 Char Char Char Char Char"/>
    <w:basedOn w:val="1"/>
    <w:autoRedefine/>
    <w:qFormat/>
    <w:uiPriority w:val="0"/>
    <w:rPr>
      <w:rFonts w:ascii="宋体" w:hAnsi="宋体" w:cs="宋体"/>
    </w:rPr>
  </w:style>
  <w:style w:type="paragraph" w:customStyle="1" w:styleId="894">
    <w:name w:val="註解方塊文字"/>
    <w:basedOn w:val="1"/>
    <w:autoRedefine/>
    <w:qFormat/>
    <w:uiPriority w:val="0"/>
    <w:rPr>
      <w:rFonts w:ascii="Arial" w:hAnsi="Arial" w:eastAsia="PMingLiU" w:cs="宋体"/>
      <w:sz w:val="18"/>
    </w:rPr>
  </w:style>
  <w:style w:type="paragraph" w:customStyle="1" w:styleId="895">
    <w:name w:val="ISO标题5"/>
    <w:autoRedefine/>
    <w:qFormat/>
    <w:uiPriority w:val="0"/>
    <w:pPr>
      <w:tabs>
        <w:tab w:val="left" w:pos="1800"/>
      </w:tabs>
      <w:ind w:left="420" w:hanging="420"/>
      <w:outlineLvl w:val="4"/>
    </w:pPr>
    <w:rPr>
      <w:rFonts w:ascii="宋体" w:hAnsi="宋体" w:cs="Times New Roman" w:eastAsiaTheme="minorEastAsia"/>
      <w:color w:val="000000"/>
      <w:sz w:val="24"/>
      <w:lang w:val="en-US" w:eastAsia="zh-CN" w:bidi="ar-SA"/>
    </w:rPr>
  </w:style>
  <w:style w:type="paragraph" w:customStyle="1" w:styleId="896">
    <w:name w:val="ISO标题2"/>
    <w:basedOn w:val="897"/>
    <w:autoRedefine/>
    <w:qFormat/>
    <w:uiPriority w:val="0"/>
    <w:pPr>
      <w:tabs>
        <w:tab w:val="left" w:pos="360"/>
        <w:tab w:val="left" w:pos="425"/>
      </w:tabs>
      <w:ind w:left="567" w:hanging="567"/>
      <w:outlineLvl w:val="1"/>
    </w:pPr>
  </w:style>
  <w:style w:type="paragraph" w:customStyle="1" w:styleId="897">
    <w:name w:val="ISO标题1."/>
    <w:autoRedefine/>
    <w:qFormat/>
    <w:uiPriority w:val="0"/>
    <w:pPr>
      <w:tabs>
        <w:tab w:val="left" w:pos="425"/>
      </w:tabs>
      <w:autoSpaceDE w:val="0"/>
      <w:autoSpaceDN w:val="0"/>
      <w:adjustRightInd w:val="0"/>
      <w:ind w:left="425" w:hanging="425"/>
      <w:outlineLvl w:val="0"/>
    </w:pPr>
    <w:rPr>
      <w:rFonts w:ascii="宋体" w:hAnsi="宋体" w:cs="Times New Roman" w:eastAsiaTheme="minorEastAsia"/>
      <w:color w:val="000000"/>
      <w:sz w:val="24"/>
      <w:lang w:val="en-US" w:eastAsia="zh-CN" w:bidi="ar-SA"/>
    </w:rPr>
  </w:style>
  <w:style w:type="paragraph" w:customStyle="1" w:styleId="898">
    <w:name w:val="ISO标题3"/>
    <w:basedOn w:val="896"/>
    <w:autoRedefine/>
    <w:qFormat/>
    <w:uiPriority w:val="0"/>
    <w:pPr>
      <w:ind w:left="709" w:hanging="709"/>
      <w:outlineLvl w:val="2"/>
    </w:pPr>
  </w:style>
  <w:style w:type="paragraph" w:customStyle="1" w:styleId="899">
    <w:name w:val="ISO标题4"/>
    <w:autoRedefine/>
    <w:qFormat/>
    <w:uiPriority w:val="0"/>
    <w:pPr>
      <w:tabs>
        <w:tab w:val="left" w:pos="1440"/>
      </w:tabs>
      <w:ind w:left="420" w:hanging="420"/>
      <w:outlineLvl w:val="3"/>
    </w:pPr>
    <w:rPr>
      <w:rFonts w:ascii="宋体" w:hAnsi="宋体" w:cs="Times New Roman" w:eastAsiaTheme="minorEastAsia"/>
      <w:color w:val="000000"/>
      <w:sz w:val="24"/>
      <w:lang w:val="en-US" w:eastAsia="zh-CN" w:bidi="ar-SA"/>
    </w:rPr>
  </w:style>
  <w:style w:type="paragraph" w:customStyle="1" w:styleId="900">
    <w:name w:val="样式 标题 4 + 图案: 清除 (白色)1"/>
    <w:basedOn w:val="6"/>
    <w:autoRedefine/>
    <w:qFormat/>
    <w:uiPriority w:val="0"/>
    <w:pPr>
      <w:widowControl w:val="0"/>
      <w:tabs>
        <w:tab w:val="left" w:pos="980"/>
        <w:tab w:val="left" w:pos="1704"/>
        <w:tab w:val="clear" w:pos="1276"/>
      </w:tabs>
      <w:adjustRightInd w:val="0"/>
      <w:snapToGrid w:val="0"/>
      <w:spacing w:line="300" w:lineRule="auto"/>
      <w:ind w:left="1704" w:hanging="864"/>
    </w:pPr>
    <w:rPr>
      <w:rFonts w:ascii="Arial Narrow" w:hAnsi="Arial Narrow" w:eastAsia="仿宋_GB2312"/>
      <w:b w:val="0"/>
      <w:bCs w:val="0"/>
      <w:kern w:val="2"/>
      <w:szCs w:val="20"/>
      <w:shd w:val="clear" w:color="auto" w:fill="FFFFFF"/>
    </w:rPr>
  </w:style>
  <w:style w:type="paragraph" w:customStyle="1" w:styleId="901">
    <w:name w:val="Char Char Char1 Char1"/>
    <w:basedOn w:val="1"/>
    <w:autoRedefine/>
    <w:qFormat/>
    <w:uiPriority w:val="0"/>
    <w:rPr>
      <w:rFonts w:ascii="宋体" w:hAnsi="宋体" w:cs="宋体"/>
    </w:rPr>
  </w:style>
  <w:style w:type="paragraph" w:customStyle="1" w:styleId="902">
    <w:name w:val="表格的文字"/>
    <w:basedOn w:val="1"/>
    <w:autoRedefine/>
    <w:qFormat/>
    <w:uiPriority w:val="0"/>
    <w:pPr>
      <w:spacing w:line="300" w:lineRule="exact"/>
      <w:jc w:val="center"/>
    </w:pPr>
    <w:rPr>
      <w:rFonts w:ascii="仿宋_GB2312" w:hAnsi="宋体" w:eastAsia="仿宋_GB2312" w:cs="宋体"/>
      <w:bCs/>
    </w:rPr>
  </w:style>
  <w:style w:type="paragraph" w:customStyle="1" w:styleId="903">
    <w:name w:val="五号字表格"/>
    <w:basedOn w:val="345"/>
    <w:autoRedefine/>
    <w:qFormat/>
    <w:uiPriority w:val="0"/>
    <w:pPr>
      <w:spacing w:line="240" w:lineRule="auto"/>
    </w:pPr>
    <w:rPr>
      <w:rFonts w:ascii="宋体" w:hAnsi="Times New Roman"/>
      <w:sz w:val="21"/>
    </w:rPr>
  </w:style>
  <w:style w:type="paragraph" w:customStyle="1" w:styleId="904">
    <w:name w:val="五号表格"/>
    <w:next w:val="1"/>
    <w:autoRedefine/>
    <w:qFormat/>
    <w:uiPriority w:val="0"/>
    <w:rPr>
      <w:rFonts w:ascii="宋体" w:hAnsi="Times New Roman" w:cs="Times New Roman" w:eastAsiaTheme="minorEastAsia"/>
      <w:sz w:val="21"/>
      <w:lang w:val="en-US" w:eastAsia="zh-CN" w:bidi="ar-SA"/>
    </w:rPr>
  </w:style>
  <w:style w:type="paragraph" w:customStyle="1" w:styleId="905">
    <w:name w:val="文本居中"/>
    <w:basedOn w:val="1"/>
    <w:autoRedefine/>
    <w:qFormat/>
    <w:uiPriority w:val="0"/>
    <w:pPr>
      <w:adjustRightInd w:val="0"/>
      <w:spacing w:line="360" w:lineRule="auto"/>
      <w:jc w:val="center"/>
    </w:pPr>
    <w:rPr>
      <w:rFonts w:ascii="宋体" w:hAnsi="宋体" w:cs="宋体"/>
      <w:sz w:val="28"/>
    </w:rPr>
  </w:style>
  <w:style w:type="paragraph" w:customStyle="1" w:styleId="906">
    <w:name w:val="正文居中"/>
    <w:basedOn w:val="59"/>
    <w:autoRedefine/>
    <w:qFormat/>
    <w:uiPriority w:val="0"/>
    <w:pPr>
      <w:widowControl w:val="0"/>
      <w:adjustRightInd w:val="0"/>
      <w:spacing w:before="120" w:after="120" w:line="360" w:lineRule="auto"/>
      <w:jc w:val="center"/>
    </w:pPr>
    <w:rPr>
      <w:rFonts w:hAnsi="Arial" w:eastAsia="宋体"/>
      <w:b w:val="0"/>
      <w:bCs/>
      <w:caps/>
      <w:kern w:val="2"/>
      <w:sz w:val="28"/>
      <w:szCs w:val="28"/>
    </w:rPr>
  </w:style>
  <w:style w:type="paragraph" w:customStyle="1" w:styleId="907">
    <w:name w:val="表字"/>
    <w:basedOn w:val="1"/>
    <w:autoRedefine/>
    <w:qFormat/>
    <w:uiPriority w:val="0"/>
    <w:pPr>
      <w:jc w:val="center"/>
    </w:pPr>
    <w:rPr>
      <w:rFonts w:ascii="宋体" w:hAnsi="宋体" w:cs="宋体"/>
    </w:rPr>
  </w:style>
  <w:style w:type="paragraph" w:customStyle="1" w:styleId="908">
    <w:name w:val="注"/>
    <w:basedOn w:val="1"/>
    <w:next w:val="1"/>
    <w:autoRedefine/>
    <w:qFormat/>
    <w:uiPriority w:val="0"/>
    <w:pPr>
      <w:widowControl/>
      <w:spacing w:before="60" w:after="60" w:line="312" w:lineRule="auto"/>
    </w:pPr>
    <w:rPr>
      <w:rFonts w:ascii="宋体" w:hAnsi="宋体" w:eastAsia="黑体" w:cs="宋体"/>
      <w:kern w:val="0"/>
    </w:rPr>
  </w:style>
  <w:style w:type="paragraph" w:customStyle="1" w:styleId="909">
    <w:name w:val="表1"/>
    <w:basedOn w:val="1"/>
    <w:autoRedefine/>
    <w:qFormat/>
    <w:uiPriority w:val="0"/>
    <w:pPr>
      <w:jc w:val="center"/>
    </w:pPr>
    <w:rPr>
      <w:rFonts w:ascii="宋体" w:hAnsi="宋体" w:cs="宋体"/>
      <w:color w:val="000000"/>
    </w:rPr>
  </w:style>
  <w:style w:type="paragraph" w:customStyle="1" w:styleId="910">
    <w:name w:val="正文首行缩进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宋体" w:hAnsi="宋体" w:cs="宋体"/>
      <w:kern w:val="0"/>
      <w:sz w:val="28"/>
    </w:rPr>
  </w:style>
  <w:style w:type="paragraph" w:customStyle="1" w:styleId="911">
    <w:name w:val="样式 标题 1 + 两端对齐"/>
    <w:basedOn w:val="3"/>
    <w:autoRedefine/>
    <w:qFormat/>
    <w:uiPriority w:val="0"/>
    <w:pPr>
      <w:keepNext w:val="0"/>
      <w:pageBreakBefore/>
      <w:numPr>
        <w:numId w:val="0"/>
      </w:numPr>
      <w:tabs>
        <w:tab w:val="left" w:pos="420"/>
      </w:tabs>
      <w:adjustRightInd w:val="0"/>
      <w:snapToGrid w:val="0"/>
      <w:spacing w:line="300" w:lineRule="auto"/>
      <w:jc w:val="center"/>
    </w:pPr>
    <w:rPr>
      <w:rFonts w:ascii="仿宋_GB2312" w:hAnsi="Calibri" w:eastAsia="仿宋_GB2312"/>
      <w:snapToGrid w:val="0"/>
      <w:szCs w:val="32"/>
    </w:rPr>
  </w:style>
  <w:style w:type="paragraph" w:customStyle="1" w:styleId="912">
    <w:name w:val="图框文字"/>
    <w:basedOn w:val="1"/>
    <w:autoRedefine/>
    <w:qFormat/>
    <w:uiPriority w:val="0"/>
    <w:pPr>
      <w:jc w:val="center"/>
      <w:textAlignment w:val="center"/>
    </w:pPr>
    <w:rPr>
      <w:rFonts w:ascii="宋体" w:hAnsi="宋体" w:cs="宋体"/>
    </w:rPr>
  </w:style>
  <w:style w:type="paragraph" w:customStyle="1" w:styleId="913">
    <w:name w:val="字元 字元1"/>
    <w:basedOn w:val="1"/>
    <w:autoRedefine/>
    <w:qFormat/>
    <w:uiPriority w:val="0"/>
    <w:rPr>
      <w:rFonts w:ascii="宋体" w:hAnsi="宋体" w:cs="宋体"/>
      <w:sz w:val="24"/>
    </w:rPr>
  </w:style>
  <w:style w:type="paragraph" w:customStyle="1" w:styleId="914">
    <w:name w:val="列表项目"/>
    <w:basedOn w:val="24"/>
    <w:autoRedefine/>
    <w:qFormat/>
    <w:uiPriority w:val="0"/>
    <w:pPr>
      <w:widowControl w:val="0"/>
      <w:spacing w:before="360" w:line="360" w:lineRule="auto"/>
      <w:ind w:left="0" w:firstLine="0"/>
      <w:contextualSpacing w:val="0"/>
      <w:jc w:val="center"/>
      <w:outlineLvl w:val="0"/>
    </w:pPr>
    <w:rPr>
      <w:rFonts w:ascii="黑体" w:eastAsia="黑体"/>
      <w:b/>
      <w:kern w:val="2"/>
      <w:sz w:val="32"/>
      <w:szCs w:val="32"/>
    </w:rPr>
  </w:style>
  <w:style w:type="character" w:customStyle="1" w:styleId="915">
    <w:name w:val="style611"/>
    <w:autoRedefine/>
    <w:qFormat/>
    <w:uiPriority w:val="0"/>
    <w:rPr>
      <w:rFonts w:eastAsia="宋体"/>
      <w:color w:val="000000"/>
      <w:kern w:val="2"/>
      <w:sz w:val="28"/>
      <w:szCs w:val="28"/>
      <w:lang w:val="en-US" w:eastAsia="zh-CN" w:bidi="ar-SA"/>
    </w:rPr>
  </w:style>
  <w:style w:type="paragraph" w:customStyle="1" w:styleId="916">
    <w:name w:val="表格文字1"/>
    <w:basedOn w:val="1"/>
    <w:autoRedefine/>
    <w:qFormat/>
    <w:uiPriority w:val="0"/>
    <w:pPr>
      <w:tabs>
        <w:tab w:val="left" w:pos="0"/>
      </w:tabs>
      <w:autoSpaceDE w:val="0"/>
      <w:autoSpaceDN w:val="0"/>
      <w:adjustRightInd w:val="0"/>
      <w:spacing w:before="60"/>
      <w:ind w:left="57" w:right="57"/>
      <w:jc w:val="center"/>
      <w:textAlignment w:val="baseline"/>
    </w:pPr>
    <w:rPr>
      <w:rFonts w:ascii="宋体" w:hAnsi="宋体" w:cs="宋体"/>
    </w:rPr>
  </w:style>
  <w:style w:type="paragraph" w:customStyle="1" w:styleId="917">
    <w:name w:val="依据文字"/>
    <w:basedOn w:val="87"/>
    <w:autoRedefine/>
    <w:qFormat/>
    <w:uiPriority w:val="0"/>
    <w:pPr>
      <w:tabs>
        <w:tab w:val="left" w:pos="420"/>
        <w:tab w:val="left" w:pos="870"/>
        <w:tab w:val="left" w:pos="3150"/>
      </w:tabs>
      <w:autoSpaceDE w:val="0"/>
      <w:autoSpaceDN w:val="0"/>
      <w:adjustRightInd w:val="0"/>
      <w:spacing w:beforeLines="25" w:line="336" w:lineRule="auto"/>
      <w:ind w:firstLine="527" w:firstLineChars="0"/>
      <w:textAlignment w:val="baseline"/>
    </w:pPr>
    <w:rPr>
      <w:rFonts w:ascii="宋体" w:hAnsi="Calibri" w:eastAsia="宋体" w:cs="宋体"/>
      <w:sz w:val="24"/>
      <w:szCs w:val="28"/>
    </w:rPr>
  </w:style>
  <w:style w:type="paragraph" w:customStyle="1" w:styleId="918">
    <w:name w:val="表格样式"/>
    <w:basedOn w:val="1"/>
    <w:autoRedefine/>
    <w:qFormat/>
    <w:uiPriority w:val="0"/>
    <w:pPr>
      <w:adjustRightInd w:val="0"/>
      <w:snapToGrid w:val="0"/>
      <w:jc w:val="center"/>
      <w:textAlignment w:val="baseline"/>
    </w:pPr>
    <w:rPr>
      <w:rFonts w:ascii="宋体" w:hAnsi="宋体" w:cs="宋体"/>
      <w:snapToGrid w:val="0"/>
      <w:color w:val="000000"/>
      <w:kern w:val="0"/>
      <w:sz w:val="24"/>
    </w:rPr>
  </w:style>
  <w:style w:type="paragraph" w:customStyle="1" w:styleId="919">
    <w:name w:val="基准篇眉"/>
    <w:basedOn w:val="1"/>
    <w:autoRedefine/>
    <w:qFormat/>
    <w:uiPriority w:val="0"/>
    <w:pPr>
      <w:keepLines/>
      <w:widowControl/>
      <w:tabs>
        <w:tab w:val="center" w:pos="7200"/>
        <w:tab w:val="right" w:pos="14400"/>
      </w:tabs>
      <w:overflowPunct w:val="0"/>
      <w:autoSpaceDE w:val="0"/>
      <w:autoSpaceDN w:val="0"/>
      <w:adjustRightInd w:val="0"/>
      <w:jc w:val="center"/>
      <w:textAlignment w:val="baseline"/>
    </w:pPr>
    <w:rPr>
      <w:rFonts w:ascii="宋体" w:hAnsi="宋体" w:cs="宋体"/>
      <w:spacing w:val="80"/>
      <w:kern w:val="0"/>
      <w:sz w:val="24"/>
    </w:rPr>
  </w:style>
  <w:style w:type="character" w:customStyle="1" w:styleId="920">
    <w:name w:val="edit"/>
    <w:autoRedefine/>
    <w:qFormat/>
    <w:uiPriority w:val="0"/>
    <w:rPr>
      <w:rFonts w:eastAsia="宋体"/>
      <w:kern w:val="2"/>
      <w:sz w:val="28"/>
      <w:szCs w:val="28"/>
      <w:lang w:val="en-US" w:eastAsia="zh-CN" w:bidi="ar-SA"/>
    </w:rPr>
  </w:style>
  <w:style w:type="paragraph" w:customStyle="1" w:styleId="921">
    <w:name w:val="样式 标题 3 + 小四 行距: 1.5 倍行距"/>
    <w:basedOn w:val="5"/>
    <w:autoRedefine/>
    <w:qFormat/>
    <w:uiPriority w:val="0"/>
    <w:pPr>
      <w:tabs>
        <w:tab w:val="left" w:pos="720"/>
      </w:tabs>
      <w:spacing w:before="0" w:after="0" w:line="360" w:lineRule="auto"/>
      <w:ind w:left="720" w:hanging="720"/>
    </w:pPr>
    <w:rPr>
      <w:rFonts w:ascii="Calibri" w:hAnsi="Calibri" w:cs="宋体"/>
      <w:b w:val="0"/>
      <w:bCs w:val="0"/>
      <w:snapToGrid w:val="0"/>
      <w:color w:val="000000"/>
      <w:kern w:val="0"/>
      <w:sz w:val="28"/>
      <w:szCs w:val="20"/>
    </w:rPr>
  </w:style>
  <w:style w:type="character" w:customStyle="1" w:styleId="922">
    <w:name w:val="p111"/>
    <w:autoRedefine/>
    <w:qFormat/>
    <w:uiPriority w:val="0"/>
    <w:rPr>
      <w:rFonts w:eastAsia="宋体"/>
      <w:kern w:val="2"/>
      <w:sz w:val="28"/>
      <w:szCs w:val="28"/>
      <w:lang w:val="en-US" w:eastAsia="zh-CN" w:bidi="ar-SA"/>
    </w:rPr>
  </w:style>
  <w:style w:type="character" w:customStyle="1" w:styleId="923">
    <w:name w:val="f14b1"/>
    <w:autoRedefine/>
    <w:qFormat/>
    <w:uiPriority w:val="0"/>
    <w:rPr>
      <w:rFonts w:eastAsia="宋体"/>
      <w:b/>
      <w:bCs/>
      <w:kern w:val="2"/>
      <w:sz w:val="23"/>
      <w:szCs w:val="23"/>
      <w:lang w:val="en-US" w:eastAsia="zh-CN" w:bidi="ar-SA"/>
    </w:rPr>
  </w:style>
  <w:style w:type="paragraph" w:customStyle="1" w:styleId="924">
    <w:name w:val="表8"/>
    <w:basedOn w:val="1"/>
    <w:autoRedefine/>
    <w:qFormat/>
    <w:uiPriority w:val="0"/>
    <w:pPr>
      <w:tabs>
        <w:tab w:val="left" w:pos="1200"/>
      </w:tabs>
      <w:ind w:left="1200" w:hanging="360"/>
      <w:jc w:val="center"/>
    </w:pPr>
    <w:rPr>
      <w:rFonts w:ascii="宋体" w:hAnsi="宋体" w:cs="宋体"/>
      <w:b/>
      <w:szCs w:val="21"/>
    </w:rPr>
  </w:style>
  <w:style w:type="character" w:customStyle="1" w:styleId="925">
    <w:name w:val="zhengwen1"/>
    <w:autoRedefine/>
    <w:qFormat/>
    <w:uiPriority w:val="0"/>
    <w:rPr>
      <w:rFonts w:eastAsia="宋体"/>
      <w:color w:val="333333"/>
      <w:kern w:val="2"/>
      <w:sz w:val="18"/>
      <w:szCs w:val="18"/>
      <w:u w:val="none"/>
      <w:lang w:val="en-US" w:eastAsia="zh-CN" w:bidi="ar-SA"/>
    </w:rPr>
  </w:style>
  <w:style w:type="paragraph" w:customStyle="1" w:styleId="926">
    <w:name w:val="表12"/>
    <w:basedOn w:val="1"/>
    <w:autoRedefine/>
    <w:qFormat/>
    <w:uiPriority w:val="0"/>
    <w:pPr>
      <w:tabs>
        <w:tab w:val="left" w:pos="840"/>
        <w:tab w:val="left" w:pos="2479"/>
      </w:tabs>
      <w:spacing w:line="360" w:lineRule="auto"/>
      <w:ind w:left="840" w:hanging="360"/>
      <w:jc w:val="center"/>
    </w:pPr>
    <w:rPr>
      <w:rFonts w:ascii="宋体" w:hAnsi="宋体" w:cs="宋体"/>
      <w:b/>
      <w:sz w:val="24"/>
    </w:rPr>
  </w:style>
  <w:style w:type="character" w:customStyle="1" w:styleId="927">
    <w:name w:val="td7"/>
    <w:autoRedefine/>
    <w:qFormat/>
    <w:uiPriority w:val="0"/>
    <w:rPr>
      <w:rFonts w:eastAsia="宋体"/>
      <w:kern w:val="2"/>
      <w:sz w:val="28"/>
      <w:szCs w:val="28"/>
      <w:lang w:val="en-US" w:eastAsia="zh-CN" w:bidi="ar-SA"/>
    </w:rPr>
  </w:style>
  <w:style w:type="character" w:customStyle="1" w:styleId="928">
    <w:name w:val="announ-title"/>
    <w:autoRedefine/>
    <w:qFormat/>
    <w:uiPriority w:val="0"/>
    <w:rPr>
      <w:rFonts w:eastAsia="宋体"/>
      <w:kern w:val="2"/>
      <w:sz w:val="28"/>
      <w:szCs w:val="28"/>
      <w:lang w:val="en-US" w:eastAsia="zh-CN" w:bidi="ar-SA"/>
    </w:rPr>
  </w:style>
  <w:style w:type="character" w:customStyle="1" w:styleId="929">
    <w:name w:val="副标题1"/>
    <w:autoRedefine/>
    <w:qFormat/>
    <w:uiPriority w:val="0"/>
    <w:rPr>
      <w:rFonts w:eastAsia="宋体"/>
      <w:kern w:val="2"/>
      <w:sz w:val="28"/>
      <w:szCs w:val="28"/>
      <w:lang w:val="en-US" w:eastAsia="zh-CN" w:bidi="ar-SA"/>
    </w:rPr>
  </w:style>
  <w:style w:type="character" w:customStyle="1" w:styleId="930">
    <w:name w:val="style211"/>
    <w:autoRedefine/>
    <w:qFormat/>
    <w:uiPriority w:val="0"/>
    <w:rPr>
      <w:rFonts w:eastAsia="宋体"/>
      <w:color w:val="000000"/>
      <w:kern w:val="2"/>
      <w:sz w:val="28"/>
      <w:szCs w:val="28"/>
      <w:lang w:val="en-US" w:eastAsia="zh-CN" w:bidi="ar-SA"/>
    </w:rPr>
  </w:style>
  <w:style w:type="paragraph" w:customStyle="1" w:styleId="931">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character" w:customStyle="1" w:styleId="932">
    <w:name w:val="catalog1"/>
    <w:autoRedefine/>
    <w:qFormat/>
    <w:uiPriority w:val="0"/>
    <w:rPr>
      <w:rFonts w:eastAsia="宋体"/>
      <w:color w:val="000000"/>
      <w:kern w:val="2"/>
      <w:sz w:val="15"/>
      <w:szCs w:val="15"/>
      <w:u w:val="none"/>
      <w:lang w:val="en-US" w:eastAsia="zh-CN" w:bidi="ar-SA"/>
    </w:rPr>
  </w:style>
  <w:style w:type="paragraph" w:customStyle="1" w:styleId="933">
    <w:name w:val="样式 标题 2 + 四号"/>
    <w:basedOn w:val="4"/>
    <w:autoRedefine/>
    <w:qFormat/>
    <w:uiPriority w:val="0"/>
    <w:pPr>
      <w:widowControl w:val="0"/>
      <w:tabs>
        <w:tab w:val="left" w:pos="576"/>
        <w:tab w:val="clear" w:pos="1276"/>
      </w:tabs>
      <w:spacing w:after="260" w:line="416" w:lineRule="auto"/>
      <w:ind w:left="576" w:hanging="576"/>
      <w:jc w:val="both"/>
    </w:pPr>
    <w:rPr>
      <w:rFonts w:ascii="Calibri" w:hAnsi="宋体" w:cs="宋体"/>
      <w:bCs/>
      <w:color w:val="000000"/>
      <w:kern w:val="2"/>
      <w:sz w:val="28"/>
      <w:szCs w:val="28"/>
    </w:rPr>
  </w:style>
  <w:style w:type="character" w:customStyle="1" w:styleId="934">
    <w:name w:val="td71"/>
    <w:autoRedefine/>
    <w:qFormat/>
    <w:uiPriority w:val="0"/>
    <w:rPr>
      <w:rFonts w:eastAsia="宋体"/>
      <w:color w:val="3B3B3B"/>
      <w:kern w:val="2"/>
      <w:sz w:val="18"/>
      <w:szCs w:val="18"/>
      <w:lang w:val="en-US" w:eastAsia="zh-CN" w:bidi="ar-SA"/>
    </w:rPr>
  </w:style>
  <w:style w:type="character" w:customStyle="1" w:styleId="935">
    <w:name w:val="font_cn_14"/>
    <w:autoRedefine/>
    <w:qFormat/>
    <w:uiPriority w:val="0"/>
    <w:rPr>
      <w:rFonts w:eastAsia="宋体"/>
      <w:kern w:val="2"/>
      <w:sz w:val="28"/>
      <w:szCs w:val="28"/>
      <w:lang w:val="en-US" w:eastAsia="zh-CN" w:bidi="ar-SA"/>
    </w:rPr>
  </w:style>
  <w:style w:type="paragraph" w:customStyle="1" w:styleId="936">
    <w:name w:val="B"/>
    <w:basedOn w:val="66"/>
    <w:autoRedefine/>
    <w:qFormat/>
    <w:uiPriority w:val="0"/>
    <w:pPr>
      <w:spacing w:beforeLines="20" w:afterLines="20"/>
      <w:ind w:left="0" w:firstLine="0" w:firstLineChars="0"/>
      <w:contextualSpacing w:val="0"/>
      <w:jc w:val="center"/>
    </w:pPr>
    <w:rPr>
      <w:rFonts w:hAnsi="宋体" w:cs="宋体"/>
      <w:b/>
      <w:szCs w:val="21"/>
    </w:rPr>
  </w:style>
  <w:style w:type="paragraph" w:customStyle="1" w:styleId="937">
    <w:name w:val="cucd-0"/>
    <w:link w:val="938"/>
    <w:autoRedefine/>
    <w:qFormat/>
    <w:uiPriority w:val="0"/>
    <w:pPr>
      <w:spacing w:line="360" w:lineRule="auto"/>
      <w:ind w:firstLine="480" w:firstLineChars="200"/>
    </w:pPr>
    <w:rPr>
      <w:rFonts w:ascii="Times New Roman" w:hAnsi="Times New Roman" w:cs="Times New Roman" w:eastAsiaTheme="minorEastAsia"/>
      <w:kern w:val="2"/>
      <w:sz w:val="24"/>
      <w:szCs w:val="24"/>
      <w:lang w:val="en-US" w:eastAsia="zh-CN" w:bidi="ar-SA"/>
    </w:rPr>
  </w:style>
  <w:style w:type="character" w:customStyle="1" w:styleId="938">
    <w:name w:val="cucd-0 Char"/>
    <w:link w:val="937"/>
    <w:autoRedefine/>
    <w:qFormat/>
    <w:uiPriority w:val="0"/>
    <w:rPr>
      <w:kern w:val="2"/>
      <w:sz w:val="24"/>
      <w:szCs w:val="24"/>
    </w:rPr>
  </w:style>
  <w:style w:type="character" w:customStyle="1" w:styleId="939">
    <w:name w:val="节标题 1.1 Char1"/>
    <w:autoRedefine/>
    <w:qFormat/>
    <w:uiPriority w:val="0"/>
    <w:rPr>
      <w:rFonts w:ascii="Cambria" w:hAnsi="Cambria" w:eastAsia="宋体" w:cs="Times New Roman"/>
      <w:b/>
      <w:bCs/>
      <w:spacing w:val="10"/>
      <w:kern w:val="44"/>
      <w:sz w:val="32"/>
      <w:szCs w:val="32"/>
      <w:lang w:val="en-US" w:eastAsia="zh-CN" w:bidi="ar-SA"/>
    </w:rPr>
  </w:style>
  <w:style w:type="character" w:customStyle="1" w:styleId="940">
    <w:name w:val="标题 7 Char2"/>
    <w:autoRedefine/>
    <w:qFormat/>
    <w:uiPriority w:val="0"/>
    <w:rPr>
      <w:b/>
      <w:bCs/>
      <w:kern w:val="2"/>
      <w:sz w:val="24"/>
      <w:szCs w:val="24"/>
    </w:rPr>
  </w:style>
  <w:style w:type="character" w:customStyle="1" w:styleId="941">
    <w:name w:val="标题 9 Char3"/>
    <w:autoRedefine/>
    <w:qFormat/>
    <w:uiPriority w:val="0"/>
    <w:rPr>
      <w:rFonts w:ascii="Arial" w:hAnsi="Arial" w:eastAsia="黑体"/>
      <w:kern w:val="2"/>
      <w:sz w:val="21"/>
      <w:szCs w:val="21"/>
    </w:rPr>
  </w:style>
  <w:style w:type="character" w:customStyle="1" w:styleId="942">
    <w:name w:val="Char Char19"/>
    <w:autoRedefine/>
    <w:qFormat/>
    <w:uiPriority w:val="0"/>
    <w:rPr>
      <w:rFonts w:ascii="Times New Roman" w:hAnsi="Times New Roman" w:eastAsia="仿宋_GB2312" w:cs="Times New Roman"/>
      <w:b/>
      <w:spacing w:val="10"/>
      <w:kern w:val="44"/>
      <w:sz w:val="18"/>
      <w:szCs w:val="20"/>
      <w:lang w:val="en-US" w:eastAsia="zh-CN" w:bidi="ar-SA"/>
    </w:rPr>
  </w:style>
  <w:style w:type="character" w:customStyle="1" w:styleId="943">
    <w:name w:val="正文首行缩进 Char Char1"/>
    <w:autoRedefine/>
    <w:qFormat/>
    <w:uiPriority w:val="0"/>
    <w:rPr>
      <w:rFonts w:eastAsia="宋体"/>
      <w:kern w:val="2"/>
      <w:sz w:val="21"/>
      <w:szCs w:val="24"/>
      <w:lang w:val="en-US" w:eastAsia="zh-CN" w:bidi="ar-SA"/>
    </w:rPr>
  </w:style>
  <w:style w:type="paragraph" w:customStyle="1" w:styleId="944">
    <w:name w:val="style3"/>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45">
    <w:name w:val="样式 报告表格 + 小四"/>
    <w:basedOn w:val="1"/>
    <w:autoRedefine/>
    <w:qFormat/>
    <w:uiPriority w:val="0"/>
    <w:pPr>
      <w:autoSpaceDE w:val="0"/>
      <w:autoSpaceDN w:val="0"/>
      <w:adjustRightInd w:val="0"/>
      <w:spacing w:line="400" w:lineRule="exact"/>
      <w:jc w:val="center"/>
      <w:textAlignment w:val="bottom"/>
    </w:pPr>
    <w:rPr>
      <w:rFonts w:ascii="宋体" w:hAnsi="宋体" w:cs="宋体"/>
      <w:kern w:val="0"/>
      <w:szCs w:val="21"/>
    </w:rPr>
  </w:style>
  <w:style w:type="paragraph" w:customStyle="1" w:styleId="946">
    <w:name w:val="Char Char Char2 Char Char Char Char Char Char Char Char Char Char Char Char Char Char Char Char Char Char Char Char Char Char Char Char"/>
    <w:basedOn w:val="1"/>
    <w:autoRedefine/>
    <w:qFormat/>
    <w:uiPriority w:val="0"/>
    <w:rPr>
      <w:rFonts w:ascii="黑体" w:hAnsi="黑体" w:eastAsia="黑体" w:cs="宋体"/>
      <w:b/>
      <w:spacing w:val="10"/>
      <w:kern w:val="44"/>
      <w:sz w:val="28"/>
    </w:rPr>
  </w:style>
  <w:style w:type="paragraph" w:customStyle="1" w:styleId="947">
    <w:name w:val="Char Char21 Char Char Char Char Char Char Char"/>
    <w:basedOn w:val="1"/>
    <w:autoRedefine/>
    <w:qFormat/>
    <w:uiPriority w:val="0"/>
    <w:rPr>
      <w:rFonts w:ascii="黑体" w:hAnsi="黑体" w:eastAsia="黑体" w:cs="宋体"/>
      <w:b/>
      <w:spacing w:val="10"/>
      <w:kern w:val="44"/>
      <w:sz w:val="28"/>
    </w:rPr>
  </w:style>
  <w:style w:type="paragraph" w:customStyle="1" w:styleId="948">
    <w:name w:val="Char Char7 Char Char1 Char Char Char1 Char Char Char Char Char1 Char Char Char"/>
    <w:basedOn w:val="1"/>
    <w:autoRedefine/>
    <w:qFormat/>
    <w:uiPriority w:val="0"/>
    <w:rPr>
      <w:rFonts w:ascii="宋体" w:hAnsi="宋体" w:cs="宋体"/>
      <w:szCs w:val="21"/>
    </w:rPr>
  </w:style>
  <w:style w:type="paragraph" w:customStyle="1" w:styleId="949">
    <w:name w:val="Char Char5 Char Char Char Char Char Char"/>
    <w:basedOn w:val="1"/>
    <w:autoRedefine/>
    <w:qFormat/>
    <w:uiPriority w:val="0"/>
    <w:rPr>
      <w:rFonts w:ascii="宋体" w:hAnsi="宋体" w:cs="宋体"/>
      <w:sz w:val="24"/>
    </w:rPr>
  </w:style>
  <w:style w:type="paragraph" w:customStyle="1" w:styleId="950">
    <w:name w:val="正文首行缩进  2字符"/>
    <w:basedOn w:val="1"/>
    <w:autoRedefine/>
    <w:qFormat/>
    <w:uiPriority w:val="0"/>
    <w:pPr>
      <w:spacing w:line="360" w:lineRule="auto"/>
      <w:ind w:firstLine="480" w:firstLineChars="200"/>
    </w:pPr>
    <w:rPr>
      <w:rFonts w:ascii="宋体" w:hAnsi="宋体" w:cs="宋体"/>
      <w:sz w:val="24"/>
    </w:rPr>
  </w:style>
  <w:style w:type="paragraph" w:customStyle="1" w:styleId="951">
    <w:name w:val="样式 标题 2 + 黑体 小三 段前: 0 磅 段后: 0 磅 行距: 最小值 27 磅2"/>
    <w:basedOn w:val="4"/>
    <w:link w:val="952"/>
    <w:autoRedefine/>
    <w:qFormat/>
    <w:uiPriority w:val="0"/>
    <w:pPr>
      <w:widowControl w:val="0"/>
      <w:tabs>
        <w:tab w:val="clear" w:pos="1276"/>
      </w:tabs>
      <w:adjustRightInd w:val="0"/>
      <w:snapToGrid w:val="0"/>
      <w:spacing w:line="540" w:lineRule="atLeast"/>
      <w:ind w:left="0" w:firstLine="0"/>
      <w:jc w:val="both"/>
    </w:pPr>
    <w:rPr>
      <w:rFonts w:ascii="黑体" w:eastAsia="黑体" w:cs="宋体"/>
      <w:b/>
      <w:bCs/>
      <w:spacing w:val="8"/>
      <w:kern w:val="2"/>
      <w:szCs w:val="24"/>
    </w:rPr>
  </w:style>
  <w:style w:type="character" w:customStyle="1" w:styleId="952">
    <w:name w:val="样式 标题 2 + 黑体 小三 段前: 0 磅 段后: 0 磅 行距: 最小值 27 磅2 Char"/>
    <w:link w:val="951"/>
    <w:autoRedefine/>
    <w:qFormat/>
    <w:uiPriority w:val="0"/>
    <w:rPr>
      <w:rFonts w:ascii="黑体" w:hAnsi="Arial" w:eastAsia="黑体" w:cs="宋体"/>
      <w:b/>
      <w:bCs/>
      <w:spacing w:val="8"/>
      <w:kern w:val="2"/>
      <w:sz w:val="30"/>
      <w:szCs w:val="24"/>
    </w:rPr>
  </w:style>
  <w:style w:type="paragraph" w:customStyle="1" w:styleId="953">
    <w:name w:val="4级标题"/>
    <w:basedOn w:val="84"/>
    <w:autoRedefine/>
    <w:qFormat/>
    <w:uiPriority w:val="0"/>
    <w:pPr>
      <w:widowControl w:val="0"/>
      <w:spacing w:before="0" w:after="0" w:line="480" w:lineRule="exact"/>
      <w:jc w:val="left"/>
      <w:outlineLvl w:val="3"/>
    </w:pPr>
    <w:rPr>
      <w:rFonts w:ascii="宋体" w:hAnsi="宋体" w:cs="Arial"/>
      <w:kern w:val="2"/>
      <w:sz w:val="24"/>
      <w:szCs w:val="24"/>
    </w:rPr>
  </w:style>
  <w:style w:type="paragraph" w:customStyle="1" w:styleId="954">
    <w:name w:val="Char Char21 Char Char Char Char"/>
    <w:basedOn w:val="1"/>
    <w:autoRedefine/>
    <w:qFormat/>
    <w:uiPriority w:val="0"/>
    <w:rPr>
      <w:rFonts w:ascii="黑体" w:hAnsi="黑体" w:eastAsia="黑体" w:cs="宋体"/>
      <w:b/>
      <w:spacing w:val="10"/>
      <w:kern w:val="44"/>
      <w:sz w:val="28"/>
    </w:rPr>
  </w:style>
  <w:style w:type="paragraph" w:customStyle="1" w:styleId="955">
    <w:name w:val="样式 表格文字 + (中文) 仿宋_GB2312"/>
    <w:basedOn w:val="201"/>
    <w:autoRedefine/>
    <w:qFormat/>
    <w:uiPriority w:val="0"/>
    <w:pPr>
      <w:snapToGrid w:val="0"/>
      <w:jc w:val="left"/>
    </w:pPr>
    <w:rPr>
      <w:rFonts w:hAnsi="仿宋_GB2312"/>
      <w:color w:val="800080"/>
      <w:kern w:val="0"/>
      <w:lang w:val="zh-CN"/>
    </w:rPr>
  </w:style>
  <w:style w:type="paragraph" w:customStyle="1" w:styleId="956">
    <w:name w:val="图形"/>
    <w:basedOn w:val="1"/>
    <w:autoRedefine/>
    <w:qFormat/>
    <w:uiPriority w:val="0"/>
    <w:pPr>
      <w:widowControl/>
      <w:spacing w:before="240" w:afterLines="50"/>
      <w:jc w:val="left"/>
    </w:pPr>
    <w:rPr>
      <w:rFonts w:ascii="仿宋_GB2312" w:hAnsi="仿宋_GB2312" w:eastAsia="黑体" w:cs="宋体"/>
      <w:kern w:val="0"/>
      <w:sz w:val="24"/>
      <w:lang w:val="zh-CN"/>
    </w:rPr>
  </w:style>
  <w:style w:type="paragraph" w:customStyle="1" w:styleId="957">
    <w:name w:val="图型标题"/>
    <w:basedOn w:val="1"/>
    <w:autoRedefine/>
    <w:qFormat/>
    <w:uiPriority w:val="0"/>
    <w:pPr>
      <w:widowControl/>
      <w:spacing w:beforeLines="50" w:afterLines="50"/>
      <w:ind w:firstLine="200" w:firstLineChars="200"/>
      <w:jc w:val="center"/>
    </w:pPr>
    <w:rPr>
      <w:rFonts w:ascii="黑体" w:hAnsi="仿宋_GB2312" w:eastAsia="黑体" w:cs="宋体"/>
      <w:kern w:val="0"/>
      <w:sz w:val="24"/>
      <w:lang w:val="zh-CN"/>
    </w:rPr>
  </w:style>
  <w:style w:type="paragraph" w:customStyle="1" w:styleId="958">
    <w:name w:val="样式 表格文字 + (中文) 仿宋_GB2312 首行缩进:  0.85 厘米"/>
    <w:basedOn w:val="201"/>
    <w:autoRedefine/>
    <w:qFormat/>
    <w:uiPriority w:val="0"/>
    <w:pPr>
      <w:jc w:val="left"/>
    </w:pPr>
    <w:rPr>
      <w:rFonts w:hAnsi="仿宋_GB2312"/>
      <w:color w:val="800080"/>
      <w:kern w:val="0"/>
      <w:lang w:val="zh-CN"/>
    </w:rPr>
  </w:style>
  <w:style w:type="paragraph" w:customStyle="1" w:styleId="959">
    <w:name w:val="样式 表格文字 + (中文) 仿宋_GB23121"/>
    <w:basedOn w:val="201"/>
    <w:autoRedefine/>
    <w:qFormat/>
    <w:uiPriority w:val="0"/>
    <w:pPr>
      <w:jc w:val="left"/>
    </w:pPr>
    <w:rPr>
      <w:rFonts w:hAnsi="仿宋_GB2312"/>
      <w:color w:val="800080"/>
      <w:kern w:val="0"/>
      <w:lang w:val="zh-CN"/>
    </w:rPr>
  </w:style>
  <w:style w:type="character" w:customStyle="1" w:styleId="960">
    <w:name w:val="样式 表格文字 + (中文) 仿宋_GB23121 Char"/>
    <w:autoRedefine/>
    <w:qFormat/>
    <w:uiPriority w:val="0"/>
    <w:rPr>
      <w:rFonts w:ascii="仿宋_GB2312" w:hAnsi="仿宋_GB2312" w:eastAsia="仿宋_GB2312"/>
      <w:spacing w:val="10"/>
      <w:kern w:val="44"/>
      <w:sz w:val="24"/>
      <w:szCs w:val="24"/>
      <w:lang w:val="zh-CN" w:eastAsia="zh-CN" w:bidi="ar-SA"/>
    </w:rPr>
  </w:style>
  <w:style w:type="character" w:customStyle="1" w:styleId="961">
    <w:name w:val="e91"/>
    <w:autoRedefine/>
    <w:qFormat/>
    <w:uiPriority w:val="0"/>
    <w:rPr>
      <w:rFonts w:hint="default" w:ascii="Arial" w:hAnsi="Arial" w:eastAsia="仿宋_GB2312" w:cs="Arial"/>
      <w:spacing w:val="10"/>
      <w:kern w:val="2"/>
      <w:sz w:val="21"/>
      <w:szCs w:val="21"/>
      <w:lang w:val="zh-CN" w:eastAsia="zh-CN" w:bidi="ar-SA"/>
    </w:rPr>
  </w:style>
  <w:style w:type="paragraph" w:customStyle="1" w:styleId="962">
    <w:name w:val="正文aa"/>
    <w:basedOn w:val="1"/>
    <w:autoRedefine/>
    <w:qFormat/>
    <w:uiPriority w:val="0"/>
    <w:pPr>
      <w:widowControl/>
      <w:spacing w:line="360" w:lineRule="auto"/>
      <w:ind w:firstLine="200" w:firstLineChars="200"/>
      <w:jc w:val="left"/>
    </w:pPr>
    <w:rPr>
      <w:rFonts w:ascii="宋体" w:hAnsi="宋体" w:cs="宋体"/>
      <w:sz w:val="24"/>
    </w:rPr>
  </w:style>
  <w:style w:type="character" w:customStyle="1" w:styleId="963">
    <w:name w:val="正文aa Char"/>
    <w:autoRedefine/>
    <w:qFormat/>
    <w:uiPriority w:val="0"/>
    <w:rPr>
      <w:rFonts w:ascii="仿宋_GB2312" w:hAnsi="黑体" w:eastAsia="宋体"/>
      <w:spacing w:val="10"/>
      <w:kern w:val="2"/>
      <w:sz w:val="24"/>
      <w:szCs w:val="24"/>
      <w:lang w:val="en-US" w:eastAsia="zh-CN" w:bidi="ar-SA"/>
    </w:rPr>
  </w:style>
  <w:style w:type="paragraph" w:customStyle="1" w:styleId="964">
    <w:name w:val="C"/>
    <w:basedOn w:val="936"/>
    <w:next w:val="962"/>
    <w:autoRedefine/>
    <w:qFormat/>
    <w:uiPriority w:val="0"/>
    <w:pPr>
      <w:keepNext/>
      <w:keepLines/>
      <w:widowControl/>
      <w:tabs>
        <w:tab w:val="left" w:pos="720"/>
      </w:tabs>
      <w:spacing w:beforeLines="0" w:afterLines="0" w:line="360" w:lineRule="auto"/>
      <w:ind w:left="720" w:hanging="720"/>
      <w:jc w:val="left"/>
      <w:outlineLvl w:val="2"/>
    </w:pPr>
    <w:rPr>
      <w:b w:val="0"/>
      <w:bCs/>
      <w:kern w:val="44"/>
      <w:sz w:val="24"/>
      <w:szCs w:val="24"/>
    </w:rPr>
  </w:style>
  <w:style w:type="paragraph" w:customStyle="1" w:styleId="965">
    <w:name w:val="D"/>
    <w:basedOn w:val="964"/>
    <w:next w:val="1"/>
    <w:autoRedefine/>
    <w:qFormat/>
    <w:uiPriority w:val="0"/>
    <w:pPr>
      <w:tabs>
        <w:tab w:val="left" w:pos="1770"/>
        <w:tab w:val="clear" w:pos="720"/>
      </w:tabs>
      <w:ind w:left="1770" w:hanging="864"/>
      <w:outlineLvl w:val="3"/>
    </w:pPr>
  </w:style>
  <w:style w:type="paragraph" w:customStyle="1" w:styleId="966">
    <w:name w:val="xd"/>
    <w:basedOn w:val="1"/>
    <w:autoRedefine/>
    <w:qFormat/>
    <w:uiPriority w:val="0"/>
    <w:pPr>
      <w:widowControl/>
      <w:spacing w:line="400" w:lineRule="exact"/>
      <w:jc w:val="left"/>
    </w:pPr>
    <w:rPr>
      <w:rFonts w:ascii="仿宋_GB2312" w:hAnsi="仿宋_GB2312" w:eastAsia="仿宋_GB2312" w:cs="宋体"/>
      <w:color w:val="000000"/>
      <w:kern w:val="0"/>
      <w:sz w:val="24"/>
      <w:lang w:val="zh-CN"/>
    </w:rPr>
  </w:style>
  <w:style w:type="character" w:customStyle="1" w:styleId="967">
    <w:name w:val="C Char"/>
    <w:autoRedefine/>
    <w:qFormat/>
    <w:uiPriority w:val="0"/>
    <w:rPr>
      <w:rFonts w:ascii="仿宋_GB2312" w:hAnsi="黑体" w:eastAsia="宋体"/>
      <w:b/>
      <w:bCs/>
      <w:spacing w:val="10"/>
      <w:kern w:val="44"/>
      <w:sz w:val="24"/>
      <w:szCs w:val="24"/>
      <w:lang w:val="en-US" w:eastAsia="zh-CN" w:bidi="ar-SA"/>
    </w:rPr>
  </w:style>
  <w:style w:type="paragraph" w:customStyle="1" w:styleId="968">
    <w:name w:val="表内式样"/>
    <w:autoRedefine/>
    <w:qFormat/>
    <w:uiPriority w:val="0"/>
    <w:pPr>
      <w:widowControl w:val="0"/>
      <w:spacing w:line="240" w:lineRule="exact"/>
      <w:jc w:val="center"/>
    </w:pPr>
    <w:rPr>
      <w:rFonts w:ascii="Times New Roman" w:hAnsi="Times New Roman" w:cs="Times New Roman" w:eastAsiaTheme="minorEastAsia"/>
      <w:kern w:val="2"/>
      <w:sz w:val="21"/>
      <w:szCs w:val="24"/>
      <w:lang w:val="en-US" w:eastAsia="zh-CN" w:bidi="ar-SA"/>
    </w:rPr>
  </w:style>
  <w:style w:type="character" w:customStyle="1" w:styleId="969">
    <w:name w:val="zw1"/>
    <w:autoRedefine/>
    <w:qFormat/>
    <w:uiPriority w:val="0"/>
    <w:rPr>
      <w:rFonts w:hint="eastAsia" w:ascii="宋体" w:hAnsi="宋体" w:eastAsia="宋体"/>
      <w:spacing w:val="400"/>
      <w:kern w:val="2"/>
      <w:sz w:val="22"/>
      <w:szCs w:val="22"/>
      <w:lang w:val="en-US" w:eastAsia="zh-CN" w:bidi="ar-SA"/>
    </w:rPr>
  </w:style>
  <w:style w:type="character" w:customStyle="1" w:styleId="970">
    <w:name w:val="bt21"/>
    <w:autoRedefine/>
    <w:qFormat/>
    <w:uiPriority w:val="0"/>
    <w:rPr>
      <w:rFonts w:hint="eastAsia" w:ascii="黑体" w:eastAsia="黑体"/>
      <w:spacing w:val="400"/>
      <w:kern w:val="2"/>
      <w:sz w:val="24"/>
      <w:szCs w:val="24"/>
      <w:lang w:val="en-US" w:eastAsia="zh-CN" w:bidi="ar-SA"/>
    </w:rPr>
  </w:style>
  <w:style w:type="paragraph" w:customStyle="1" w:styleId="971">
    <w:name w:val="我的样式5"/>
    <w:basedOn w:val="1"/>
    <w:next w:val="1"/>
    <w:autoRedefine/>
    <w:qFormat/>
    <w:uiPriority w:val="0"/>
    <w:pPr>
      <w:tabs>
        <w:tab w:val="left" w:pos="360"/>
        <w:tab w:val="left" w:pos="900"/>
      </w:tabs>
      <w:spacing w:line="520" w:lineRule="exact"/>
    </w:pPr>
    <w:rPr>
      <w:rFonts w:ascii="宋体" w:hAnsi="宋体" w:cs="宋体"/>
      <w:sz w:val="24"/>
    </w:rPr>
  </w:style>
  <w:style w:type="paragraph" w:customStyle="1" w:styleId="972">
    <w:name w:val="项目符号1"/>
    <w:basedOn w:val="1"/>
    <w:autoRedefine/>
    <w:qFormat/>
    <w:uiPriority w:val="0"/>
    <w:pPr>
      <w:tabs>
        <w:tab w:val="left" w:pos="360"/>
        <w:tab w:val="left" w:pos="935"/>
      </w:tabs>
      <w:snapToGrid w:val="0"/>
      <w:spacing w:before="120" w:after="120" w:line="312" w:lineRule="auto"/>
      <w:ind w:left="935" w:hanging="360" w:hangingChars="200"/>
    </w:pPr>
    <w:rPr>
      <w:rFonts w:ascii="Arial" w:hAnsi="Arial" w:eastAsia="KaiTi_GB2312" w:cs="宋体"/>
      <w:b/>
      <w:sz w:val="28"/>
    </w:rPr>
  </w:style>
  <w:style w:type="paragraph" w:customStyle="1" w:styleId="973">
    <w:name w:val="正文样式1"/>
    <w:basedOn w:val="1"/>
    <w:autoRedefine/>
    <w:qFormat/>
    <w:uiPriority w:val="0"/>
    <w:pPr>
      <w:adjustRightInd w:val="0"/>
      <w:spacing w:line="360" w:lineRule="auto"/>
      <w:ind w:firstLine="480" w:firstLineChars="200"/>
      <w:textAlignment w:val="baseline"/>
    </w:pPr>
    <w:rPr>
      <w:rFonts w:ascii="Arial" w:hAnsi="Arial" w:cs="Arial"/>
      <w:kern w:val="0"/>
      <w:sz w:val="24"/>
    </w:rPr>
  </w:style>
  <w:style w:type="character" w:customStyle="1" w:styleId="974">
    <w:name w:val="12font1"/>
    <w:autoRedefine/>
    <w:qFormat/>
    <w:uiPriority w:val="0"/>
    <w:rPr>
      <w:rFonts w:eastAsia="宋体"/>
      <w:kern w:val="2"/>
      <w:sz w:val="18"/>
      <w:szCs w:val="18"/>
      <w:lang w:val="en-US" w:eastAsia="zh-CN" w:bidi="ar-SA"/>
    </w:rPr>
  </w:style>
  <w:style w:type="character" w:customStyle="1" w:styleId="975">
    <w:name w:val="dectext1"/>
    <w:autoRedefine/>
    <w:qFormat/>
    <w:uiPriority w:val="0"/>
    <w:rPr>
      <w:rFonts w:hint="eastAsia" w:ascii="宋体" w:hAnsi="宋体" w:eastAsia="宋体"/>
      <w:color w:val="333333"/>
      <w:kern w:val="2"/>
      <w:sz w:val="28"/>
      <w:szCs w:val="28"/>
      <w:u w:val="none"/>
      <w:lang w:val="en-US" w:eastAsia="zh-CN" w:bidi="ar-SA"/>
    </w:rPr>
  </w:style>
  <w:style w:type="paragraph" w:customStyle="1" w:styleId="976">
    <w:name w:val="表格，五宋"/>
    <w:autoRedefine/>
    <w:qFormat/>
    <w:uiPriority w:val="0"/>
    <w:pPr>
      <w:adjustRightInd w:val="0"/>
      <w:spacing w:line="360" w:lineRule="exact"/>
      <w:jc w:val="center"/>
    </w:pPr>
    <w:rPr>
      <w:rFonts w:ascii="Times New Roman" w:hAnsi="Times New Roman" w:cs="Times New Roman" w:eastAsiaTheme="minorEastAsia"/>
      <w:sz w:val="21"/>
      <w:lang w:val="en-US" w:eastAsia="zh-CN" w:bidi="ar-SA"/>
    </w:rPr>
  </w:style>
  <w:style w:type="paragraph" w:customStyle="1" w:styleId="977">
    <w:name w:val="自定义正文"/>
    <w:basedOn w:val="1"/>
    <w:autoRedefine/>
    <w:qFormat/>
    <w:uiPriority w:val="0"/>
    <w:pPr>
      <w:adjustRightInd w:val="0"/>
      <w:snapToGrid w:val="0"/>
      <w:spacing w:line="360" w:lineRule="auto"/>
      <w:ind w:firstLine="560" w:firstLineChars="200"/>
      <w:textAlignment w:val="baseline"/>
    </w:pPr>
    <w:rPr>
      <w:rFonts w:ascii="宋体" w:hAnsi="宋体" w:cs="宋体"/>
      <w:kern w:val="0"/>
      <w:sz w:val="24"/>
    </w:rPr>
  </w:style>
  <w:style w:type="paragraph" w:customStyle="1" w:styleId="978">
    <w:name w:val="xl340"/>
    <w:basedOn w:val="1"/>
    <w:autoRedefine/>
    <w:qFormat/>
    <w:uiPriority w:val="0"/>
    <w:pPr>
      <w:widowControl/>
      <w:snapToGrid w:val="0"/>
      <w:spacing w:before="100" w:after="100" w:line="360" w:lineRule="auto"/>
      <w:ind w:firstLine="590" w:firstLineChars="200"/>
      <w:textAlignment w:val="center"/>
    </w:pPr>
    <w:rPr>
      <w:rFonts w:ascii="宋体" w:hAnsi="宋体" w:cs="宋体"/>
      <w:kern w:val="0"/>
      <w:sz w:val="24"/>
    </w:rPr>
  </w:style>
  <w:style w:type="character" w:customStyle="1" w:styleId="979">
    <w:name w:val="unnamed31"/>
    <w:autoRedefine/>
    <w:qFormat/>
    <w:uiPriority w:val="0"/>
    <w:rPr>
      <w:rFonts w:eastAsia="宋体"/>
      <w:color w:val="000000"/>
      <w:spacing w:val="408"/>
      <w:kern w:val="2"/>
      <w:sz w:val="20"/>
      <w:szCs w:val="20"/>
      <w:u w:val="none"/>
      <w:lang w:val="en-US" w:eastAsia="zh-CN" w:bidi="ar-SA"/>
    </w:rPr>
  </w:style>
  <w:style w:type="paragraph" w:customStyle="1" w:styleId="980">
    <w:name w:val="表目录"/>
    <w:basedOn w:val="1"/>
    <w:autoRedefine/>
    <w:qFormat/>
    <w:uiPriority w:val="0"/>
    <w:pPr>
      <w:adjustRightInd w:val="0"/>
      <w:snapToGrid w:val="0"/>
      <w:spacing w:line="360" w:lineRule="auto"/>
    </w:pPr>
    <w:rPr>
      <w:rFonts w:ascii="黑体" w:hAnsi="宋体" w:eastAsia="黑体" w:cs="宋体"/>
      <w:szCs w:val="21"/>
    </w:rPr>
  </w:style>
  <w:style w:type="character" w:customStyle="1" w:styleId="981">
    <w:name w:val="f9wen1"/>
    <w:autoRedefine/>
    <w:qFormat/>
    <w:uiPriority w:val="0"/>
    <w:rPr>
      <w:rFonts w:eastAsia="宋体"/>
      <w:spacing w:val="12"/>
      <w:kern w:val="2"/>
      <w:sz w:val="18"/>
      <w:szCs w:val="18"/>
      <w:u w:val="none"/>
      <w:lang w:val="en-US" w:eastAsia="zh-CN" w:bidi="ar-SA"/>
    </w:rPr>
  </w:style>
  <w:style w:type="paragraph" w:customStyle="1" w:styleId="982">
    <w:name w:val="自正文1"/>
    <w:basedOn w:val="1"/>
    <w:autoRedefine/>
    <w:qFormat/>
    <w:uiPriority w:val="0"/>
    <w:pPr>
      <w:tabs>
        <w:tab w:val="left" w:pos="5670"/>
      </w:tabs>
      <w:textAlignment w:val="baseline"/>
    </w:pPr>
    <w:rPr>
      <w:rFonts w:ascii="宋体" w:hAnsi="宋体" w:cs="宋体"/>
      <w:kern w:val="24"/>
      <w:sz w:val="30"/>
    </w:rPr>
  </w:style>
  <w:style w:type="character" w:customStyle="1" w:styleId="983">
    <w:name w:val="a11"/>
    <w:autoRedefine/>
    <w:qFormat/>
    <w:uiPriority w:val="0"/>
    <w:rPr>
      <w:rFonts w:eastAsia="宋体"/>
      <w:spacing w:val="360"/>
      <w:kern w:val="2"/>
      <w:sz w:val="20"/>
      <w:szCs w:val="20"/>
      <w:lang w:val="en-US" w:eastAsia="zh-CN" w:bidi="ar-SA"/>
    </w:rPr>
  </w:style>
  <w:style w:type="paragraph" w:customStyle="1" w:styleId="984">
    <w:name w:val="图表名称"/>
    <w:basedOn w:val="1"/>
    <w:autoRedefine/>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cs="宋体"/>
      <w:b/>
      <w:bCs/>
      <w:kern w:val="0"/>
    </w:rPr>
  </w:style>
  <w:style w:type="paragraph" w:customStyle="1" w:styleId="985">
    <w:name w:val="wtext"/>
    <w:basedOn w:val="1"/>
    <w:autoRedefine/>
    <w:qFormat/>
    <w:uiPriority w:val="0"/>
    <w:pPr>
      <w:widowControl/>
      <w:snapToGrid w:val="0"/>
      <w:spacing w:before="100" w:beforeAutospacing="1" w:after="100" w:afterAutospacing="1" w:line="360" w:lineRule="auto"/>
      <w:jc w:val="left"/>
    </w:pPr>
    <w:rPr>
      <w:rFonts w:ascii="Arial Unicode MS" w:hAnsi="Arial Unicode MS" w:eastAsia="Arial Unicode MS" w:cs="宋体"/>
      <w:kern w:val="0"/>
      <w:sz w:val="24"/>
    </w:rPr>
  </w:style>
  <w:style w:type="character" w:customStyle="1" w:styleId="986">
    <w:name w:val="row1"/>
    <w:autoRedefine/>
    <w:qFormat/>
    <w:uiPriority w:val="0"/>
    <w:rPr>
      <w:rFonts w:eastAsia="宋体"/>
      <w:color w:val="333333"/>
      <w:spacing w:val="480"/>
      <w:kern w:val="2"/>
      <w:sz w:val="18"/>
      <w:szCs w:val="18"/>
      <w:u w:val="none"/>
      <w:lang w:val="en-US" w:eastAsia="zh-CN" w:bidi="ar-SA"/>
    </w:rPr>
  </w:style>
  <w:style w:type="paragraph" w:customStyle="1" w:styleId="987">
    <w:name w:val="图表说明"/>
    <w:basedOn w:val="982"/>
    <w:autoRedefine/>
    <w:qFormat/>
    <w:uiPriority w:val="0"/>
    <w:pPr>
      <w:tabs>
        <w:tab w:val="left" w:pos="0"/>
      </w:tabs>
      <w:spacing w:line="400" w:lineRule="exact"/>
      <w:ind w:firstLine="3600" w:firstLineChars="1500"/>
    </w:pPr>
    <w:rPr>
      <w:rFonts w:hAnsi="Times New Roman"/>
      <w:sz w:val="24"/>
    </w:rPr>
  </w:style>
  <w:style w:type="paragraph" w:customStyle="1" w:styleId="988">
    <w:name w:val="样式 标题 3 + (中文) 黑体 小四 非加粗"/>
    <w:basedOn w:val="5"/>
    <w:autoRedefine/>
    <w:qFormat/>
    <w:uiPriority w:val="0"/>
    <w:pPr>
      <w:tabs>
        <w:tab w:val="left" w:pos="7200"/>
      </w:tabs>
      <w:spacing w:before="120" w:after="120" w:line="360" w:lineRule="auto"/>
    </w:pPr>
    <w:rPr>
      <w:rFonts w:ascii="KaiTi_GB2312" w:hAnsi="Calibri" w:eastAsia="KaiTi_GB2312" w:cs="宋体"/>
      <w:bCs w:val="0"/>
      <w:sz w:val="30"/>
      <w:szCs w:val="30"/>
    </w:rPr>
  </w:style>
  <w:style w:type="paragraph" w:customStyle="1" w:styleId="989">
    <w:name w:val="456"/>
    <w:basedOn w:val="6"/>
    <w:autoRedefine/>
    <w:qFormat/>
    <w:uiPriority w:val="0"/>
    <w:pPr>
      <w:widowControl w:val="0"/>
      <w:tabs>
        <w:tab w:val="clear" w:pos="1276"/>
      </w:tabs>
      <w:spacing w:beforeLines="50" w:afterLines="50" w:line="376" w:lineRule="auto"/>
      <w:ind w:left="0" w:firstLine="0"/>
      <w:jc w:val="both"/>
    </w:pPr>
    <w:rPr>
      <w:rFonts w:eastAsia="黑体"/>
      <w:b w:val="0"/>
      <w:kern w:val="2"/>
      <w:sz w:val="30"/>
      <w:szCs w:val="30"/>
    </w:rPr>
  </w:style>
  <w:style w:type="paragraph" w:customStyle="1" w:styleId="990">
    <w:name w:val="我的正文 Char Char"/>
    <w:basedOn w:val="1"/>
    <w:autoRedefine/>
    <w:qFormat/>
    <w:uiPriority w:val="0"/>
    <w:pPr>
      <w:spacing w:line="480" w:lineRule="exact"/>
      <w:ind w:firstLine="200" w:firstLineChars="200"/>
    </w:pPr>
    <w:rPr>
      <w:rFonts w:ascii="宋体" w:hAnsi="宋体" w:cs="宋体"/>
      <w:sz w:val="24"/>
    </w:rPr>
  </w:style>
  <w:style w:type="paragraph" w:customStyle="1" w:styleId="991">
    <w:name w:val="我的正文"/>
    <w:basedOn w:val="35"/>
    <w:autoRedefine/>
    <w:qFormat/>
    <w:uiPriority w:val="0"/>
    <w:pPr>
      <w:adjustRightInd w:val="0"/>
      <w:spacing w:after="0" w:line="480" w:lineRule="exact"/>
      <w:ind w:left="0" w:leftChars="0" w:firstLine="200" w:firstLineChars="200"/>
      <w:textAlignment w:val="baseline"/>
    </w:pPr>
    <w:rPr>
      <w:rFonts w:ascii="Calibri" w:hAnsi="Calibri" w:cs="宋体"/>
      <w:kern w:val="0"/>
      <w:sz w:val="28"/>
    </w:rPr>
  </w:style>
  <w:style w:type="paragraph" w:customStyle="1" w:styleId="992">
    <w:name w:val="四级目录"/>
    <w:basedOn w:val="1"/>
    <w:autoRedefine/>
    <w:qFormat/>
    <w:uiPriority w:val="0"/>
    <w:pPr>
      <w:spacing w:line="500" w:lineRule="exact"/>
      <w:ind w:left="200" w:leftChars="200" w:firstLine="200" w:firstLineChars="200"/>
    </w:pPr>
    <w:rPr>
      <w:rFonts w:ascii="宋体" w:hAnsi="宋体" w:cs="宋体"/>
      <w:sz w:val="28"/>
      <w:szCs w:val="28"/>
    </w:rPr>
  </w:style>
  <w:style w:type="paragraph" w:customStyle="1" w:styleId="993">
    <w:name w:val="正文首行缩进2字符"/>
    <w:basedOn w:val="1"/>
    <w:autoRedefine/>
    <w:qFormat/>
    <w:uiPriority w:val="0"/>
    <w:pPr>
      <w:spacing w:line="500" w:lineRule="exact"/>
      <w:ind w:firstLine="200" w:firstLineChars="200"/>
    </w:pPr>
    <w:rPr>
      <w:rFonts w:ascii="宋体" w:hAnsi="宋体" w:cs="宋体"/>
      <w:sz w:val="28"/>
      <w:szCs w:val="28"/>
    </w:rPr>
  </w:style>
  <w:style w:type="paragraph" w:customStyle="1" w:styleId="994">
    <w:name w:val="三级目录"/>
    <w:basedOn w:val="5"/>
    <w:autoRedefine/>
    <w:qFormat/>
    <w:uiPriority w:val="0"/>
    <w:pPr>
      <w:spacing w:before="0" w:after="0" w:line="360" w:lineRule="auto"/>
      <w:ind w:firstLine="200" w:firstLineChars="200"/>
    </w:pPr>
    <w:rPr>
      <w:rFonts w:ascii="宋体" w:hAnsi="宋体" w:cs="宋体"/>
      <w:sz w:val="28"/>
      <w:szCs w:val="28"/>
    </w:rPr>
  </w:style>
  <w:style w:type="paragraph" w:customStyle="1" w:styleId="995">
    <w:name w:val="正文首行缩进6字符"/>
    <w:basedOn w:val="992"/>
    <w:autoRedefine/>
    <w:qFormat/>
    <w:uiPriority w:val="0"/>
    <w:pPr>
      <w:ind w:left="400" w:leftChars="400"/>
    </w:pPr>
  </w:style>
  <w:style w:type="paragraph" w:customStyle="1" w:styleId="996">
    <w:name w:val="环标1"/>
    <w:basedOn w:val="3"/>
    <w:autoRedefine/>
    <w:qFormat/>
    <w:uiPriority w:val="0"/>
    <w:pPr>
      <w:keepNext w:val="0"/>
      <w:widowControl w:val="0"/>
      <w:numPr>
        <w:numId w:val="0"/>
      </w:numPr>
      <w:adjustRightInd w:val="0"/>
      <w:spacing w:after="120" w:line="312" w:lineRule="atLeast"/>
      <w:textAlignment w:val="baseline"/>
    </w:pPr>
    <w:rPr>
      <w:rFonts w:ascii="黑体" w:hAnsi="Courier New" w:eastAsia="黑体"/>
      <w:kern w:val="44"/>
      <w:szCs w:val="20"/>
    </w:rPr>
  </w:style>
  <w:style w:type="character" w:customStyle="1" w:styleId="997">
    <w:name w:val="apple-style-span"/>
    <w:autoRedefine/>
    <w:qFormat/>
    <w:uiPriority w:val="0"/>
    <w:rPr>
      <w:rFonts w:eastAsia="宋体"/>
      <w:kern w:val="2"/>
      <w:sz w:val="28"/>
      <w:szCs w:val="28"/>
      <w:lang w:val="en-US" w:eastAsia="zh-CN" w:bidi="ar-SA"/>
    </w:rPr>
  </w:style>
  <w:style w:type="character" w:customStyle="1" w:styleId="998">
    <w:name w:val="color2"/>
    <w:autoRedefine/>
    <w:qFormat/>
    <w:uiPriority w:val="0"/>
    <w:rPr>
      <w:rFonts w:eastAsia="宋体"/>
      <w:kern w:val="2"/>
      <w:sz w:val="28"/>
      <w:szCs w:val="28"/>
      <w:lang w:val="en-US" w:eastAsia="zh-CN" w:bidi="ar-SA"/>
    </w:rPr>
  </w:style>
  <w:style w:type="paragraph" w:customStyle="1" w:styleId="999">
    <w:name w:val="样式 标题 3标2标题 3 Char Char Char + 段前: 0.5 行1"/>
    <w:basedOn w:val="5"/>
    <w:autoRedefine/>
    <w:qFormat/>
    <w:uiPriority w:val="0"/>
    <w:pPr>
      <w:keepLines w:val="0"/>
      <w:widowControl/>
      <w:tabs>
        <w:tab w:val="left" w:pos="907"/>
      </w:tabs>
      <w:spacing w:beforeLines="50" w:after="0" w:line="360" w:lineRule="auto"/>
      <w:ind w:left="907" w:hanging="907"/>
      <w:jc w:val="left"/>
    </w:pPr>
    <w:rPr>
      <w:rFonts w:ascii="Arial" w:hAnsi="Arial" w:eastAsia="黑体" w:cs="宋体"/>
      <w:b w:val="0"/>
      <w:bCs w:val="0"/>
      <w:kern w:val="0"/>
      <w:sz w:val="24"/>
      <w:szCs w:val="20"/>
    </w:rPr>
  </w:style>
  <w:style w:type="paragraph" w:customStyle="1" w:styleId="1000">
    <w:name w:val="标题6"/>
    <w:basedOn w:val="1"/>
    <w:autoRedefine/>
    <w:qFormat/>
    <w:uiPriority w:val="0"/>
    <w:pPr>
      <w:tabs>
        <w:tab w:val="left" w:pos="709"/>
      </w:tabs>
      <w:ind w:left="709" w:hanging="709"/>
    </w:pPr>
    <w:rPr>
      <w:rFonts w:ascii="宋体" w:hAnsi="宋体" w:cs="宋体"/>
    </w:rPr>
  </w:style>
  <w:style w:type="paragraph" w:customStyle="1" w:styleId="1001">
    <w:name w:val="标题5"/>
    <w:basedOn w:val="1"/>
    <w:autoRedefine/>
    <w:qFormat/>
    <w:uiPriority w:val="0"/>
    <w:pPr>
      <w:widowControl/>
      <w:tabs>
        <w:tab w:val="left" w:pos="9000"/>
      </w:tabs>
      <w:autoSpaceDE w:val="0"/>
      <w:autoSpaceDN w:val="0"/>
      <w:snapToGrid w:val="0"/>
      <w:spacing w:line="360" w:lineRule="auto"/>
      <w:textAlignment w:val="bottom"/>
    </w:pPr>
    <w:rPr>
      <w:rFonts w:ascii="宋体" w:hAnsi="宋体" w:cs="宋体"/>
      <w:sz w:val="28"/>
    </w:rPr>
  </w:style>
  <w:style w:type="paragraph" w:customStyle="1" w:styleId="1002">
    <w:name w:val="首行缩进2+小四"/>
    <w:basedOn w:val="1"/>
    <w:autoRedefine/>
    <w:qFormat/>
    <w:uiPriority w:val="0"/>
    <w:pPr>
      <w:spacing w:line="360" w:lineRule="auto"/>
      <w:ind w:firstLine="480" w:firstLineChars="200"/>
    </w:pPr>
    <w:rPr>
      <w:rFonts w:ascii="Arial" w:hAnsi="Arial" w:cs="宋体"/>
      <w:sz w:val="24"/>
    </w:rPr>
  </w:style>
  <w:style w:type="paragraph" w:customStyle="1" w:styleId="1003">
    <w:name w:val="正文0712"/>
    <w:basedOn w:val="9"/>
    <w:autoRedefine/>
    <w:qFormat/>
    <w:uiPriority w:val="0"/>
    <w:pPr>
      <w:adjustRightInd/>
      <w:snapToGrid/>
      <w:spacing w:line="360" w:lineRule="auto"/>
      <w:ind w:right="-157" w:rightChars="-157"/>
    </w:pPr>
    <w:rPr>
      <w:rFonts w:ascii="Calibri" w:hAnsi="Calibri" w:eastAsia="宋体" w:cs="宋体"/>
      <w:color w:val="auto"/>
      <w:sz w:val="24"/>
    </w:rPr>
  </w:style>
  <w:style w:type="character" w:customStyle="1" w:styleId="1004">
    <w:name w:val="章节 Char5"/>
    <w:autoRedefine/>
    <w:qFormat/>
    <w:uiPriority w:val="0"/>
    <w:rPr>
      <w:rFonts w:ascii="KaiTi_GB2312" w:eastAsia="KaiTi_GB2312"/>
      <w:b/>
      <w:kern w:val="44"/>
      <w:sz w:val="30"/>
      <w:szCs w:val="24"/>
      <w:lang w:val="en-US" w:eastAsia="zh-CN" w:bidi="ar-SA"/>
    </w:rPr>
  </w:style>
  <w:style w:type="character" w:customStyle="1" w:styleId="1005">
    <w:name w:val="第一章 标题 2 Char"/>
    <w:autoRedefine/>
    <w:qFormat/>
    <w:uiPriority w:val="0"/>
    <w:rPr>
      <w:rFonts w:eastAsia="仿宋_GB2312"/>
      <w:b/>
      <w:bCs/>
      <w:kern w:val="2"/>
      <w:sz w:val="28"/>
      <w:szCs w:val="32"/>
      <w:lang w:val="en-US" w:eastAsia="zh-CN" w:bidi="ar-SA"/>
    </w:rPr>
  </w:style>
  <w:style w:type="character" w:customStyle="1" w:styleId="1006">
    <w:name w:val="第二层条 Char3"/>
    <w:autoRedefine/>
    <w:qFormat/>
    <w:uiPriority w:val="0"/>
    <w:rPr>
      <w:rFonts w:ascii="仿宋_GB2312" w:eastAsia="仿宋_GB2312"/>
      <w:kern w:val="2"/>
      <w:sz w:val="28"/>
      <w:szCs w:val="24"/>
      <w:lang w:val="en-US" w:eastAsia="zh-CN" w:bidi="ar-SA"/>
    </w:rPr>
  </w:style>
  <w:style w:type="character" w:customStyle="1" w:styleId="1007">
    <w:name w:val="第四层条 Char2"/>
    <w:autoRedefine/>
    <w:qFormat/>
    <w:uiPriority w:val="0"/>
    <w:rPr>
      <w:rFonts w:eastAsia="宋体"/>
      <w:spacing w:val="5"/>
      <w:kern w:val="2"/>
      <w:sz w:val="28"/>
      <w:szCs w:val="24"/>
      <w:lang w:val="en-US" w:eastAsia="zh-CN" w:bidi="ar-SA"/>
    </w:rPr>
  </w:style>
  <w:style w:type="character" w:customStyle="1" w:styleId="1008">
    <w:name w:val="项标题(1) Char2"/>
    <w:autoRedefine/>
    <w:qFormat/>
    <w:uiPriority w:val="0"/>
    <w:rPr>
      <w:rFonts w:eastAsia="宋体"/>
      <w:spacing w:val="5"/>
      <w:kern w:val="2"/>
      <w:sz w:val="28"/>
      <w:szCs w:val="24"/>
      <w:lang w:val="en-US" w:eastAsia="zh-CN" w:bidi="ar-SA"/>
    </w:rPr>
  </w:style>
  <w:style w:type="character" w:customStyle="1" w:styleId="1009">
    <w:name w:val="work4"/>
    <w:autoRedefine/>
    <w:qFormat/>
    <w:uiPriority w:val="0"/>
    <w:rPr>
      <w:spacing w:val="360"/>
      <w:sz w:val="18"/>
      <w:szCs w:val="18"/>
      <w:u w:val="none"/>
    </w:rPr>
  </w:style>
  <w:style w:type="paragraph" w:customStyle="1" w:styleId="1010">
    <w:name w:val="中表格"/>
    <w:basedOn w:val="1"/>
    <w:autoRedefine/>
    <w:qFormat/>
    <w:uiPriority w:val="0"/>
    <w:pPr>
      <w:spacing w:line="420" w:lineRule="exact"/>
      <w:jc w:val="center"/>
    </w:pPr>
    <w:rPr>
      <w:rFonts w:ascii="宋体" w:hAnsi="Arial" w:cs="宋体"/>
      <w:sz w:val="24"/>
    </w:rPr>
  </w:style>
  <w:style w:type="paragraph" w:customStyle="1" w:styleId="1011">
    <w:name w:val="大表格"/>
    <w:basedOn w:val="1010"/>
    <w:autoRedefine/>
    <w:qFormat/>
    <w:uiPriority w:val="0"/>
    <w:pPr>
      <w:spacing w:line="480" w:lineRule="exact"/>
    </w:pPr>
    <w:rPr>
      <w:sz w:val="28"/>
    </w:rPr>
  </w:style>
  <w:style w:type="paragraph" w:customStyle="1" w:styleId="1012">
    <w:name w:val="正文图小五"/>
    <w:basedOn w:val="1"/>
    <w:autoRedefine/>
    <w:qFormat/>
    <w:uiPriority w:val="0"/>
    <w:pPr>
      <w:adjustRightInd w:val="0"/>
      <w:snapToGrid w:val="0"/>
      <w:jc w:val="center"/>
    </w:pPr>
    <w:rPr>
      <w:rFonts w:ascii="宋体" w:hAnsi="宋体" w:eastAsia="黑体" w:cs="宋体"/>
      <w:spacing w:val="6"/>
    </w:rPr>
  </w:style>
  <w:style w:type="paragraph" w:customStyle="1" w:styleId="1013">
    <w:name w:val="正文图小四"/>
    <w:basedOn w:val="1"/>
    <w:autoRedefine/>
    <w:qFormat/>
    <w:uiPriority w:val="0"/>
    <w:pPr>
      <w:adjustRightInd w:val="0"/>
      <w:snapToGrid w:val="0"/>
      <w:jc w:val="center"/>
      <w:textAlignment w:val="baseline"/>
    </w:pPr>
    <w:rPr>
      <w:rFonts w:ascii="宋体" w:hAnsi="宋体" w:cs="宋体"/>
      <w:kern w:val="0"/>
      <w:sz w:val="24"/>
    </w:rPr>
  </w:style>
  <w:style w:type="paragraph" w:customStyle="1" w:styleId="1014">
    <w:name w:val="正文图五"/>
    <w:basedOn w:val="1"/>
    <w:autoRedefine/>
    <w:qFormat/>
    <w:uiPriority w:val="0"/>
    <w:pPr>
      <w:adjustRightInd w:val="0"/>
      <w:snapToGrid w:val="0"/>
      <w:spacing w:line="220" w:lineRule="exact"/>
      <w:jc w:val="center"/>
    </w:pPr>
    <w:rPr>
      <w:rFonts w:ascii="Arial" w:hAnsi="Arial" w:eastAsia="仿宋_GB2312" w:cs="宋体"/>
      <w:snapToGrid w:val="0"/>
      <w:spacing w:val="6"/>
      <w:szCs w:val="21"/>
    </w:rPr>
  </w:style>
  <w:style w:type="paragraph" w:customStyle="1" w:styleId="1015">
    <w:name w:val="正文图 Char"/>
    <w:basedOn w:val="1"/>
    <w:link w:val="1016"/>
    <w:autoRedefine/>
    <w:qFormat/>
    <w:uiPriority w:val="0"/>
    <w:pPr>
      <w:adjustRightInd w:val="0"/>
      <w:snapToGrid w:val="0"/>
      <w:jc w:val="center"/>
      <w:textAlignment w:val="baseline"/>
    </w:pPr>
    <w:rPr>
      <w:rFonts w:ascii="宋体" w:hAnsi="Calibri" w:cs="宋体"/>
      <w:sz w:val="24"/>
    </w:rPr>
  </w:style>
  <w:style w:type="character" w:customStyle="1" w:styleId="1016">
    <w:name w:val="正文图 Char Char"/>
    <w:link w:val="1015"/>
    <w:autoRedefine/>
    <w:qFormat/>
    <w:uiPriority w:val="0"/>
    <w:rPr>
      <w:rFonts w:ascii="宋体" w:hAnsi="Calibri" w:cs="宋体"/>
      <w:kern w:val="2"/>
      <w:sz w:val="24"/>
      <w:szCs w:val="24"/>
    </w:rPr>
  </w:style>
  <w:style w:type="paragraph" w:customStyle="1" w:styleId="1017">
    <w:name w:val="文本框文字"/>
    <w:basedOn w:val="1"/>
    <w:autoRedefine/>
    <w:qFormat/>
    <w:uiPriority w:val="0"/>
    <w:pPr>
      <w:adjustRightInd w:val="0"/>
      <w:jc w:val="center"/>
      <w:textAlignment w:val="baseline"/>
    </w:pPr>
    <w:rPr>
      <w:rFonts w:ascii="宋体" w:hAnsi="宋体" w:cs="宋体"/>
      <w:kern w:val="0"/>
    </w:rPr>
  </w:style>
  <w:style w:type="character" w:customStyle="1" w:styleId="1018">
    <w:name w:val="标题 2 Char Char"/>
    <w:autoRedefine/>
    <w:qFormat/>
    <w:uiPriority w:val="0"/>
    <w:rPr>
      <w:rFonts w:ascii="仿宋_GB2312" w:hAnsi="宋体" w:eastAsia="仿宋_GB2312"/>
      <w:sz w:val="30"/>
    </w:rPr>
  </w:style>
  <w:style w:type="paragraph" w:customStyle="1" w:styleId="1019">
    <w:name w:val="表格文字小四"/>
    <w:basedOn w:val="1"/>
    <w:autoRedefine/>
    <w:qFormat/>
    <w:uiPriority w:val="0"/>
    <w:pPr>
      <w:adjustRightInd w:val="0"/>
      <w:snapToGrid w:val="0"/>
      <w:spacing w:beforeLines="10" w:afterLines="10"/>
      <w:jc w:val="center"/>
    </w:pPr>
    <w:rPr>
      <w:rFonts w:ascii="Arial" w:hAnsi="Arial" w:cs="Arial"/>
      <w:snapToGrid w:val="0"/>
      <w:kern w:val="0"/>
      <w:sz w:val="24"/>
    </w:rPr>
  </w:style>
  <w:style w:type="paragraph" w:customStyle="1" w:styleId="1020">
    <w:name w:val="表格文字五"/>
    <w:basedOn w:val="1"/>
    <w:autoRedefine/>
    <w:qFormat/>
    <w:uiPriority w:val="0"/>
    <w:pPr>
      <w:adjustRightInd w:val="0"/>
      <w:snapToGrid w:val="0"/>
      <w:spacing w:beforeLines="20" w:afterLines="20"/>
      <w:jc w:val="center"/>
    </w:pPr>
    <w:rPr>
      <w:rFonts w:ascii="宋体" w:hAnsi="宋体" w:eastAsia="仿宋_GB2312" w:cs="宋体"/>
      <w:snapToGrid w:val="0"/>
      <w:szCs w:val="21"/>
    </w:rPr>
  </w:style>
  <w:style w:type="paragraph" w:customStyle="1" w:styleId="1021">
    <w:name w:val="样式 (西文) 仿宋_GB2312 (中文) 仿宋_GB2312 四号 首行缩进:  0.98 厘米 行距: 固定值 2..."/>
    <w:basedOn w:val="26"/>
    <w:next w:val="26"/>
    <w:autoRedefine/>
    <w:qFormat/>
    <w:uiPriority w:val="0"/>
    <w:pPr>
      <w:spacing w:line="480" w:lineRule="exact"/>
      <w:ind w:firstLine="555"/>
    </w:pPr>
    <w:rPr>
      <w:rFonts w:ascii="仿宋_GB2312" w:hAnsi="Calibri" w:eastAsia="仿宋_GB2312" w:cs="宋体"/>
      <w:sz w:val="44"/>
      <w:szCs w:val="24"/>
    </w:rPr>
  </w:style>
  <w:style w:type="character" w:customStyle="1" w:styleId="1022">
    <w:name w:val="s11"/>
    <w:autoRedefine/>
    <w:qFormat/>
    <w:uiPriority w:val="0"/>
    <w:rPr>
      <w:color w:val="000000"/>
      <w:sz w:val="20"/>
      <w:szCs w:val="20"/>
      <w:u w:val="none"/>
    </w:rPr>
  </w:style>
  <w:style w:type="character" w:customStyle="1" w:styleId="1023">
    <w:name w:val="标题 4 Char3"/>
    <w:autoRedefine/>
    <w:qFormat/>
    <w:uiPriority w:val="0"/>
    <w:rPr>
      <w:rFonts w:ascii="Arial" w:hAnsi="Arial" w:eastAsia="黑体"/>
      <w:b/>
      <w:bCs/>
      <w:kern w:val="2"/>
      <w:sz w:val="28"/>
      <w:szCs w:val="28"/>
      <w:lang w:val="en-US" w:eastAsia="zh-CN" w:bidi="ar-SA"/>
    </w:rPr>
  </w:style>
  <w:style w:type="character" w:customStyle="1" w:styleId="1024">
    <w:name w:val="标题 4 Char2"/>
    <w:autoRedefine/>
    <w:qFormat/>
    <w:uiPriority w:val="0"/>
    <w:rPr>
      <w:rFonts w:ascii="Arial" w:hAnsi="Arial" w:eastAsia="黑体"/>
      <w:b/>
      <w:bCs/>
      <w:kern w:val="2"/>
      <w:sz w:val="28"/>
      <w:szCs w:val="28"/>
      <w:lang w:val="en-US" w:eastAsia="zh-CN" w:bidi="ar-SA"/>
    </w:rPr>
  </w:style>
  <w:style w:type="character" w:customStyle="1" w:styleId="1025">
    <w:name w:val="标题 4 Char2 Char"/>
    <w:autoRedefine/>
    <w:qFormat/>
    <w:uiPriority w:val="0"/>
    <w:rPr>
      <w:rFonts w:ascii="Arial" w:hAnsi="Arial" w:eastAsia="黑体"/>
      <w:b/>
      <w:bCs/>
      <w:kern w:val="2"/>
      <w:sz w:val="28"/>
      <w:szCs w:val="28"/>
      <w:lang w:val="en-US" w:eastAsia="zh-CN" w:bidi="ar-SA"/>
    </w:rPr>
  </w:style>
  <w:style w:type="character" w:customStyle="1" w:styleId="1026">
    <w:name w:val="sect 1.23 Char"/>
    <w:autoRedefine/>
    <w:qFormat/>
    <w:uiPriority w:val="0"/>
    <w:rPr>
      <w:rFonts w:ascii="仿宋_GB2312" w:hAnsi="Times New Roman" w:eastAsia="仿宋_GB2312" w:cs="Times New Roman"/>
      <w:b/>
      <w:sz w:val="28"/>
      <w:szCs w:val="20"/>
    </w:rPr>
  </w:style>
  <w:style w:type="character" w:customStyle="1" w:styleId="1027">
    <w:name w:val="H23 Char1"/>
    <w:autoRedefine/>
    <w:qFormat/>
    <w:uiPriority w:val="0"/>
    <w:rPr>
      <w:rFonts w:ascii="仿宋_GB2312" w:eastAsia="仿宋_GB2312"/>
      <w:b/>
      <w:kern w:val="2"/>
      <w:sz w:val="28"/>
      <w:lang w:val="en-US" w:eastAsia="zh-CN" w:bidi="ar-SA"/>
    </w:rPr>
  </w:style>
  <w:style w:type="character" w:customStyle="1" w:styleId="1028">
    <w:name w:val="HTS 1 Char"/>
    <w:autoRedefine/>
    <w:qFormat/>
    <w:uiPriority w:val="0"/>
    <w:rPr>
      <w:rFonts w:ascii="KaiTi_GB2312" w:eastAsia="KaiTi_GB2312"/>
      <w:b/>
      <w:kern w:val="44"/>
      <w:sz w:val="30"/>
      <w:lang w:val="en-US" w:eastAsia="zh-CN" w:bidi="ar-SA"/>
    </w:rPr>
  </w:style>
  <w:style w:type="paragraph" w:customStyle="1" w:styleId="1029">
    <w:name w:val="正文文本缩进 21"/>
    <w:basedOn w:val="1"/>
    <w:autoRedefine/>
    <w:qFormat/>
    <w:uiPriority w:val="0"/>
    <w:pPr>
      <w:adjustRightInd w:val="0"/>
      <w:ind w:firstLine="432"/>
      <w:textAlignment w:val="baseline"/>
    </w:pPr>
    <w:rPr>
      <w:rFonts w:ascii="宋体" w:hAnsi="宋体" w:cs="宋体"/>
      <w:sz w:val="24"/>
    </w:rPr>
  </w:style>
  <w:style w:type="paragraph" w:customStyle="1" w:styleId="1030">
    <w:name w:val="sss"/>
    <w:basedOn w:val="1"/>
    <w:autoRedefine/>
    <w:qFormat/>
    <w:uiPriority w:val="0"/>
    <w:pPr>
      <w:tabs>
        <w:tab w:val="left" w:pos="480"/>
        <w:tab w:val="left" w:pos="648"/>
      </w:tabs>
      <w:autoSpaceDE w:val="0"/>
      <w:autoSpaceDN w:val="0"/>
      <w:adjustRightInd w:val="0"/>
      <w:ind w:left="432" w:hanging="144"/>
    </w:pPr>
    <w:rPr>
      <w:rFonts w:ascii="Bookman Old Style" w:hAnsi="Bookman Old Style" w:cs="Arial"/>
      <w:bCs/>
      <w:kern w:val="0"/>
      <w:sz w:val="22"/>
    </w:rPr>
  </w:style>
  <w:style w:type="paragraph" w:customStyle="1" w:styleId="1031">
    <w:name w:val="日期1"/>
    <w:basedOn w:val="1"/>
    <w:next w:val="1"/>
    <w:autoRedefine/>
    <w:qFormat/>
    <w:uiPriority w:val="0"/>
    <w:pPr>
      <w:adjustRightInd w:val="0"/>
      <w:textAlignment w:val="baseline"/>
    </w:pPr>
    <w:rPr>
      <w:rFonts w:ascii="宋体" w:hAnsi="宋体" w:cs="宋体"/>
    </w:rPr>
  </w:style>
  <w:style w:type="character" w:customStyle="1" w:styleId="1032">
    <w:name w:val="p21"/>
    <w:autoRedefine/>
    <w:qFormat/>
    <w:uiPriority w:val="0"/>
    <w:rPr>
      <w:rFonts w:hint="default"/>
      <w:color w:val="0000A0"/>
    </w:rPr>
  </w:style>
  <w:style w:type="character" w:customStyle="1" w:styleId="1033">
    <w:name w:val="标准 Char"/>
    <w:autoRedefine/>
    <w:qFormat/>
    <w:uiPriority w:val="0"/>
    <w:rPr>
      <w:rFonts w:ascii="宋体" w:eastAsia="宋体"/>
      <w:sz w:val="28"/>
      <w:lang w:val="en-US" w:eastAsia="zh-CN" w:bidi="ar-SA"/>
    </w:rPr>
  </w:style>
  <w:style w:type="paragraph" w:customStyle="1" w:styleId="1034">
    <w:name w:val="表内"/>
    <w:basedOn w:val="1"/>
    <w:next w:val="1"/>
    <w:autoRedefine/>
    <w:qFormat/>
    <w:uiPriority w:val="0"/>
    <w:pPr>
      <w:adjustRightInd w:val="0"/>
      <w:snapToGrid w:val="0"/>
      <w:spacing w:before="120" w:after="120" w:line="288" w:lineRule="auto"/>
      <w:jc w:val="center"/>
    </w:pPr>
    <w:rPr>
      <w:rFonts w:ascii="宋体" w:hAnsi="宋体" w:cs="宋体"/>
      <w:snapToGrid w:val="0"/>
    </w:rPr>
  </w:style>
  <w:style w:type="paragraph" w:customStyle="1" w:styleId="1035">
    <w:name w:val="小五 Char Char"/>
    <w:link w:val="1036"/>
    <w:autoRedefine/>
    <w:qFormat/>
    <w:uiPriority w:val="0"/>
    <w:pPr>
      <w:autoSpaceDE w:val="0"/>
      <w:autoSpaceDN w:val="0"/>
      <w:adjustRightInd w:val="0"/>
      <w:snapToGrid w:val="0"/>
      <w:spacing w:line="360" w:lineRule="auto"/>
      <w:jc w:val="both"/>
    </w:pPr>
    <w:rPr>
      <w:rFonts w:ascii="宋体" w:hAnsi="宋体" w:cs="Times New Roman" w:eastAsiaTheme="minorEastAsia"/>
      <w:kern w:val="2"/>
      <w:sz w:val="21"/>
      <w:szCs w:val="21"/>
      <w:lang w:val="en-US" w:eastAsia="zh-CN" w:bidi="ar-SA"/>
    </w:rPr>
  </w:style>
  <w:style w:type="character" w:customStyle="1" w:styleId="1036">
    <w:name w:val="小五 Char Char Char"/>
    <w:link w:val="1035"/>
    <w:autoRedefine/>
    <w:qFormat/>
    <w:uiPriority w:val="0"/>
    <w:rPr>
      <w:rFonts w:ascii="宋体" w:hAnsi="宋体"/>
      <w:kern w:val="2"/>
      <w:sz w:val="21"/>
      <w:szCs w:val="21"/>
    </w:rPr>
  </w:style>
  <w:style w:type="paragraph" w:customStyle="1" w:styleId="1037">
    <w:name w:val="正文表头"/>
    <w:basedOn w:val="1"/>
    <w:next w:val="638"/>
    <w:autoRedefine/>
    <w:qFormat/>
    <w:uiPriority w:val="0"/>
    <w:pPr>
      <w:keepNext/>
      <w:tabs>
        <w:tab w:val="center" w:pos="4253"/>
        <w:tab w:val="right" w:pos="8505"/>
      </w:tabs>
      <w:overflowPunct w:val="0"/>
      <w:adjustRightInd w:val="0"/>
      <w:spacing w:before="120" w:line="360" w:lineRule="auto"/>
      <w:jc w:val="center"/>
      <w:textAlignment w:val="baseline"/>
    </w:pPr>
    <w:rPr>
      <w:rFonts w:ascii="宋体" w:hAnsi="宋体" w:eastAsia="黑体" w:cs="宋体"/>
      <w:kern w:val="0"/>
      <w:sz w:val="28"/>
    </w:rPr>
  </w:style>
  <w:style w:type="paragraph" w:customStyle="1" w:styleId="1038">
    <w:name w:val="样式 标题 2节 + 宋体 加粗"/>
    <w:basedOn w:val="4"/>
    <w:autoRedefine/>
    <w:qFormat/>
    <w:uiPriority w:val="0"/>
    <w:pPr>
      <w:widowControl w:val="0"/>
      <w:tabs>
        <w:tab w:val="left" w:pos="1505"/>
        <w:tab w:val="clear" w:pos="1276"/>
      </w:tabs>
      <w:adjustRightInd w:val="0"/>
      <w:snapToGrid w:val="0"/>
      <w:ind w:left="200" w:hanging="200" w:hangingChars="200"/>
      <w:jc w:val="both"/>
    </w:pPr>
    <w:rPr>
      <w:rFonts w:ascii="宋体" w:hAnsi="宋体" w:cs="宋体"/>
      <w:b/>
      <w:kern w:val="2"/>
      <w:sz w:val="28"/>
      <w:szCs w:val="24"/>
    </w:rPr>
  </w:style>
  <w:style w:type="paragraph" w:customStyle="1" w:styleId="1039">
    <w:name w:val="样式 标题 2节 + 宋体 左 Char"/>
    <w:basedOn w:val="4"/>
    <w:link w:val="1040"/>
    <w:autoRedefine/>
    <w:qFormat/>
    <w:uiPriority w:val="0"/>
    <w:pPr>
      <w:widowControl w:val="0"/>
      <w:tabs>
        <w:tab w:val="left" w:pos="567"/>
        <w:tab w:val="clear" w:pos="1276"/>
      </w:tabs>
    </w:pPr>
    <w:rPr>
      <w:rFonts w:ascii="宋体" w:hAnsi="宋体" w:cs="宋体"/>
      <w:b/>
      <w:bCs/>
      <w:kern w:val="2"/>
      <w:sz w:val="28"/>
      <w:szCs w:val="24"/>
    </w:rPr>
  </w:style>
  <w:style w:type="character" w:customStyle="1" w:styleId="1040">
    <w:name w:val="样式 标题 2节 + 宋体 左 Char Char"/>
    <w:link w:val="1039"/>
    <w:autoRedefine/>
    <w:qFormat/>
    <w:uiPriority w:val="0"/>
    <w:rPr>
      <w:rFonts w:ascii="宋体" w:hAnsi="宋体" w:cs="宋体"/>
      <w:b/>
      <w:bCs/>
      <w:kern w:val="2"/>
      <w:sz w:val="28"/>
      <w:szCs w:val="24"/>
    </w:rPr>
  </w:style>
  <w:style w:type="paragraph" w:customStyle="1" w:styleId="1041">
    <w:name w:val="重钢院"/>
    <w:basedOn w:val="1"/>
    <w:autoRedefine/>
    <w:qFormat/>
    <w:uiPriority w:val="0"/>
    <w:pPr>
      <w:adjustRightInd w:val="0"/>
      <w:spacing w:line="372" w:lineRule="auto"/>
      <w:textAlignment w:val="baseline"/>
    </w:pPr>
    <w:rPr>
      <w:rFonts w:ascii="宋体" w:hAnsi="宋体" w:cs="宋体"/>
      <w:spacing w:val="10"/>
      <w:kern w:val="0"/>
      <w:sz w:val="28"/>
    </w:rPr>
  </w:style>
  <w:style w:type="paragraph" w:customStyle="1" w:styleId="1042">
    <w:name w:val="封面"/>
    <w:basedOn w:val="3"/>
    <w:next w:val="1"/>
    <w:autoRedefine/>
    <w:qFormat/>
    <w:uiPriority w:val="0"/>
    <w:pPr>
      <w:keepNext w:val="0"/>
      <w:widowControl w:val="0"/>
      <w:numPr>
        <w:numId w:val="0"/>
      </w:numPr>
      <w:adjustRightInd w:val="0"/>
      <w:snapToGrid w:val="0"/>
      <w:spacing w:line="348" w:lineRule="auto"/>
      <w:jc w:val="center"/>
    </w:pPr>
    <w:rPr>
      <w:rFonts w:ascii="Calibri" w:hAnsi="Calibri"/>
      <w:snapToGrid w:val="0"/>
      <w:kern w:val="2"/>
      <w:sz w:val="28"/>
      <w:szCs w:val="24"/>
    </w:rPr>
  </w:style>
  <w:style w:type="paragraph" w:customStyle="1" w:styleId="1043">
    <w:name w:val="正文楷体"/>
    <w:basedOn w:val="1"/>
    <w:autoRedefine/>
    <w:qFormat/>
    <w:uiPriority w:val="0"/>
    <w:rPr>
      <w:rFonts w:ascii="宋体" w:hAnsi="宋体" w:eastAsia="KaiTi_GB2312" w:cs="宋体"/>
    </w:rPr>
  </w:style>
  <w:style w:type="paragraph" w:customStyle="1" w:styleId="1044">
    <w:name w:val="居中"/>
    <w:basedOn w:val="1"/>
    <w:autoRedefine/>
    <w:qFormat/>
    <w:uiPriority w:val="0"/>
    <w:pPr>
      <w:spacing w:line="440" w:lineRule="exact"/>
      <w:jc w:val="center"/>
    </w:pPr>
    <w:rPr>
      <w:rFonts w:ascii="宋体" w:hAnsi="宋体" w:cs="宋体"/>
      <w:sz w:val="24"/>
    </w:rPr>
  </w:style>
  <w:style w:type="paragraph" w:customStyle="1" w:styleId="1045">
    <w:name w:val="tian"/>
    <w:basedOn w:val="1"/>
    <w:autoRedefine/>
    <w:qFormat/>
    <w:uiPriority w:val="0"/>
    <w:rPr>
      <w:rFonts w:ascii="宋体" w:hAnsi="宋体" w:cs="宋体"/>
      <w:sz w:val="24"/>
    </w:rPr>
  </w:style>
  <w:style w:type="character" w:customStyle="1" w:styleId="1046">
    <w:name w:val="9 Char Char"/>
    <w:autoRedefine/>
    <w:qFormat/>
    <w:uiPriority w:val="0"/>
    <w:rPr>
      <w:rFonts w:eastAsia="宋体"/>
      <w:kern w:val="2"/>
      <w:sz w:val="28"/>
      <w:szCs w:val="28"/>
      <w:lang w:val="en-US" w:eastAsia="zh-CN" w:bidi="ar-SA"/>
    </w:rPr>
  </w:style>
  <w:style w:type="paragraph" w:customStyle="1" w:styleId="1047">
    <w:name w:val="Char Char Char Char Char Char Char Char Char Char1 Char Char"/>
    <w:basedOn w:val="1"/>
    <w:autoRedefine/>
    <w:qFormat/>
    <w:uiPriority w:val="0"/>
    <w:pPr>
      <w:ind w:firstLine="200" w:firstLineChars="200"/>
    </w:pPr>
    <w:rPr>
      <w:rFonts w:ascii="宋体" w:hAnsi="宋体" w:cs="宋体"/>
      <w:sz w:val="28"/>
      <w:szCs w:val="28"/>
    </w:rPr>
  </w:style>
  <w:style w:type="paragraph" w:customStyle="1" w:styleId="1048">
    <w:name w:val="Char Char Char Char Char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1049">
    <w:name w:val="目录5"/>
    <w:basedOn w:val="1"/>
    <w:autoRedefine/>
    <w:qFormat/>
    <w:uiPriority w:val="0"/>
    <w:rPr>
      <w:rFonts w:ascii="宋体" w:hAnsi="宋体" w:cs="宋体"/>
      <w:szCs w:val="21"/>
    </w:rPr>
  </w:style>
  <w:style w:type="paragraph" w:customStyle="1" w:styleId="1050">
    <w:name w:val="小五"/>
    <w:autoRedefine/>
    <w:qFormat/>
    <w:uiPriority w:val="0"/>
    <w:pPr>
      <w:autoSpaceDE w:val="0"/>
      <w:autoSpaceDN w:val="0"/>
      <w:adjustRightInd w:val="0"/>
      <w:snapToGrid w:val="0"/>
      <w:spacing w:line="360" w:lineRule="auto"/>
      <w:jc w:val="both"/>
    </w:pPr>
    <w:rPr>
      <w:rFonts w:ascii="Times New Roman" w:hAnsi="Times New Roman" w:eastAsia="仿宋_GB2312" w:cs="Times New Roman"/>
      <w:sz w:val="21"/>
      <w:szCs w:val="21"/>
      <w:lang w:val="en-US" w:eastAsia="zh-CN" w:bidi="ar-SA"/>
    </w:rPr>
  </w:style>
  <w:style w:type="paragraph" w:customStyle="1" w:styleId="1051">
    <w:name w:val="9 Char Char Char"/>
    <w:basedOn w:val="1"/>
    <w:autoRedefine/>
    <w:qFormat/>
    <w:uiPriority w:val="0"/>
    <w:pPr>
      <w:ind w:firstLine="200" w:firstLineChars="200"/>
    </w:pPr>
    <w:rPr>
      <w:rFonts w:ascii="宋体" w:hAnsi="宋体" w:cs="宋体"/>
      <w:sz w:val="28"/>
      <w:szCs w:val="28"/>
    </w:rPr>
  </w:style>
  <w:style w:type="paragraph" w:customStyle="1" w:styleId="1052">
    <w:name w:val="9 Char Char Char1"/>
    <w:basedOn w:val="1"/>
    <w:autoRedefine/>
    <w:qFormat/>
    <w:uiPriority w:val="0"/>
    <w:pPr>
      <w:ind w:firstLine="200" w:firstLineChars="200"/>
    </w:pPr>
    <w:rPr>
      <w:rFonts w:ascii="宋体" w:hAnsi="宋体" w:cs="宋体"/>
      <w:sz w:val="28"/>
      <w:szCs w:val="28"/>
    </w:rPr>
  </w:style>
  <w:style w:type="character" w:customStyle="1" w:styleId="1053">
    <w:name w:val="H23 Char Char"/>
    <w:autoRedefine/>
    <w:qFormat/>
    <w:uiPriority w:val="0"/>
    <w:rPr>
      <w:rFonts w:ascii="仿宋_GB2312" w:eastAsia="仿宋_GB2312"/>
      <w:b/>
      <w:kern w:val="2"/>
      <w:sz w:val="28"/>
      <w:lang w:val="en-US" w:eastAsia="zh-CN" w:bidi="ar-SA"/>
    </w:rPr>
  </w:style>
  <w:style w:type="character" w:customStyle="1" w:styleId="1054">
    <w:name w:val="第三层条 Char3"/>
    <w:autoRedefine/>
    <w:qFormat/>
    <w:uiPriority w:val="0"/>
    <w:rPr>
      <w:rFonts w:eastAsia="宋体"/>
      <w:spacing w:val="5"/>
      <w:kern w:val="2"/>
      <w:sz w:val="28"/>
      <w:szCs w:val="24"/>
      <w:lang w:val="en-US" w:eastAsia="zh-CN" w:bidi="ar-SA"/>
    </w:rPr>
  </w:style>
  <w:style w:type="character" w:customStyle="1" w:styleId="1055">
    <w:name w:val="样式 标题 2节 + 宋体 左 Char Char1"/>
    <w:autoRedefine/>
    <w:qFormat/>
    <w:uiPriority w:val="0"/>
    <w:rPr>
      <w:rFonts w:ascii="宋体" w:hAnsi="宋体" w:eastAsia="宋体" w:cs="宋体"/>
      <w:b/>
      <w:bCs/>
      <w:kern w:val="2"/>
      <w:sz w:val="28"/>
      <w:szCs w:val="24"/>
      <w:lang w:val="en-US" w:eastAsia="zh-CN" w:bidi="ar-SA"/>
    </w:rPr>
  </w:style>
  <w:style w:type="character" w:customStyle="1" w:styleId="1056">
    <w:name w:val="小五 Char Char Char1"/>
    <w:autoRedefine/>
    <w:qFormat/>
    <w:uiPriority w:val="0"/>
    <w:rPr>
      <w:rFonts w:ascii="宋体" w:hAnsi="宋体" w:eastAsia="宋体"/>
      <w:kern w:val="2"/>
      <w:sz w:val="21"/>
      <w:szCs w:val="21"/>
      <w:lang w:val="en-US" w:eastAsia="zh-CN" w:bidi="ar-SA"/>
    </w:rPr>
  </w:style>
  <w:style w:type="character" w:customStyle="1" w:styleId="1057">
    <w:name w:val="正文图 Char Char1"/>
    <w:autoRedefine/>
    <w:qFormat/>
    <w:uiPriority w:val="0"/>
    <w:rPr>
      <w:rFonts w:ascii="宋体" w:eastAsia="宋体"/>
      <w:sz w:val="24"/>
      <w:lang w:val="en-US" w:eastAsia="zh-CN" w:bidi="ar-SA"/>
    </w:rPr>
  </w:style>
  <w:style w:type="paragraph" w:customStyle="1" w:styleId="1058">
    <w:name w:val="9 Char Char Char2"/>
    <w:basedOn w:val="1"/>
    <w:autoRedefine/>
    <w:qFormat/>
    <w:uiPriority w:val="0"/>
    <w:pPr>
      <w:ind w:firstLine="200" w:firstLineChars="200"/>
    </w:pPr>
    <w:rPr>
      <w:rFonts w:ascii="宋体" w:hAnsi="宋体" w:cs="宋体"/>
      <w:sz w:val="28"/>
      <w:szCs w:val="28"/>
    </w:rPr>
  </w:style>
  <w:style w:type="character" w:customStyle="1" w:styleId="1059">
    <w:name w:val="第一层条 Char2"/>
    <w:autoRedefine/>
    <w:qFormat/>
    <w:uiPriority w:val="0"/>
    <w:rPr>
      <w:rFonts w:ascii="仿宋_GB2312" w:eastAsia="仿宋_GB2312"/>
      <w:b/>
      <w:kern w:val="2"/>
      <w:sz w:val="28"/>
      <w:lang w:val="en-US" w:eastAsia="zh-CN" w:bidi="ar-SA"/>
    </w:rPr>
  </w:style>
  <w:style w:type="character" w:customStyle="1" w:styleId="1060">
    <w:name w:val="标题 41"/>
    <w:autoRedefine/>
    <w:qFormat/>
    <w:uiPriority w:val="0"/>
    <w:rPr>
      <w:rFonts w:eastAsia="宋体"/>
      <w:spacing w:val="5"/>
      <w:kern w:val="2"/>
      <w:sz w:val="28"/>
      <w:lang w:val="en-US" w:eastAsia="zh-CN" w:bidi="ar-SA"/>
    </w:rPr>
  </w:style>
  <w:style w:type="character" w:customStyle="1" w:styleId="1061">
    <w:name w:val="标题 21"/>
    <w:autoRedefine/>
    <w:qFormat/>
    <w:uiPriority w:val="0"/>
    <w:rPr>
      <w:rFonts w:ascii="仿宋_GB2312" w:eastAsia="仿宋_GB2312"/>
      <w:b/>
      <w:kern w:val="2"/>
      <w:sz w:val="28"/>
      <w:lang w:val="en-US" w:eastAsia="zh-CN" w:bidi="ar-SA"/>
    </w:rPr>
  </w:style>
  <w:style w:type="paragraph" w:customStyle="1" w:styleId="1062">
    <w:name w:val="9 Char Char Char3"/>
    <w:basedOn w:val="1"/>
    <w:autoRedefine/>
    <w:qFormat/>
    <w:uiPriority w:val="0"/>
    <w:pPr>
      <w:ind w:firstLine="200" w:firstLineChars="200"/>
    </w:pPr>
    <w:rPr>
      <w:rFonts w:ascii="宋体" w:hAnsi="宋体" w:cs="宋体"/>
      <w:sz w:val="28"/>
      <w:szCs w:val="28"/>
    </w:rPr>
  </w:style>
  <w:style w:type="paragraph" w:customStyle="1" w:styleId="1063">
    <w:name w:val="列表 2B"/>
    <w:basedOn w:val="37"/>
    <w:autoRedefine/>
    <w:qFormat/>
    <w:uiPriority w:val="0"/>
    <w:pPr>
      <w:widowControl w:val="0"/>
      <w:tabs>
        <w:tab w:val="left" w:pos="737"/>
      </w:tabs>
      <w:spacing w:line="288" w:lineRule="auto"/>
      <w:ind w:left="0" w:leftChars="0" w:firstLine="0" w:firstLineChars="0"/>
      <w:contextualSpacing w:val="0"/>
      <w:jc w:val="both"/>
    </w:pPr>
    <w:rPr>
      <w:rFonts w:ascii="Arial" w:hAnsi="Arial" w:cs="宋体"/>
      <w:color w:val="FFFF99"/>
      <w:kern w:val="2"/>
      <w:sz w:val="21"/>
      <w:szCs w:val="24"/>
    </w:rPr>
  </w:style>
  <w:style w:type="character" w:customStyle="1" w:styleId="1064">
    <w:name w:val="章节 Char2"/>
    <w:autoRedefine/>
    <w:qFormat/>
    <w:uiPriority w:val="0"/>
    <w:rPr>
      <w:rFonts w:ascii="KaiTi_GB2312" w:eastAsia="KaiTi_GB2312"/>
      <w:b/>
      <w:kern w:val="44"/>
      <w:sz w:val="30"/>
      <w:lang w:val="en-US" w:eastAsia="zh-CN" w:bidi="ar-SA"/>
    </w:rPr>
  </w:style>
  <w:style w:type="paragraph" w:customStyle="1" w:styleId="1065">
    <w:name w:val="9 Char Char Char4"/>
    <w:basedOn w:val="1"/>
    <w:autoRedefine/>
    <w:qFormat/>
    <w:uiPriority w:val="0"/>
    <w:pPr>
      <w:ind w:firstLine="200" w:firstLineChars="200"/>
    </w:pPr>
    <w:rPr>
      <w:rFonts w:ascii="宋体" w:hAnsi="宋体" w:cs="宋体"/>
      <w:sz w:val="28"/>
      <w:szCs w:val="28"/>
    </w:rPr>
  </w:style>
  <w:style w:type="character" w:customStyle="1" w:styleId="1066">
    <w:name w:val="第一层条 Char3"/>
    <w:autoRedefine/>
    <w:qFormat/>
    <w:uiPriority w:val="0"/>
    <w:rPr>
      <w:rFonts w:ascii="仿宋_GB2312" w:eastAsia="仿宋_GB2312"/>
      <w:b/>
      <w:kern w:val="2"/>
      <w:sz w:val="28"/>
      <w:lang w:val="en-US" w:eastAsia="zh-CN" w:bidi="ar-SA"/>
    </w:rPr>
  </w:style>
  <w:style w:type="paragraph" w:customStyle="1" w:styleId="1067">
    <w:name w:val="Char Char Char Char Char Char Char Char Char Char Char"/>
    <w:basedOn w:val="1"/>
    <w:autoRedefine/>
    <w:qFormat/>
    <w:uiPriority w:val="0"/>
    <w:rPr>
      <w:rFonts w:ascii="宋体" w:hAnsi="宋体" w:cs="宋体"/>
      <w:szCs w:val="21"/>
    </w:rPr>
  </w:style>
  <w:style w:type="paragraph" w:customStyle="1" w:styleId="1068">
    <w:name w:val="Char4 Char Char Char Char"/>
    <w:basedOn w:val="1"/>
    <w:autoRedefine/>
    <w:qFormat/>
    <w:uiPriority w:val="0"/>
    <w:rPr>
      <w:rFonts w:ascii="宋体" w:hAnsi="宋体" w:cs="宋体"/>
      <w:sz w:val="24"/>
    </w:rPr>
  </w:style>
  <w:style w:type="paragraph" w:customStyle="1" w:styleId="1069">
    <w:name w:val="9 Char Char Char6"/>
    <w:basedOn w:val="1"/>
    <w:autoRedefine/>
    <w:qFormat/>
    <w:uiPriority w:val="0"/>
    <w:pPr>
      <w:ind w:firstLine="200" w:firstLineChars="200"/>
    </w:pPr>
    <w:rPr>
      <w:rFonts w:ascii="宋体" w:hAnsi="宋体" w:cs="宋体"/>
      <w:sz w:val="28"/>
      <w:szCs w:val="28"/>
    </w:rPr>
  </w:style>
  <w:style w:type="character" w:customStyle="1" w:styleId="1070">
    <w:name w:val="第一层条 Char5"/>
    <w:autoRedefine/>
    <w:qFormat/>
    <w:uiPriority w:val="0"/>
    <w:rPr>
      <w:rFonts w:ascii="仿宋_GB2312" w:eastAsia="仿宋_GB2312"/>
      <w:b/>
      <w:kern w:val="2"/>
      <w:sz w:val="28"/>
      <w:lang w:val="en-US" w:eastAsia="zh-CN" w:bidi="ar-SA"/>
    </w:rPr>
  </w:style>
  <w:style w:type="paragraph" w:customStyle="1" w:styleId="1071">
    <w:name w:val="正文图"/>
    <w:basedOn w:val="1"/>
    <w:autoRedefine/>
    <w:qFormat/>
    <w:uiPriority w:val="0"/>
    <w:pPr>
      <w:adjustRightInd w:val="0"/>
      <w:snapToGrid w:val="0"/>
      <w:jc w:val="center"/>
      <w:textAlignment w:val="baseline"/>
    </w:pPr>
    <w:rPr>
      <w:rFonts w:ascii="宋体" w:hAnsi="宋体" w:cs="宋体"/>
      <w:kern w:val="0"/>
      <w:sz w:val="24"/>
    </w:rPr>
  </w:style>
  <w:style w:type="paragraph" w:customStyle="1" w:styleId="1072">
    <w:name w:val="小五 Char"/>
    <w:autoRedefine/>
    <w:qFormat/>
    <w:uiPriority w:val="0"/>
    <w:pPr>
      <w:autoSpaceDE w:val="0"/>
      <w:autoSpaceDN w:val="0"/>
      <w:adjustRightInd w:val="0"/>
      <w:snapToGrid w:val="0"/>
      <w:spacing w:line="360" w:lineRule="auto"/>
      <w:jc w:val="both"/>
    </w:pPr>
    <w:rPr>
      <w:rFonts w:ascii="宋体" w:hAnsi="宋体" w:cs="Times New Roman" w:eastAsiaTheme="minorEastAsia"/>
      <w:kern w:val="2"/>
      <w:sz w:val="21"/>
      <w:szCs w:val="21"/>
      <w:lang w:val="en-US" w:eastAsia="zh-CN" w:bidi="ar-SA"/>
    </w:rPr>
  </w:style>
  <w:style w:type="paragraph" w:customStyle="1" w:styleId="1073">
    <w:name w:val="样式 标题 2节 + 宋体 左"/>
    <w:basedOn w:val="4"/>
    <w:autoRedefine/>
    <w:qFormat/>
    <w:uiPriority w:val="0"/>
    <w:pPr>
      <w:widowControl w:val="0"/>
      <w:tabs>
        <w:tab w:val="left" w:pos="567"/>
        <w:tab w:val="clear" w:pos="1276"/>
      </w:tabs>
    </w:pPr>
    <w:rPr>
      <w:rFonts w:ascii="宋体" w:hAnsi="宋体" w:cs="宋体"/>
      <w:b/>
      <w:bCs/>
      <w:kern w:val="2"/>
      <w:sz w:val="28"/>
      <w:szCs w:val="24"/>
    </w:rPr>
  </w:style>
  <w:style w:type="paragraph" w:customStyle="1" w:styleId="1074">
    <w:name w:val="表格文本 Char"/>
    <w:basedOn w:val="1"/>
    <w:next w:val="1"/>
    <w:link w:val="1075"/>
    <w:autoRedefine/>
    <w:qFormat/>
    <w:uiPriority w:val="0"/>
    <w:pPr>
      <w:spacing w:before="60" w:after="60" w:line="312" w:lineRule="auto"/>
      <w:jc w:val="center"/>
    </w:pPr>
    <w:rPr>
      <w:rFonts w:ascii="Arial" w:hAnsi="Arial" w:cs="宋体"/>
    </w:rPr>
  </w:style>
  <w:style w:type="character" w:customStyle="1" w:styleId="1075">
    <w:name w:val="表格文本 Char Char"/>
    <w:link w:val="1074"/>
    <w:autoRedefine/>
    <w:qFormat/>
    <w:uiPriority w:val="0"/>
    <w:rPr>
      <w:rFonts w:ascii="Arial" w:hAnsi="Arial" w:cs="宋体"/>
      <w:kern w:val="2"/>
      <w:sz w:val="21"/>
      <w:szCs w:val="24"/>
    </w:rPr>
  </w:style>
  <w:style w:type="paragraph" w:customStyle="1" w:styleId="1076">
    <w:name w:val="表格结尾"/>
    <w:basedOn w:val="1"/>
    <w:autoRedefine/>
    <w:qFormat/>
    <w:uiPriority w:val="0"/>
    <w:pPr>
      <w:snapToGrid w:val="0"/>
      <w:spacing w:line="0" w:lineRule="atLeast"/>
    </w:pPr>
    <w:rPr>
      <w:rFonts w:ascii="宋体" w:hAnsi="宋体" w:cs="宋体"/>
      <w:kern w:val="0"/>
      <w:sz w:val="10"/>
    </w:rPr>
  </w:style>
  <w:style w:type="paragraph" w:customStyle="1" w:styleId="1077">
    <w:name w:val="表格标题2 Char"/>
    <w:basedOn w:val="1"/>
    <w:link w:val="1078"/>
    <w:autoRedefine/>
    <w:qFormat/>
    <w:uiPriority w:val="0"/>
    <w:pPr>
      <w:tabs>
        <w:tab w:val="center" w:pos="6832"/>
        <w:tab w:val="right" w:pos="13608"/>
      </w:tabs>
      <w:spacing w:after="60" w:line="312" w:lineRule="auto"/>
    </w:pPr>
    <w:rPr>
      <w:rFonts w:ascii="Arial" w:hAnsi="Arial" w:cs="宋体"/>
      <w:sz w:val="28"/>
    </w:rPr>
  </w:style>
  <w:style w:type="character" w:customStyle="1" w:styleId="1078">
    <w:name w:val="表格标题2 Char Char"/>
    <w:link w:val="1077"/>
    <w:autoRedefine/>
    <w:qFormat/>
    <w:uiPriority w:val="0"/>
    <w:rPr>
      <w:rFonts w:ascii="Arial" w:hAnsi="Arial" w:cs="宋体"/>
      <w:kern w:val="2"/>
      <w:sz w:val="28"/>
      <w:szCs w:val="24"/>
    </w:rPr>
  </w:style>
  <w:style w:type="paragraph" w:customStyle="1" w:styleId="1079">
    <w:name w:val="表格文本"/>
    <w:basedOn w:val="1"/>
    <w:next w:val="1"/>
    <w:autoRedefine/>
    <w:qFormat/>
    <w:uiPriority w:val="0"/>
    <w:pPr>
      <w:spacing w:before="60" w:after="60" w:line="312" w:lineRule="auto"/>
      <w:jc w:val="center"/>
    </w:pPr>
    <w:rPr>
      <w:rFonts w:ascii="Arial" w:hAnsi="Arial" w:cs="宋体"/>
      <w:kern w:val="0"/>
    </w:rPr>
  </w:style>
  <w:style w:type="character" w:customStyle="1" w:styleId="1080">
    <w:name w:val="第一层条 Char4"/>
    <w:autoRedefine/>
    <w:qFormat/>
    <w:uiPriority w:val="0"/>
    <w:rPr>
      <w:rFonts w:ascii="仿宋_GB2312" w:eastAsia="仿宋_GB2312"/>
      <w:b/>
      <w:kern w:val="2"/>
      <w:sz w:val="28"/>
      <w:lang w:val="en-US" w:eastAsia="zh-CN" w:bidi="ar-SA"/>
    </w:rPr>
  </w:style>
  <w:style w:type="character" w:customStyle="1" w:styleId="1081">
    <w:name w:val="章节 Char3"/>
    <w:autoRedefine/>
    <w:qFormat/>
    <w:uiPriority w:val="0"/>
    <w:rPr>
      <w:rFonts w:ascii="KaiTi_GB2312" w:eastAsia="KaiTi_GB2312"/>
      <w:b/>
      <w:kern w:val="44"/>
      <w:sz w:val="30"/>
      <w:lang w:val="en-US" w:eastAsia="zh-CN" w:bidi="ar-SA"/>
    </w:rPr>
  </w:style>
  <w:style w:type="paragraph" w:customStyle="1" w:styleId="1082">
    <w:name w:val="9 Char Char Char5"/>
    <w:basedOn w:val="1"/>
    <w:autoRedefine/>
    <w:qFormat/>
    <w:uiPriority w:val="0"/>
    <w:pPr>
      <w:ind w:firstLine="200" w:firstLineChars="200"/>
    </w:pPr>
    <w:rPr>
      <w:rFonts w:ascii="宋体" w:hAnsi="宋体" w:cs="宋体"/>
      <w:sz w:val="28"/>
      <w:szCs w:val="28"/>
    </w:rPr>
  </w:style>
  <w:style w:type="paragraph" w:customStyle="1" w:styleId="1083">
    <w:name w:val="样式 样式 首行缩进:  2 字符 + 首行缩进:  2 字符2"/>
    <w:basedOn w:val="1"/>
    <w:autoRedefine/>
    <w:qFormat/>
    <w:uiPriority w:val="0"/>
    <w:pPr>
      <w:spacing w:line="440" w:lineRule="exact"/>
      <w:ind w:firstLine="584" w:firstLineChars="200"/>
    </w:pPr>
    <w:rPr>
      <w:rFonts w:ascii="宋体" w:hAnsi="宋体" w:eastAsia="KaiTi_GB2312" w:cs="宋体"/>
      <w:spacing w:val="6"/>
      <w:kern w:val="0"/>
      <w:sz w:val="28"/>
      <w:szCs w:val="28"/>
    </w:rPr>
  </w:style>
  <w:style w:type="character" w:customStyle="1" w:styleId="1084">
    <w:name w:val="text_14px1"/>
    <w:autoRedefine/>
    <w:qFormat/>
    <w:uiPriority w:val="0"/>
    <w:rPr>
      <w:color w:val="000000"/>
      <w:sz w:val="21"/>
      <w:szCs w:val="21"/>
    </w:rPr>
  </w:style>
  <w:style w:type="character" w:customStyle="1" w:styleId="1085">
    <w:name w:val="章节 Char4"/>
    <w:autoRedefine/>
    <w:qFormat/>
    <w:uiPriority w:val="0"/>
    <w:rPr>
      <w:rFonts w:ascii="KaiTi_GB2312" w:eastAsia="KaiTi_GB2312"/>
      <w:b/>
      <w:kern w:val="44"/>
      <w:sz w:val="30"/>
      <w:lang w:val="en-US" w:eastAsia="zh-CN" w:bidi="ar-SA"/>
    </w:rPr>
  </w:style>
  <w:style w:type="character" w:customStyle="1" w:styleId="1086">
    <w:name w:val="第一层条 Char6"/>
    <w:autoRedefine/>
    <w:qFormat/>
    <w:uiPriority w:val="0"/>
    <w:rPr>
      <w:rFonts w:ascii="仿宋_GB2312" w:eastAsia="仿宋_GB2312"/>
      <w:b/>
      <w:kern w:val="2"/>
      <w:sz w:val="28"/>
      <w:lang w:val="en-US" w:eastAsia="zh-CN" w:bidi="ar-SA"/>
    </w:rPr>
  </w:style>
  <w:style w:type="paragraph" w:customStyle="1" w:styleId="1087">
    <w:name w:val="9 Char Char Char6 Char"/>
    <w:basedOn w:val="1"/>
    <w:autoRedefine/>
    <w:qFormat/>
    <w:uiPriority w:val="0"/>
    <w:pPr>
      <w:ind w:firstLine="200" w:firstLineChars="200"/>
    </w:pPr>
    <w:rPr>
      <w:rFonts w:ascii="宋体" w:hAnsi="宋体" w:cs="宋体"/>
      <w:sz w:val="28"/>
      <w:szCs w:val="28"/>
    </w:rPr>
  </w:style>
  <w:style w:type="paragraph" w:customStyle="1" w:styleId="1088">
    <w:name w:val="Char1 Char Char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cs="宋体"/>
      <w:kern w:val="0"/>
      <w:sz w:val="24"/>
      <w:szCs w:val="21"/>
      <w:lang w:eastAsia="en-US"/>
    </w:rPr>
  </w:style>
  <w:style w:type="paragraph" w:customStyle="1" w:styleId="1089">
    <w:name w:val="Char Char1 Char Char Char Char Char Char"/>
    <w:basedOn w:val="1"/>
    <w:autoRedefine/>
    <w:qFormat/>
    <w:uiPriority w:val="0"/>
    <w:rPr>
      <w:rFonts w:ascii="宋体" w:hAnsi="宋体" w:cs="宋体"/>
      <w:sz w:val="24"/>
    </w:rPr>
  </w:style>
  <w:style w:type="paragraph" w:customStyle="1" w:styleId="1090">
    <w:name w:val="9 Char Char Char7"/>
    <w:basedOn w:val="1"/>
    <w:autoRedefine/>
    <w:qFormat/>
    <w:uiPriority w:val="0"/>
    <w:pPr>
      <w:ind w:firstLine="200" w:firstLineChars="200"/>
    </w:pPr>
    <w:rPr>
      <w:rFonts w:ascii="宋体" w:hAnsi="宋体" w:cs="宋体"/>
      <w:sz w:val="28"/>
      <w:szCs w:val="28"/>
    </w:rPr>
  </w:style>
  <w:style w:type="paragraph" w:customStyle="1" w:styleId="1091">
    <w:name w:val="Char Char Char Char Char Char Char Char Char Char Char Char Char Char Char Char Char1 Char Char Char Char Char Char Char Char"/>
    <w:basedOn w:val="1"/>
    <w:autoRedefine/>
    <w:qFormat/>
    <w:uiPriority w:val="0"/>
    <w:rPr>
      <w:rFonts w:ascii="宋体" w:hAnsi="宋体" w:cs="宋体"/>
      <w:szCs w:val="21"/>
    </w:rPr>
  </w:style>
  <w:style w:type="paragraph" w:customStyle="1" w:styleId="1092">
    <w:name w:val="9 Char"/>
    <w:basedOn w:val="1"/>
    <w:autoRedefine/>
    <w:qFormat/>
    <w:uiPriority w:val="0"/>
    <w:pPr>
      <w:ind w:firstLine="200" w:firstLineChars="200"/>
    </w:pPr>
    <w:rPr>
      <w:rFonts w:ascii="宋体" w:hAnsi="宋体" w:cs="宋体"/>
      <w:sz w:val="28"/>
      <w:szCs w:val="28"/>
    </w:rPr>
  </w:style>
  <w:style w:type="paragraph" w:customStyle="1" w:styleId="1093">
    <w:name w:val="Char Char7 Char Char1 Char Char Char1 Char"/>
    <w:basedOn w:val="1"/>
    <w:autoRedefine/>
    <w:qFormat/>
    <w:uiPriority w:val="0"/>
    <w:pPr>
      <w:ind w:firstLine="200" w:firstLineChars="200"/>
    </w:pPr>
    <w:rPr>
      <w:rFonts w:ascii="宋体" w:hAnsi="宋体" w:cs="宋体"/>
      <w:sz w:val="28"/>
      <w:szCs w:val="28"/>
    </w:rPr>
  </w:style>
  <w:style w:type="paragraph" w:customStyle="1" w:styleId="1094">
    <w:name w:val="Char Char7 Char Char"/>
    <w:basedOn w:val="1"/>
    <w:autoRedefine/>
    <w:qFormat/>
    <w:uiPriority w:val="0"/>
    <w:pPr>
      <w:ind w:firstLine="200" w:firstLineChars="200"/>
    </w:pPr>
    <w:rPr>
      <w:rFonts w:ascii="宋体" w:hAnsi="宋体" w:cs="宋体"/>
      <w:sz w:val="28"/>
      <w:szCs w:val="28"/>
    </w:rPr>
  </w:style>
  <w:style w:type="paragraph" w:customStyle="1" w:styleId="1095">
    <w:name w:val="Char Char7 Char Char1 Char Char Char"/>
    <w:basedOn w:val="1"/>
    <w:autoRedefine/>
    <w:qFormat/>
    <w:uiPriority w:val="0"/>
    <w:pPr>
      <w:ind w:firstLine="200" w:firstLineChars="200"/>
    </w:pPr>
    <w:rPr>
      <w:rFonts w:ascii="宋体" w:hAnsi="宋体" w:cs="宋体"/>
      <w:sz w:val="28"/>
      <w:szCs w:val="28"/>
    </w:rPr>
  </w:style>
  <w:style w:type="paragraph" w:customStyle="1" w:styleId="1096">
    <w:name w:val="Char3 Char Char"/>
    <w:basedOn w:val="1"/>
    <w:autoRedefine/>
    <w:qFormat/>
    <w:uiPriority w:val="0"/>
    <w:pPr>
      <w:spacing w:line="360" w:lineRule="auto"/>
      <w:ind w:firstLine="200" w:firstLineChars="200"/>
    </w:pPr>
    <w:rPr>
      <w:rFonts w:ascii="宋体" w:hAnsi="宋体" w:cs="宋体"/>
      <w:sz w:val="24"/>
    </w:rPr>
  </w:style>
  <w:style w:type="paragraph" w:customStyle="1" w:styleId="1097">
    <w:name w:val="谏壁标题4(chen)"/>
    <w:basedOn w:val="1"/>
    <w:autoRedefine/>
    <w:qFormat/>
    <w:uiPriority w:val="0"/>
    <w:pPr>
      <w:snapToGrid w:val="0"/>
      <w:spacing w:beforeLines="50" w:line="360" w:lineRule="auto"/>
      <w:outlineLvl w:val="3"/>
    </w:pPr>
    <w:rPr>
      <w:rFonts w:ascii="宋体" w:hAnsi="宋体" w:eastAsia="KaiTi_GB2312" w:cs="宋体"/>
      <w:sz w:val="28"/>
    </w:rPr>
  </w:style>
  <w:style w:type="paragraph" w:customStyle="1" w:styleId="1098">
    <w:name w:val="Char Char7 Char Char1 Char Char Char1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1099">
    <w:name w:val="Char Char7 Char Char1"/>
    <w:basedOn w:val="1"/>
    <w:autoRedefine/>
    <w:qFormat/>
    <w:uiPriority w:val="0"/>
    <w:pPr>
      <w:ind w:firstLine="200" w:firstLineChars="200"/>
    </w:pPr>
    <w:rPr>
      <w:rFonts w:ascii="宋体" w:hAnsi="宋体" w:cs="宋体"/>
      <w:sz w:val="28"/>
      <w:szCs w:val="28"/>
    </w:rPr>
  </w:style>
  <w:style w:type="paragraph" w:customStyle="1" w:styleId="1100">
    <w:name w:val="样式 标题 2 + Times New Roman 加粗"/>
    <w:basedOn w:val="4"/>
    <w:link w:val="1101"/>
    <w:autoRedefine/>
    <w:qFormat/>
    <w:uiPriority w:val="0"/>
    <w:pPr>
      <w:widowControl w:val="0"/>
      <w:tabs>
        <w:tab w:val="clear" w:pos="1276"/>
      </w:tabs>
      <w:spacing w:line="240" w:lineRule="auto"/>
      <w:ind w:left="0" w:firstLine="0"/>
      <w:jc w:val="both"/>
    </w:pPr>
    <w:rPr>
      <w:rFonts w:ascii="Calibri" w:hAnsi="Calibri" w:cs="宋体"/>
      <w:bCs/>
      <w:kern w:val="44"/>
      <w:sz w:val="28"/>
      <w:szCs w:val="32"/>
    </w:rPr>
  </w:style>
  <w:style w:type="character" w:customStyle="1" w:styleId="1101">
    <w:name w:val="样式 标题 2 + Times New Roman 加粗 Char"/>
    <w:link w:val="1100"/>
    <w:autoRedefine/>
    <w:qFormat/>
    <w:uiPriority w:val="0"/>
    <w:rPr>
      <w:rFonts w:ascii="Calibri" w:hAnsi="Calibri" w:cs="宋体"/>
      <w:bCs/>
      <w:kern w:val="44"/>
      <w:sz w:val="28"/>
      <w:szCs w:val="32"/>
    </w:rPr>
  </w:style>
  <w:style w:type="paragraph" w:customStyle="1" w:styleId="1102">
    <w:name w:val="Char4 Char Char Char Char Char Char Char Char Char Char Char Char Char Char Char Char Char1 Char Char Char Char Char Char"/>
    <w:basedOn w:val="1"/>
    <w:autoRedefine/>
    <w:qFormat/>
    <w:uiPriority w:val="0"/>
    <w:pPr>
      <w:ind w:firstLine="200" w:firstLineChars="200"/>
    </w:pPr>
    <w:rPr>
      <w:rFonts w:ascii="宋体" w:hAnsi="宋体" w:cs="宋体"/>
      <w:sz w:val="28"/>
      <w:szCs w:val="28"/>
    </w:rPr>
  </w:style>
  <w:style w:type="paragraph" w:customStyle="1" w:styleId="1103">
    <w:name w:val="Char Char Char Char11"/>
    <w:basedOn w:val="1"/>
    <w:autoRedefine/>
    <w:qFormat/>
    <w:uiPriority w:val="0"/>
    <w:rPr>
      <w:rFonts w:ascii="宋体" w:hAnsi="宋体" w:cs="宋体"/>
      <w:szCs w:val="21"/>
    </w:rPr>
  </w:style>
  <w:style w:type="paragraph" w:customStyle="1" w:styleId="1104">
    <w:name w:val="Char Char6 Char Char Char Char Char Char Char Char Char Char Char Char Char Char Char Char Char Char Char Char"/>
    <w:basedOn w:val="1"/>
    <w:autoRedefine/>
    <w:qFormat/>
    <w:uiPriority w:val="0"/>
    <w:rPr>
      <w:rFonts w:ascii="宋体" w:hAnsi="宋体" w:cs="宋体"/>
      <w:szCs w:val="21"/>
    </w:rPr>
  </w:style>
  <w:style w:type="paragraph" w:customStyle="1" w:styleId="1105">
    <w:name w:val="Char Char7 Char Char1 Char Char Char1 Char Char Char Char Char Char Char Char"/>
    <w:basedOn w:val="1"/>
    <w:autoRedefine/>
    <w:qFormat/>
    <w:uiPriority w:val="0"/>
    <w:pPr>
      <w:ind w:firstLine="200" w:firstLineChars="200"/>
    </w:pPr>
    <w:rPr>
      <w:rFonts w:ascii="宋体" w:hAnsi="宋体" w:cs="宋体"/>
      <w:sz w:val="28"/>
      <w:szCs w:val="28"/>
    </w:rPr>
  </w:style>
  <w:style w:type="paragraph" w:customStyle="1" w:styleId="1106">
    <w:name w:val="Char3 Char Char Char1 Char Char1 Char Char Char1 Char Char Char Char Char Char Char Char Char"/>
    <w:basedOn w:val="1"/>
    <w:autoRedefine/>
    <w:qFormat/>
    <w:uiPriority w:val="0"/>
    <w:rPr>
      <w:rFonts w:ascii="宋体" w:hAnsi="宋体" w:cs="宋体"/>
      <w:szCs w:val="21"/>
    </w:rPr>
  </w:style>
  <w:style w:type="paragraph" w:customStyle="1" w:styleId="1107">
    <w:name w:val="Char Char Char2 Char Char Char Char Char Char Char Char Char Char Char Char Char Char Char Char Char Char Char Char Char Char Char"/>
    <w:basedOn w:val="1"/>
    <w:autoRedefine/>
    <w:qFormat/>
    <w:uiPriority w:val="0"/>
    <w:rPr>
      <w:rFonts w:ascii="宋体" w:hAnsi="宋体" w:cs="宋体"/>
      <w:szCs w:val="21"/>
    </w:rPr>
  </w:style>
  <w:style w:type="character" w:customStyle="1" w:styleId="1108">
    <w:name w:val="title6"/>
    <w:basedOn w:val="90"/>
    <w:autoRedefine/>
    <w:qFormat/>
    <w:uiPriority w:val="0"/>
  </w:style>
  <w:style w:type="paragraph" w:customStyle="1" w:styleId="1109">
    <w:name w:val="新表"/>
    <w:basedOn w:val="1"/>
    <w:autoRedefine/>
    <w:qFormat/>
    <w:uiPriority w:val="0"/>
    <w:pPr>
      <w:spacing w:line="360" w:lineRule="exact"/>
    </w:pPr>
    <w:rPr>
      <w:rFonts w:ascii="宋体" w:hAnsi="宋体" w:eastAsia="仿宋_GB2312" w:cs="宋体"/>
      <w:bCs/>
      <w:kern w:val="0"/>
      <w:sz w:val="24"/>
    </w:rPr>
  </w:style>
  <w:style w:type="paragraph" w:customStyle="1" w:styleId="1110">
    <w:name w:val="缩进2个字"/>
    <w:basedOn w:val="1"/>
    <w:autoRedefine/>
    <w:qFormat/>
    <w:uiPriority w:val="0"/>
    <w:pPr>
      <w:spacing w:line="0" w:lineRule="atLeast"/>
      <w:jc w:val="center"/>
    </w:pPr>
    <w:rPr>
      <w:rFonts w:ascii="宋体" w:hAnsi="宋体" w:cs="宋体"/>
      <w:snapToGrid w:val="0"/>
      <w:spacing w:val="12"/>
      <w:kern w:val="24"/>
    </w:rPr>
  </w:style>
  <w:style w:type="paragraph" w:customStyle="1" w:styleId="1111">
    <w:name w:val="样式 Arial 行距: 多倍行距 1.45 字行"/>
    <w:basedOn w:val="1"/>
    <w:autoRedefine/>
    <w:qFormat/>
    <w:uiPriority w:val="0"/>
    <w:pPr>
      <w:spacing w:line="500" w:lineRule="exact"/>
      <w:ind w:firstLine="560" w:firstLineChars="200"/>
      <w:jc w:val="center"/>
    </w:pPr>
    <w:rPr>
      <w:rFonts w:ascii="仿宋_GB2312" w:hAnsi="宋体" w:eastAsia="仿宋_GB2312" w:cs="宋体"/>
      <w:sz w:val="28"/>
    </w:rPr>
  </w:style>
  <w:style w:type="character" w:customStyle="1" w:styleId="1112">
    <w:name w:val="main"/>
    <w:basedOn w:val="90"/>
    <w:autoRedefine/>
    <w:qFormat/>
    <w:uiPriority w:val="0"/>
  </w:style>
  <w:style w:type="paragraph" w:customStyle="1" w:styleId="1113">
    <w:name w:val="Char 字元 字元"/>
    <w:basedOn w:val="1"/>
    <w:autoRedefine/>
    <w:qFormat/>
    <w:uiPriority w:val="0"/>
    <w:rPr>
      <w:rFonts w:ascii="宋体" w:hAnsi="宋体" w:cs="宋体"/>
      <w:sz w:val="24"/>
    </w:rPr>
  </w:style>
  <w:style w:type="paragraph" w:customStyle="1" w:styleId="1114">
    <w:name w:val="样式 样式 正文缩进正文（首行缩进两字）文本条款 + 段前: 0.4 行 + 非加粗"/>
    <w:basedOn w:val="1"/>
    <w:autoRedefine/>
    <w:qFormat/>
    <w:uiPriority w:val="0"/>
    <w:pPr>
      <w:tabs>
        <w:tab w:val="left" w:pos="3150"/>
      </w:tabs>
      <w:spacing w:beforeLines="30" w:line="288" w:lineRule="auto"/>
      <w:ind w:left="3150" w:hanging="420"/>
      <w:outlineLvl w:val="6"/>
    </w:pPr>
    <w:rPr>
      <w:rFonts w:ascii="宋体" w:hAnsi="宋体" w:cs="宋体"/>
      <w:sz w:val="24"/>
    </w:rPr>
  </w:style>
  <w:style w:type="paragraph" w:customStyle="1" w:styleId="1115">
    <w:name w:val="正文1-1"/>
    <w:basedOn w:val="1"/>
    <w:link w:val="1116"/>
    <w:autoRedefine/>
    <w:qFormat/>
    <w:uiPriority w:val="0"/>
    <w:pPr>
      <w:widowControl/>
      <w:snapToGrid w:val="0"/>
      <w:spacing w:line="360" w:lineRule="auto"/>
      <w:ind w:firstLine="200" w:firstLineChars="200"/>
      <w:jc w:val="left"/>
    </w:pPr>
    <w:rPr>
      <w:rFonts w:ascii="宋体" w:hAnsi="宋体" w:eastAsia="仿宋_GB2312" w:cs="宋体"/>
      <w:sz w:val="28"/>
    </w:rPr>
  </w:style>
  <w:style w:type="character" w:customStyle="1" w:styleId="1116">
    <w:name w:val="正文1-1 Char"/>
    <w:link w:val="1115"/>
    <w:autoRedefine/>
    <w:qFormat/>
    <w:uiPriority w:val="0"/>
    <w:rPr>
      <w:rFonts w:ascii="宋体" w:hAnsi="宋体" w:eastAsia="仿宋_GB2312" w:cs="宋体"/>
      <w:kern w:val="2"/>
      <w:sz w:val="28"/>
      <w:szCs w:val="24"/>
    </w:rPr>
  </w:style>
  <w:style w:type="paragraph" w:customStyle="1" w:styleId="1117">
    <w:name w:val="表格标题新"/>
    <w:basedOn w:val="152"/>
    <w:link w:val="1118"/>
    <w:autoRedefine/>
    <w:qFormat/>
    <w:uiPriority w:val="0"/>
    <w:pPr>
      <w:tabs>
        <w:tab w:val="left" w:pos="0"/>
      </w:tabs>
      <w:adjustRightInd w:val="0"/>
      <w:snapToGrid w:val="0"/>
      <w:spacing w:before="0" w:after="0" w:line="240" w:lineRule="auto"/>
    </w:pPr>
    <w:rPr>
      <w:rFonts w:ascii="宋体" w:hAnsi="宋体" w:cs="宋体"/>
      <w:snapToGrid w:val="0"/>
      <w:sz w:val="28"/>
      <w:szCs w:val="28"/>
    </w:rPr>
  </w:style>
  <w:style w:type="character" w:customStyle="1" w:styleId="1118">
    <w:name w:val="表格标题新 Char"/>
    <w:link w:val="1117"/>
    <w:autoRedefine/>
    <w:qFormat/>
    <w:uiPriority w:val="0"/>
    <w:rPr>
      <w:rFonts w:ascii="宋体" w:hAnsi="宋体" w:cs="宋体"/>
      <w:snapToGrid w:val="0"/>
      <w:spacing w:val="10"/>
      <w:kern w:val="2"/>
      <w:sz w:val="28"/>
      <w:szCs w:val="28"/>
    </w:rPr>
  </w:style>
  <w:style w:type="paragraph" w:customStyle="1" w:styleId="1119">
    <w:name w:val="11 Char Char Char Char Char Char Char Char Char Char Char Char Char"/>
    <w:basedOn w:val="1"/>
    <w:autoRedefine/>
    <w:qFormat/>
    <w:uiPriority w:val="0"/>
    <w:pPr>
      <w:snapToGrid w:val="0"/>
      <w:spacing w:line="360" w:lineRule="auto"/>
      <w:ind w:firstLine="200" w:firstLineChars="200"/>
    </w:pPr>
    <w:rPr>
      <w:rFonts w:ascii="宋体" w:hAnsi="宋体" w:eastAsia="仿宋_GB2312" w:cs="宋体"/>
      <w:sz w:val="24"/>
    </w:rPr>
  </w:style>
  <w:style w:type="paragraph" w:customStyle="1" w:styleId="1120">
    <w:name w:val="样式 样式 首行缩进:  2 字符1 + 首行缩进:  2 字符 段前: 0.2 行"/>
    <w:basedOn w:val="1"/>
    <w:autoRedefine/>
    <w:qFormat/>
    <w:uiPriority w:val="0"/>
    <w:pPr>
      <w:spacing w:line="440" w:lineRule="exact"/>
      <w:ind w:firstLine="200" w:firstLineChars="200"/>
    </w:pPr>
    <w:rPr>
      <w:rFonts w:ascii="宋体" w:hAnsi="宋体" w:cs="宋体"/>
      <w:sz w:val="24"/>
    </w:rPr>
  </w:style>
  <w:style w:type="paragraph" w:customStyle="1" w:styleId="1121">
    <w:name w:val="表X"/>
    <w:basedOn w:val="45"/>
    <w:autoRedefine/>
    <w:qFormat/>
    <w:uiPriority w:val="0"/>
    <w:pPr>
      <w:keepNext/>
      <w:widowControl w:val="0"/>
      <w:tabs>
        <w:tab w:val="left" w:pos="920"/>
      </w:tabs>
      <w:adjustRightInd w:val="0"/>
      <w:spacing w:before="240"/>
      <w:ind w:left="920" w:hanging="360"/>
      <w:outlineLvl w:val="8"/>
    </w:pPr>
    <w:rPr>
      <w:rFonts w:ascii="Courier New" w:cs="Times New Roman"/>
      <w:kern w:val="2"/>
      <w:sz w:val="28"/>
      <w:szCs w:val="20"/>
    </w:rPr>
  </w:style>
  <w:style w:type="paragraph" w:customStyle="1" w:styleId="1122">
    <w:name w:val="文本123-II"/>
    <w:basedOn w:val="6"/>
    <w:autoRedefine/>
    <w:qFormat/>
    <w:uiPriority w:val="0"/>
    <w:pPr>
      <w:keepNext w:val="0"/>
      <w:keepLines w:val="0"/>
      <w:widowControl w:val="0"/>
      <w:tabs>
        <w:tab w:val="left" w:pos="3990"/>
        <w:tab w:val="clear" w:pos="1276"/>
      </w:tabs>
      <w:spacing w:beforeLines="50" w:line="240" w:lineRule="auto"/>
      <w:ind w:left="3990" w:hanging="420"/>
      <w:jc w:val="both"/>
    </w:pPr>
    <w:rPr>
      <w:rFonts w:ascii="Calibri" w:hAnsi="Calibri"/>
      <w:b w:val="0"/>
      <w:bCs w:val="0"/>
      <w:kern w:val="2"/>
      <w:szCs w:val="24"/>
    </w:rPr>
  </w:style>
  <w:style w:type="paragraph" w:customStyle="1" w:styleId="1123">
    <w:name w:val="样式 正文缩进正文（首行缩进两字）文本条款 + 段前: 0.4 行"/>
    <w:basedOn w:val="9"/>
    <w:autoRedefine/>
    <w:qFormat/>
    <w:uiPriority w:val="0"/>
    <w:pPr>
      <w:adjustRightInd/>
      <w:snapToGrid/>
      <w:spacing w:beforeLines="30" w:line="288" w:lineRule="auto"/>
      <w:ind w:firstLine="0" w:firstLineChars="0"/>
      <w:outlineLvl w:val="6"/>
    </w:pPr>
    <w:rPr>
      <w:rFonts w:ascii="Calibri" w:hAnsi="Calibri" w:eastAsia="黑体" w:cs="宋体"/>
      <w:b/>
      <w:color w:val="auto"/>
      <w:szCs w:val="20"/>
    </w:rPr>
  </w:style>
  <w:style w:type="paragraph" w:customStyle="1" w:styleId="1124">
    <w:name w:val="样式 文本123 + 段前: 0.2 行1"/>
    <w:basedOn w:val="562"/>
    <w:autoRedefine/>
    <w:qFormat/>
    <w:uiPriority w:val="0"/>
    <w:pPr>
      <w:tabs>
        <w:tab w:val="left" w:pos="3570"/>
        <w:tab w:val="clear" w:pos="958"/>
      </w:tabs>
      <w:snapToGrid w:val="0"/>
      <w:spacing w:beforeLines="20" w:line="480" w:lineRule="exact"/>
      <w:ind w:left="0" w:firstLine="510"/>
    </w:pPr>
  </w:style>
  <w:style w:type="paragraph" w:customStyle="1" w:styleId="1125">
    <w:name w:val="样式 表标题 + 段前: 0.5 行1"/>
    <w:basedOn w:val="4"/>
    <w:autoRedefine/>
    <w:qFormat/>
    <w:uiPriority w:val="0"/>
    <w:pPr>
      <w:keepNext w:val="0"/>
      <w:keepLines w:val="0"/>
      <w:widowControl w:val="0"/>
      <w:tabs>
        <w:tab w:val="clear" w:pos="1276"/>
      </w:tabs>
      <w:adjustRightInd w:val="0"/>
      <w:snapToGrid w:val="0"/>
      <w:spacing w:beforeLines="50" w:line="480" w:lineRule="exact"/>
      <w:ind w:left="0" w:firstLine="0"/>
      <w:jc w:val="center"/>
      <w:outlineLvl w:val="9"/>
    </w:pPr>
    <w:rPr>
      <w:rFonts w:ascii="Calibri" w:hAnsi="Calibri" w:eastAsia="黑体" w:cs="宋体"/>
      <w:kern w:val="2"/>
      <w:sz w:val="28"/>
      <w:szCs w:val="24"/>
    </w:rPr>
  </w:style>
  <w:style w:type="paragraph" w:customStyle="1" w:styleId="1126">
    <w:name w:val="样式 宋体 首行缩进:  2 字符 行距: 1.5 倍行距"/>
    <w:basedOn w:val="1"/>
    <w:autoRedefine/>
    <w:qFormat/>
    <w:uiPriority w:val="0"/>
    <w:pPr>
      <w:spacing w:line="360" w:lineRule="auto"/>
      <w:ind w:firstLine="480" w:firstLineChars="200"/>
    </w:pPr>
    <w:rPr>
      <w:rFonts w:ascii="宋体" w:hAnsi="宋体" w:cs="宋体"/>
      <w:sz w:val="24"/>
    </w:rPr>
  </w:style>
  <w:style w:type="paragraph" w:customStyle="1" w:styleId="1127">
    <w:name w:val="大标题"/>
    <w:basedOn w:val="3"/>
    <w:autoRedefine/>
    <w:qFormat/>
    <w:uiPriority w:val="0"/>
    <w:pPr>
      <w:keepLines/>
      <w:widowControl w:val="0"/>
      <w:numPr>
        <w:numId w:val="0"/>
      </w:numPr>
      <w:tabs>
        <w:tab w:val="left" w:pos="8640"/>
      </w:tabs>
      <w:spacing w:before="340" w:afterLines="100" w:line="480" w:lineRule="auto"/>
      <w:ind w:firstLine="200" w:firstLineChars="200"/>
      <w:jc w:val="center"/>
    </w:pPr>
    <w:rPr>
      <w:rFonts w:ascii="Calibri" w:hAnsi="Calibri"/>
      <w:b/>
      <w:bCs/>
      <w:color w:val="000000"/>
      <w:kern w:val="44"/>
      <w:sz w:val="44"/>
      <w:szCs w:val="44"/>
    </w:rPr>
  </w:style>
  <w:style w:type="paragraph" w:customStyle="1" w:styleId="1128">
    <w:name w:val="my1"/>
    <w:basedOn w:val="59"/>
    <w:autoRedefine/>
    <w:qFormat/>
    <w:uiPriority w:val="0"/>
    <w:pPr>
      <w:widowControl w:val="0"/>
      <w:tabs>
        <w:tab w:val="left" w:pos="450"/>
        <w:tab w:val="right" w:leader="dot" w:pos="9061"/>
      </w:tabs>
      <w:spacing w:before="120" w:after="120" w:line="300" w:lineRule="auto"/>
      <w:ind w:left="450" w:hanging="450"/>
      <w:jc w:val="center"/>
    </w:pPr>
    <w:rPr>
      <w:rFonts w:ascii="仿宋_GB2312" w:hAnsi="华文细黑" w:eastAsia="仿宋_GB2312"/>
      <w:caps/>
      <w:kern w:val="2"/>
      <w:sz w:val="28"/>
      <w:szCs w:val="28"/>
    </w:rPr>
  </w:style>
  <w:style w:type="paragraph" w:customStyle="1" w:styleId="1129">
    <w:name w:val="unnamed3"/>
    <w:basedOn w:val="1"/>
    <w:autoRedefine/>
    <w:qFormat/>
    <w:uiPriority w:val="0"/>
    <w:pPr>
      <w:widowControl/>
      <w:spacing w:before="100" w:beforeAutospacing="1" w:after="100" w:afterAutospacing="1" w:line="408" w:lineRule="auto"/>
      <w:jc w:val="left"/>
    </w:pPr>
    <w:rPr>
      <w:rFonts w:ascii="Arial Unicode MS" w:hAnsi="Arial Unicode MS" w:eastAsia="Arial Unicode MS" w:cs="宋体"/>
      <w:color w:val="000000"/>
      <w:kern w:val="0"/>
      <w:sz w:val="24"/>
    </w:rPr>
  </w:style>
  <w:style w:type="paragraph" w:customStyle="1" w:styleId="1130">
    <w:name w:val="Table Title Char1 Char"/>
    <w:basedOn w:val="1"/>
    <w:autoRedefine/>
    <w:qFormat/>
    <w:uiPriority w:val="0"/>
    <w:pPr>
      <w:widowControl/>
      <w:snapToGrid w:val="0"/>
      <w:spacing w:beforeLines="50" w:afterLines="50" w:line="400" w:lineRule="exact"/>
      <w:jc w:val="center"/>
    </w:pPr>
    <w:rPr>
      <w:rFonts w:ascii="宋体" w:hAnsi="宋体" w:cs="宋体"/>
      <w:sz w:val="24"/>
      <w:lang w:eastAsia="en-US"/>
    </w:rPr>
  </w:style>
  <w:style w:type="paragraph" w:customStyle="1" w:styleId="1131">
    <w:name w:val="样式 文本123 + 段前: 0.2 行"/>
    <w:basedOn w:val="562"/>
    <w:autoRedefine/>
    <w:qFormat/>
    <w:uiPriority w:val="0"/>
    <w:pPr>
      <w:tabs>
        <w:tab w:val="clear" w:pos="958"/>
      </w:tabs>
      <w:adjustRightInd w:val="0"/>
      <w:snapToGrid w:val="0"/>
      <w:spacing w:beforeLines="20" w:line="480" w:lineRule="exact"/>
      <w:ind w:left="2009"/>
    </w:pPr>
    <w:rPr>
      <w:szCs w:val="24"/>
    </w:rPr>
  </w:style>
  <w:style w:type="paragraph" w:customStyle="1" w:styleId="1132">
    <w:name w:val="11 Char Char Char Char Char Char Char Char Char Char Char Char Char Char Char1 Char"/>
    <w:basedOn w:val="1"/>
    <w:autoRedefine/>
    <w:qFormat/>
    <w:uiPriority w:val="0"/>
    <w:pPr>
      <w:snapToGrid w:val="0"/>
      <w:spacing w:line="360" w:lineRule="auto"/>
      <w:ind w:firstLine="200" w:firstLineChars="200"/>
    </w:pPr>
    <w:rPr>
      <w:rFonts w:ascii="宋体" w:hAnsi="宋体" w:eastAsia="仿宋_GB2312" w:cs="宋体"/>
      <w:sz w:val="24"/>
    </w:rPr>
  </w:style>
  <w:style w:type="paragraph" w:customStyle="1" w:styleId="1133">
    <w:name w:val="zheng"/>
    <w:basedOn w:val="1"/>
    <w:autoRedefine/>
    <w:qFormat/>
    <w:uiPriority w:val="0"/>
    <w:pPr>
      <w:spacing w:line="440" w:lineRule="exact"/>
      <w:ind w:firstLine="480" w:firstLineChars="200"/>
    </w:pPr>
    <w:rPr>
      <w:rFonts w:ascii="宋体" w:hAnsi="宋体" w:cs="宋体"/>
      <w:sz w:val="24"/>
    </w:rPr>
  </w:style>
  <w:style w:type="paragraph" w:customStyle="1" w:styleId="1134">
    <w:name w:val="b4"/>
    <w:basedOn w:val="1"/>
    <w:next w:val="1"/>
    <w:autoRedefine/>
    <w:qFormat/>
    <w:uiPriority w:val="0"/>
    <w:pPr>
      <w:spacing w:line="440" w:lineRule="exact"/>
      <w:outlineLvl w:val="3"/>
    </w:pPr>
    <w:rPr>
      <w:rFonts w:ascii="宋体" w:hAnsi="宋体" w:cs="宋体"/>
      <w:b/>
      <w:sz w:val="24"/>
    </w:rPr>
  </w:style>
  <w:style w:type="paragraph" w:customStyle="1" w:styleId="1135">
    <w:name w:val="zw"/>
    <w:basedOn w:val="1"/>
    <w:autoRedefine/>
    <w:qFormat/>
    <w:uiPriority w:val="0"/>
    <w:pPr>
      <w:spacing w:line="400" w:lineRule="exact"/>
      <w:ind w:firstLine="480" w:firstLineChars="200"/>
    </w:pPr>
    <w:rPr>
      <w:rFonts w:ascii="宋体" w:hAnsi="宋体" w:cs="宋体"/>
      <w:sz w:val="24"/>
    </w:rPr>
  </w:style>
  <w:style w:type="paragraph" w:customStyle="1" w:styleId="1136">
    <w:name w:val="7表格(治)"/>
    <w:autoRedefine/>
    <w:qFormat/>
    <w:uiPriority w:val="0"/>
    <w:pPr>
      <w:spacing w:line="400" w:lineRule="atLeast"/>
      <w:jc w:val="center"/>
    </w:pPr>
    <w:rPr>
      <w:rFonts w:hint="eastAsia" w:ascii="宋体" w:hAnsi="宋体" w:cs="Times New Roman" w:eastAsiaTheme="minorEastAsia"/>
      <w:sz w:val="21"/>
      <w:lang w:val="en-US" w:eastAsia="zh-CN" w:bidi="ar-SA"/>
    </w:rPr>
  </w:style>
  <w:style w:type="paragraph" w:customStyle="1" w:styleId="1137">
    <w:name w:val="样式 首行缩进:  2 字符1"/>
    <w:basedOn w:val="1"/>
    <w:autoRedefine/>
    <w:qFormat/>
    <w:uiPriority w:val="0"/>
    <w:pPr>
      <w:spacing w:line="440" w:lineRule="exact"/>
      <w:ind w:firstLine="200" w:firstLineChars="200"/>
    </w:pPr>
    <w:rPr>
      <w:rFonts w:ascii="宋体" w:hAnsi="宋体" w:cs="宋体"/>
      <w:sz w:val="24"/>
    </w:rPr>
  </w:style>
  <w:style w:type="paragraph" w:customStyle="1" w:styleId="1138">
    <w:name w:val="Char Char1 Char Char Char2 Char"/>
    <w:basedOn w:val="1"/>
    <w:autoRedefine/>
    <w:qFormat/>
    <w:uiPriority w:val="0"/>
    <w:rPr>
      <w:rFonts w:ascii="宋体" w:hAnsi="宋体" w:cs="宋体"/>
      <w:sz w:val="24"/>
    </w:rPr>
  </w:style>
  <w:style w:type="paragraph" w:customStyle="1" w:styleId="1139">
    <w:name w:val="Char Char Char Char Char Char Char Char Char 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1140">
    <w:name w:val="Char Char Char Char Char Char Char Char Char Char Char Char Char Char Char Char Char Char Char"/>
    <w:basedOn w:val="1"/>
    <w:autoRedefine/>
    <w:qFormat/>
    <w:uiPriority w:val="0"/>
    <w:rPr>
      <w:rFonts w:ascii="宋体" w:hAnsi="宋体" w:cs="宋体"/>
      <w:sz w:val="24"/>
    </w:rPr>
  </w:style>
  <w:style w:type="paragraph" w:customStyle="1" w:styleId="1141">
    <w:name w:val="正文格式42"/>
    <w:basedOn w:val="1"/>
    <w:autoRedefine/>
    <w:qFormat/>
    <w:uiPriority w:val="0"/>
    <w:pPr>
      <w:spacing w:line="360" w:lineRule="auto"/>
      <w:ind w:firstLine="482"/>
    </w:pPr>
    <w:rPr>
      <w:rFonts w:ascii="宋体" w:hAnsi="宋体" w:cs="宋体"/>
      <w:sz w:val="24"/>
    </w:rPr>
  </w:style>
  <w:style w:type="paragraph" w:customStyle="1" w:styleId="1142">
    <w:name w:val="主要条文"/>
    <w:basedOn w:val="1"/>
    <w:autoRedefine/>
    <w:qFormat/>
    <w:uiPriority w:val="0"/>
    <w:pPr>
      <w:tabs>
        <w:tab w:val="left" w:pos="1260"/>
      </w:tabs>
      <w:ind w:left="1260" w:hanging="420"/>
    </w:pPr>
    <w:rPr>
      <w:rFonts w:ascii="宋体" w:hAnsi="宋体" w:cs="宋体"/>
      <w:sz w:val="24"/>
    </w:rPr>
  </w:style>
  <w:style w:type="paragraph" w:customStyle="1" w:styleId="1143">
    <w:name w:val="样式 标题 2mystyle2style2 + 四号 非加粗 居中 行距: 多倍行距 1.73 字行"/>
    <w:basedOn w:val="4"/>
    <w:autoRedefine/>
    <w:qFormat/>
    <w:uiPriority w:val="0"/>
    <w:pPr>
      <w:widowControl w:val="0"/>
      <w:tabs>
        <w:tab w:val="clear" w:pos="1276"/>
      </w:tabs>
      <w:spacing w:before="260" w:after="260" w:line="415" w:lineRule="auto"/>
      <w:ind w:left="0" w:firstLine="0"/>
      <w:jc w:val="center"/>
    </w:pPr>
    <w:rPr>
      <w:rFonts w:ascii="Arial" w:eastAsia="黑体" w:cs="Century"/>
      <w:kern w:val="2"/>
      <w:sz w:val="28"/>
      <w:szCs w:val="24"/>
    </w:rPr>
  </w:style>
  <w:style w:type="character" w:customStyle="1" w:styleId="1144">
    <w:name w:val="font1"/>
    <w:autoRedefine/>
    <w:qFormat/>
    <w:uiPriority w:val="0"/>
    <w:rPr>
      <w:rFonts w:hint="default" w:ascii="Verdana" w:hAnsi="Verdana" w:eastAsia="宋体"/>
      <w:kern w:val="2"/>
      <w:sz w:val="18"/>
      <w:szCs w:val="18"/>
      <w:lang w:val="en-US" w:eastAsia="zh-CN" w:bidi="ar-SA"/>
    </w:rPr>
  </w:style>
  <w:style w:type="character" w:customStyle="1" w:styleId="1145">
    <w:name w:val="zjgblk1"/>
    <w:autoRedefine/>
    <w:qFormat/>
    <w:uiPriority w:val="0"/>
    <w:rPr>
      <w:rFonts w:hint="default" w:eastAsia="宋体"/>
      <w:color w:val="000000"/>
      <w:spacing w:val="336"/>
      <w:kern w:val="2"/>
      <w:sz w:val="18"/>
      <w:szCs w:val="18"/>
      <w:u w:val="none"/>
      <w:lang w:val="en-US" w:eastAsia="zh-CN" w:bidi="ar-SA"/>
    </w:rPr>
  </w:style>
  <w:style w:type="paragraph" w:customStyle="1" w:styleId="1146">
    <w:name w:val="表中文字"/>
    <w:basedOn w:val="1"/>
    <w:link w:val="1147"/>
    <w:autoRedefine/>
    <w:qFormat/>
    <w:uiPriority w:val="0"/>
    <w:pPr>
      <w:snapToGrid w:val="0"/>
    </w:pPr>
    <w:rPr>
      <w:rFonts w:ascii="Calibri" w:hAnsi="Calibri" w:cs="宋体"/>
    </w:rPr>
  </w:style>
  <w:style w:type="character" w:customStyle="1" w:styleId="1147">
    <w:name w:val="表中文字 Char2"/>
    <w:link w:val="1146"/>
    <w:autoRedefine/>
    <w:qFormat/>
    <w:uiPriority w:val="0"/>
    <w:rPr>
      <w:rFonts w:ascii="Calibri" w:hAnsi="Calibri" w:cs="宋体"/>
      <w:kern w:val="2"/>
      <w:sz w:val="21"/>
      <w:szCs w:val="24"/>
    </w:rPr>
  </w:style>
  <w:style w:type="paragraph" w:customStyle="1" w:styleId="1148">
    <w:name w:val="－列表"/>
    <w:basedOn w:val="66"/>
    <w:autoRedefine/>
    <w:qFormat/>
    <w:uiPriority w:val="0"/>
    <w:pPr>
      <w:adjustRightInd w:val="0"/>
      <w:snapToGrid w:val="0"/>
      <w:spacing w:line="360" w:lineRule="atLeast"/>
      <w:ind w:left="0" w:firstLine="0" w:firstLineChars="0"/>
      <w:contextualSpacing w:val="0"/>
      <w:textAlignment w:val="baseline"/>
    </w:pPr>
    <w:rPr>
      <w:rFonts w:ascii="宋体" w:hAnsi="宋体" w:cs="宋体"/>
      <w:snapToGrid w:val="0"/>
      <w:kern w:val="0"/>
      <w:sz w:val="22"/>
      <w:szCs w:val="22"/>
    </w:rPr>
  </w:style>
  <w:style w:type="paragraph" w:customStyle="1" w:styleId="1149">
    <w:name w:val="Char Char Char Char Char Char Char Char Char1 Char Char Char Char Char Char"/>
    <w:basedOn w:val="1"/>
    <w:autoRedefine/>
    <w:qFormat/>
    <w:uiPriority w:val="0"/>
    <w:rPr>
      <w:rFonts w:ascii="宋体" w:hAnsi="宋体" w:cs="宋体"/>
      <w:szCs w:val="21"/>
    </w:rPr>
  </w:style>
  <w:style w:type="paragraph" w:customStyle="1" w:styleId="1150">
    <w:name w:val="Char Char Char Char Char Char Char Char Char1 Char Char Char Char Char Char1"/>
    <w:basedOn w:val="1"/>
    <w:autoRedefine/>
    <w:qFormat/>
    <w:uiPriority w:val="0"/>
    <w:rPr>
      <w:rFonts w:ascii="宋体" w:hAnsi="宋体" w:cs="宋体"/>
      <w:szCs w:val="21"/>
    </w:rPr>
  </w:style>
  <w:style w:type="paragraph" w:customStyle="1" w:styleId="1151">
    <w:name w:val="表题2113"/>
    <w:basedOn w:val="1"/>
    <w:autoRedefine/>
    <w:qFormat/>
    <w:uiPriority w:val="0"/>
    <w:pPr>
      <w:widowControl/>
      <w:adjustRightInd w:val="0"/>
      <w:snapToGrid w:val="0"/>
      <w:jc w:val="center"/>
    </w:pPr>
    <w:rPr>
      <w:rFonts w:ascii="黑体" w:hAnsi="宋体" w:eastAsia="黑体" w:cs="宋体"/>
      <w:kern w:val="0"/>
      <w:sz w:val="24"/>
    </w:rPr>
  </w:style>
  <w:style w:type="character" w:customStyle="1" w:styleId="1152">
    <w:name w:val="z1"/>
    <w:autoRedefine/>
    <w:qFormat/>
    <w:uiPriority w:val="0"/>
    <w:rPr>
      <w:rFonts w:eastAsia="宋体"/>
      <w:spacing w:val="400"/>
      <w:kern w:val="2"/>
      <w:sz w:val="18"/>
      <w:szCs w:val="18"/>
      <w:lang w:val="en-US" w:eastAsia="zh-CN" w:bidi="ar-SA"/>
    </w:rPr>
  </w:style>
  <w:style w:type="paragraph" w:customStyle="1" w:styleId="1153">
    <w:name w:val="正文条目a"/>
    <w:basedOn w:val="1"/>
    <w:autoRedefine/>
    <w:qFormat/>
    <w:uiPriority w:val="0"/>
    <w:pPr>
      <w:ind w:left="400" w:leftChars="300" w:hanging="100" w:hangingChars="100"/>
    </w:pPr>
    <w:rPr>
      <w:rFonts w:ascii="宋体" w:hAnsi="宋体" w:cs="宋体"/>
      <w:sz w:val="24"/>
    </w:rPr>
  </w:style>
  <w:style w:type="paragraph" w:customStyle="1" w:styleId="1154">
    <w:name w:val="Char Char Char1 Char Char Char Char Char Char1"/>
    <w:basedOn w:val="1"/>
    <w:autoRedefine/>
    <w:qFormat/>
    <w:uiPriority w:val="0"/>
    <w:rPr>
      <w:rFonts w:ascii="黑体" w:hAnsi="黑体" w:eastAsia="黑体" w:cs="宋体"/>
      <w:b/>
      <w:spacing w:val="10"/>
      <w:sz w:val="28"/>
    </w:rPr>
  </w:style>
  <w:style w:type="paragraph" w:customStyle="1" w:styleId="1155">
    <w:name w:val="Char1 Char Char Char Char Char Char"/>
    <w:basedOn w:val="1"/>
    <w:autoRedefine/>
    <w:qFormat/>
    <w:uiPriority w:val="0"/>
    <w:pPr>
      <w:widowControl/>
      <w:spacing w:after="160"/>
      <w:jc w:val="left"/>
    </w:pPr>
    <w:rPr>
      <w:rFonts w:ascii="Verdana" w:hAnsi="Verdana" w:cs="宋体"/>
      <w:kern w:val="0"/>
      <w:sz w:val="24"/>
      <w:lang w:eastAsia="en-US"/>
    </w:rPr>
  </w:style>
  <w:style w:type="paragraph" w:customStyle="1" w:styleId="1156">
    <w:name w:val="Char1 Char Char Char Char Char1 Char1"/>
    <w:basedOn w:val="1"/>
    <w:autoRedefine/>
    <w:qFormat/>
    <w:uiPriority w:val="0"/>
    <w:rPr>
      <w:rFonts w:ascii="宋体" w:hAnsi="宋体" w:cs="宋体"/>
      <w:szCs w:val="21"/>
    </w:rPr>
  </w:style>
  <w:style w:type="paragraph" w:customStyle="1" w:styleId="1157">
    <w:name w:val="chang正文"/>
    <w:basedOn w:val="1"/>
    <w:link w:val="1158"/>
    <w:autoRedefine/>
    <w:qFormat/>
    <w:uiPriority w:val="0"/>
    <w:pPr>
      <w:spacing w:line="360" w:lineRule="auto"/>
      <w:ind w:firstLine="200" w:firstLineChars="200"/>
    </w:pPr>
    <w:rPr>
      <w:rFonts w:ascii="Calibri" w:hAnsi="Calibri" w:cs="宋体"/>
      <w:sz w:val="24"/>
    </w:rPr>
  </w:style>
  <w:style w:type="character" w:customStyle="1" w:styleId="1158">
    <w:name w:val="chang正文 Char"/>
    <w:link w:val="1157"/>
    <w:autoRedefine/>
    <w:qFormat/>
    <w:uiPriority w:val="0"/>
    <w:rPr>
      <w:rFonts w:ascii="Calibri" w:hAnsi="Calibri" w:cs="宋体"/>
      <w:kern w:val="2"/>
      <w:sz w:val="24"/>
      <w:szCs w:val="24"/>
    </w:rPr>
  </w:style>
  <w:style w:type="paragraph" w:customStyle="1" w:styleId="1159">
    <w:name w:val="xl749"/>
    <w:basedOn w:val="1"/>
    <w:autoRedefine/>
    <w:qFormat/>
    <w:uiPriority w:val="0"/>
    <w:pPr>
      <w:widowControl/>
      <w:spacing w:before="100" w:beforeAutospacing="1" w:after="100" w:afterAutospacing="1"/>
      <w:jc w:val="center"/>
    </w:pPr>
    <w:rPr>
      <w:rFonts w:ascii="Courier New" w:hAnsi="Courier New" w:eastAsia="Arial Unicode MS" w:cs="宋体"/>
      <w:b/>
      <w:bCs/>
      <w:kern w:val="0"/>
      <w:sz w:val="44"/>
      <w:szCs w:val="44"/>
    </w:rPr>
  </w:style>
  <w:style w:type="paragraph" w:customStyle="1" w:styleId="1160">
    <w:name w:val="样式 chen + 首行缩进:  2 字符"/>
    <w:basedOn w:val="1"/>
    <w:autoRedefine/>
    <w:qFormat/>
    <w:uiPriority w:val="0"/>
    <w:pPr>
      <w:spacing w:line="500" w:lineRule="exact"/>
      <w:ind w:firstLine="560" w:firstLineChars="200"/>
    </w:pPr>
    <w:rPr>
      <w:rFonts w:ascii="宋体" w:hAnsi="宋体" w:cs="宋体"/>
      <w:color w:val="000000"/>
      <w:sz w:val="28"/>
    </w:rPr>
  </w:style>
  <w:style w:type="paragraph" w:customStyle="1" w:styleId="1161">
    <w:name w:val="Char Char Char1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character" w:customStyle="1" w:styleId="1162">
    <w:name w:val="环正文 Char4"/>
    <w:autoRedefine/>
    <w:qFormat/>
    <w:uiPriority w:val="0"/>
    <w:rPr>
      <w:rFonts w:eastAsia="仿宋_GB2312"/>
      <w:color w:val="FF0000"/>
      <w:kern w:val="2"/>
      <w:sz w:val="28"/>
      <w:szCs w:val="28"/>
      <w:lang w:val="en-US" w:eastAsia="zh-CN" w:bidi="ar-SA"/>
    </w:rPr>
  </w:style>
  <w:style w:type="character" w:customStyle="1" w:styleId="1163">
    <w:name w:val="环表头 Char2"/>
    <w:autoRedefine/>
    <w:qFormat/>
    <w:uiPriority w:val="0"/>
    <w:rPr>
      <w:rFonts w:hAnsi="宋体" w:eastAsia="宋体"/>
      <w:color w:val="FF0000"/>
      <w:kern w:val="2"/>
      <w:sz w:val="28"/>
      <w:szCs w:val="28"/>
      <w:lang w:val="en-US" w:eastAsia="zh-CN" w:bidi="ar-SA"/>
    </w:rPr>
  </w:style>
  <w:style w:type="character" w:customStyle="1" w:styleId="1164">
    <w:name w:val="河石管道4 Char"/>
    <w:autoRedefine/>
    <w:qFormat/>
    <w:uiPriority w:val="0"/>
    <w:rPr>
      <w:rFonts w:ascii="仿宋_GB2312" w:hAnsi="Arial" w:eastAsia="仿宋_GB2312"/>
      <w:bCs/>
      <w:kern w:val="2"/>
      <w:sz w:val="28"/>
      <w:szCs w:val="28"/>
      <w:lang w:val="en-US" w:eastAsia="zh-CN" w:bidi="ar-SA"/>
    </w:rPr>
  </w:style>
  <w:style w:type="character" w:customStyle="1" w:styleId="1165">
    <w:name w:val="Footer Line1 Char"/>
    <w:autoRedefine/>
    <w:qFormat/>
    <w:uiPriority w:val="0"/>
    <w:rPr>
      <w:rFonts w:eastAsia="仿宋_GB2312"/>
      <w:kern w:val="2"/>
      <w:sz w:val="18"/>
      <w:lang w:val="en-US" w:eastAsia="zh-CN" w:bidi="ar-SA"/>
    </w:rPr>
  </w:style>
  <w:style w:type="paragraph" w:customStyle="1" w:styleId="1166">
    <w:name w:val="正文格式1"/>
    <w:basedOn w:val="1"/>
    <w:autoRedefine/>
    <w:qFormat/>
    <w:uiPriority w:val="0"/>
    <w:pPr>
      <w:spacing w:line="360" w:lineRule="auto"/>
      <w:ind w:firstLine="482"/>
    </w:pPr>
    <w:rPr>
      <w:rFonts w:ascii="宋体" w:hAnsi="宋体" w:cs="宋体"/>
      <w:sz w:val="24"/>
    </w:rPr>
  </w:style>
  <w:style w:type="character" w:customStyle="1" w:styleId="1167">
    <w:name w:val="Char Char10"/>
    <w:autoRedefine/>
    <w:qFormat/>
    <w:uiPriority w:val="0"/>
    <w:rPr>
      <w:rFonts w:eastAsia="宋体"/>
      <w:kern w:val="2"/>
      <w:sz w:val="18"/>
      <w:szCs w:val="18"/>
      <w:lang w:val="en-US" w:eastAsia="zh-CN" w:bidi="ar-SA"/>
    </w:rPr>
  </w:style>
  <w:style w:type="paragraph" w:customStyle="1" w:styleId="1168">
    <w:name w:val="表题123"/>
    <w:basedOn w:val="22"/>
    <w:autoRedefine/>
    <w:qFormat/>
    <w:uiPriority w:val="0"/>
    <w:pPr>
      <w:widowControl w:val="0"/>
      <w:spacing w:line="360" w:lineRule="auto"/>
      <w:jc w:val="center"/>
    </w:pPr>
    <w:rPr>
      <w:rFonts w:ascii="黑体" w:hAnsi="Arial" w:cs="Arial"/>
      <w:kern w:val="2"/>
    </w:rPr>
  </w:style>
  <w:style w:type="paragraph" w:customStyle="1" w:styleId="1169">
    <w:name w:val="正文格式53"/>
    <w:basedOn w:val="1"/>
    <w:autoRedefine/>
    <w:qFormat/>
    <w:uiPriority w:val="0"/>
    <w:pPr>
      <w:spacing w:line="360" w:lineRule="auto"/>
      <w:ind w:firstLine="482"/>
    </w:pPr>
    <w:rPr>
      <w:rFonts w:ascii="宋体" w:hAnsi="宋体" w:cs="宋体"/>
      <w:sz w:val="24"/>
    </w:rPr>
  </w:style>
  <w:style w:type="paragraph" w:customStyle="1" w:styleId="1170">
    <w:name w:val="表内宋5中14"/>
    <w:basedOn w:val="1"/>
    <w:autoRedefine/>
    <w:qFormat/>
    <w:uiPriority w:val="0"/>
    <w:pPr>
      <w:adjustRightInd w:val="0"/>
      <w:snapToGrid w:val="0"/>
      <w:jc w:val="center"/>
      <w:textAlignment w:val="baseline"/>
    </w:pPr>
    <w:rPr>
      <w:rFonts w:ascii="宋体" w:hAnsi="宋体" w:cs="宋体"/>
      <w:kern w:val="0"/>
    </w:rPr>
  </w:style>
  <w:style w:type="paragraph" w:customStyle="1" w:styleId="1171">
    <w:name w:val="表内文字小113"/>
    <w:basedOn w:val="1"/>
    <w:autoRedefine/>
    <w:qFormat/>
    <w:uiPriority w:val="0"/>
    <w:pPr>
      <w:adjustRightInd w:val="0"/>
      <w:snapToGrid w:val="0"/>
    </w:pPr>
    <w:rPr>
      <w:rFonts w:ascii="宋体" w:hAnsi="Times" w:cs="宋体"/>
    </w:rPr>
  </w:style>
  <w:style w:type="paragraph" w:customStyle="1" w:styleId="1172">
    <w:name w:val="表题14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173">
    <w:name w:val="表内文字小83"/>
    <w:basedOn w:val="1"/>
    <w:autoRedefine/>
    <w:qFormat/>
    <w:uiPriority w:val="0"/>
    <w:pPr>
      <w:adjustRightInd w:val="0"/>
      <w:snapToGrid w:val="0"/>
      <w:jc w:val="center"/>
    </w:pPr>
    <w:rPr>
      <w:rFonts w:ascii="宋体" w:hAnsi="Times" w:cs="宋体"/>
    </w:rPr>
  </w:style>
  <w:style w:type="paragraph" w:customStyle="1" w:styleId="1174">
    <w:name w:val="Default3"/>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paragraph" w:customStyle="1" w:styleId="1175">
    <w:name w:val="正文格式73"/>
    <w:basedOn w:val="1"/>
    <w:autoRedefine/>
    <w:qFormat/>
    <w:uiPriority w:val="0"/>
    <w:pPr>
      <w:spacing w:line="360" w:lineRule="auto"/>
      <w:ind w:firstLine="482"/>
    </w:pPr>
    <w:rPr>
      <w:rFonts w:ascii="宋体" w:hAnsi="宋体" w:cs="宋体"/>
      <w:sz w:val="24"/>
    </w:rPr>
  </w:style>
  <w:style w:type="paragraph" w:customStyle="1" w:styleId="1176">
    <w:name w:val="表题144"/>
    <w:basedOn w:val="22"/>
    <w:autoRedefine/>
    <w:qFormat/>
    <w:uiPriority w:val="0"/>
    <w:pPr>
      <w:widowControl w:val="0"/>
      <w:spacing w:line="360" w:lineRule="auto"/>
      <w:jc w:val="center"/>
    </w:pPr>
    <w:rPr>
      <w:rFonts w:ascii="黑体" w:hAnsi="Arial" w:cs="Arial"/>
      <w:b/>
      <w:kern w:val="2"/>
    </w:rPr>
  </w:style>
  <w:style w:type="paragraph" w:customStyle="1" w:styleId="1177">
    <w:name w:val="表中文字3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178">
    <w:name w:val="表格内字体"/>
    <w:basedOn w:val="316"/>
    <w:next w:val="316"/>
    <w:link w:val="1179"/>
    <w:autoRedefine/>
    <w:qFormat/>
    <w:uiPriority w:val="0"/>
    <w:pPr>
      <w:spacing w:line="240" w:lineRule="auto"/>
      <w:ind w:firstLine="0"/>
      <w:jc w:val="center"/>
    </w:pPr>
    <w:rPr>
      <w:rFonts w:hAnsi="宋体"/>
      <w:b w:val="0"/>
      <w:spacing w:val="0"/>
      <w:sz w:val="21"/>
    </w:rPr>
  </w:style>
  <w:style w:type="character" w:customStyle="1" w:styleId="1179">
    <w:name w:val="表格内字体 Char"/>
    <w:link w:val="1178"/>
    <w:autoRedefine/>
    <w:qFormat/>
    <w:uiPriority w:val="0"/>
    <w:rPr>
      <w:rFonts w:ascii="宋体" w:hAnsi="宋体"/>
      <w:kern w:val="2"/>
      <w:sz w:val="21"/>
    </w:rPr>
  </w:style>
  <w:style w:type="character" w:customStyle="1" w:styleId="1180">
    <w:name w:val="正文首行缩进 Char4 Char"/>
    <w:autoRedefine/>
    <w:qFormat/>
    <w:uiPriority w:val="0"/>
    <w:rPr>
      <w:rFonts w:eastAsia="宋体"/>
      <w:sz w:val="28"/>
      <w:lang w:val="en-US" w:eastAsia="zh-CN" w:bidi="ar-SA"/>
    </w:rPr>
  </w:style>
  <w:style w:type="paragraph" w:customStyle="1" w:styleId="1181">
    <w:name w:val="燕山正文"/>
    <w:basedOn w:val="1"/>
    <w:link w:val="1182"/>
    <w:autoRedefine/>
    <w:qFormat/>
    <w:uiPriority w:val="0"/>
    <w:pPr>
      <w:tabs>
        <w:tab w:val="left" w:pos="4680"/>
      </w:tabs>
      <w:adjustRightInd w:val="0"/>
      <w:snapToGrid w:val="0"/>
      <w:spacing w:line="480" w:lineRule="exact"/>
    </w:pPr>
    <w:rPr>
      <w:rFonts w:ascii="宋体" w:hAnsi="Calibri" w:cs="宋体"/>
      <w:sz w:val="24"/>
    </w:rPr>
  </w:style>
  <w:style w:type="character" w:customStyle="1" w:styleId="1182">
    <w:name w:val="燕山正文 Char1"/>
    <w:link w:val="1181"/>
    <w:autoRedefine/>
    <w:qFormat/>
    <w:uiPriority w:val="0"/>
    <w:rPr>
      <w:rFonts w:ascii="宋体" w:hAnsi="Calibri" w:cs="宋体"/>
      <w:kern w:val="2"/>
      <w:sz w:val="24"/>
      <w:szCs w:val="24"/>
    </w:rPr>
  </w:style>
  <w:style w:type="paragraph" w:customStyle="1" w:styleId="1183">
    <w:name w:val="正文修改"/>
    <w:basedOn w:val="1181"/>
    <w:link w:val="1184"/>
    <w:autoRedefine/>
    <w:qFormat/>
    <w:uiPriority w:val="0"/>
    <w:rPr>
      <w:rFonts w:hAnsi="宋体"/>
      <w:color w:val="000000"/>
    </w:rPr>
  </w:style>
  <w:style w:type="character" w:customStyle="1" w:styleId="1184">
    <w:name w:val="正文修改 Char1"/>
    <w:link w:val="1183"/>
    <w:autoRedefine/>
    <w:qFormat/>
    <w:uiPriority w:val="0"/>
    <w:rPr>
      <w:rFonts w:ascii="宋体" w:hAnsi="宋体" w:cs="宋体"/>
      <w:color w:val="000000"/>
      <w:kern w:val="2"/>
      <w:sz w:val="24"/>
      <w:szCs w:val="24"/>
    </w:rPr>
  </w:style>
  <w:style w:type="character" w:customStyle="1" w:styleId="1185">
    <w:name w:val="正文文字 3 Char Char"/>
    <w:autoRedefine/>
    <w:qFormat/>
    <w:uiPriority w:val="0"/>
    <w:rPr>
      <w:rFonts w:eastAsia="宋体"/>
      <w:kern w:val="2"/>
      <w:sz w:val="16"/>
      <w:szCs w:val="16"/>
      <w:lang w:val="en-US" w:eastAsia="zh-CN" w:bidi="ar-SA"/>
    </w:rPr>
  </w:style>
  <w:style w:type="paragraph" w:customStyle="1" w:styleId="1186">
    <w:name w:val="图题6"/>
    <w:basedOn w:val="316"/>
    <w:next w:val="316"/>
    <w:link w:val="1187"/>
    <w:autoRedefine/>
    <w:qFormat/>
    <w:uiPriority w:val="0"/>
    <w:pPr>
      <w:ind w:firstLine="0"/>
      <w:jc w:val="center"/>
    </w:pPr>
    <w:rPr>
      <w:rFonts w:ascii="黑体" w:hAnsi="宋体" w:eastAsia="黑体"/>
      <w:bCs/>
      <w:spacing w:val="0"/>
    </w:rPr>
  </w:style>
  <w:style w:type="character" w:customStyle="1" w:styleId="1187">
    <w:name w:val="图题 Char"/>
    <w:link w:val="1186"/>
    <w:autoRedefine/>
    <w:qFormat/>
    <w:uiPriority w:val="0"/>
    <w:rPr>
      <w:rFonts w:ascii="黑体" w:hAnsi="宋体" w:eastAsia="黑体"/>
      <w:b/>
      <w:bCs/>
      <w:kern w:val="2"/>
      <w:sz w:val="24"/>
    </w:rPr>
  </w:style>
  <w:style w:type="paragraph" w:customStyle="1" w:styleId="1188">
    <w:name w:val="图表题"/>
    <w:basedOn w:val="316"/>
    <w:next w:val="316"/>
    <w:link w:val="1189"/>
    <w:autoRedefine/>
    <w:qFormat/>
    <w:uiPriority w:val="0"/>
    <w:pPr>
      <w:ind w:firstLine="0"/>
      <w:jc w:val="center"/>
    </w:pPr>
    <w:rPr>
      <w:rFonts w:ascii="黑体" w:hAnsi="宋体" w:eastAsia="黑体"/>
      <w:bCs/>
    </w:rPr>
  </w:style>
  <w:style w:type="character" w:customStyle="1" w:styleId="1189">
    <w:name w:val="图表题 Char"/>
    <w:link w:val="1188"/>
    <w:autoRedefine/>
    <w:qFormat/>
    <w:uiPriority w:val="0"/>
    <w:rPr>
      <w:rFonts w:ascii="黑体" w:hAnsi="宋体" w:eastAsia="黑体"/>
      <w:b/>
      <w:bCs/>
      <w:spacing w:val="10"/>
      <w:kern w:val="2"/>
      <w:sz w:val="24"/>
    </w:rPr>
  </w:style>
  <w:style w:type="paragraph" w:customStyle="1" w:styleId="1190">
    <w:name w:val="样式 表格内字体 +"/>
    <w:basedOn w:val="1178"/>
    <w:link w:val="1191"/>
    <w:autoRedefine/>
    <w:qFormat/>
    <w:uiPriority w:val="0"/>
    <w:pPr>
      <w:spacing w:line="280" w:lineRule="exact"/>
      <w:ind w:firstLine="36"/>
      <w:jc w:val="both"/>
    </w:pPr>
  </w:style>
  <w:style w:type="character" w:customStyle="1" w:styleId="1191">
    <w:name w:val="样式 表格内字体 + Char"/>
    <w:basedOn w:val="1179"/>
    <w:link w:val="1190"/>
    <w:autoRedefine/>
    <w:qFormat/>
    <w:uiPriority w:val="0"/>
    <w:rPr>
      <w:rFonts w:ascii="宋体" w:hAnsi="宋体"/>
      <w:kern w:val="2"/>
      <w:sz w:val="21"/>
    </w:rPr>
  </w:style>
  <w:style w:type="paragraph" w:customStyle="1" w:styleId="1192">
    <w:name w:val="A正文"/>
    <w:basedOn w:val="1"/>
    <w:link w:val="1193"/>
    <w:autoRedefine/>
    <w:qFormat/>
    <w:uiPriority w:val="0"/>
    <w:pPr>
      <w:widowControl/>
      <w:overflowPunct w:val="0"/>
      <w:autoSpaceDE w:val="0"/>
      <w:autoSpaceDN w:val="0"/>
      <w:adjustRightInd w:val="0"/>
      <w:spacing w:line="360" w:lineRule="auto"/>
      <w:ind w:firstLine="200" w:firstLineChars="200"/>
      <w:jc w:val="left"/>
      <w:textAlignment w:val="baseline"/>
    </w:pPr>
    <w:rPr>
      <w:rFonts w:ascii="Calibri" w:hAnsi="Calibri" w:eastAsia="仿宋_GB2312" w:cs="宋体"/>
      <w:sz w:val="24"/>
    </w:rPr>
  </w:style>
  <w:style w:type="character" w:customStyle="1" w:styleId="1193">
    <w:name w:val="A正文 Char"/>
    <w:link w:val="1192"/>
    <w:autoRedefine/>
    <w:qFormat/>
    <w:uiPriority w:val="0"/>
    <w:rPr>
      <w:rFonts w:ascii="Calibri" w:hAnsi="Calibri" w:eastAsia="仿宋_GB2312" w:cs="宋体"/>
      <w:kern w:val="2"/>
      <w:sz w:val="24"/>
      <w:szCs w:val="24"/>
    </w:rPr>
  </w:style>
  <w:style w:type="paragraph" w:customStyle="1" w:styleId="1194">
    <w:name w:val="图题注"/>
    <w:basedOn w:val="22"/>
    <w:link w:val="1195"/>
    <w:autoRedefine/>
    <w:qFormat/>
    <w:uiPriority w:val="0"/>
    <w:pPr>
      <w:widowControl w:val="0"/>
      <w:jc w:val="center"/>
    </w:pPr>
    <w:rPr>
      <w:rFonts w:ascii="黑体" w:hAnsi="Arial"/>
      <w:b/>
      <w:bCs/>
      <w:kern w:val="2"/>
    </w:rPr>
  </w:style>
  <w:style w:type="character" w:customStyle="1" w:styleId="1195">
    <w:name w:val="图题注 Char"/>
    <w:link w:val="1194"/>
    <w:autoRedefine/>
    <w:qFormat/>
    <w:uiPriority w:val="0"/>
    <w:rPr>
      <w:rFonts w:ascii="黑体" w:hAnsi="Arial" w:eastAsia="黑体" w:cs="宋体"/>
      <w:b/>
      <w:bCs/>
      <w:kern w:val="2"/>
      <w:sz w:val="24"/>
      <w:szCs w:val="24"/>
    </w:rPr>
  </w:style>
  <w:style w:type="paragraph" w:customStyle="1" w:styleId="1196">
    <w:name w:val="表中文字4"/>
    <w:basedOn w:val="1"/>
    <w:link w:val="1197"/>
    <w:autoRedefine/>
    <w:qFormat/>
    <w:uiPriority w:val="0"/>
    <w:pPr>
      <w:snapToGrid w:val="0"/>
      <w:spacing w:line="340" w:lineRule="exact"/>
      <w:ind w:firstLine="480" w:firstLineChars="200"/>
      <w:jc w:val="center"/>
    </w:pPr>
    <w:rPr>
      <w:rFonts w:ascii="Arial" w:hAnsi="Arial" w:cs="宋体"/>
      <w:lang w:eastAsia="zh-TW"/>
    </w:rPr>
  </w:style>
  <w:style w:type="character" w:customStyle="1" w:styleId="1197">
    <w:name w:val="表中文字 Char"/>
    <w:link w:val="1196"/>
    <w:autoRedefine/>
    <w:qFormat/>
    <w:uiPriority w:val="0"/>
    <w:rPr>
      <w:rFonts w:ascii="Arial" w:hAnsi="Arial" w:cs="宋体"/>
      <w:kern w:val="2"/>
      <w:sz w:val="21"/>
      <w:szCs w:val="24"/>
      <w:lang w:eastAsia="zh-TW"/>
    </w:rPr>
  </w:style>
  <w:style w:type="paragraph" w:customStyle="1" w:styleId="1198">
    <w:name w:val="样式 正文缩进 + 宋体 黑色"/>
    <w:basedOn w:val="9"/>
    <w:link w:val="1199"/>
    <w:autoRedefine/>
    <w:qFormat/>
    <w:uiPriority w:val="0"/>
    <w:pPr>
      <w:adjustRightInd/>
      <w:snapToGrid/>
      <w:spacing w:line="360" w:lineRule="auto"/>
      <w:jc w:val="left"/>
    </w:pPr>
    <w:rPr>
      <w:rFonts w:ascii="宋体" w:hAnsi="宋体" w:eastAsia="宋体" w:cs="宋体"/>
      <w:sz w:val="24"/>
    </w:rPr>
  </w:style>
  <w:style w:type="character" w:customStyle="1" w:styleId="1199">
    <w:name w:val="样式 正文缩进 + 宋体 黑色 Char"/>
    <w:link w:val="1198"/>
    <w:autoRedefine/>
    <w:qFormat/>
    <w:uiPriority w:val="0"/>
    <w:rPr>
      <w:rFonts w:ascii="宋体" w:hAnsi="宋体" w:cs="宋体"/>
      <w:color w:val="000000"/>
      <w:kern w:val="2"/>
      <w:sz w:val="24"/>
      <w:szCs w:val="24"/>
    </w:rPr>
  </w:style>
  <w:style w:type="paragraph" w:customStyle="1" w:styleId="1200">
    <w:name w:val="表内51"/>
    <w:basedOn w:val="1"/>
    <w:link w:val="1201"/>
    <w:autoRedefine/>
    <w:qFormat/>
    <w:uiPriority w:val="0"/>
    <w:pPr>
      <w:adjustRightInd w:val="0"/>
      <w:snapToGrid w:val="0"/>
      <w:jc w:val="center"/>
    </w:pPr>
    <w:rPr>
      <w:rFonts w:ascii="宋体" w:hAnsi="宋体" w:cs="宋体"/>
    </w:rPr>
  </w:style>
  <w:style w:type="character" w:customStyle="1" w:styleId="1201">
    <w:name w:val="表内5 Char"/>
    <w:link w:val="1200"/>
    <w:autoRedefine/>
    <w:qFormat/>
    <w:uiPriority w:val="0"/>
    <w:rPr>
      <w:rFonts w:ascii="宋体" w:hAnsi="宋体" w:cs="宋体"/>
      <w:kern w:val="2"/>
      <w:sz w:val="21"/>
      <w:szCs w:val="24"/>
    </w:rPr>
  </w:style>
  <w:style w:type="paragraph" w:customStyle="1" w:styleId="1202">
    <w:name w:val="正文斜体"/>
    <w:basedOn w:val="316"/>
    <w:next w:val="316"/>
    <w:link w:val="1203"/>
    <w:autoRedefine/>
    <w:qFormat/>
    <w:uiPriority w:val="0"/>
    <w:rPr>
      <w:rFonts w:hAnsi="宋体"/>
      <w:i/>
      <w:iCs/>
    </w:rPr>
  </w:style>
  <w:style w:type="character" w:customStyle="1" w:styleId="1203">
    <w:name w:val="正文斜体 Char"/>
    <w:link w:val="1202"/>
    <w:autoRedefine/>
    <w:qFormat/>
    <w:uiPriority w:val="0"/>
    <w:rPr>
      <w:rFonts w:ascii="宋体" w:hAnsi="宋体"/>
      <w:b/>
      <w:i/>
      <w:iCs/>
      <w:spacing w:val="10"/>
      <w:kern w:val="2"/>
      <w:sz w:val="24"/>
    </w:rPr>
  </w:style>
  <w:style w:type="paragraph" w:customStyle="1" w:styleId="1204">
    <w:name w:val="样式 表内小5 + 黑体 加粗 倾斜 下划线"/>
    <w:basedOn w:val="1"/>
    <w:link w:val="1205"/>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205">
    <w:name w:val="样式 表内小5 + 黑体 加粗 倾斜 下划线 Char"/>
    <w:link w:val="1204"/>
    <w:autoRedefine/>
    <w:qFormat/>
    <w:uiPriority w:val="0"/>
    <w:rPr>
      <w:rFonts w:ascii="黑体" w:hAnsi="黑体" w:eastAsia="黑体" w:cs="宋体"/>
      <w:b/>
      <w:bCs/>
      <w:i/>
      <w:iCs/>
      <w:kern w:val="2"/>
      <w:sz w:val="18"/>
      <w:szCs w:val="24"/>
      <w:u w:val="single"/>
    </w:rPr>
  </w:style>
  <w:style w:type="paragraph" w:customStyle="1" w:styleId="1206">
    <w:name w:val="福建正文缩进"/>
    <w:basedOn w:val="9"/>
    <w:link w:val="1207"/>
    <w:autoRedefine/>
    <w:qFormat/>
    <w:uiPriority w:val="0"/>
    <w:pPr>
      <w:widowControl/>
      <w:tabs>
        <w:tab w:val="left" w:pos="5837"/>
      </w:tabs>
      <w:spacing w:line="480" w:lineRule="exact"/>
      <w:ind w:firstLine="0" w:firstLineChars="0"/>
    </w:pPr>
    <w:rPr>
      <w:rFonts w:ascii="宋体" w:hAnsi="宋体" w:eastAsia="宋体" w:cs="宋体"/>
      <w:sz w:val="24"/>
    </w:rPr>
  </w:style>
  <w:style w:type="character" w:customStyle="1" w:styleId="1207">
    <w:name w:val="福建正文缩进 Char"/>
    <w:link w:val="1206"/>
    <w:autoRedefine/>
    <w:qFormat/>
    <w:uiPriority w:val="0"/>
    <w:rPr>
      <w:rFonts w:ascii="宋体" w:hAnsi="宋体" w:cs="宋体"/>
      <w:color w:val="000000"/>
      <w:kern w:val="2"/>
      <w:sz w:val="24"/>
      <w:szCs w:val="24"/>
    </w:rPr>
  </w:style>
  <w:style w:type="paragraph" w:customStyle="1" w:styleId="1208">
    <w:name w:val="正文.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09">
    <w:name w:val="表题15"/>
    <w:basedOn w:val="22"/>
    <w:autoRedefine/>
    <w:qFormat/>
    <w:uiPriority w:val="0"/>
    <w:pPr>
      <w:widowControl w:val="0"/>
      <w:spacing w:line="360" w:lineRule="auto"/>
      <w:jc w:val="center"/>
    </w:pPr>
    <w:rPr>
      <w:rFonts w:ascii="黑体" w:hAnsi="Arial" w:cs="Arial"/>
      <w:b/>
      <w:kern w:val="2"/>
    </w:rPr>
  </w:style>
  <w:style w:type="paragraph" w:customStyle="1" w:styleId="1210">
    <w:name w:val="Char Char Char Char Char Char Char151"/>
    <w:basedOn w:val="1"/>
    <w:autoRedefine/>
    <w:qFormat/>
    <w:uiPriority w:val="0"/>
    <w:rPr>
      <w:rFonts w:ascii="宋体" w:hAnsi="宋体" w:cs="宋体"/>
    </w:rPr>
  </w:style>
  <w:style w:type="paragraph" w:customStyle="1" w:styleId="1211">
    <w:name w:val="燕山正文114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1212">
    <w:name w:val="三级标题 Char2"/>
    <w:autoRedefine/>
    <w:qFormat/>
    <w:uiPriority w:val="0"/>
    <w:rPr>
      <w:rFonts w:ascii="黑体" w:hAnsi="宋体" w:eastAsia="黑体"/>
      <w:b/>
      <w:bCs/>
      <w:kern w:val="2"/>
      <w:sz w:val="28"/>
      <w:szCs w:val="28"/>
      <w:lang w:val="en-US" w:eastAsia="zh-CN" w:bidi="ar-SA"/>
    </w:rPr>
  </w:style>
  <w:style w:type="paragraph" w:customStyle="1" w:styleId="1213">
    <w:name w:val="表题151"/>
    <w:basedOn w:val="22"/>
    <w:autoRedefine/>
    <w:qFormat/>
    <w:uiPriority w:val="0"/>
    <w:pPr>
      <w:widowControl w:val="0"/>
      <w:spacing w:line="360" w:lineRule="auto"/>
      <w:jc w:val="center"/>
    </w:pPr>
    <w:rPr>
      <w:rFonts w:ascii="黑体" w:hAnsi="Arial" w:cs="Arial"/>
      <w:b/>
      <w:kern w:val="2"/>
    </w:rPr>
  </w:style>
  <w:style w:type="character" w:customStyle="1" w:styleId="1214">
    <w:name w:val="正文修改 Char132"/>
    <w:autoRedefine/>
    <w:qFormat/>
    <w:uiPriority w:val="0"/>
    <w:rPr>
      <w:rFonts w:ascii="宋体" w:hAnsi="宋体" w:eastAsia="宋体" w:cs="宋体"/>
      <w:color w:val="000000"/>
      <w:kern w:val="2"/>
      <w:sz w:val="24"/>
      <w:szCs w:val="24"/>
      <w:lang w:val="en-US" w:eastAsia="zh-CN" w:bidi="ar-SA"/>
    </w:rPr>
  </w:style>
  <w:style w:type="character" w:customStyle="1" w:styleId="1215">
    <w:name w:val="Char Char1"/>
    <w:autoRedefine/>
    <w:qFormat/>
    <w:uiPriority w:val="0"/>
    <w:rPr>
      <w:rFonts w:ascii="黑体" w:hAnsi="Arial" w:eastAsia="黑体"/>
      <w:b/>
      <w:bCs/>
      <w:kern w:val="2"/>
      <w:sz w:val="30"/>
      <w:szCs w:val="30"/>
      <w:lang w:val="en-US" w:eastAsia="zh-CN" w:bidi="ar-SA"/>
    </w:rPr>
  </w:style>
  <w:style w:type="character" w:customStyle="1" w:styleId="1216">
    <w:name w:val="标题 9 Char2"/>
    <w:autoRedefine/>
    <w:qFormat/>
    <w:uiPriority w:val="0"/>
    <w:rPr>
      <w:rFonts w:ascii="Arial" w:hAnsi="Arial" w:eastAsia="黑体" w:cs="Times New Roman"/>
      <w:kern w:val="2"/>
      <w:sz w:val="24"/>
      <w:szCs w:val="21"/>
      <w:lang w:val="en-US" w:eastAsia="zh-CN" w:bidi="ar-SA"/>
    </w:rPr>
  </w:style>
  <w:style w:type="paragraph" w:customStyle="1" w:styleId="1217">
    <w:name w:val="默认段落字体 Para Char3"/>
    <w:basedOn w:val="1"/>
    <w:autoRedefine/>
    <w:qFormat/>
    <w:uiPriority w:val="0"/>
    <w:pPr>
      <w:spacing w:line="360" w:lineRule="auto"/>
      <w:ind w:firstLine="200" w:firstLineChars="200"/>
    </w:pPr>
    <w:rPr>
      <w:rFonts w:ascii="宋体" w:hAnsi="宋体" w:cs="宋体"/>
      <w:sz w:val="24"/>
    </w:rPr>
  </w:style>
  <w:style w:type="paragraph" w:customStyle="1" w:styleId="1218">
    <w:name w:val="23-47表名"/>
    <w:basedOn w:val="1"/>
    <w:autoRedefine/>
    <w:qFormat/>
    <w:uiPriority w:val="0"/>
    <w:pPr>
      <w:spacing w:afterLines="50" w:line="440" w:lineRule="exact"/>
      <w:jc w:val="center"/>
    </w:pPr>
    <w:rPr>
      <w:rFonts w:ascii="宋体" w:hAnsi="宋体" w:cs="宋体"/>
      <w:b/>
      <w:sz w:val="24"/>
    </w:rPr>
  </w:style>
  <w:style w:type="paragraph" w:customStyle="1" w:styleId="1219">
    <w:name w:val="表题1113"/>
    <w:basedOn w:val="22"/>
    <w:autoRedefine/>
    <w:qFormat/>
    <w:uiPriority w:val="0"/>
    <w:pPr>
      <w:widowControl w:val="0"/>
      <w:spacing w:line="360" w:lineRule="auto"/>
      <w:jc w:val="center"/>
    </w:pPr>
    <w:rPr>
      <w:rFonts w:ascii="黑体" w:hAnsi="Arial" w:cs="Arial"/>
      <w:kern w:val="2"/>
    </w:rPr>
  </w:style>
  <w:style w:type="paragraph" w:customStyle="1" w:styleId="1220">
    <w:name w:val="标题43132"/>
    <w:basedOn w:val="1"/>
    <w:autoRedefine/>
    <w:qFormat/>
    <w:uiPriority w:val="0"/>
    <w:pPr>
      <w:adjustRightInd w:val="0"/>
      <w:snapToGrid w:val="0"/>
      <w:spacing w:line="480" w:lineRule="exact"/>
      <w:jc w:val="center"/>
    </w:pPr>
    <w:rPr>
      <w:rFonts w:ascii="宋体" w:hAnsi="宋体" w:cs="宋体"/>
      <w:sz w:val="24"/>
    </w:rPr>
  </w:style>
  <w:style w:type="paragraph" w:customStyle="1" w:styleId="1221">
    <w:name w:val="图题213"/>
    <w:basedOn w:val="316"/>
    <w:next w:val="316"/>
    <w:autoRedefine/>
    <w:qFormat/>
    <w:uiPriority w:val="0"/>
    <w:pPr>
      <w:ind w:firstLine="0"/>
      <w:jc w:val="center"/>
    </w:pPr>
    <w:rPr>
      <w:rFonts w:ascii="黑体" w:hAnsi="宋体" w:eastAsia="黑体"/>
      <w:bCs/>
      <w:spacing w:val="0"/>
    </w:rPr>
  </w:style>
  <w:style w:type="paragraph" w:customStyle="1" w:styleId="1222">
    <w:name w:val="附件42"/>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223">
    <w:name w:val="燕山正文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224">
    <w:name w:val="表内5313"/>
    <w:basedOn w:val="1"/>
    <w:autoRedefine/>
    <w:qFormat/>
    <w:uiPriority w:val="0"/>
    <w:pPr>
      <w:adjustRightInd w:val="0"/>
      <w:snapToGrid w:val="0"/>
      <w:spacing w:line="300" w:lineRule="auto"/>
      <w:jc w:val="left"/>
    </w:pPr>
    <w:rPr>
      <w:rFonts w:ascii="宋体" w:hAnsi="宋体" w:cs="宋体"/>
    </w:rPr>
  </w:style>
  <w:style w:type="paragraph" w:customStyle="1" w:styleId="1225">
    <w:name w:val="样式 标题 4无效格式无效格式1河石管道4H4H41小小节河石管道41H42H411小小节1河石管道42...112"/>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226">
    <w:name w:val="Char38"/>
    <w:basedOn w:val="1"/>
    <w:autoRedefine/>
    <w:qFormat/>
    <w:uiPriority w:val="0"/>
    <w:pPr>
      <w:ind w:left="-48"/>
    </w:pPr>
    <w:rPr>
      <w:rFonts w:ascii="宋体" w:hAnsi="宋体" w:cs="宋体"/>
    </w:rPr>
  </w:style>
  <w:style w:type="paragraph" w:customStyle="1" w:styleId="1227">
    <w:name w:val="样式 标题 4无效格式无效格式1河石管道4H4H41小小节河石管道41H42H411小小节1河石管道42...22"/>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228">
    <w:name w:val="表题31"/>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229">
    <w:name w:val="样式123"/>
    <w:basedOn w:val="1228"/>
    <w:autoRedefine/>
    <w:qFormat/>
    <w:uiPriority w:val="0"/>
    <w:pPr>
      <w:spacing w:line="240" w:lineRule="auto"/>
      <w:ind w:firstLine="0"/>
      <w:jc w:val="center"/>
    </w:pPr>
    <w:rPr>
      <w:rFonts w:cs="Times New Roman"/>
      <w:b/>
      <w:color w:val="auto"/>
      <w:szCs w:val="20"/>
    </w:rPr>
  </w:style>
  <w:style w:type="paragraph" w:customStyle="1" w:styleId="1230">
    <w:name w:val="燕山正文131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231">
    <w:name w:val="标题431"/>
    <w:basedOn w:val="1"/>
    <w:autoRedefine/>
    <w:qFormat/>
    <w:uiPriority w:val="0"/>
    <w:pPr>
      <w:adjustRightInd w:val="0"/>
      <w:snapToGrid w:val="0"/>
      <w:spacing w:line="480" w:lineRule="exact"/>
      <w:jc w:val="center"/>
    </w:pPr>
    <w:rPr>
      <w:rFonts w:ascii="宋体" w:hAnsi="宋体" w:cs="宋体"/>
      <w:sz w:val="24"/>
    </w:rPr>
  </w:style>
  <w:style w:type="paragraph" w:customStyle="1" w:styleId="1232">
    <w:name w:val="表文字523"/>
    <w:basedOn w:val="1"/>
    <w:autoRedefine/>
    <w:qFormat/>
    <w:uiPriority w:val="0"/>
    <w:pPr>
      <w:adjustRightInd w:val="0"/>
      <w:jc w:val="left"/>
      <w:textAlignment w:val="baseline"/>
    </w:pPr>
    <w:rPr>
      <w:rFonts w:ascii="宋体" w:hAnsi="宋体" w:cs="宋体"/>
      <w:kern w:val="0"/>
    </w:rPr>
  </w:style>
  <w:style w:type="paragraph" w:customStyle="1" w:styleId="1233">
    <w:name w:val="样式 正文缩进 + 宋体 黑色 首行缩进:  2 字符"/>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1234">
    <w:name w:val="表题41"/>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235">
    <w:name w:val="表格内字体11"/>
    <w:basedOn w:val="316"/>
    <w:autoRedefine/>
    <w:qFormat/>
    <w:uiPriority w:val="0"/>
    <w:pPr>
      <w:spacing w:line="240" w:lineRule="auto"/>
      <w:ind w:firstLine="0"/>
      <w:jc w:val="center"/>
    </w:pPr>
    <w:rPr>
      <w:rFonts w:hAnsi="Times New Roman"/>
      <w:b w:val="0"/>
      <w:spacing w:val="0"/>
      <w:sz w:val="21"/>
    </w:rPr>
  </w:style>
  <w:style w:type="paragraph" w:customStyle="1" w:styleId="1236">
    <w:name w:val="附件"/>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237">
    <w:name w:val="表内541"/>
    <w:basedOn w:val="1"/>
    <w:autoRedefine/>
    <w:qFormat/>
    <w:uiPriority w:val="0"/>
    <w:pPr>
      <w:adjustRightInd w:val="0"/>
      <w:snapToGrid w:val="0"/>
      <w:spacing w:line="300" w:lineRule="auto"/>
      <w:jc w:val="center"/>
    </w:pPr>
    <w:rPr>
      <w:rFonts w:ascii="宋体" w:hAnsi="宋体" w:cs="宋体"/>
    </w:rPr>
  </w:style>
  <w:style w:type="paragraph" w:customStyle="1" w:styleId="1238">
    <w:name w:val="默认段落字体 Para Char5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239">
    <w:name w:val="表内文字小21"/>
    <w:basedOn w:val="1"/>
    <w:autoRedefine/>
    <w:qFormat/>
    <w:uiPriority w:val="0"/>
    <w:pPr>
      <w:adjustRightInd w:val="0"/>
      <w:snapToGrid w:val="0"/>
      <w:jc w:val="center"/>
    </w:pPr>
    <w:rPr>
      <w:rFonts w:ascii="宋体" w:hAnsi="Times" w:cs="宋体"/>
      <w:bCs/>
      <w:color w:val="000000"/>
    </w:rPr>
  </w:style>
  <w:style w:type="paragraph" w:customStyle="1" w:styleId="1240">
    <w:name w:val="正文格式6"/>
    <w:basedOn w:val="1"/>
    <w:autoRedefine/>
    <w:qFormat/>
    <w:uiPriority w:val="0"/>
    <w:pPr>
      <w:spacing w:line="360" w:lineRule="auto"/>
      <w:ind w:firstLine="482"/>
    </w:pPr>
    <w:rPr>
      <w:rFonts w:ascii="宋体" w:hAnsi="宋体" w:cs="宋体"/>
      <w:sz w:val="24"/>
    </w:rPr>
  </w:style>
  <w:style w:type="paragraph" w:customStyle="1" w:styleId="1241">
    <w:name w:val="表文字5"/>
    <w:basedOn w:val="1"/>
    <w:autoRedefine/>
    <w:qFormat/>
    <w:uiPriority w:val="0"/>
    <w:pPr>
      <w:adjustRightInd w:val="0"/>
      <w:jc w:val="left"/>
      <w:textAlignment w:val="baseline"/>
    </w:pPr>
    <w:rPr>
      <w:rFonts w:ascii="宋体" w:hAnsi="宋体" w:cs="宋体"/>
      <w:kern w:val="0"/>
    </w:rPr>
  </w:style>
  <w:style w:type="character" w:customStyle="1" w:styleId="1242">
    <w:name w:val="表内5 Char2"/>
    <w:autoRedefine/>
    <w:qFormat/>
    <w:uiPriority w:val="0"/>
    <w:rPr>
      <w:rFonts w:ascii="宋体" w:hAnsi="宋体" w:eastAsia="宋体" w:cs="宋体"/>
      <w:kern w:val="2"/>
      <w:sz w:val="21"/>
      <w:szCs w:val="24"/>
      <w:lang w:val="en-US" w:eastAsia="zh-CN" w:bidi="ar-SA"/>
    </w:rPr>
  </w:style>
  <w:style w:type="paragraph" w:customStyle="1" w:styleId="1243">
    <w:name w:val="表内文字小31"/>
    <w:basedOn w:val="1"/>
    <w:autoRedefine/>
    <w:qFormat/>
    <w:uiPriority w:val="0"/>
    <w:pPr>
      <w:adjustRightInd w:val="0"/>
      <w:snapToGrid w:val="0"/>
      <w:jc w:val="center"/>
    </w:pPr>
    <w:rPr>
      <w:rFonts w:ascii="宋体" w:hAnsi="Times" w:cs="宋体"/>
      <w:bCs/>
      <w:color w:val="003366"/>
    </w:rPr>
  </w:style>
  <w:style w:type="paragraph" w:customStyle="1" w:styleId="1244">
    <w:name w:val="表内宋5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245">
    <w:name w:val="正文."/>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46">
    <w:name w:val="黑体三号"/>
    <w:basedOn w:val="316"/>
    <w:autoRedefine/>
    <w:qFormat/>
    <w:uiPriority w:val="0"/>
    <w:pPr>
      <w:jc w:val="center"/>
    </w:pPr>
    <w:rPr>
      <w:rFonts w:ascii="黑体" w:hAnsi="宋体" w:eastAsia="黑体"/>
      <w:bCs/>
      <w:spacing w:val="0"/>
      <w:sz w:val="32"/>
    </w:rPr>
  </w:style>
  <w:style w:type="character" w:customStyle="1" w:styleId="1247">
    <w:name w:val="样式 表内小5 + 黑体 加粗 倾斜 下划线 Char5"/>
    <w:autoRedefine/>
    <w:qFormat/>
    <w:uiPriority w:val="0"/>
    <w:rPr>
      <w:rFonts w:ascii="黑体" w:hAnsi="黑体" w:eastAsia="黑体"/>
      <w:b/>
      <w:bCs/>
      <w:i/>
      <w:iCs/>
      <w:kern w:val="2"/>
      <w:sz w:val="18"/>
      <w:szCs w:val="24"/>
      <w:u w:val="single"/>
      <w:lang w:val="en-US" w:eastAsia="zh-CN" w:bidi="ar-SA"/>
    </w:rPr>
  </w:style>
  <w:style w:type="paragraph" w:customStyle="1" w:styleId="1248">
    <w:name w:val="Char235"/>
    <w:basedOn w:val="1"/>
    <w:autoRedefine/>
    <w:qFormat/>
    <w:uiPriority w:val="0"/>
    <w:pPr>
      <w:ind w:left="-48"/>
    </w:pPr>
    <w:rPr>
      <w:rFonts w:ascii="宋体" w:hAnsi="宋体" w:cs="宋体"/>
    </w:rPr>
  </w:style>
  <w:style w:type="character" w:customStyle="1" w:styleId="1249">
    <w:name w:val="Char Char4"/>
    <w:autoRedefine/>
    <w:qFormat/>
    <w:uiPriority w:val="0"/>
    <w:rPr>
      <w:rFonts w:ascii="黑体" w:hAnsi="Arial" w:eastAsia="黑体"/>
      <w:b/>
      <w:bCs/>
      <w:kern w:val="2"/>
      <w:sz w:val="30"/>
      <w:szCs w:val="30"/>
      <w:lang w:val="en-US" w:eastAsia="zh-CN" w:bidi="ar-SA"/>
    </w:rPr>
  </w:style>
  <w:style w:type="character" w:customStyle="1" w:styleId="1250">
    <w:name w:val="Char Char3"/>
    <w:autoRedefine/>
    <w:qFormat/>
    <w:uiPriority w:val="0"/>
    <w:rPr>
      <w:rFonts w:ascii="黑体" w:hAnsi="宋体" w:eastAsia="黑体"/>
      <w:b/>
      <w:bCs/>
      <w:kern w:val="2"/>
      <w:sz w:val="28"/>
      <w:szCs w:val="28"/>
      <w:lang w:val="en-US" w:eastAsia="zh-CN" w:bidi="ar-SA"/>
    </w:rPr>
  </w:style>
  <w:style w:type="character" w:customStyle="1" w:styleId="1251">
    <w:name w:val="标题 2 Char1 Char"/>
    <w:autoRedefine/>
    <w:qFormat/>
    <w:uiPriority w:val="0"/>
    <w:rPr>
      <w:rFonts w:ascii="黑体" w:hAnsi="Arial" w:eastAsia="黑体"/>
      <w:b/>
      <w:bCs/>
      <w:kern w:val="2"/>
      <w:sz w:val="30"/>
      <w:szCs w:val="30"/>
      <w:lang w:val="en-US" w:eastAsia="zh-CN" w:bidi="ar-SA"/>
    </w:rPr>
  </w:style>
  <w:style w:type="character" w:customStyle="1" w:styleId="1252">
    <w:name w:val="标题正文黑 Char"/>
    <w:autoRedefine/>
    <w:qFormat/>
    <w:uiPriority w:val="0"/>
    <w:rPr>
      <w:rFonts w:ascii="黑体" w:eastAsia="黑体"/>
      <w:kern w:val="2"/>
      <w:sz w:val="28"/>
      <w:szCs w:val="28"/>
      <w:lang w:val="en-US" w:eastAsia="zh-CN" w:bidi="ar-SA"/>
    </w:rPr>
  </w:style>
  <w:style w:type="paragraph" w:customStyle="1" w:styleId="1253">
    <w:name w:val="首行缩进:  0.99 厘米 + 首行缩进:  2 字符"/>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1254">
    <w:name w:val="表内文字边"/>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255">
    <w:name w:val="正文缩"/>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character" w:customStyle="1" w:styleId="1256">
    <w:name w:val="样式 黑色"/>
    <w:autoRedefine/>
    <w:qFormat/>
    <w:uiPriority w:val="0"/>
    <w:rPr>
      <w:rFonts w:eastAsia="宋体"/>
      <w:color w:val="auto"/>
      <w:kern w:val="2"/>
      <w:sz w:val="24"/>
      <w:szCs w:val="24"/>
      <w:lang w:val="en-US" w:eastAsia="zh-CN" w:bidi="ar-SA"/>
    </w:rPr>
  </w:style>
  <w:style w:type="paragraph" w:customStyle="1" w:styleId="1257">
    <w:name w:val="默认段落字体 Para Char Char Char Char Char"/>
    <w:basedOn w:val="1"/>
    <w:autoRedefine/>
    <w:qFormat/>
    <w:uiPriority w:val="0"/>
    <w:rPr>
      <w:rFonts w:ascii="宋体" w:hAnsi="宋体" w:cs="宋体"/>
    </w:rPr>
  </w:style>
  <w:style w:type="paragraph" w:customStyle="1" w:styleId="1258">
    <w:name w:val="表内宋5中"/>
    <w:basedOn w:val="1"/>
    <w:autoRedefine/>
    <w:qFormat/>
    <w:uiPriority w:val="0"/>
    <w:pPr>
      <w:adjustRightInd w:val="0"/>
      <w:snapToGrid w:val="0"/>
      <w:textAlignment w:val="baseline"/>
    </w:pPr>
    <w:rPr>
      <w:rFonts w:ascii="宋体" w:hAnsi="宋体" w:cs="宋体"/>
      <w:color w:val="000000"/>
      <w:kern w:val="0"/>
    </w:rPr>
  </w:style>
  <w:style w:type="paragraph" w:customStyle="1" w:styleId="1259">
    <w:name w:val="样式 标题 3 + 段前: 12 磅"/>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260">
    <w:name w:val="表内文字小"/>
    <w:basedOn w:val="1"/>
    <w:autoRedefine/>
    <w:qFormat/>
    <w:uiPriority w:val="0"/>
    <w:pPr>
      <w:adjustRightInd w:val="0"/>
      <w:snapToGrid w:val="0"/>
      <w:jc w:val="center"/>
    </w:pPr>
    <w:rPr>
      <w:rFonts w:ascii="宋体" w:hAnsi="Times" w:cs="宋体"/>
    </w:rPr>
  </w:style>
  <w:style w:type="paragraph" w:customStyle="1" w:styleId="1261">
    <w:name w:val="表内5"/>
    <w:basedOn w:val="1"/>
    <w:autoRedefine/>
    <w:qFormat/>
    <w:uiPriority w:val="0"/>
    <w:pPr>
      <w:adjustRightInd w:val="0"/>
      <w:snapToGrid w:val="0"/>
      <w:spacing w:line="300" w:lineRule="auto"/>
      <w:jc w:val="left"/>
    </w:pPr>
    <w:rPr>
      <w:rFonts w:ascii="宋体" w:hAnsi="宋体" w:cs="宋体"/>
      <w:sz w:val="18"/>
    </w:rPr>
  </w:style>
  <w:style w:type="paragraph" w:customStyle="1" w:styleId="1262">
    <w:name w:val="Char Char Char Char1 Char Char Char"/>
    <w:basedOn w:val="1"/>
    <w:autoRedefine/>
    <w:qFormat/>
    <w:uiPriority w:val="0"/>
    <w:pPr>
      <w:widowControl/>
      <w:spacing w:after="160"/>
      <w:jc w:val="left"/>
    </w:pPr>
    <w:rPr>
      <w:rFonts w:ascii="Verdana" w:hAnsi="Verdana" w:cs="宋体"/>
      <w:kern w:val="0"/>
      <w:sz w:val="24"/>
      <w:lang w:eastAsia="en-US"/>
    </w:rPr>
  </w:style>
  <w:style w:type="paragraph" w:customStyle="1" w:styleId="1263">
    <w:name w:val="正文格式11"/>
    <w:basedOn w:val="1"/>
    <w:autoRedefine/>
    <w:qFormat/>
    <w:uiPriority w:val="0"/>
    <w:pPr>
      <w:spacing w:line="360" w:lineRule="auto"/>
      <w:ind w:firstLine="482"/>
    </w:pPr>
    <w:rPr>
      <w:rFonts w:ascii="宋体" w:hAnsi="宋体" w:cs="宋体"/>
      <w:sz w:val="24"/>
    </w:rPr>
  </w:style>
  <w:style w:type="paragraph" w:customStyle="1" w:styleId="1264">
    <w:name w:val="图题1"/>
    <w:basedOn w:val="316"/>
    <w:next w:val="316"/>
    <w:autoRedefine/>
    <w:qFormat/>
    <w:uiPriority w:val="0"/>
    <w:pPr>
      <w:ind w:firstLine="0"/>
      <w:jc w:val="center"/>
    </w:pPr>
    <w:rPr>
      <w:rFonts w:ascii="黑体" w:hAnsi="宋体" w:eastAsia="黑体"/>
      <w:bCs/>
      <w:spacing w:val="0"/>
    </w:rPr>
  </w:style>
  <w:style w:type="paragraph" w:customStyle="1" w:styleId="1265">
    <w:name w:val="表格内字体1"/>
    <w:basedOn w:val="316"/>
    <w:next w:val="316"/>
    <w:autoRedefine/>
    <w:qFormat/>
    <w:uiPriority w:val="0"/>
    <w:pPr>
      <w:spacing w:line="240" w:lineRule="auto"/>
      <w:ind w:firstLine="0"/>
      <w:jc w:val="center"/>
    </w:pPr>
    <w:rPr>
      <w:rFonts w:hAnsi="宋体"/>
      <w:b w:val="0"/>
      <w:spacing w:val="0"/>
      <w:sz w:val="21"/>
    </w:rPr>
  </w:style>
  <w:style w:type="character" w:customStyle="1" w:styleId="1266">
    <w:name w:val="表格内字体 Char1"/>
    <w:autoRedefine/>
    <w:qFormat/>
    <w:uiPriority w:val="0"/>
    <w:rPr>
      <w:rFonts w:ascii="宋体" w:hAnsi="宋体" w:eastAsia="宋体"/>
      <w:kern w:val="2"/>
      <w:sz w:val="21"/>
      <w:szCs w:val="24"/>
      <w:lang w:val="en-US" w:eastAsia="zh-CN" w:bidi="ar-SA"/>
    </w:rPr>
  </w:style>
  <w:style w:type="character" w:customStyle="1" w:styleId="1267">
    <w:name w:val="正文格式 Char1"/>
    <w:autoRedefine/>
    <w:qFormat/>
    <w:uiPriority w:val="0"/>
    <w:rPr>
      <w:rFonts w:ascii="宋体" w:hAnsi="宋体" w:eastAsia="宋体"/>
      <w:kern w:val="2"/>
      <w:sz w:val="24"/>
      <w:szCs w:val="24"/>
      <w:lang w:val="en-US" w:eastAsia="zh-CN" w:bidi="ar-SA"/>
    </w:rPr>
  </w:style>
  <w:style w:type="character" w:customStyle="1" w:styleId="1268">
    <w:name w:val="Char Char11"/>
    <w:autoRedefine/>
    <w:qFormat/>
    <w:uiPriority w:val="0"/>
    <w:rPr>
      <w:rFonts w:ascii="黑体" w:hAnsi="Arial" w:eastAsia="黑体"/>
      <w:bCs/>
      <w:kern w:val="2"/>
      <w:sz w:val="30"/>
      <w:szCs w:val="30"/>
      <w:lang w:val="en-US" w:eastAsia="zh-CN" w:bidi="ar-SA"/>
    </w:rPr>
  </w:style>
  <w:style w:type="character" w:customStyle="1" w:styleId="1269">
    <w:name w:val="Char Char5"/>
    <w:autoRedefine/>
    <w:qFormat/>
    <w:uiPriority w:val="0"/>
    <w:rPr>
      <w:rFonts w:ascii="黑体" w:hAnsi="宋体" w:eastAsia="黑体"/>
      <w:bCs/>
      <w:kern w:val="2"/>
      <w:sz w:val="28"/>
      <w:szCs w:val="28"/>
      <w:lang w:val="en-US" w:eastAsia="zh-CN" w:bidi="ar-SA"/>
    </w:rPr>
  </w:style>
  <w:style w:type="paragraph" w:customStyle="1" w:styleId="1270">
    <w:name w:val="正文格式2"/>
    <w:basedOn w:val="1"/>
    <w:autoRedefine/>
    <w:qFormat/>
    <w:uiPriority w:val="0"/>
    <w:pPr>
      <w:spacing w:line="360" w:lineRule="auto"/>
      <w:ind w:firstLine="482"/>
    </w:pPr>
    <w:rPr>
      <w:rFonts w:ascii="宋体" w:hAnsi="宋体" w:cs="宋体"/>
      <w:sz w:val="24"/>
    </w:rPr>
  </w:style>
  <w:style w:type="character" w:customStyle="1" w:styleId="1271">
    <w:name w:val="正文格式 Char2"/>
    <w:autoRedefine/>
    <w:qFormat/>
    <w:uiPriority w:val="0"/>
    <w:rPr>
      <w:rFonts w:ascii="宋体" w:hAnsi="宋体" w:eastAsia="宋体"/>
      <w:kern w:val="2"/>
      <w:sz w:val="24"/>
      <w:szCs w:val="24"/>
      <w:lang w:val="en-US" w:eastAsia="zh-CN" w:bidi="ar-SA"/>
    </w:rPr>
  </w:style>
  <w:style w:type="paragraph" w:customStyle="1" w:styleId="1272">
    <w:name w:val="Char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273">
    <w:name w:val="标题 3 Char Char11"/>
    <w:autoRedefine/>
    <w:qFormat/>
    <w:uiPriority w:val="0"/>
    <w:rPr>
      <w:rFonts w:ascii="黑体" w:hAnsi="宋体" w:eastAsia="黑体"/>
      <w:bCs/>
      <w:kern w:val="2"/>
      <w:sz w:val="28"/>
      <w:szCs w:val="28"/>
      <w:lang w:val="en-US" w:eastAsia="zh-CN" w:bidi="ar-SA"/>
    </w:rPr>
  </w:style>
  <w:style w:type="character" w:customStyle="1" w:styleId="1274">
    <w:name w:val="题注 Char1"/>
    <w:autoRedefine/>
    <w:qFormat/>
    <w:uiPriority w:val="0"/>
    <w:rPr>
      <w:rFonts w:ascii="黑体" w:hAnsi="Arial" w:eastAsia="黑体" w:cs="Arial"/>
      <w:spacing w:val="10"/>
      <w:kern w:val="2"/>
      <w:sz w:val="24"/>
      <w:szCs w:val="24"/>
      <w:lang w:val="en-US" w:eastAsia="zh-CN" w:bidi="ar-SA"/>
    </w:rPr>
  </w:style>
  <w:style w:type="paragraph" w:customStyle="1" w:styleId="1275">
    <w:name w:val="图题2"/>
    <w:basedOn w:val="316"/>
    <w:next w:val="316"/>
    <w:autoRedefine/>
    <w:qFormat/>
    <w:uiPriority w:val="0"/>
    <w:pPr>
      <w:ind w:firstLine="0"/>
      <w:jc w:val="center"/>
    </w:pPr>
    <w:rPr>
      <w:rFonts w:ascii="黑体" w:hAnsi="宋体" w:eastAsia="黑体"/>
      <w:bCs/>
      <w:spacing w:val="0"/>
    </w:rPr>
  </w:style>
  <w:style w:type="paragraph" w:customStyle="1" w:styleId="1276">
    <w:name w:val="表格内字体2"/>
    <w:basedOn w:val="316"/>
    <w:next w:val="316"/>
    <w:autoRedefine/>
    <w:qFormat/>
    <w:uiPriority w:val="0"/>
    <w:pPr>
      <w:spacing w:line="240" w:lineRule="auto"/>
      <w:ind w:firstLine="0"/>
      <w:jc w:val="center"/>
    </w:pPr>
    <w:rPr>
      <w:rFonts w:hAnsi="宋体"/>
      <w:b w:val="0"/>
      <w:spacing w:val="0"/>
      <w:sz w:val="21"/>
    </w:rPr>
  </w:style>
  <w:style w:type="character" w:customStyle="1" w:styleId="1277">
    <w:name w:val="表格内字体 Char2"/>
    <w:autoRedefine/>
    <w:qFormat/>
    <w:uiPriority w:val="0"/>
    <w:rPr>
      <w:rFonts w:ascii="宋体" w:hAnsi="宋体" w:eastAsia="宋体"/>
      <w:kern w:val="2"/>
      <w:sz w:val="21"/>
      <w:szCs w:val="24"/>
      <w:lang w:val="en-US" w:eastAsia="zh-CN" w:bidi="ar-SA"/>
    </w:rPr>
  </w:style>
  <w:style w:type="paragraph" w:customStyle="1" w:styleId="1278">
    <w:name w:val="表内5411"/>
    <w:basedOn w:val="1"/>
    <w:autoRedefine/>
    <w:qFormat/>
    <w:uiPriority w:val="0"/>
    <w:pPr>
      <w:adjustRightInd w:val="0"/>
      <w:snapToGrid w:val="0"/>
      <w:spacing w:line="300" w:lineRule="auto"/>
      <w:jc w:val="center"/>
    </w:pPr>
    <w:rPr>
      <w:rFonts w:ascii="宋体" w:hAnsi="宋体" w:cs="宋体"/>
    </w:rPr>
  </w:style>
  <w:style w:type="paragraph" w:customStyle="1" w:styleId="1279">
    <w:name w:val="表内文字小211"/>
    <w:basedOn w:val="1"/>
    <w:autoRedefine/>
    <w:qFormat/>
    <w:uiPriority w:val="0"/>
    <w:pPr>
      <w:adjustRightInd w:val="0"/>
      <w:snapToGrid w:val="0"/>
      <w:jc w:val="center"/>
    </w:pPr>
    <w:rPr>
      <w:rFonts w:ascii="宋体" w:hAnsi="Times" w:cs="宋体"/>
      <w:bCs/>
      <w:color w:val="000000"/>
    </w:rPr>
  </w:style>
  <w:style w:type="paragraph" w:customStyle="1" w:styleId="1280">
    <w:name w:val="表题3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281">
    <w:name w:val="Char Char Char Char Char Char Char11"/>
    <w:basedOn w:val="1"/>
    <w:autoRedefine/>
    <w:qFormat/>
    <w:uiPriority w:val="0"/>
    <w:rPr>
      <w:rFonts w:ascii="宋体" w:hAnsi="宋体" w:cs="宋体"/>
    </w:rPr>
  </w:style>
  <w:style w:type="paragraph" w:customStyle="1" w:styleId="1282">
    <w:name w:val="标题4311"/>
    <w:basedOn w:val="1"/>
    <w:autoRedefine/>
    <w:qFormat/>
    <w:uiPriority w:val="0"/>
    <w:pPr>
      <w:adjustRightInd w:val="0"/>
      <w:snapToGrid w:val="0"/>
      <w:spacing w:line="480" w:lineRule="exact"/>
      <w:jc w:val="center"/>
    </w:pPr>
    <w:rPr>
      <w:rFonts w:ascii="宋体" w:hAnsi="宋体" w:cs="宋体"/>
      <w:sz w:val="24"/>
    </w:rPr>
  </w:style>
  <w:style w:type="paragraph" w:customStyle="1" w:styleId="1283">
    <w:name w:val="燕山正文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284">
    <w:name w:val="默认段落字体 Para Char Char Char Char1"/>
    <w:basedOn w:val="1"/>
    <w:autoRedefine/>
    <w:qFormat/>
    <w:uiPriority w:val="0"/>
    <w:rPr>
      <w:rFonts w:ascii="宋体" w:hAnsi="宋体" w:cs="宋体"/>
    </w:rPr>
  </w:style>
  <w:style w:type="paragraph" w:customStyle="1" w:styleId="1285">
    <w:name w:val="附件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286">
    <w:name w:val="黑体三号1"/>
    <w:basedOn w:val="316"/>
    <w:autoRedefine/>
    <w:qFormat/>
    <w:uiPriority w:val="0"/>
    <w:pPr>
      <w:jc w:val="center"/>
    </w:pPr>
    <w:rPr>
      <w:rFonts w:ascii="黑体" w:hAnsi="宋体" w:eastAsia="黑体"/>
      <w:bCs/>
      <w:spacing w:val="0"/>
      <w:sz w:val="32"/>
    </w:rPr>
  </w:style>
  <w:style w:type="character" w:customStyle="1" w:styleId="1287">
    <w:name w:val="Char Char21"/>
    <w:autoRedefine/>
    <w:qFormat/>
    <w:uiPriority w:val="0"/>
    <w:rPr>
      <w:rFonts w:ascii="黑体" w:eastAsia="宋体"/>
      <w:kern w:val="2"/>
      <w:sz w:val="16"/>
      <w:szCs w:val="16"/>
      <w:lang w:val="en-US" w:eastAsia="zh-CN" w:bidi="ar-SA"/>
    </w:rPr>
  </w:style>
  <w:style w:type="character" w:customStyle="1" w:styleId="1288">
    <w:name w:val="Char Char12"/>
    <w:autoRedefine/>
    <w:qFormat/>
    <w:uiPriority w:val="0"/>
    <w:rPr>
      <w:rFonts w:ascii="黑体" w:hAnsi="Arial" w:eastAsia="黑体"/>
      <w:b/>
      <w:bCs/>
      <w:kern w:val="2"/>
      <w:sz w:val="30"/>
      <w:szCs w:val="30"/>
      <w:lang w:val="en-US" w:eastAsia="zh-CN" w:bidi="ar-SA"/>
    </w:rPr>
  </w:style>
  <w:style w:type="character" w:customStyle="1" w:styleId="1289">
    <w:name w:val="Char Char6"/>
    <w:autoRedefine/>
    <w:qFormat/>
    <w:uiPriority w:val="0"/>
    <w:rPr>
      <w:rFonts w:ascii="黑体" w:eastAsia="黑体"/>
      <w:b/>
      <w:bCs/>
      <w:kern w:val="2"/>
      <w:sz w:val="28"/>
      <w:szCs w:val="28"/>
      <w:lang w:val="en-US" w:eastAsia="zh-CN" w:bidi="ar-SA"/>
    </w:rPr>
  </w:style>
  <w:style w:type="paragraph" w:customStyle="1" w:styleId="1290">
    <w:name w:val="表题11"/>
    <w:basedOn w:val="22"/>
    <w:autoRedefine/>
    <w:qFormat/>
    <w:uiPriority w:val="0"/>
    <w:pPr>
      <w:widowControl w:val="0"/>
      <w:spacing w:line="360" w:lineRule="auto"/>
      <w:jc w:val="center"/>
    </w:pPr>
    <w:rPr>
      <w:rFonts w:ascii="黑体" w:hAnsi="Arial" w:cs="Arial"/>
      <w:kern w:val="2"/>
    </w:rPr>
  </w:style>
  <w:style w:type="character" w:customStyle="1" w:styleId="1291">
    <w:name w:val="表题1 Char1"/>
    <w:autoRedefine/>
    <w:qFormat/>
    <w:uiPriority w:val="0"/>
    <w:rPr>
      <w:rFonts w:ascii="黑体" w:hAnsi="Arial" w:eastAsia="黑体" w:cs="Arial"/>
      <w:kern w:val="2"/>
      <w:sz w:val="24"/>
      <w:szCs w:val="24"/>
      <w:lang w:val="en-US" w:eastAsia="zh-CN" w:bidi="ar-SA"/>
    </w:rPr>
  </w:style>
  <w:style w:type="paragraph" w:customStyle="1" w:styleId="1292">
    <w:name w:val="燕山正文1"/>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293">
    <w:name w:val="燕山正文 Char11"/>
    <w:autoRedefine/>
    <w:qFormat/>
    <w:uiPriority w:val="0"/>
    <w:rPr>
      <w:rFonts w:ascii="宋体" w:eastAsia="宋体" w:cs="宋体"/>
      <w:kern w:val="2"/>
      <w:sz w:val="24"/>
      <w:szCs w:val="24"/>
      <w:lang w:val="en-US" w:eastAsia="zh-CN" w:bidi="ar-SA"/>
    </w:rPr>
  </w:style>
  <w:style w:type="paragraph" w:customStyle="1" w:styleId="1294">
    <w:name w:val="正文修改1"/>
    <w:basedOn w:val="1181"/>
    <w:autoRedefine/>
    <w:qFormat/>
    <w:uiPriority w:val="0"/>
    <w:rPr>
      <w:rFonts w:hAnsi="宋体"/>
      <w:color w:val="000000"/>
    </w:rPr>
  </w:style>
  <w:style w:type="character" w:customStyle="1" w:styleId="1295">
    <w:name w:val="正文修改 Char11"/>
    <w:autoRedefine/>
    <w:qFormat/>
    <w:uiPriority w:val="0"/>
    <w:rPr>
      <w:rFonts w:ascii="宋体" w:hAnsi="宋体" w:eastAsia="宋体" w:cs="宋体"/>
      <w:color w:val="000000"/>
      <w:kern w:val="2"/>
      <w:sz w:val="24"/>
      <w:szCs w:val="24"/>
      <w:lang w:val="en-US" w:eastAsia="zh-CN" w:bidi="ar-SA"/>
    </w:rPr>
  </w:style>
  <w:style w:type="character" w:customStyle="1" w:styleId="1296">
    <w:name w:val="表中文字 Char21"/>
    <w:autoRedefine/>
    <w:qFormat/>
    <w:uiPriority w:val="0"/>
    <w:rPr>
      <w:rFonts w:ascii="宋体" w:eastAsia="宋体"/>
      <w:kern w:val="2"/>
      <w:sz w:val="21"/>
      <w:szCs w:val="21"/>
      <w:lang w:val="en-US" w:eastAsia="zh-CN" w:bidi="ar-SA"/>
    </w:rPr>
  </w:style>
  <w:style w:type="paragraph" w:customStyle="1" w:styleId="1297">
    <w:name w:val="表文字51"/>
    <w:basedOn w:val="1"/>
    <w:autoRedefine/>
    <w:qFormat/>
    <w:uiPriority w:val="0"/>
    <w:pPr>
      <w:adjustRightInd w:val="0"/>
      <w:jc w:val="left"/>
      <w:textAlignment w:val="baseline"/>
    </w:pPr>
    <w:rPr>
      <w:rFonts w:ascii="宋体" w:hAnsi="宋体" w:cs="宋体"/>
      <w:kern w:val="0"/>
    </w:rPr>
  </w:style>
  <w:style w:type="paragraph" w:customStyle="1" w:styleId="1298">
    <w:name w:val="表内文字小311"/>
    <w:basedOn w:val="1"/>
    <w:autoRedefine/>
    <w:qFormat/>
    <w:uiPriority w:val="0"/>
    <w:pPr>
      <w:adjustRightInd w:val="0"/>
      <w:snapToGrid w:val="0"/>
      <w:jc w:val="center"/>
    </w:pPr>
    <w:rPr>
      <w:rFonts w:ascii="宋体" w:hAnsi="Times" w:cs="宋体"/>
      <w:bCs/>
      <w:color w:val="003366"/>
    </w:rPr>
  </w:style>
  <w:style w:type="character" w:customStyle="1" w:styleId="1299">
    <w:name w:val="标题2 Char11"/>
    <w:autoRedefine/>
    <w:qFormat/>
    <w:uiPriority w:val="0"/>
    <w:rPr>
      <w:rFonts w:ascii="宋体" w:hAnsi="宋体" w:eastAsia="宋体" w:cs="宋体"/>
      <w:color w:val="000000"/>
      <w:kern w:val="2"/>
      <w:sz w:val="24"/>
      <w:szCs w:val="24"/>
      <w:lang w:val="en-US" w:eastAsia="zh-CN" w:bidi="ar-SA"/>
    </w:rPr>
  </w:style>
  <w:style w:type="paragraph" w:customStyle="1" w:styleId="1300">
    <w:name w:val="Char21"/>
    <w:basedOn w:val="1"/>
    <w:autoRedefine/>
    <w:qFormat/>
    <w:uiPriority w:val="0"/>
    <w:pPr>
      <w:ind w:left="-48"/>
    </w:pPr>
    <w:rPr>
      <w:rFonts w:ascii="宋体" w:hAnsi="宋体" w:cs="宋体"/>
    </w:rPr>
  </w:style>
  <w:style w:type="paragraph" w:customStyle="1" w:styleId="1301">
    <w:name w:val="表内文字小2"/>
    <w:basedOn w:val="1"/>
    <w:autoRedefine/>
    <w:qFormat/>
    <w:uiPriority w:val="0"/>
    <w:pPr>
      <w:adjustRightInd w:val="0"/>
      <w:snapToGrid w:val="0"/>
      <w:jc w:val="center"/>
    </w:pPr>
    <w:rPr>
      <w:rFonts w:ascii="宋体" w:hAnsi="Times" w:cs="宋体"/>
      <w:bCs/>
      <w:color w:val="000000"/>
    </w:rPr>
  </w:style>
  <w:style w:type="paragraph" w:customStyle="1" w:styleId="1302">
    <w:name w:val="表内53"/>
    <w:basedOn w:val="1"/>
    <w:autoRedefine/>
    <w:qFormat/>
    <w:uiPriority w:val="0"/>
    <w:pPr>
      <w:adjustRightInd w:val="0"/>
      <w:snapToGrid w:val="0"/>
      <w:spacing w:line="300" w:lineRule="auto"/>
      <w:jc w:val="left"/>
    </w:pPr>
    <w:rPr>
      <w:rFonts w:ascii="宋体" w:hAnsi="宋体" w:cs="宋体"/>
    </w:rPr>
  </w:style>
  <w:style w:type="paragraph" w:customStyle="1" w:styleId="1303">
    <w:name w:val="正文格式3"/>
    <w:basedOn w:val="1"/>
    <w:autoRedefine/>
    <w:qFormat/>
    <w:uiPriority w:val="0"/>
    <w:pPr>
      <w:spacing w:line="360" w:lineRule="auto"/>
      <w:ind w:firstLine="482"/>
    </w:pPr>
    <w:rPr>
      <w:rFonts w:ascii="宋体" w:hAnsi="宋体" w:cs="宋体"/>
      <w:sz w:val="24"/>
    </w:rPr>
  </w:style>
  <w:style w:type="character" w:customStyle="1" w:styleId="1304">
    <w:name w:val="正文格式 Char3"/>
    <w:autoRedefine/>
    <w:qFormat/>
    <w:uiPriority w:val="0"/>
    <w:rPr>
      <w:rFonts w:ascii="宋体" w:hAnsi="宋体" w:eastAsia="宋体"/>
      <w:kern w:val="2"/>
      <w:sz w:val="24"/>
      <w:szCs w:val="24"/>
      <w:lang w:val="en-US" w:eastAsia="zh-CN" w:bidi="ar-SA"/>
    </w:rPr>
  </w:style>
  <w:style w:type="paragraph" w:customStyle="1" w:styleId="1305">
    <w:name w:val="Char2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306">
    <w:name w:val="题注 Char2"/>
    <w:autoRedefine/>
    <w:qFormat/>
    <w:uiPriority w:val="0"/>
    <w:rPr>
      <w:rFonts w:ascii="黑体" w:hAnsi="Arial" w:eastAsia="黑体" w:cs="Arial"/>
      <w:spacing w:val="10"/>
      <w:kern w:val="2"/>
      <w:sz w:val="24"/>
      <w:szCs w:val="24"/>
      <w:lang w:val="en-US" w:eastAsia="zh-CN" w:bidi="ar-SA"/>
    </w:rPr>
  </w:style>
  <w:style w:type="paragraph" w:customStyle="1" w:styleId="1307">
    <w:name w:val="图题3"/>
    <w:basedOn w:val="316"/>
    <w:next w:val="316"/>
    <w:autoRedefine/>
    <w:qFormat/>
    <w:uiPriority w:val="0"/>
    <w:pPr>
      <w:ind w:firstLine="0"/>
      <w:jc w:val="center"/>
    </w:pPr>
    <w:rPr>
      <w:rFonts w:ascii="黑体" w:hAnsi="宋体" w:eastAsia="黑体"/>
      <w:bCs/>
      <w:spacing w:val="0"/>
    </w:rPr>
  </w:style>
  <w:style w:type="paragraph" w:customStyle="1" w:styleId="1308">
    <w:name w:val="表格内字体3"/>
    <w:basedOn w:val="316"/>
    <w:next w:val="316"/>
    <w:autoRedefine/>
    <w:qFormat/>
    <w:uiPriority w:val="0"/>
    <w:pPr>
      <w:spacing w:line="240" w:lineRule="auto"/>
      <w:ind w:firstLine="0"/>
      <w:jc w:val="center"/>
    </w:pPr>
    <w:rPr>
      <w:rFonts w:hAnsi="宋体"/>
      <w:b w:val="0"/>
      <w:spacing w:val="0"/>
      <w:sz w:val="21"/>
    </w:rPr>
  </w:style>
  <w:style w:type="character" w:customStyle="1" w:styleId="1309">
    <w:name w:val="表格内字体 Char3"/>
    <w:autoRedefine/>
    <w:qFormat/>
    <w:uiPriority w:val="0"/>
    <w:rPr>
      <w:rFonts w:ascii="宋体" w:hAnsi="宋体" w:eastAsia="宋体"/>
      <w:kern w:val="2"/>
      <w:sz w:val="21"/>
      <w:szCs w:val="24"/>
      <w:lang w:val="en-US" w:eastAsia="zh-CN" w:bidi="ar-SA"/>
    </w:rPr>
  </w:style>
  <w:style w:type="character" w:customStyle="1" w:styleId="1310">
    <w:name w:val="正文缩进 Char4"/>
    <w:autoRedefine/>
    <w:qFormat/>
    <w:uiPriority w:val="0"/>
    <w:rPr>
      <w:rFonts w:ascii="宋体" w:hAnsi="宋体" w:eastAsia="宋体" w:cs="宋体"/>
      <w:color w:val="000000"/>
      <w:kern w:val="2"/>
      <w:sz w:val="24"/>
      <w:szCs w:val="24"/>
      <w:lang w:val="en-US" w:eastAsia="zh-CN" w:bidi="ar-SA"/>
    </w:rPr>
  </w:style>
  <w:style w:type="paragraph" w:customStyle="1" w:styleId="1311">
    <w:name w:val="表内5412"/>
    <w:basedOn w:val="1"/>
    <w:autoRedefine/>
    <w:qFormat/>
    <w:uiPriority w:val="0"/>
    <w:pPr>
      <w:adjustRightInd w:val="0"/>
      <w:snapToGrid w:val="0"/>
      <w:spacing w:line="300" w:lineRule="auto"/>
      <w:jc w:val="center"/>
    </w:pPr>
    <w:rPr>
      <w:rFonts w:ascii="宋体" w:hAnsi="宋体" w:cs="宋体"/>
    </w:rPr>
  </w:style>
  <w:style w:type="paragraph" w:customStyle="1" w:styleId="1312">
    <w:name w:val="表内文字小212"/>
    <w:basedOn w:val="1"/>
    <w:autoRedefine/>
    <w:qFormat/>
    <w:uiPriority w:val="0"/>
    <w:pPr>
      <w:adjustRightInd w:val="0"/>
      <w:snapToGrid w:val="0"/>
      <w:jc w:val="center"/>
    </w:pPr>
    <w:rPr>
      <w:rFonts w:ascii="宋体" w:hAnsi="Times" w:cs="宋体"/>
      <w:bCs/>
      <w:color w:val="000000"/>
    </w:rPr>
  </w:style>
  <w:style w:type="paragraph" w:customStyle="1" w:styleId="1313">
    <w:name w:val="表题31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314">
    <w:name w:val="标题4312"/>
    <w:basedOn w:val="1"/>
    <w:autoRedefine/>
    <w:qFormat/>
    <w:uiPriority w:val="0"/>
    <w:pPr>
      <w:adjustRightInd w:val="0"/>
      <w:snapToGrid w:val="0"/>
      <w:spacing w:line="480" w:lineRule="exact"/>
      <w:jc w:val="center"/>
    </w:pPr>
    <w:rPr>
      <w:rFonts w:ascii="宋体" w:hAnsi="宋体" w:cs="宋体"/>
      <w:sz w:val="24"/>
    </w:rPr>
  </w:style>
  <w:style w:type="paragraph" w:customStyle="1" w:styleId="1315">
    <w:name w:val="燕山正文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316">
    <w:name w:val="默认段落字体 Para Char Char Char Char2"/>
    <w:basedOn w:val="1"/>
    <w:autoRedefine/>
    <w:qFormat/>
    <w:uiPriority w:val="0"/>
    <w:rPr>
      <w:rFonts w:ascii="宋体" w:hAnsi="宋体" w:cs="宋体"/>
    </w:rPr>
  </w:style>
  <w:style w:type="paragraph" w:customStyle="1" w:styleId="1317">
    <w:name w:val="附件2"/>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318">
    <w:name w:val="黑体三号2"/>
    <w:basedOn w:val="316"/>
    <w:autoRedefine/>
    <w:qFormat/>
    <w:uiPriority w:val="0"/>
    <w:pPr>
      <w:jc w:val="center"/>
    </w:pPr>
    <w:rPr>
      <w:rFonts w:ascii="黑体" w:hAnsi="宋体" w:eastAsia="黑体"/>
      <w:bCs/>
      <w:spacing w:val="0"/>
      <w:sz w:val="32"/>
    </w:rPr>
  </w:style>
  <w:style w:type="paragraph" w:customStyle="1" w:styleId="1319">
    <w:name w:val="表2"/>
    <w:basedOn w:val="1"/>
    <w:autoRedefine/>
    <w:qFormat/>
    <w:uiPriority w:val="0"/>
    <w:pPr>
      <w:adjustRightInd w:val="0"/>
      <w:snapToGrid w:val="0"/>
      <w:jc w:val="center"/>
    </w:pPr>
    <w:rPr>
      <w:rFonts w:ascii="宋体" w:hAnsi="宋体" w:eastAsia="仿宋_GB2312" w:cs="宋体"/>
      <w:sz w:val="24"/>
    </w:rPr>
  </w:style>
  <w:style w:type="character" w:customStyle="1" w:styleId="1320">
    <w:name w:val="正文文本缩进 3 Char1"/>
    <w:autoRedefine/>
    <w:qFormat/>
    <w:uiPriority w:val="0"/>
    <w:rPr>
      <w:rFonts w:eastAsia="宋体"/>
      <w:kern w:val="2"/>
      <w:sz w:val="16"/>
      <w:szCs w:val="16"/>
      <w:lang w:val="en-US" w:eastAsia="zh-CN" w:bidi="ar-SA"/>
    </w:rPr>
  </w:style>
  <w:style w:type="paragraph" w:customStyle="1" w:styleId="1321">
    <w:name w:val="表题12"/>
    <w:basedOn w:val="22"/>
    <w:autoRedefine/>
    <w:qFormat/>
    <w:uiPriority w:val="0"/>
    <w:pPr>
      <w:widowControl w:val="0"/>
      <w:spacing w:line="360" w:lineRule="auto"/>
      <w:jc w:val="center"/>
    </w:pPr>
    <w:rPr>
      <w:rFonts w:ascii="黑体" w:hAnsi="Arial" w:cs="Arial"/>
      <w:kern w:val="2"/>
    </w:rPr>
  </w:style>
  <w:style w:type="character" w:customStyle="1" w:styleId="1322">
    <w:name w:val="表题1 Char2"/>
    <w:autoRedefine/>
    <w:qFormat/>
    <w:uiPriority w:val="0"/>
    <w:rPr>
      <w:rFonts w:hAnsi="Arial" w:eastAsia="宋体" w:cs="Arial"/>
      <w:kern w:val="2"/>
      <w:sz w:val="24"/>
      <w:szCs w:val="24"/>
      <w:lang w:val="en-US" w:eastAsia="zh-CN" w:bidi="ar-SA"/>
    </w:rPr>
  </w:style>
  <w:style w:type="paragraph" w:customStyle="1" w:styleId="1323">
    <w:name w:val="燕山正文2"/>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324">
    <w:name w:val="燕山正文 Char12"/>
    <w:autoRedefine/>
    <w:qFormat/>
    <w:uiPriority w:val="0"/>
    <w:rPr>
      <w:rFonts w:ascii="宋体" w:eastAsia="宋体" w:cs="宋体"/>
      <w:kern w:val="2"/>
      <w:sz w:val="24"/>
      <w:szCs w:val="24"/>
      <w:lang w:val="en-US" w:eastAsia="zh-CN" w:bidi="ar-SA"/>
    </w:rPr>
  </w:style>
  <w:style w:type="paragraph" w:customStyle="1" w:styleId="1325">
    <w:name w:val="正文修改2"/>
    <w:basedOn w:val="1181"/>
    <w:autoRedefine/>
    <w:qFormat/>
    <w:uiPriority w:val="0"/>
    <w:rPr>
      <w:rFonts w:hAnsi="宋体"/>
      <w:color w:val="000000"/>
    </w:rPr>
  </w:style>
  <w:style w:type="character" w:customStyle="1" w:styleId="1326">
    <w:name w:val="正文修改 Char12"/>
    <w:autoRedefine/>
    <w:qFormat/>
    <w:uiPriority w:val="0"/>
    <w:rPr>
      <w:rFonts w:ascii="宋体" w:hAnsi="宋体" w:eastAsia="宋体" w:cs="宋体"/>
      <w:color w:val="000000"/>
      <w:kern w:val="2"/>
      <w:sz w:val="24"/>
      <w:szCs w:val="24"/>
      <w:lang w:val="en-US" w:eastAsia="zh-CN" w:bidi="ar-SA"/>
    </w:rPr>
  </w:style>
  <w:style w:type="character" w:customStyle="1" w:styleId="1327">
    <w:name w:val="标题正文黑 Char1"/>
    <w:autoRedefine/>
    <w:qFormat/>
    <w:uiPriority w:val="0"/>
    <w:rPr>
      <w:rFonts w:ascii="黑体" w:eastAsia="黑体"/>
      <w:kern w:val="2"/>
      <w:sz w:val="28"/>
      <w:szCs w:val="28"/>
      <w:lang w:val="en-US" w:eastAsia="zh-CN" w:bidi="ar-SA"/>
    </w:rPr>
  </w:style>
  <w:style w:type="paragraph" w:customStyle="1" w:styleId="1328">
    <w:name w:val="表中文字2"/>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1329">
    <w:name w:val="表中文字 Char22"/>
    <w:autoRedefine/>
    <w:qFormat/>
    <w:uiPriority w:val="0"/>
    <w:rPr>
      <w:rFonts w:ascii="宋体" w:eastAsia="宋体"/>
      <w:kern w:val="2"/>
      <w:sz w:val="21"/>
      <w:szCs w:val="21"/>
      <w:lang w:val="en-US" w:eastAsia="zh-CN" w:bidi="ar-SA"/>
    </w:rPr>
  </w:style>
  <w:style w:type="paragraph" w:customStyle="1" w:styleId="1330">
    <w:name w:val="表文字52"/>
    <w:basedOn w:val="1"/>
    <w:autoRedefine/>
    <w:qFormat/>
    <w:uiPriority w:val="0"/>
    <w:pPr>
      <w:adjustRightInd w:val="0"/>
      <w:jc w:val="left"/>
      <w:textAlignment w:val="baseline"/>
    </w:pPr>
    <w:rPr>
      <w:rFonts w:ascii="宋体" w:hAnsi="宋体" w:cs="宋体"/>
      <w:kern w:val="0"/>
    </w:rPr>
  </w:style>
  <w:style w:type="paragraph" w:customStyle="1" w:styleId="1331">
    <w:name w:val="表内文字小312"/>
    <w:basedOn w:val="1"/>
    <w:autoRedefine/>
    <w:qFormat/>
    <w:uiPriority w:val="0"/>
    <w:pPr>
      <w:adjustRightInd w:val="0"/>
      <w:snapToGrid w:val="0"/>
      <w:jc w:val="center"/>
    </w:pPr>
    <w:rPr>
      <w:rFonts w:ascii="宋体" w:hAnsi="Times" w:cs="宋体"/>
      <w:bCs/>
      <w:color w:val="003366"/>
    </w:rPr>
  </w:style>
  <w:style w:type="paragraph" w:customStyle="1" w:styleId="1332">
    <w:name w:val="样式12"/>
    <w:basedOn w:val="1228"/>
    <w:autoRedefine/>
    <w:qFormat/>
    <w:uiPriority w:val="0"/>
    <w:pPr>
      <w:spacing w:line="240" w:lineRule="auto"/>
      <w:ind w:firstLine="0"/>
      <w:jc w:val="center"/>
    </w:pPr>
    <w:rPr>
      <w:rFonts w:cs="Times New Roman"/>
      <w:b/>
      <w:color w:val="auto"/>
      <w:szCs w:val="20"/>
    </w:rPr>
  </w:style>
  <w:style w:type="character" w:customStyle="1" w:styleId="1333">
    <w:name w:val="样式 表内小5 + 黑体 加粗 倾斜 下划线 Char51"/>
    <w:autoRedefine/>
    <w:qFormat/>
    <w:uiPriority w:val="0"/>
    <w:rPr>
      <w:rFonts w:ascii="黑体" w:hAnsi="黑体" w:eastAsia="黑体"/>
      <w:b/>
      <w:bCs/>
      <w:i/>
      <w:iCs/>
      <w:kern w:val="2"/>
      <w:sz w:val="18"/>
      <w:szCs w:val="24"/>
      <w:u w:val="single"/>
      <w:lang w:val="en-US" w:eastAsia="zh-CN" w:bidi="ar-SA"/>
    </w:rPr>
  </w:style>
  <w:style w:type="paragraph" w:customStyle="1" w:styleId="1334">
    <w:name w:val="Char334"/>
    <w:basedOn w:val="1"/>
    <w:autoRedefine/>
    <w:qFormat/>
    <w:uiPriority w:val="0"/>
    <w:pPr>
      <w:ind w:left="-48"/>
    </w:pPr>
    <w:rPr>
      <w:rFonts w:ascii="宋体" w:hAnsi="宋体" w:cs="宋体"/>
    </w:rPr>
  </w:style>
  <w:style w:type="paragraph" w:customStyle="1" w:styleId="1335">
    <w:name w:val="表内文字小22"/>
    <w:basedOn w:val="1"/>
    <w:autoRedefine/>
    <w:qFormat/>
    <w:uiPriority w:val="0"/>
    <w:pPr>
      <w:adjustRightInd w:val="0"/>
      <w:snapToGrid w:val="0"/>
      <w:jc w:val="center"/>
    </w:pPr>
    <w:rPr>
      <w:rFonts w:ascii="宋体" w:hAnsi="Times" w:cs="宋体"/>
      <w:bCs/>
      <w:color w:val="000000"/>
    </w:rPr>
  </w:style>
  <w:style w:type="paragraph" w:customStyle="1" w:styleId="1336">
    <w:name w:val="表内531"/>
    <w:basedOn w:val="1"/>
    <w:autoRedefine/>
    <w:qFormat/>
    <w:uiPriority w:val="0"/>
    <w:pPr>
      <w:adjustRightInd w:val="0"/>
      <w:snapToGrid w:val="0"/>
      <w:spacing w:line="300" w:lineRule="auto"/>
      <w:jc w:val="left"/>
    </w:pPr>
    <w:rPr>
      <w:rFonts w:ascii="宋体" w:hAnsi="宋体" w:cs="宋体"/>
    </w:rPr>
  </w:style>
  <w:style w:type="paragraph" w:customStyle="1" w:styleId="1337">
    <w:name w:val="正文格式21"/>
    <w:basedOn w:val="1"/>
    <w:autoRedefine/>
    <w:qFormat/>
    <w:uiPriority w:val="0"/>
    <w:pPr>
      <w:spacing w:line="360" w:lineRule="auto"/>
      <w:ind w:firstLine="482"/>
    </w:pPr>
    <w:rPr>
      <w:rFonts w:ascii="宋体" w:hAnsi="宋体" w:cs="宋体"/>
      <w:sz w:val="24"/>
    </w:rPr>
  </w:style>
  <w:style w:type="paragraph" w:customStyle="1" w:styleId="1338">
    <w:name w:val="图题21"/>
    <w:basedOn w:val="316"/>
    <w:next w:val="316"/>
    <w:autoRedefine/>
    <w:qFormat/>
    <w:uiPriority w:val="0"/>
    <w:pPr>
      <w:ind w:firstLine="0"/>
      <w:jc w:val="center"/>
    </w:pPr>
    <w:rPr>
      <w:rFonts w:ascii="黑体" w:hAnsi="宋体" w:eastAsia="黑体"/>
      <w:bCs/>
      <w:spacing w:val="0"/>
    </w:rPr>
  </w:style>
  <w:style w:type="paragraph" w:customStyle="1" w:styleId="1339">
    <w:name w:val="表格内字体21"/>
    <w:basedOn w:val="316"/>
    <w:next w:val="316"/>
    <w:autoRedefine/>
    <w:qFormat/>
    <w:uiPriority w:val="0"/>
    <w:pPr>
      <w:adjustRightInd w:val="0"/>
      <w:snapToGrid w:val="0"/>
      <w:spacing w:line="240" w:lineRule="auto"/>
      <w:ind w:firstLine="0"/>
      <w:jc w:val="center"/>
    </w:pPr>
    <w:rPr>
      <w:rFonts w:hAnsi="宋体"/>
      <w:b w:val="0"/>
      <w:spacing w:val="0"/>
      <w:sz w:val="21"/>
    </w:rPr>
  </w:style>
  <w:style w:type="character" w:customStyle="1" w:styleId="1340">
    <w:name w:val="Char Char61"/>
    <w:autoRedefine/>
    <w:qFormat/>
    <w:uiPriority w:val="0"/>
    <w:rPr>
      <w:rFonts w:eastAsia="宋体"/>
      <w:b/>
      <w:bCs/>
      <w:kern w:val="2"/>
      <w:sz w:val="28"/>
      <w:szCs w:val="28"/>
      <w:lang w:val="en-US" w:eastAsia="zh-CN" w:bidi="ar-SA"/>
    </w:rPr>
  </w:style>
  <w:style w:type="paragraph" w:customStyle="1" w:styleId="1341">
    <w:name w:val="表题111"/>
    <w:basedOn w:val="22"/>
    <w:autoRedefine/>
    <w:qFormat/>
    <w:uiPriority w:val="0"/>
    <w:pPr>
      <w:widowControl w:val="0"/>
      <w:spacing w:line="360" w:lineRule="auto"/>
      <w:jc w:val="center"/>
    </w:pPr>
    <w:rPr>
      <w:rFonts w:ascii="黑体" w:hAnsi="Arial" w:cs="Arial"/>
      <w:b/>
      <w:kern w:val="2"/>
    </w:rPr>
  </w:style>
  <w:style w:type="character" w:customStyle="1" w:styleId="1342">
    <w:name w:val="表题1 Char11"/>
    <w:autoRedefine/>
    <w:qFormat/>
    <w:uiPriority w:val="0"/>
    <w:rPr>
      <w:rFonts w:hAnsi="Arial" w:eastAsia="宋体" w:cs="Arial"/>
      <w:kern w:val="2"/>
      <w:sz w:val="24"/>
      <w:szCs w:val="24"/>
      <w:lang w:val="en-US" w:eastAsia="zh-CN" w:bidi="ar-SA"/>
    </w:rPr>
  </w:style>
  <w:style w:type="paragraph" w:customStyle="1" w:styleId="1343">
    <w:name w:val="表中文字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344">
    <w:name w:val="表文字511"/>
    <w:basedOn w:val="1"/>
    <w:autoRedefine/>
    <w:qFormat/>
    <w:uiPriority w:val="0"/>
    <w:pPr>
      <w:adjustRightInd w:val="0"/>
      <w:jc w:val="left"/>
      <w:textAlignment w:val="baseline"/>
    </w:pPr>
    <w:rPr>
      <w:rFonts w:ascii="宋体" w:hAnsi="宋体" w:cs="宋体"/>
      <w:kern w:val="0"/>
    </w:rPr>
  </w:style>
  <w:style w:type="character" w:customStyle="1" w:styleId="1345">
    <w:name w:val="批注框文本 Char1"/>
    <w:autoRedefine/>
    <w:qFormat/>
    <w:uiPriority w:val="0"/>
    <w:rPr>
      <w:rFonts w:eastAsia="宋体"/>
      <w:kern w:val="2"/>
      <w:sz w:val="18"/>
      <w:szCs w:val="18"/>
      <w:lang w:val="en-US" w:eastAsia="zh-CN" w:bidi="ar-SA"/>
    </w:rPr>
  </w:style>
  <w:style w:type="paragraph" w:customStyle="1" w:styleId="1346">
    <w:name w:val="正文格式4"/>
    <w:basedOn w:val="1"/>
    <w:autoRedefine/>
    <w:qFormat/>
    <w:uiPriority w:val="0"/>
    <w:pPr>
      <w:spacing w:line="360" w:lineRule="auto"/>
      <w:ind w:firstLine="482"/>
    </w:pPr>
    <w:rPr>
      <w:rFonts w:ascii="宋体" w:hAnsi="宋体" w:cs="宋体"/>
      <w:sz w:val="24"/>
    </w:rPr>
  </w:style>
  <w:style w:type="paragraph" w:customStyle="1" w:styleId="1347">
    <w:name w:val="图题4"/>
    <w:basedOn w:val="316"/>
    <w:next w:val="316"/>
    <w:autoRedefine/>
    <w:qFormat/>
    <w:uiPriority w:val="0"/>
    <w:pPr>
      <w:ind w:firstLine="0"/>
      <w:jc w:val="center"/>
    </w:pPr>
    <w:rPr>
      <w:rFonts w:ascii="黑体" w:hAnsi="宋体" w:eastAsia="黑体"/>
      <w:bCs/>
      <w:spacing w:val="0"/>
    </w:rPr>
  </w:style>
  <w:style w:type="paragraph" w:customStyle="1" w:styleId="1348">
    <w:name w:val="表格内字体4"/>
    <w:basedOn w:val="316"/>
    <w:next w:val="316"/>
    <w:autoRedefine/>
    <w:qFormat/>
    <w:uiPriority w:val="0"/>
    <w:pPr>
      <w:spacing w:line="240" w:lineRule="auto"/>
      <w:ind w:firstLine="0"/>
      <w:jc w:val="center"/>
    </w:pPr>
    <w:rPr>
      <w:rFonts w:hAnsi="宋体"/>
      <w:b w:val="0"/>
      <w:spacing w:val="0"/>
      <w:sz w:val="21"/>
    </w:rPr>
  </w:style>
  <w:style w:type="character" w:customStyle="1" w:styleId="1349">
    <w:name w:val="表格内字体 Char4"/>
    <w:autoRedefine/>
    <w:qFormat/>
    <w:uiPriority w:val="0"/>
    <w:rPr>
      <w:rFonts w:ascii="宋体" w:hAnsi="宋体" w:eastAsia="宋体"/>
      <w:kern w:val="2"/>
      <w:sz w:val="21"/>
      <w:szCs w:val="24"/>
      <w:lang w:val="en-US" w:eastAsia="zh-CN" w:bidi="ar-SA"/>
    </w:rPr>
  </w:style>
  <w:style w:type="character" w:customStyle="1" w:styleId="1350">
    <w:name w:val="正文格式 Char4"/>
    <w:autoRedefine/>
    <w:qFormat/>
    <w:uiPriority w:val="0"/>
    <w:rPr>
      <w:rFonts w:ascii="宋体" w:hAnsi="宋体" w:eastAsia="宋体"/>
      <w:kern w:val="2"/>
      <w:sz w:val="24"/>
      <w:szCs w:val="24"/>
      <w:lang w:val="en-US" w:eastAsia="zh-CN" w:bidi="ar-SA"/>
    </w:rPr>
  </w:style>
  <w:style w:type="character" w:customStyle="1" w:styleId="1351">
    <w:name w:val="标题 2 Char2"/>
    <w:autoRedefine/>
    <w:qFormat/>
    <w:uiPriority w:val="0"/>
    <w:rPr>
      <w:rFonts w:ascii="黑体" w:hAnsi="Arial" w:eastAsia="黑体"/>
      <w:b/>
      <w:bCs/>
      <w:kern w:val="2"/>
      <w:sz w:val="30"/>
      <w:szCs w:val="30"/>
      <w:lang w:val="en-US" w:eastAsia="zh-CN" w:bidi="ar-SA"/>
    </w:rPr>
  </w:style>
  <w:style w:type="character" w:customStyle="1" w:styleId="1352">
    <w:name w:val="标题 3 Char2"/>
    <w:autoRedefine/>
    <w:qFormat/>
    <w:uiPriority w:val="0"/>
    <w:rPr>
      <w:rFonts w:ascii="黑体" w:hAnsi="宋体" w:eastAsia="黑体"/>
      <w:b/>
      <w:bCs/>
      <w:kern w:val="2"/>
      <w:sz w:val="28"/>
      <w:szCs w:val="28"/>
      <w:lang w:val="en-US" w:eastAsia="zh-CN" w:bidi="ar-SA"/>
    </w:rPr>
  </w:style>
  <w:style w:type="character" w:customStyle="1" w:styleId="1353">
    <w:name w:val="Char Char111"/>
    <w:autoRedefine/>
    <w:qFormat/>
    <w:uiPriority w:val="0"/>
    <w:rPr>
      <w:rFonts w:ascii="黑体" w:hAnsi="Arial" w:eastAsia="黑体"/>
      <w:b/>
      <w:bCs/>
      <w:kern w:val="2"/>
      <w:sz w:val="30"/>
      <w:szCs w:val="30"/>
      <w:lang w:val="en-US" w:eastAsia="zh-CN" w:bidi="ar-SA"/>
    </w:rPr>
  </w:style>
  <w:style w:type="character" w:customStyle="1" w:styleId="1354">
    <w:name w:val="Char Char23"/>
    <w:autoRedefine/>
    <w:qFormat/>
    <w:uiPriority w:val="0"/>
    <w:rPr>
      <w:rFonts w:ascii="黑体" w:eastAsia="黑体"/>
      <w:b/>
      <w:bCs/>
      <w:kern w:val="2"/>
      <w:sz w:val="28"/>
      <w:szCs w:val="28"/>
      <w:lang w:val="en-US" w:eastAsia="zh-CN" w:bidi="ar-SA"/>
    </w:rPr>
  </w:style>
  <w:style w:type="paragraph" w:customStyle="1" w:styleId="1355">
    <w:name w:val="表题13"/>
    <w:basedOn w:val="22"/>
    <w:autoRedefine/>
    <w:qFormat/>
    <w:uiPriority w:val="0"/>
    <w:pPr>
      <w:widowControl w:val="0"/>
      <w:spacing w:line="360" w:lineRule="auto"/>
      <w:jc w:val="center"/>
    </w:pPr>
    <w:rPr>
      <w:rFonts w:ascii="黑体" w:hAnsi="Arial" w:cs="Arial"/>
      <w:b/>
      <w:kern w:val="2"/>
    </w:rPr>
  </w:style>
  <w:style w:type="character" w:customStyle="1" w:styleId="1356">
    <w:name w:val="表题1 Char3"/>
    <w:autoRedefine/>
    <w:qFormat/>
    <w:uiPriority w:val="0"/>
    <w:rPr>
      <w:rFonts w:ascii="黑体" w:hAnsi="Arial" w:eastAsia="黑体" w:cs="Arial"/>
      <w:b/>
      <w:kern w:val="2"/>
      <w:sz w:val="24"/>
      <w:szCs w:val="24"/>
      <w:lang w:val="en-US" w:eastAsia="zh-CN" w:bidi="ar-SA"/>
    </w:rPr>
  </w:style>
  <w:style w:type="paragraph" w:customStyle="1" w:styleId="1357">
    <w:name w:val="默认段落字体 Para Char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358">
    <w:name w:val="Char Char Char Char Char Char Char12"/>
    <w:basedOn w:val="1"/>
    <w:autoRedefine/>
    <w:qFormat/>
    <w:uiPriority w:val="0"/>
    <w:rPr>
      <w:rFonts w:ascii="宋体" w:hAnsi="宋体" w:cs="宋体"/>
    </w:rPr>
  </w:style>
  <w:style w:type="paragraph" w:customStyle="1" w:styleId="1359">
    <w:name w:val="Char510"/>
    <w:basedOn w:val="1"/>
    <w:autoRedefine/>
    <w:qFormat/>
    <w:uiPriority w:val="0"/>
    <w:pPr>
      <w:adjustRightInd w:val="0"/>
      <w:snapToGrid w:val="0"/>
      <w:ind w:left="-45"/>
    </w:pPr>
    <w:rPr>
      <w:rFonts w:ascii="宋体" w:hAnsi="宋体" w:cs="宋体"/>
    </w:rPr>
  </w:style>
  <w:style w:type="paragraph" w:customStyle="1" w:styleId="1360">
    <w:name w:val="燕山正文1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1361">
    <w:name w:val="批注框文本 Char2"/>
    <w:autoRedefine/>
    <w:qFormat/>
    <w:uiPriority w:val="0"/>
    <w:rPr>
      <w:rFonts w:eastAsia="宋体"/>
      <w:kern w:val="2"/>
      <w:sz w:val="18"/>
      <w:szCs w:val="18"/>
      <w:lang w:val="en-US" w:eastAsia="zh-CN" w:bidi="ar-SA"/>
    </w:rPr>
  </w:style>
  <w:style w:type="paragraph" w:customStyle="1" w:styleId="1362">
    <w:name w:val="正文格式5"/>
    <w:basedOn w:val="1"/>
    <w:autoRedefine/>
    <w:qFormat/>
    <w:uiPriority w:val="0"/>
    <w:pPr>
      <w:spacing w:line="360" w:lineRule="auto"/>
      <w:ind w:firstLine="482"/>
    </w:pPr>
    <w:rPr>
      <w:rFonts w:ascii="宋体" w:hAnsi="宋体" w:cs="宋体"/>
      <w:sz w:val="24"/>
    </w:rPr>
  </w:style>
  <w:style w:type="character" w:customStyle="1" w:styleId="1363">
    <w:name w:val="正文格式 Char5"/>
    <w:autoRedefine/>
    <w:qFormat/>
    <w:uiPriority w:val="0"/>
    <w:rPr>
      <w:rFonts w:ascii="宋体" w:hAnsi="宋体" w:eastAsia="宋体"/>
      <w:kern w:val="2"/>
      <w:sz w:val="24"/>
      <w:szCs w:val="24"/>
      <w:lang w:val="en-US" w:eastAsia="zh-CN" w:bidi="ar-SA"/>
    </w:rPr>
  </w:style>
  <w:style w:type="character" w:customStyle="1" w:styleId="1364">
    <w:name w:val="标题 2 Char3"/>
    <w:autoRedefine/>
    <w:qFormat/>
    <w:uiPriority w:val="0"/>
    <w:rPr>
      <w:rFonts w:ascii="黑体" w:hAnsi="Arial" w:eastAsia="黑体"/>
      <w:bCs/>
      <w:kern w:val="2"/>
      <w:sz w:val="30"/>
      <w:szCs w:val="30"/>
      <w:lang w:val="en-US" w:eastAsia="zh-CN" w:bidi="ar-SA"/>
    </w:rPr>
  </w:style>
  <w:style w:type="character" w:customStyle="1" w:styleId="1365">
    <w:name w:val="标题 3 Char3"/>
    <w:autoRedefine/>
    <w:qFormat/>
    <w:uiPriority w:val="0"/>
    <w:rPr>
      <w:rFonts w:ascii="黑体" w:hAnsi="宋体" w:eastAsia="黑体"/>
      <w:b/>
      <w:bCs/>
      <w:kern w:val="2"/>
      <w:sz w:val="28"/>
      <w:szCs w:val="28"/>
      <w:lang w:val="en-US" w:eastAsia="zh-CN" w:bidi="ar-SA"/>
    </w:rPr>
  </w:style>
  <w:style w:type="paragraph" w:customStyle="1" w:styleId="1366">
    <w:name w:val="Char31"/>
    <w:basedOn w:val="1"/>
    <w:autoRedefine/>
    <w:qFormat/>
    <w:uiPriority w:val="0"/>
    <w:pPr>
      <w:ind w:left="-48"/>
    </w:pPr>
    <w:rPr>
      <w:rFonts w:ascii="宋体" w:hAnsi="宋体" w:cs="宋体"/>
    </w:rPr>
  </w:style>
  <w:style w:type="character" w:customStyle="1" w:styleId="1367">
    <w:name w:val="题注 Char3"/>
    <w:autoRedefine/>
    <w:qFormat/>
    <w:uiPriority w:val="0"/>
    <w:rPr>
      <w:rFonts w:ascii="黑体" w:hAnsi="Arial" w:eastAsia="黑体" w:cs="Arial"/>
      <w:spacing w:val="10"/>
      <w:kern w:val="2"/>
      <w:sz w:val="24"/>
      <w:szCs w:val="24"/>
      <w:lang w:val="en-US" w:eastAsia="zh-CN" w:bidi="ar-SA"/>
    </w:rPr>
  </w:style>
  <w:style w:type="paragraph" w:customStyle="1" w:styleId="1368">
    <w:name w:val="图题5"/>
    <w:basedOn w:val="316"/>
    <w:next w:val="316"/>
    <w:autoRedefine/>
    <w:qFormat/>
    <w:uiPriority w:val="0"/>
    <w:pPr>
      <w:ind w:firstLine="0"/>
      <w:jc w:val="center"/>
    </w:pPr>
    <w:rPr>
      <w:rFonts w:ascii="黑体" w:hAnsi="宋体" w:eastAsia="黑体"/>
      <w:bCs/>
      <w:spacing w:val="0"/>
    </w:rPr>
  </w:style>
  <w:style w:type="paragraph" w:customStyle="1" w:styleId="1369">
    <w:name w:val="表格内字体5"/>
    <w:basedOn w:val="316"/>
    <w:next w:val="316"/>
    <w:autoRedefine/>
    <w:qFormat/>
    <w:uiPriority w:val="0"/>
    <w:pPr>
      <w:adjustRightInd w:val="0"/>
      <w:snapToGrid w:val="0"/>
      <w:spacing w:line="240" w:lineRule="auto"/>
      <w:ind w:firstLine="0"/>
    </w:pPr>
    <w:rPr>
      <w:rFonts w:hAnsi="宋体"/>
      <w:b w:val="0"/>
      <w:spacing w:val="0"/>
      <w:sz w:val="21"/>
    </w:rPr>
  </w:style>
  <w:style w:type="character" w:customStyle="1" w:styleId="1370">
    <w:name w:val="表格内字体 Char5"/>
    <w:autoRedefine/>
    <w:qFormat/>
    <w:uiPriority w:val="0"/>
    <w:rPr>
      <w:rFonts w:ascii="宋体" w:hAnsi="宋体" w:eastAsia="宋体"/>
      <w:kern w:val="2"/>
      <w:sz w:val="21"/>
      <w:szCs w:val="24"/>
      <w:lang w:val="en-US" w:eastAsia="zh-CN" w:bidi="ar-SA"/>
    </w:rPr>
  </w:style>
  <w:style w:type="paragraph" w:customStyle="1" w:styleId="1371">
    <w:name w:val="表3"/>
    <w:basedOn w:val="1"/>
    <w:autoRedefine/>
    <w:qFormat/>
    <w:uiPriority w:val="0"/>
    <w:pPr>
      <w:adjustRightInd w:val="0"/>
      <w:snapToGrid w:val="0"/>
      <w:jc w:val="center"/>
    </w:pPr>
    <w:rPr>
      <w:rFonts w:ascii="宋体" w:hAnsi="宋体" w:eastAsia="仿宋_GB2312" w:cs="宋体"/>
      <w:sz w:val="24"/>
    </w:rPr>
  </w:style>
  <w:style w:type="paragraph" w:customStyle="1" w:styleId="1372">
    <w:name w:val="正文.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373">
    <w:name w:val="文本框1"/>
    <w:basedOn w:val="1"/>
    <w:autoRedefine/>
    <w:qFormat/>
    <w:uiPriority w:val="0"/>
    <w:pPr>
      <w:adjustRightInd w:val="0"/>
      <w:snapToGrid w:val="0"/>
      <w:spacing w:after="6"/>
      <w:jc w:val="center"/>
    </w:pPr>
    <w:rPr>
      <w:rFonts w:ascii="宋体" w:hAnsi="宋体" w:eastAsia="仿宋_GB2312" w:cs="宋体"/>
    </w:rPr>
  </w:style>
  <w:style w:type="paragraph" w:customStyle="1" w:styleId="1374">
    <w:name w:val="表内宋51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375">
    <w:name w:val="表内文字小313"/>
    <w:basedOn w:val="1"/>
    <w:autoRedefine/>
    <w:qFormat/>
    <w:uiPriority w:val="0"/>
    <w:pPr>
      <w:adjustRightInd w:val="0"/>
      <w:snapToGrid w:val="0"/>
      <w:jc w:val="center"/>
    </w:pPr>
    <w:rPr>
      <w:rFonts w:ascii="宋体" w:hAnsi="Times" w:cs="宋体"/>
      <w:bCs/>
      <w:color w:val="003366"/>
    </w:rPr>
  </w:style>
  <w:style w:type="paragraph" w:customStyle="1" w:styleId="1376">
    <w:name w:val="表文字53"/>
    <w:basedOn w:val="1"/>
    <w:autoRedefine/>
    <w:qFormat/>
    <w:uiPriority w:val="0"/>
    <w:pPr>
      <w:adjustRightInd w:val="0"/>
      <w:jc w:val="left"/>
      <w:textAlignment w:val="baseline"/>
    </w:pPr>
    <w:rPr>
      <w:rFonts w:ascii="宋体" w:hAnsi="宋体" w:cs="宋体"/>
      <w:kern w:val="0"/>
    </w:rPr>
  </w:style>
  <w:style w:type="paragraph" w:customStyle="1" w:styleId="1377">
    <w:name w:val="Char Char Char Char Char Char Char2"/>
    <w:basedOn w:val="1"/>
    <w:autoRedefine/>
    <w:qFormat/>
    <w:uiPriority w:val="0"/>
    <w:rPr>
      <w:rFonts w:ascii="宋体" w:hAnsi="宋体" w:cs="宋体"/>
    </w:rPr>
  </w:style>
  <w:style w:type="paragraph" w:customStyle="1" w:styleId="1378">
    <w:name w:val="表题31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379">
    <w:name w:val="表内文字小213"/>
    <w:basedOn w:val="1"/>
    <w:autoRedefine/>
    <w:qFormat/>
    <w:uiPriority w:val="0"/>
    <w:pPr>
      <w:adjustRightInd w:val="0"/>
      <w:snapToGrid w:val="0"/>
      <w:jc w:val="center"/>
      <w:textAlignment w:val="baseline"/>
    </w:pPr>
    <w:rPr>
      <w:rFonts w:ascii="宋体" w:hAnsi="Times" w:cs="宋体"/>
      <w:bCs/>
      <w:color w:val="000000"/>
    </w:rPr>
  </w:style>
  <w:style w:type="paragraph" w:customStyle="1" w:styleId="1380">
    <w:name w:val="燕山正文3"/>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381">
    <w:name w:val="燕山正文 Char13"/>
    <w:autoRedefine/>
    <w:qFormat/>
    <w:uiPriority w:val="0"/>
    <w:rPr>
      <w:rFonts w:ascii="宋体" w:eastAsia="宋体" w:cs="宋体"/>
      <w:kern w:val="2"/>
      <w:sz w:val="24"/>
      <w:szCs w:val="24"/>
      <w:lang w:val="en-US" w:eastAsia="zh-CN" w:bidi="ar-SA"/>
    </w:rPr>
  </w:style>
  <w:style w:type="paragraph" w:customStyle="1" w:styleId="1382">
    <w:name w:val="正文修改3"/>
    <w:basedOn w:val="1181"/>
    <w:autoRedefine/>
    <w:qFormat/>
    <w:uiPriority w:val="0"/>
    <w:rPr>
      <w:rFonts w:hAnsi="宋体"/>
      <w:color w:val="000000"/>
    </w:rPr>
  </w:style>
  <w:style w:type="character" w:customStyle="1" w:styleId="1383">
    <w:name w:val="正文修改 Char13"/>
    <w:autoRedefine/>
    <w:qFormat/>
    <w:uiPriority w:val="0"/>
    <w:rPr>
      <w:rFonts w:ascii="宋体" w:hAnsi="宋体" w:eastAsia="宋体" w:cs="宋体"/>
      <w:color w:val="000000"/>
      <w:kern w:val="2"/>
      <w:sz w:val="24"/>
      <w:szCs w:val="24"/>
      <w:lang w:val="en-US" w:eastAsia="zh-CN" w:bidi="ar-SA"/>
    </w:rPr>
  </w:style>
  <w:style w:type="paragraph" w:customStyle="1" w:styleId="1384">
    <w:name w:val="表题14"/>
    <w:basedOn w:val="22"/>
    <w:autoRedefine/>
    <w:qFormat/>
    <w:uiPriority w:val="0"/>
    <w:pPr>
      <w:widowControl w:val="0"/>
      <w:spacing w:line="360" w:lineRule="auto"/>
      <w:jc w:val="center"/>
    </w:pPr>
    <w:rPr>
      <w:rFonts w:ascii="黑体" w:hAnsi="Arial" w:cs="Arial"/>
      <w:b/>
      <w:kern w:val="2"/>
    </w:rPr>
  </w:style>
  <w:style w:type="character" w:customStyle="1" w:styleId="1385">
    <w:name w:val="表题1 Char4"/>
    <w:autoRedefine/>
    <w:qFormat/>
    <w:uiPriority w:val="0"/>
    <w:rPr>
      <w:rFonts w:ascii="黑体" w:hAnsi="Arial" w:eastAsia="黑体" w:cs="Arial"/>
      <w:b/>
      <w:kern w:val="2"/>
      <w:sz w:val="24"/>
      <w:szCs w:val="24"/>
      <w:lang w:val="en-US" w:eastAsia="zh-CN" w:bidi="ar-SA"/>
    </w:rPr>
  </w:style>
  <w:style w:type="paragraph" w:customStyle="1" w:styleId="1386">
    <w:name w:val="表中文字3"/>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387">
    <w:name w:val="表中文字 Char23"/>
    <w:autoRedefine/>
    <w:qFormat/>
    <w:uiPriority w:val="0"/>
    <w:rPr>
      <w:rFonts w:ascii="宋体" w:eastAsia="宋体"/>
      <w:kern w:val="2"/>
      <w:sz w:val="21"/>
      <w:szCs w:val="21"/>
      <w:lang w:val="en-US" w:eastAsia="zh-CN" w:bidi="ar-SA"/>
    </w:rPr>
  </w:style>
  <w:style w:type="paragraph" w:customStyle="1" w:styleId="1388">
    <w:name w:val="黑体三号3"/>
    <w:basedOn w:val="316"/>
    <w:autoRedefine/>
    <w:qFormat/>
    <w:uiPriority w:val="0"/>
    <w:pPr>
      <w:jc w:val="center"/>
    </w:pPr>
    <w:rPr>
      <w:rFonts w:ascii="黑体" w:hAnsi="宋体" w:eastAsia="黑体"/>
      <w:bCs/>
      <w:spacing w:val="0"/>
      <w:sz w:val="32"/>
    </w:rPr>
  </w:style>
  <w:style w:type="paragraph" w:customStyle="1" w:styleId="1389">
    <w:name w:val="默认段落字体 Para Char Char Char Char3"/>
    <w:basedOn w:val="1"/>
    <w:autoRedefine/>
    <w:qFormat/>
    <w:uiPriority w:val="0"/>
    <w:rPr>
      <w:rFonts w:ascii="宋体" w:hAnsi="宋体" w:cs="宋体"/>
    </w:rPr>
  </w:style>
  <w:style w:type="paragraph" w:customStyle="1" w:styleId="1390">
    <w:name w:val="表内5413"/>
    <w:basedOn w:val="1"/>
    <w:autoRedefine/>
    <w:qFormat/>
    <w:uiPriority w:val="0"/>
    <w:pPr>
      <w:adjustRightInd w:val="0"/>
      <w:snapToGrid w:val="0"/>
      <w:spacing w:line="300" w:lineRule="auto"/>
      <w:jc w:val="center"/>
    </w:pPr>
    <w:rPr>
      <w:rFonts w:ascii="宋体" w:hAnsi="宋体" w:cs="宋体"/>
    </w:rPr>
  </w:style>
  <w:style w:type="paragraph" w:customStyle="1" w:styleId="1391">
    <w:name w:val="Char610"/>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1392">
    <w:name w:val="表题2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393">
    <w:name w:val="表内宋5中11"/>
    <w:basedOn w:val="1"/>
    <w:autoRedefine/>
    <w:qFormat/>
    <w:uiPriority w:val="0"/>
    <w:pPr>
      <w:adjustRightInd w:val="0"/>
      <w:snapToGrid w:val="0"/>
      <w:jc w:val="center"/>
      <w:textAlignment w:val="baseline"/>
    </w:pPr>
    <w:rPr>
      <w:rFonts w:ascii="宋体" w:hAnsi="宋体" w:cs="宋体"/>
      <w:kern w:val="0"/>
    </w:rPr>
  </w:style>
  <w:style w:type="paragraph" w:customStyle="1" w:styleId="1394">
    <w:name w:val="表内宋5中1"/>
    <w:basedOn w:val="1"/>
    <w:autoRedefine/>
    <w:qFormat/>
    <w:uiPriority w:val="0"/>
    <w:pPr>
      <w:adjustRightInd w:val="0"/>
      <w:snapToGrid w:val="0"/>
      <w:jc w:val="center"/>
      <w:textAlignment w:val="baseline"/>
    </w:pPr>
    <w:rPr>
      <w:rFonts w:ascii="宋体" w:hAnsi="宋体" w:cs="宋体"/>
      <w:kern w:val="0"/>
    </w:rPr>
  </w:style>
  <w:style w:type="paragraph" w:customStyle="1" w:styleId="1395">
    <w:name w:val="表内文字小11"/>
    <w:basedOn w:val="1"/>
    <w:autoRedefine/>
    <w:qFormat/>
    <w:uiPriority w:val="0"/>
    <w:pPr>
      <w:adjustRightInd w:val="0"/>
      <w:snapToGrid w:val="0"/>
    </w:pPr>
    <w:rPr>
      <w:rFonts w:ascii="宋体" w:hAnsi="Times" w:cs="宋体"/>
    </w:rPr>
  </w:style>
  <w:style w:type="paragraph" w:customStyle="1" w:styleId="1396">
    <w:name w:val="标题41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397">
    <w:name w:val="表题14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398">
    <w:name w:val="表内文字小8"/>
    <w:basedOn w:val="1"/>
    <w:autoRedefine/>
    <w:qFormat/>
    <w:uiPriority w:val="0"/>
    <w:pPr>
      <w:adjustRightInd w:val="0"/>
      <w:snapToGrid w:val="0"/>
      <w:jc w:val="center"/>
    </w:pPr>
    <w:rPr>
      <w:rFonts w:ascii="宋体" w:hAnsi="Times" w:cs="宋体"/>
    </w:rPr>
  </w:style>
  <w:style w:type="paragraph" w:customStyle="1" w:styleId="1399">
    <w:name w:val="默认段落字体 Para Char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400">
    <w:name w:val="表内5中"/>
    <w:basedOn w:val="1"/>
    <w:autoRedefine/>
    <w:qFormat/>
    <w:uiPriority w:val="0"/>
    <w:pPr>
      <w:adjustRightInd w:val="0"/>
      <w:snapToGrid w:val="0"/>
      <w:jc w:val="center"/>
    </w:pPr>
    <w:rPr>
      <w:rFonts w:ascii="宋体" w:hAnsi="宋体" w:cs="Arial"/>
      <w:snapToGrid w:val="0"/>
      <w:color w:val="000000"/>
      <w:szCs w:val="21"/>
    </w:rPr>
  </w:style>
  <w:style w:type="character" w:customStyle="1" w:styleId="1401">
    <w:name w:val="标题 2 Char4"/>
    <w:autoRedefine/>
    <w:qFormat/>
    <w:uiPriority w:val="0"/>
    <w:rPr>
      <w:rFonts w:ascii="黑体" w:hAnsi="Arial" w:eastAsia="黑体" w:cs="Times New Roman"/>
      <w:bCs/>
      <w:kern w:val="2"/>
      <w:sz w:val="30"/>
      <w:szCs w:val="30"/>
      <w:lang w:val="en-US" w:eastAsia="zh-CN" w:bidi="ar-SA"/>
    </w:rPr>
  </w:style>
  <w:style w:type="character" w:customStyle="1" w:styleId="1402">
    <w:name w:val="标题 3 Char9"/>
    <w:autoRedefine/>
    <w:qFormat/>
    <w:uiPriority w:val="0"/>
    <w:rPr>
      <w:rFonts w:ascii="黑体" w:hAnsi="宋体" w:eastAsia="黑体" w:cs="Times New Roman"/>
      <w:b/>
      <w:bCs/>
      <w:kern w:val="2"/>
      <w:sz w:val="28"/>
      <w:szCs w:val="28"/>
      <w:lang w:val="en-US" w:eastAsia="zh-CN" w:bidi="ar-SA"/>
    </w:rPr>
  </w:style>
  <w:style w:type="character" w:customStyle="1" w:styleId="1403">
    <w:name w:val="一级项 Char1"/>
    <w:autoRedefine/>
    <w:qFormat/>
    <w:uiPriority w:val="0"/>
    <w:rPr>
      <w:rFonts w:eastAsia="宋体"/>
      <w:b/>
      <w:bCs/>
      <w:kern w:val="2"/>
      <w:sz w:val="28"/>
      <w:szCs w:val="28"/>
      <w:lang w:val="en-US" w:eastAsia="zh-CN" w:bidi="ar-SA"/>
    </w:rPr>
  </w:style>
  <w:style w:type="character" w:customStyle="1" w:styleId="1404">
    <w:name w:val="二级项 Char1"/>
    <w:autoRedefine/>
    <w:qFormat/>
    <w:uiPriority w:val="0"/>
    <w:rPr>
      <w:rFonts w:ascii="Arial" w:hAnsi="Arial" w:eastAsia="黑体"/>
      <w:b/>
      <w:bCs/>
      <w:kern w:val="2"/>
      <w:sz w:val="24"/>
      <w:szCs w:val="24"/>
      <w:lang w:val="en-US" w:eastAsia="zh-CN" w:bidi="ar-SA"/>
    </w:rPr>
  </w:style>
  <w:style w:type="character" w:customStyle="1" w:styleId="1405">
    <w:name w:val="无级项 Char1"/>
    <w:autoRedefine/>
    <w:qFormat/>
    <w:uiPriority w:val="0"/>
    <w:rPr>
      <w:rFonts w:eastAsia="宋体"/>
      <w:b/>
      <w:bCs/>
      <w:kern w:val="2"/>
      <w:sz w:val="24"/>
      <w:szCs w:val="24"/>
      <w:lang w:val="en-US" w:eastAsia="zh-CN" w:bidi="ar-SA"/>
    </w:rPr>
  </w:style>
  <w:style w:type="character" w:customStyle="1" w:styleId="1406">
    <w:name w:val="注 Char1"/>
    <w:autoRedefine/>
    <w:qFormat/>
    <w:uiPriority w:val="0"/>
    <w:rPr>
      <w:rFonts w:ascii="Arial" w:hAnsi="Arial" w:eastAsia="黑体"/>
      <w:kern w:val="2"/>
      <w:sz w:val="24"/>
      <w:szCs w:val="24"/>
      <w:lang w:val="en-US" w:eastAsia="zh-CN" w:bidi="ar-SA"/>
    </w:rPr>
  </w:style>
  <w:style w:type="character" w:customStyle="1" w:styleId="1407">
    <w:name w:val="干标题(a) Char1"/>
    <w:autoRedefine/>
    <w:qFormat/>
    <w:uiPriority w:val="0"/>
    <w:rPr>
      <w:rFonts w:ascii="Arial" w:hAnsi="Arial" w:eastAsia="黑体"/>
      <w:kern w:val="2"/>
      <w:sz w:val="21"/>
      <w:szCs w:val="21"/>
      <w:lang w:val="en-US" w:eastAsia="zh-CN" w:bidi="ar-SA"/>
    </w:rPr>
  </w:style>
  <w:style w:type="character" w:customStyle="1" w:styleId="1408">
    <w:name w:val="正文格式 Char6"/>
    <w:autoRedefine/>
    <w:qFormat/>
    <w:uiPriority w:val="0"/>
    <w:rPr>
      <w:rFonts w:ascii="宋体" w:hAnsi="宋体" w:eastAsia="宋体" w:cs="Times New Roman"/>
      <w:kern w:val="2"/>
      <w:sz w:val="24"/>
      <w:szCs w:val="24"/>
      <w:lang w:val="en-US" w:eastAsia="zh-CN" w:bidi="ar-SA"/>
    </w:rPr>
  </w:style>
  <w:style w:type="paragraph" w:customStyle="1" w:styleId="1409">
    <w:name w:val="附件3"/>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1410">
    <w:name w:val="表格内字体6"/>
    <w:basedOn w:val="316"/>
    <w:next w:val="316"/>
    <w:autoRedefine/>
    <w:qFormat/>
    <w:uiPriority w:val="0"/>
    <w:pPr>
      <w:spacing w:line="240" w:lineRule="auto"/>
      <w:ind w:firstLine="0"/>
      <w:jc w:val="center"/>
    </w:pPr>
    <w:rPr>
      <w:rFonts w:hAnsi="宋体"/>
      <w:b w:val="0"/>
      <w:spacing w:val="0"/>
      <w:sz w:val="21"/>
    </w:rPr>
  </w:style>
  <w:style w:type="character" w:customStyle="1" w:styleId="1411">
    <w:name w:val="表格内字体 Char6"/>
    <w:autoRedefine/>
    <w:qFormat/>
    <w:uiPriority w:val="0"/>
    <w:rPr>
      <w:rFonts w:ascii="宋体" w:hAnsi="宋体" w:eastAsia="宋体" w:cs="Times New Roman"/>
      <w:kern w:val="2"/>
      <w:sz w:val="24"/>
      <w:szCs w:val="24"/>
      <w:lang w:val="en-US" w:eastAsia="zh-CN" w:bidi="ar-SA"/>
    </w:rPr>
  </w:style>
  <w:style w:type="paragraph" w:customStyle="1" w:styleId="1412">
    <w:name w:val="黑体三号4"/>
    <w:basedOn w:val="316"/>
    <w:autoRedefine/>
    <w:qFormat/>
    <w:uiPriority w:val="0"/>
    <w:pPr>
      <w:jc w:val="center"/>
    </w:pPr>
    <w:rPr>
      <w:rFonts w:ascii="黑体" w:hAnsi="宋体" w:eastAsia="黑体"/>
      <w:bCs/>
      <w:spacing w:val="0"/>
      <w:sz w:val="32"/>
    </w:rPr>
  </w:style>
  <w:style w:type="paragraph" w:customStyle="1" w:styleId="1413">
    <w:name w:val="默认段落字体 Para Char Char Char Char4"/>
    <w:basedOn w:val="1"/>
    <w:autoRedefine/>
    <w:qFormat/>
    <w:uiPriority w:val="0"/>
    <w:rPr>
      <w:rFonts w:ascii="宋体" w:hAnsi="宋体" w:cs="宋体"/>
    </w:rPr>
  </w:style>
  <w:style w:type="character" w:customStyle="1" w:styleId="1414">
    <w:name w:val="表题 Char4"/>
    <w:autoRedefine/>
    <w:qFormat/>
    <w:uiPriority w:val="0"/>
    <w:rPr>
      <w:rFonts w:ascii="黑体" w:hAnsi="Arial" w:eastAsia="黑体" w:cs="Arial"/>
      <w:b/>
      <w:kern w:val="2"/>
      <w:sz w:val="24"/>
      <w:szCs w:val="24"/>
      <w:lang w:val="en-US" w:eastAsia="zh-CN" w:bidi="ar-SA"/>
    </w:rPr>
  </w:style>
  <w:style w:type="paragraph" w:customStyle="1" w:styleId="1415">
    <w:name w:val="Char7"/>
    <w:basedOn w:val="1"/>
    <w:autoRedefine/>
    <w:qFormat/>
    <w:uiPriority w:val="0"/>
    <w:pPr>
      <w:ind w:left="-48"/>
    </w:pPr>
    <w:rPr>
      <w:rFonts w:ascii="宋体" w:hAnsi="宋体" w:cs="宋体"/>
    </w:rPr>
  </w:style>
  <w:style w:type="paragraph" w:customStyle="1" w:styleId="1416">
    <w:name w:val="样式 样式 宋体 + 首行缩进:  2 字符1"/>
    <w:basedOn w:val="1"/>
    <w:autoRedefine/>
    <w:qFormat/>
    <w:uiPriority w:val="0"/>
    <w:pPr>
      <w:spacing w:line="360" w:lineRule="auto"/>
      <w:ind w:firstLine="480" w:firstLineChars="200"/>
      <w:jc w:val="left"/>
    </w:pPr>
    <w:rPr>
      <w:rFonts w:ascii="宋体" w:hAnsi="宋体" w:cs="宋体"/>
      <w:sz w:val="24"/>
    </w:rPr>
  </w:style>
  <w:style w:type="paragraph" w:customStyle="1" w:styleId="1417">
    <w:name w:val="表内宋5中2"/>
    <w:basedOn w:val="1"/>
    <w:autoRedefine/>
    <w:qFormat/>
    <w:uiPriority w:val="0"/>
    <w:pPr>
      <w:adjustRightInd w:val="0"/>
      <w:snapToGrid w:val="0"/>
      <w:jc w:val="center"/>
      <w:textAlignment w:val="baseline"/>
    </w:pPr>
    <w:rPr>
      <w:rFonts w:ascii="宋体" w:hAnsi="宋体" w:cs="宋体"/>
      <w:kern w:val="0"/>
    </w:rPr>
  </w:style>
  <w:style w:type="character" w:customStyle="1" w:styleId="1418">
    <w:name w:val="标题 5 Char1"/>
    <w:autoRedefine/>
    <w:qFormat/>
    <w:uiPriority w:val="0"/>
    <w:rPr>
      <w:rFonts w:ascii="宋体" w:hAnsi="宋体" w:eastAsia="宋体" w:cs="宋体"/>
      <w:b/>
      <w:bCs/>
      <w:kern w:val="2"/>
      <w:sz w:val="28"/>
      <w:szCs w:val="28"/>
      <w:lang w:val="en-US" w:eastAsia="zh-CN" w:bidi="ar-SA"/>
    </w:rPr>
  </w:style>
  <w:style w:type="paragraph" w:customStyle="1" w:styleId="1419">
    <w:name w:val="Fax Header"/>
    <w:basedOn w:val="1"/>
    <w:autoRedefine/>
    <w:qFormat/>
    <w:uiPriority w:val="0"/>
    <w:pPr>
      <w:widowControl/>
      <w:spacing w:before="240" w:after="60"/>
      <w:jc w:val="left"/>
    </w:pPr>
    <w:rPr>
      <w:rFonts w:ascii="宋体" w:hAnsi="宋体" w:cs="宋体"/>
      <w:kern w:val="0"/>
      <w:sz w:val="24"/>
    </w:rPr>
  </w:style>
  <w:style w:type="paragraph" w:customStyle="1" w:styleId="1420">
    <w:name w:val="样式 表格内字体1 +"/>
    <w:basedOn w:val="1265"/>
    <w:next w:val="1178"/>
    <w:autoRedefine/>
    <w:qFormat/>
    <w:uiPriority w:val="0"/>
    <w:rPr>
      <w:rFonts w:hAnsi="Times New Roman"/>
    </w:rPr>
  </w:style>
  <w:style w:type="paragraph" w:customStyle="1" w:styleId="1421">
    <w:name w:val="Char8"/>
    <w:basedOn w:val="1"/>
    <w:autoRedefine/>
    <w:qFormat/>
    <w:uiPriority w:val="0"/>
    <w:pPr>
      <w:ind w:left="-48"/>
    </w:pPr>
    <w:rPr>
      <w:rFonts w:ascii="宋体" w:hAnsi="宋体" w:cs="宋体"/>
    </w:rPr>
  </w:style>
  <w:style w:type="paragraph" w:customStyle="1" w:styleId="1422">
    <w:name w:val="正文格式7"/>
    <w:basedOn w:val="1"/>
    <w:autoRedefine/>
    <w:qFormat/>
    <w:uiPriority w:val="0"/>
    <w:pPr>
      <w:spacing w:line="360" w:lineRule="auto"/>
      <w:ind w:firstLine="482"/>
    </w:pPr>
    <w:rPr>
      <w:rFonts w:ascii="宋体" w:hAnsi="宋体" w:cs="宋体"/>
      <w:sz w:val="24"/>
    </w:rPr>
  </w:style>
  <w:style w:type="character" w:customStyle="1" w:styleId="1423">
    <w:name w:val="正文格式 Char7"/>
    <w:autoRedefine/>
    <w:qFormat/>
    <w:uiPriority w:val="0"/>
    <w:rPr>
      <w:rFonts w:ascii="宋体" w:hAnsi="宋体" w:eastAsia="宋体"/>
      <w:kern w:val="2"/>
      <w:sz w:val="24"/>
      <w:szCs w:val="24"/>
      <w:lang w:val="en-US" w:eastAsia="zh-CN" w:bidi="ar-SA"/>
    </w:rPr>
  </w:style>
  <w:style w:type="character" w:customStyle="1" w:styleId="1424">
    <w:name w:val="标题 2 Char5"/>
    <w:autoRedefine/>
    <w:qFormat/>
    <w:uiPriority w:val="0"/>
    <w:rPr>
      <w:rFonts w:ascii="黑体" w:hAnsi="Arial" w:eastAsia="黑体"/>
      <w:bCs/>
      <w:kern w:val="2"/>
      <w:sz w:val="30"/>
      <w:szCs w:val="30"/>
      <w:lang w:val="en-US" w:eastAsia="zh-CN" w:bidi="ar-SA"/>
    </w:rPr>
  </w:style>
  <w:style w:type="character" w:customStyle="1" w:styleId="1425">
    <w:name w:val="标题 3 Char10"/>
    <w:autoRedefine/>
    <w:qFormat/>
    <w:uiPriority w:val="0"/>
    <w:rPr>
      <w:rFonts w:ascii="黑体" w:hAnsi="宋体" w:eastAsia="黑体"/>
      <w:b/>
      <w:bCs/>
      <w:kern w:val="2"/>
      <w:sz w:val="28"/>
      <w:szCs w:val="28"/>
      <w:lang w:val="en-US" w:eastAsia="zh-CN" w:bidi="ar-SA"/>
    </w:rPr>
  </w:style>
  <w:style w:type="character" w:customStyle="1" w:styleId="1426">
    <w:name w:val="题注 Char5"/>
    <w:autoRedefine/>
    <w:qFormat/>
    <w:uiPriority w:val="0"/>
    <w:rPr>
      <w:rFonts w:ascii="黑体" w:hAnsi="Arial" w:eastAsia="黑体" w:cs="Arial"/>
      <w:spacing w:val="10"/>
      <w:kern w:val="2"/>
      <w:sz w:val="24"/>
      <w:szCs w:val="24"/>
      <w:lang w:val="en-US" w:eastAsia="zh-CN" w:bidi="ar-SA"/>
    </w:rPr>
  </w:style>
  <w:style w:type="paragraph" w:customStyle="1" w:styleId="1427">
    <w:name w:val="图题7"/>
    <w:basedOn w:val="316"/>
    <w:next w:val="316"/>
    <w:autoRedefine/>
    <w:qFormat/>
    <w:uiPriority w:val="0"/>
    <w:pPr>
      <w:ind w:firstLine="0"/>
      <w:jc w:val="center"/>
    </w:pPr>
    <w:rPr>
      <w:rFonts w:ascii="黑体" w:hAnsi="宋体" w:eastAsia="黑体"/>
      <w:bCs/>
      <w:spacing w:val="0"/>
    </w:rPr>
  </w:style>
  <w:style w:type="paragraph" w:customStyle="1" w:styleId="1428">
    <w:name w:val="表格内字体7"/>
    <w:basedOn w:val="316"/>
    <w:next w:val="316"/>
    <w:autoRedefine/>
    <w:qFormat/>
    <w:uiPriority w:val="0"/>
    <w:pPr>
      <w:spacing w:line="240" w:lineRule="auto"/>
      <w:ind w:firstLine="0"/>
      <w:jc w:val="center"/>
    </w:pPr>
    <w:rPr>
      <w:rFonts w:hAnsi="宋体"/>
      <w:b w:val="0"/>
      <w:spacing w:val="0"/>
      <w:sz w:val="21"/>
    </w:rPr>
  </w:style>
  <w:style w:type="character" w:customStyle="1" w:styleId="1429">
    <w:name w:val="表格内字体 Char7"/>
    <w:autoRedefine/>
    <w:qFormat/>
    <w:uiPriority w:val="0"/>
    <w:rPr>
      <w:rFonts w:ascii="宋体" w:hAnsi="宋体" w:eastAsia="宋体"/>
      <w:kern w:val="2"/>
      <w:sz w:val="21"/>
      <w:szCs w:val="24"/>
      <w:lang w:val="en-US" w:eastAsia="zh-CN" w:bidi="ar-SA"/>
    </w:rPr>
  </w:style>
  <w:style w:type="paragraph" w:customStyle="1" w:styleId="1430">
    <w:name w:val="Char9"/>
    <w:basedOn w:val="1"/>
    <w:autoRedefine/>
    <w:qFormat/>
    <w:uiPriority w:val="0"/>
    <w:pPr>
      <w:ind w:left="-48"/>
    </w:pPr>
    <w:rPr>
      <w:rFonts w:ascii="宋体" w:hAnsi="宋体" w:cs="宋体"/>
    </w:rPr>
  </w:style>
  <w:style w:type="character" w:customStyle="1" w:styleId="1431">
    <w:name w:val="正文文本缩进 3 Char2"/>
    <w:autoRedefine/>
    <w:qFormat/>
    <w:uiPriority w:val="0"/>
    <w:rPr>
      <w:rFonts w:eastAsia="宋体"/>
      <w:kern w:val="2"/>
      <w:sz w:val="16"/>
      <w:szCs w:val="16"/>
      <w:lang w:val="en-US" w:eastAsia="zh-CN" w:bidi="ar-SA"/>
    </w:rPr>
  </w:style>
  <w:style w:type="character" w:customStyle="1" w:styleId="1432">
    <w:name w:val="表题1 Char6"/>
    <w:autoRedefine/>
    <w:qFormat/>
    <w:uiPriority w:val="0"/>
    <w:rPr>
      <w:rFonts w:ascii="黑体" w:hAnsi="Arial" w:eastAsia="黑体" w:cs="Arial"/>
      <w:b/>
      <w:kern w:val="2"/>
      <w:sz w:val="24"/>
      <w:szCs w:val="24"/>
      <w:lang w:val="en-US" w:eastAsia="zh-CN" w:bidi="ar-SA"/>
    </w:rPr>
  </w:style>
  <w:style w:type="character" w:customStyle="1" w:styleId="1433">
    <w:name w:val="Char Char41"/>
    <w:autoRedefine/>
    <w:qFormat/>
    <w:uiPriority w:val="0"/>
    <w:rPr>
      <w:rFonts w:ascii="黑体" w:hAnsi="Arial" w:eastAsia="黑体"/>
      <w:b/>
      <w:bCs/>
      <w:kern w:val="2"/>
      <w:sz w:val="30"/>
      <w:szCs w:val="30"/>
      <w:lang w:val="en-US" w:eastAsia="zh-CN" w:bidi="ar-SA"/>
    </w:rPr>
  </w:style>
  <w:style w:type="paragraph" w:customStyle="1" w:styleId="1434">
    <w:name w:val="燕山正文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435">
    <w:name w:val="燕山正文 Char14"/>
    <w:autoRedefine/>
    <w:qFormat/>
    <w:uiPriority w:val="0"/>
    <w:rPr>
      <w:rFonts w:ascii="宋体" w:eastAsia="宋体" w:cs="宋体"/>
      <w:kern w:val="2"/>
      <w:sz w:val="24"/>
      <w:szCs w:val="24"/>
      <w:lang w:val="en-US" w:eastAsia="zh-CN" w:bidi="ar-SA"/>
    </w:rPr>
  </w:style>
  <w:style w:type="paragraph" w:customStyle="1" w:styleId="1436">
    <w:name w:val="正文修改4"/>
    <w:basedOn w:val="1181"/>
    <w:autoRedefine/>
    <w:qFormat/>
    <w:uiPriority w:val="0"/>
    <w:rPr>
      <w:rFonts w:hAnsi="宋体"/>
      <w:color w:val="000000"/>
    </w:rPr>
  </w:style>
  <w:style w:type="character" w:customStyle="1" w:styleId="1437">
    <w:name w:val="正文修改 Char14"/>
    <w:basedOn w:val="1182"/>
    <w:autoRedefine/>
    <w:qFormat/>
    <w:uiPriority w:val="0"/>
    <w:rPr>
      <w:rFonts w:ascii="宋体" w:hAnsi="Calibri" w:cs="宋体"/>
      <w:kern w:val="2"/>
      <w:sz w:val="24"/>
      <w:szCs w:val="24"/>
    </w:rPr>
  </w:style>
  <w:style w:type="paragraph" w:customStyle="1" w:styleId="1438">
    <w:name w:val="表中文字5"/>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439">
    <w:name w:val="表中文字 Char24"/>
    <w:autoRedefine/>
    <w:qFormat/>
    <w:uiPriority w:val="0"/>
    <w:rPr>
      <w:rFonts w:ascii="宋体" w:eastAsia="宋体"/>
      <w:kern w:val="2"/>
      <w:sz w:val="21"/>
      <w:szCs w:val="21"/>
      <w:lang w:val="en-US" w:eastAsia="zh-CN" w:bidi="ar-SA"/>
    </w:rPr>
  </w:style>
  <w:style w:type="paragraph" w:customStyle="1" w:styleId="1440">
    <w:name w:val="默认段落字体 Para Char Char Char Char5"/>
    <w:basedOn w:val="1"/>
    <w:autoRedefine/>
    <w:qFormat/>
    <w:uiPriority w:val="0"/>
    <w:rPr>
      <w:rFonts w:ascii="宋体" w:hAnsi="宋体" w:cs="宋体"/>
    </w:rPr>
  </w:style>
  <w:style w:type="paragraph" w:customStyle="1" w:styleId="1441">
    <w:name w:val="Char10"/>
    <w:basedOn w:val="1"/>
    <w:autoRedefine/>
    <w:qFormat/>
    <w:uiPriority w:val="0"/>
    <w:pPr>
      <w:adjustRightInd w:val="0"/>
      <w:snapToGrid w:val="0"/>
      <w:spacing w:line="360" w:lineRule="auto"/>
    </w:pPr>
    <w:rPr>
      <w:rFonts w:ascii="宋体" w:hAnsi="宋体" w:cs="宋体"/>
    </w:rPr>
  </w:style>
  <w:style w:type="paragraph" w:customStyle="1" w:styleId="1442">
    <w:name w:val="表内5中1"/>
    <w:basedOn w:val="1"/>
    <w:autoRedefine/>
    <w:qFormat/>
    <w:uiPriority w:val="0"/>
    <w:pPr>
      <w:adjustRightInd w:val="0"/>
      <w:snapToGrid w:val="0"/>
      <w:jc w:val="center"/>
    </w:pPr>
    <w:rPr>
      <w:rFonts w:ascii="宋体" w:hAnsi="宋体" w:cs="Arial"/>
      <w:snapToGrid w:val="0"/>
      <w:color w:val="000000"/>
      <w:szCs w:val="21"/>
    </w:rPr>
  </w:style>
  <w:style w:type="paragraph" w:customStyle="1" w:styleId="1443">
    <w:name w:val="表内5414"/>
    <w:basedOn w:val="1"/>
    <w:autoRedefine/>
    <w:qFormat/>
    <w:uiPriority w:val="0"/>
    <w:pPr>
      <w:adjustRightInd w:val="0"/>
      <w:snapToGrid w:val="0"/>
      <w:spacing w:line="300" w:lineRule="auto"/>
      <w:jc w:val="center"/>
    </w:pPr>
    <w:rPr>
      <w:rFonts w:ascii="宋体" w:hAnsi="宋体" w:cs="宋体"/>
    </w:rPr>
  </w:style>
  <w:style w:type="paragraph" w:customStyle="1" w:styleId="1444">
    <w:name w:val="c"/>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1445">
    <w:name w:val="表题9"/>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1446">
    <w:name w:val="正文缩进 Char6"/>
    <w:autoRedefine/>
    <w:qFormat/>
    <w:uiPriority w:val="0"/>
    <w:rPr>
      <w:rFonts w:ascii="宋体" w:hAnsi="宋体" w:eastAsia="宋体"/>
      <w:kern w:val="2"/>
      <w:sz w:val="24"/>
      <w:szCs w:val="24"/>
      <w:lang w:val="en-US" w:eastAsia="zh-CN" w:bidi="ar-SA"/>
    </w:rPr>
  </w:style>
  <w:style w:type="paragraph" w:customStyle="1" w:styleId="1447">
    <w:name w:val="表内文字小1"/>
    <w:basedOn w:val="1"/>
    <w:autoRedefine/>
    <w:qFormat/>
    <w:uiPriority w:val="0"/>
    <w:pPr>
      <w:adjustRightInd w:val="0"/>
      <w:snapToGrid w:val="0"/>
      <w:jc w:val="center"/>
    </w:pPr>
    <w:rPr>
      <w:rFonts w:ascii="宋体" w:hAnsi="Times" w:cs="宋体"/>
    </w:rPr>
  </w:style>
  <w:style w:type="paragraph" w:customStyle="1" w:styleId="1448">
    <w:name w:val="表内59"/>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1449">
    <w:name w:val="表内小5中"/>
    <w:basedOn w:val="1"/>
    <w:autoRedefine/>
    <w:qFormat/>
    <w:uiPriority w:val="0"/>
    <w:pPr>
      <w:adjustRightInd w:val="0"/>
      <w:snapToGrid w:val="0"/>
      <w:jc w:val="center"/>
    </w:pPr>
    <w:rPr>
      <w:rFonts w:ascii="宋体" w:hAnsi="宋体" w:cs="宋体"/>
      <w:sz w:val="18"/>
    </w:rPr>
  </w:style>
  <w:style w:type="paragraph" w:customStyle="1" w:styleId="1450">
    <w:name w:val="表内5中4"/>
    <w:basedOn w:val="1"/>
    <w:autoRedefine/>
    <w:qFormat/>
    <w:uiPriority w:val="0"/>
    <w:pPr>
      <w:adjustRightInd w:val="0"/>
      <w:snapToGrid w:val="0"/>
      <w:jc w:val="center"/>
    </w:pPr>
    <w:rPr>
      <w:rFonts w:ascii="宋体" w:hAnsi="宋体" w:cs="宋体"/>
      <w:bCs/>
    </w:rPr>
  </w:style>
  <w:style w:type="character" w:customStyle="1" w:styleId="1451">
    <w:name w:val="无效格式 Char"/>
    <w:autoRedefine/>
    <w:qFormat/>
    <w:uiPriority w:val="0"/>
    <w:rPr>
      <w:rFonts w:ascii="黑体" w:hAnsi="Arial" w:eastAsia="黑体"/>
      <w:b/>
      <w:bCs/>
      <w:kern w:val="2"/>
      <w:sz w:val="24"/>
      <w:szCs w:val="24"/>
      <w:lang w:val="en-US" w:eastAsia="zh-CN" w:bidi="ar-SA"/>
    </w:rPr>
  </w:style>
  <w:style w:type="paragraph" w:customStyle="1" w:styleId="1452">
    <w:name w:val="默认段落字体 Para Char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453">
    <w:name w:val="燕山正文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1454">
    <w:name w:val="批注框文本 Char4"/>
    <w:autoRedefine/>
    <w:qFormat/>
    <w:uiPriority w:val="0"/>
    <w:rPr>
      <w:rFonts w:eastAsia="宋体"/>
      <w:kern w:val="2"/>
      <w:sz w:val="18"/>
      <w:szCs w:val="18"/>
      <w:lang w:val="en-US" w:eastAsia="zh-CN" w:bidi="ar-SA"/>
    </w:rPr>
  </w:style>
  <w:style w:type="paragraph" w:customStyle="1" w:styleId="1455">
    <w:name w:val="样式 标题 4无效格式无效格式1河石管道4H4H41小小节河石管道41H42H411小小节1河石管道42..."/>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456">
    <w:name w:val="样式 标题 4无效格式无效格式1河石管道4H4H41小小节河石管道41H42H411小小节1河石管道42...1"/>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457">
    <w:name w:val="正文格式8"/>
    <w:basedOn w:val="1"/>
    <w:autoRedefine/>
    <w:qFormat/>
    <w:uiPriority w:val="0"/>
    <w:pPr>
      <w:spacing w:line="360" w:lineRule="auto"/>
      <w:ind w:firstLine="482"/>
    </w:pPr>
    <w:rPr>
      <w:rFonts w:ascii="宋体" w:hAnsi="宋体" w:cs="宋体"/>
      <w:sz w:val="24"/>
    </w:rPr>
  </w:style>
  <w:style w:type="character" w:customStyle="1" w:styleId="1458">
    <w:name w:val="正文格式 Char8"/>
    <w:autoRedefine/>
    <w:qFormat/>
    <w:uiPriority w:val="0"/>
    <w:rPr>
      <w:rFonts w:ascii="宋体" w:hAnsi="宋体" w:eastAsia="宋体"/>
      <w:kern w:val="2"/>
      <w:sz w:val="24"/>
      <w:szCs w:val="24"/>
      <w:lang w:val="en-US" w:eastAsia="zh-CN" w:bidi="ar-SA"/>
    </w:rPr>
  </w:style>
  <w:style w:type="paragraph" w:customStyle="1" w:styleId="1459">
    <w:name w:val="正文格式9"/>
    <w:basedOn w:val="1"/>
    <w:autoRedefine/>
    <w:qFormat/>
    <w:uiPriority w:val="0"/>
    <w:pPr>
      <w:spacing w:line="360" w:lineRule="auto"/>
      <w:ind w:firstLine="482"/>
    </w:pPr>
    <w:rPr>
      <w:rFonts w:ascii="宋体" w:hAnsi="宋体" w:cs="宋体"/>
      <w:sz w:val="24"/>
    </w:rPr>
  </w:style>
  <w:style w:type="character" w:customStyle="1" w:styleId="1460">
    <w:name w:val="正文格式 Char9"/>
    <w:autoRedefine/>
    <w:qFormat/>
    <w:uiPriority w:val="0"/>
    <w:rPr>
      <w:rFonts w:ascii="宋体" w:hAnsi="宋体" w:eastAsia="宋体"/>
      <w:kern w:val="2"/>
      <w:sz w:val="24"/>
      <w:szCs w:val="24"/>
      <w:lang w:val="en-US" w:eastAsia="zh-CN" w:bidi="ar-SA"/>
    </w:rPr>
  </w:style>
  <w:style w:type="character" w:customStyle="1" w:styleId="1461">
    <w:name w:val="标题 3 Char11"/>
    <w:autoRedefine/>
    <w:qFormat/>
    <w:uiPriority w:val="0"/>
    <w:rPr>
      <w:rFonts w:ascii="黑体" w:hAnsi="宋体" w:eastAsia="黑体"/>
      <w:b/>
      <w:bCs/>
      <w:kern w:val="2"/>
      <w:sz w:val="28"/>
      <w:szCs w:val="28"/>
      <w:lang w:val="en-US" w:eastAsia="zh-CN" w:bidi="ar-SA"/>
    </w:rPr>
  </w:style>
  <w:style w:type="paragraph" w:customStyle="1" w:styleId="1462">
    <w:name w:val="Char41"/>
    <w:basedOn w:val="1"/>
    <w:autoRedefine/>
    <w:qFormat/>
    <w:uiPriority w:val="0"/>
    <w:pPr>
      <w:ind w:left="-48"/>
    </w:pPr>
    <w:rPr>
      <w:rFonts w:ascii="宋体" w:hAnsi="宋体" w:cs="宋体"/>
    </w:rPr>
  </w:style>
  <w:style w:type="paragraph" w:customStyle="1" w:styleId="1463">
    <w:name w:val="Char Char Char Char Char Char Char3"/>
    <w:basedOn w:val="1"/>
    <w:autoRedefine/>
    <w:qFormat/>
    <w:uiPriority w:val="0"/>
    <w:rPr>
      <w:rFonts w:ascii="宋体" w:hAnsi="宋体" w:cs="宋体"/>
    </w:rPr>
  </w:style>
  <w:style w:type="paragraph" w:customStyle="1" w:styleId="1464">
    <w:name w:val="Char13"/>
    <w:basedOn w:val="1"/>
    <w:autoRedefine/>
    <w:qFormat/>
    <w:uiPriority w:val="0"/>
    <w:pPr>
      <w:ind w:left="-48"/>
    </w:pPr>
    <w:rPr>
      <w:rFonts w:ascii="宋体" w:hAnsi="宋体" w:cs="宋体"/>
    </w:rPr>
  </w:style>
  <w:style w:type="character" w:customStyle="1" w:styleId="1465">
    <w:name w:val="Char Char42"/>
    <w:autoRedefine/>
    <w:qFormat/>
    <w:uiPriority w:val="0"/>
    <w:rPr>
      <w:rFonts w:ascii="黑体" w:hAnsi="Arial" w:eastAsia="黑体"/>
      <w:b/>
      <w:bCs/>
      <w:kern w:val="2"/>
      <w:sz w:val="30"/>
      <w:szCs w:val="30"/>
      <w:lang w:val="en-US" w:eastAsia="zh-CN" w:bidi="ar-SA"/>
    </w:rPr>
  </w:style>
  <w:style w:type="character" w:customStyle="1" w:styleId="1466">
    <w:name w:val="Char Char31"/>
    <w:autoRedefine/>
    <w:qFormat/>
    <w:uiPriority w:val="0"/>
    <w:rPr>
      <w:rFonts w:ascii="黑体" w:hAnsi="宋体" w:eastAsia="黑体"/>
      <w:b/>
      <w:bCs/>
      <w:kern w:val="2"/>
      <w:sz w:val="28"/>
      <w:szCs w:val="28"/>
      <w:lang w:val="en-US" w:eastAsia="zh-CN" w:bidi="ar-SA"/>
    </w:rPr>
  </w:style>
  <w:style w:type="paragraph" w:customStyle="1" w:styleId="1467">
    <w:name w:val="Char Char Char Char1 Char Char Char1"/>
    <w:basedOn w:val="1"/>
    <w:autoRedefine/>
    <w:qFormat/>
    <w:uiPriority w:val="0"/>
    <w:pPr>
      <w:widowControl/>
      <w:spacing w:after="160"/>
      <w:jc w:val="left"/>
    </w:pPr>
    <w:rPr>
      <w:rFonts w:ascii="Verdana" w:hAnsi="Verdana" w:cs="宋体"/>
      <w:kern w:val="0"/>
      <w:sz w:val="24"/>
      <w:lang w:eastAsia="en-US"/>
    </w:rPr>
  </w:style>
  <w:style w:type="character" w:customStyle="1" w:styleId="1468">
    <w:name w:val="Char Char112"/>
    <w:autoRedefine/>
    <w:qFormat/>
    <w:uiPriority w:val="0"/>
    <w:rPr>
      <w:rFonts w:ascii="黑体" w:hAnsi="Arial" w:eastAsia="黑体"/>
      <w:bCs/>
      <w:kern w:val="2"/>
      <w:sz w:val="30"/>
      <w:szCs w:val="30"/>
      <w:lang w:val="en-US" w:eastAsia="zh-CN" w:bidi="ar-SA"/>
    </w:rPr>
  </w:style>
  <w:style w:type="character" w:customStyle="1" w:styleId="1469">
    <w:name w:val="Char Char51"/>
    <w:autoRedefine/>
    <w:qFormat/>
    <w:uiPriority w:val="0"/>
    <w:rPr>
      <w:rFonts w:ascii="黑体" w:hAnsi="宋体" w:eastAsia="黑体"/>
      <w:bCs/>
      <w:kern w:val="2"/>
      <w:sz w:val="28"/>
      <w:szCs w:val="28"/>
      <w:lang w:val="en-US" w:eastAsia="zh-CN" w:bidi="ar-SA"/>
    </w:rPr>
  </w:style>
  <w:style w:type="paragraph" w:customStyle="1" w:styleId="1470">
    <w:name w:val="Char14"/>
    <w:basedOn w:val="1"/>
    <w:autoRedefine/>
    <w:qFormat/>
    <w:uiPriority w:val="0"/>
    <w:pPr>
      <w:ind w:left="-48"/>
    </w:pPr>
    <w:rPr>
      <w:rFonts w:ascii="宋体" w:hAnsi="宋体" w:cs="宋体"/>
    </w:rPr>
  </w:style>
  <w:style w:type="paragraph" w:customStyle="1" w:styleId="1471">
    <w:name w:val="Char Char Char Char Char Char Char13"/>
    <w:basedOn w:val="1"/>
    <w:autoRedefine/>
    <w:qFormat/>
    <w:uiPriority w:val="0"/>
    <w:rPr>
      <w:rFonts w:ascii="宋体" w:hAnsi="宋体" w:cs="宋体"/>
    </w:rPr>
  </w:style>
  <w:style w:type="character" w:customStyle="1" w:styleId="1472">
    <w:name w:val="Char Char211"/>
    <w:autoRedefine/>
    <w:qFormat/>
    <w:uiPriority w:val="0"/>
    <w:rPr>
      <w:rFonts w:ascii="黑体" w:eastAsia="宋体"/>
      <w:kern w:val="2"/>
      <w:sz w:val="16"/>
      <w:szCs w:val="16"/>
      <w:lang w:val="en-US" w:eastAsia="zh-CN" w:bidi="ar-SA"/>
    </w:rPr>
  </w:style>
  <w:style w:type="character" w:customStyle="1" w:styleId="1473">
    <w:name w:val="Char Char121"/>
    <w:autoRedefine/>
    <w:qFormat/>
    <w:uiPriority w:val="0"/>
    <w:rPr>
      <w:rFonts w:ascii="黑体" w:hAnsi="Arial" w:eastAsia="黑体"/>
      <w:b/>
      <w:bCs/>
      <w:kern w:val="2"/>
      <w:sz w:val="30"/>
      <w:szCs w:val="30"/>
      <w:lang w:val="en-US" w:eastAsia="zh-CN" w:bidi="ar-SA"/>
    </w:rPr>
  </w:style>
  <w:style w:type="character" w:customStyle="1" w:styleId="1474">
    <w:name w:val="Char Char62"/>
    <w:autoRedefine/>
    <w:qFormat/>
    <w:uiPriority w:val="0"/>
    <w:rPr>
      <w:rFonts w:ascii="黑体" w:eastAsia="黑体"/>
      <w:b/>
      <w:bCs/>
      <w:kern w:val="2"/>
      <w:sz w:val="28"/>
      <w:szCs w:val="28"/>
      <w:lang w:val="en-US" w:eastAsia="zh-CN" w:bidi="ar-SA"/>
    </w:rPr>
  </w:style>
  <w:style w:type="paragraph" w:customStyle="1" w:styleId="1475">
    <w:name w:val="Char23"/>
    <w:basedOn w:val="1"/>
    <w:autoRedefine/>
    <w:qFormat/>
    <w:uiPriority w:val="0"/>
    <w:pPr>
      <w:ind w:left="-48"/>
    </w:pPr>
    <w:rPr>
      <w:rFonts w:ascii="宋体" w:hAnsi="宋体" w:cs="宋体"/>
    </w:rPr>
  </w:style>
  <w:style w:type="paragraph" w:customStyle="1" w:styleId="1476">
    <w:name w:val="Char32"/>
    <w:basedOn w:val="1"/>
    <w:autoRedefine/>
    <w:qFormat/>
    <w:uiPriority w:val="0"/>
    <w:pPr>
      <w:ind w:left="-48"/>
    </w:pPr>
    <w:rPr>
      <w:rFonts w:ascii="宋体" w:hAnsi="宋体" w:cs="宋体"/>
    </w:rPr>
  </w:style>
  <w:style w:type="paragraph" w:customStyle="1" w:styleId="1477">
    <w:name w:val="Char Char Char Char Char Char Char21"/>
    <w:basedOn w:val="1"/>
    <w:autoRedefine/>
    <w:qFormat/>
    <w:uiPriority w:val="0"/>
    <w:rPr>
      <w:rFonts w:ascii="宋体" w:hAnsi="宋体" w:cs="宋体"/>
    </w:rPr>
  </w:style>
  <w:style w:type="paragraph" w:customStyle="1" w:styleId="1478">
    <w:name w:val="Char42"/>
    <w:basedOn w:val="1"/>
    <w:autoRedefine/>
    <w:qFormat/>
    <w:uiPriority w:val="0"/>
    <w:pPr>
      <w:ind w:left="-48"/>
    </w:pPr>
    <w:rPr>
      <w:rFonts w:ascii="宋体" w:hAnsi="宋体" w:cs="宋体"/>
    </w:rPr>
  </w:style>
  <w:style w:type="paragraph" w:customStyle="1" w:styleId="1479">
    <w:name w:val="Char Char Char Char Char Char Char4"/>
    <w:basedOn w:val="1"/>
    <w:autoRedefine/>
    <w:qFormat/>
    <w:uiPriority w:val="0"/>
    <w:rPr>
      <w:rFonts w:ascii="宋体" w:hAnsi="宋体" w:cs="宋体"/>
    </w:rPr>
  </w:style>
  <w:style w:type="paragraph" w:customStyle="1" w:styleId="1480">
    <w:name w:val="Char15"/>
    <w:basedOn w:val="1"/>
    <w:autoRedefine/>
    <w:qFormat/>
    <w:uiPriority w:val="0"/>
    <w:pPr>
      <w:ind w:left="-48"/>
    </w:pPr>
    <w:rPr>
      <w:rFonts w:ascii="宋体" w:hAnsi="宋体" w:cs="宋体"/>
    </w:rPr>
  </w:style>
  <w:style w:type="character" w:customStyle="1" w:styleId="1481">
    <w:name w:val="Char Char43"/>
    <w:autoRedefine/>
    <w:qFormat/>
    <w:uiPriority w:val="0"/>
    <w:rPr>
      <w:rFonts w:ascii="黑体" w:hAnsi="Arial" w:eastAsia="黑体"/>
      <w:b/>
      <w:bCs/>
      <w:kern w:val="2"/>
      <w:sz w:val="30"/>
      <w:szCs w:val="30"/>
      <w:lang w:val="en-US" w:eastAsia="zh-CN" w:bidi="ar-SA"/>
    </w:rPr>
  </w:style>
  <w:style w:type="character" w:customStyle="1" w:styleId="1482">
    <w:name w:val="Char Char32"/>
    <w:autoRedefine/>
    <w:qFormat/>
    <w:uiPriority w:val="0"/>
    <w:rPr>
      <w:rFonts w:ascii="黑体" w:hAnsi="宋体" w:eastAsia="黑体"/>
      <w:b/>
      <w:bCs/>
      <w:kern w:val="2"/>
      <w:sz w:val="28"/>
      <w:szCs w:val="28"/>
      <w:lang w:val="en-US" w:eastAsia="zh-CN" w:bidi="ar-SA"/>
    </w:rPr>
  </w:style>
  <w:style w:type="paragraph" w:customStyle="1" w:styleId="1483">
    <w:name w:val="Char Char Char Char1 Char Char Char2"/>
    <w:basedOn w:val="1"/>
    <w:autoRedefine/>
    <w:qFormat/>
    <w:uiPriority w:val="0"/>
    <w:pPr>
      <w:widowControl/>
      <w:spacing w:after="160"/>
      <w:jc w:val="left"/>
    </w:pPr>
    <w:rPr>
      <w:rFonts w:ascii="Verdana" w:hAnsi="Verdana" w:cs="宋体"/>
      <w:kern w:val="0"/>
      <w:sz w:val="24"/>
      <w:lang w:eastAsia="en-US"/>
    </w:rPr>
  </w:style>
  <w:style w:type="character" w:customStyle="1" w:styleId="1484">
    <w:name w:val="Char Char113"/>
    <w:autoRedefine/>
    <w:qFormat/>
    <w:uiPriority w:val="0"/>
    <w:rPr>
      <w:rFonts w:ascii="黑体" w:hAnsi="Arial" w:eastAsia="黑体"/>
      <w:bCs/>
      <w:kern w:val="2"/>
      <w:sz w:val="30"/>
      <w:szCs w:val="30"/>
      <w:lang w:val="en-US" w:eastAsia="zh-CN" w:bidi="ar-SA"/>
    </w:rPr>
  </w:style>
  <w:style w:type="character" w:customStyle="1" w:styleId="1485">
    <w:name w:val="Char Char52"/>
    <w:autoRedefine/>
    <w:qFormat/>
    <w:uiPriority w:val="0"/>
    <w:rPr>
      <w:rFonts w:ascii="黑体" w:hAnsi="宋体" w:eastAsia="黑体"/>
      <w:bCs/>
      <w:kern w:val="2"/>
      <w:sz w:val="28"/>
      <w:szCs w:val="28"/>
      <w:lang w:val="en-US" w:eastAsia="zh-CN" w:bidi="ar-SA"/>
    </w:rPr>
  </w:style>
  <w:style w:type="paragraph" w:customStyle="1" w:styleId="1486">
    <w:name w:val="Char16"/>
    <w:basedOn w:val="1"/>
    <w:autoRedefine/>
    <w:qFormat/>
    <w:uiPriority w:val="0"/>
    <w:pPr>
      <w:ind w:left="-48"/>
    </w:pPr>
    <w:rPr>
      <w:rFonts w:ascii="宋体" w:hAnsi="宋体" w:cs="宋体"/>
    </w:rPr>
  </w:style>
  <w:style w:type="paragraph" w:customStyle="1" w:styleId="1487">
    <w:name w:val="Char Char Char Char Char Char Char14"/>
    <w:basedOn w:val="1"/>
    <w:autoRedefine/>
    <w:qFormat/>
    <w:uiPriority w:val="0"/>
    <w:rPr>
      <w:rFonts w:ascii="宋体" w:hAnsi="宋体" w:cs="宋体"/>
    </w:rPr>
  </w:style>
  <w:style w:type="character" w:customStyle="1" w:styleId="1488">
    <w:name w:val="Char Char212"/>
    <w:autoRedefine/>
    <w:qFormat/>
    <w:uiPriority w:val="0"/>
    <w:rPr>
      <w:rFonts w:ascii="黑体" w:eastAsia="宋体"/>
      <w:kern w:val="2"/>
      <w:sz w:val="16"/>
      <w:szCs w:val="16"/>
      <w:lang w:val="en-US" w:eastAsia="zh-CN" w:bidi="ar-SA"/>
    </w:rPr>
  </w:style>
  <w:style w:type="character" w:customStyle="1" w:styleId="1489">
    <w:name w:val="Char Char122"/>
    <w:autoRedefine/>
    <w:qFormat/>
    <w:uiPriority w:val="0"/>
    <w:rPr>
      <w:rFonts w:ascii="黑体" w:hAnsi="Arial" w:eastAsia="黑体"/>
      <w:b/>
      <w:bCs/>
      <w:kern w:val="2"/>
      <w:sz w:val="30"/>
      <w:szCs w:val="30"/>
      <w:lang w:val="en-US" w:eastAsia="zh-CN" w:bidi="ar-SA"/>
    </w:rPr>
  </w:style>
  <w:style w:type="character" w:customStyle="1" w:styleId="1490">
    <w:name w:val="Char Char63"/>
    <w:autoRedefine/>
    <w:qFormat/>
    <w:uiPriority w:val="0"/>
    <w:rPr>
      <w:rFonts w:ascii="黑体" w:eastAsia="黑体"/>
      <w:b/>
      <w:bCs/>
      <w:kern w:val="2"/>
      <w:sz w:val="28"/>
      <w:szCs w:val="28"/>
      <w:lang w:val="en-US" w:eastAsia="zh-CN" w:bidi="ar-SA"/>
    </w:rPr>
  </w:style>
  <w:style w:type="paragraph" w:customStyle="1" w:styleId="1491">
    <w:name w:val="Char24"/>
    <w:basedOn w:val="1"/>
    <w:autoRedefine/>
    <w:qFormat/>
    <w:uiPriority w:val="0"/>
    <w:pPr>
      <w:ind w:left="-48"/>
    </w:pPr>
    <w:rPr>
      <w:rFonts w:ascii="宋体" w:hAnsi="宋体" w:cs="宋体"/>
    </w:rPr>
  </w:style>
  <w:style w:type="paragraph" w:customStyle="1" w:styleId="1492">
    <w:name w:val="Char33"/>
    <w:basedOn w:val="1"/>
    <w:autoRedefine/>
    <w:qFormat/>
    <w:uiPriority w:val="0"/>
    <w:pPr>
      <w:ind w:left="-48"/>
    </w:pPr>
    <w:rPr>
      <w:rFonts w:ascii="宋体" w:hAnsi="宋体" w:cs="宋体"/>
    </w:rPr>
  </w:style>
  <w:style w:type="paragraph" w:customStyle="1" w:styleId="1493">
    <w:name w:val="Char Char Char Char Char Char Char22"/>
    <w:basedOn w:val="1"/>
    <w:autoRedefine/>
    <w:qFormat/>
    <w:uiPriority w:val="0"/>
    <w:rPr>
      <w:rFonts w:ascii="宋体" w:hAnsi="宋体" w:cs="宋体"/>
    </w:rPr>
  </w:style>
  <w:style w:type="paragraph" w:customStyle="1" w:styleId="1494">
    <w:name w:val="Char43"/>
    <w:basedOn w:val="1"/>
    <w:autoRedefine/>
    <w:qFormat/>
    <w:uiPriority w:val="0"/>
    <w:pPr>
      <w:ind w:left="-48"/>
    </w:pPr>
    <w:rPr>
      <w:rFonts w:ascii="宋体" w:hAnsi="宋体" w:cs="宋体"/>
    </w:rPr>
  </w:style>
  <w:style w:type="paragraph" w:customStyle="1" w:styleId="1495">
    <w:name w:val="正文格式10"/>
    <w:basedOn w:val="1"/>
    <w:autoRedefine/>
    <w:qFormat/>
    <w:uiPriority w:val="0"/>
    <w:pPr>
      <w:spacing w:line="360" w:lineRule="auto"/>
      <w:ind w:firstLine="482"/>
    </w:pPr>
    <w:rPr>
      <w:rFonts w:ascii="宋体" w:hAnsi="宋体" w:cs="宋体"/>
      <w:sz w:val="24"/>
    </w:rPr>
  </w:style>
  <w:style w:type="character" w:customStyle="1" w:styleId="1496">
    <w:name w:val="正文格式 Char10"/>
    <w:autoRedefine/>
    <w:qFormat/>
    <w:uiPriority w:val="0"/>
    <w:rPr>
      <w:rFonts w:ascii="宋体" w:hAnsi="宋体" w:eastAsia="宋体"/>
      <w:kern w:val="2"/>
      <w:sz w:val="24"/>
      <w:szCs w:val="24"/>
      <w:lang w:val="en-US" w:eastAsia="zh-CN" w:bidi="ar-SA"/>
    </w:rPr>
  </w:style>
  <w:style w:type="character" w:customStyle="1" w:styleId="1497">
    <w:name w:val="标题 3 Char12"/>
    <w:autoRedefine/>
    <w:qFormat/>
    <w:uiPriority w:val="0"/>
    <w:rPr>
      <w:rFonts w:ascii="黑体" w:hAnsi="宋体" w:eastAsia="黑体"/>
      <w:b/>
      <w:bCs/>
      <w:kern w:val="2"/>
      <w:sz w:val="28"/>
      <w:szCs w:val="28"/>
      <w:lang w:val="en-US" w:eastAsia="zh-CN" w:bidi="ar-SA"/>
    </w:rPr>
  </w:style>
  <w:style w:type="character" w:customStyle="1" w:styleId="1498">
    <w:name w:val="题注 Char6"/>
    <w:autoRedefine/>
    <w:qFormat/>
    <w:uiPriority w:val="0"/>
    <w:rPr>
      <w:rFonts w:ascii="黑体" w:hAnsi="Arial" w:eastAsia="黑体" w:cs="Arial"/>
      <w:spacing w:val="10"/>
      <w:kern w:val="2"/>
      <w:sz w:val="24"/>
      <w:szCs w:val="24"/>
      <w:lang w:val="en-US" w:eastAsia="zh-CN" w:bidi="ar-SA"/>
    </w:rPr>
  </w:style>
  <w:style w:type="paragraph" w:customStyle="1" w:styleId="1499">
    <w:name w:val="图题8"/>
    <w:basedOn w:val="316"/>
    <w:next w:val="316"/>
    <w:autoRedefine/>
    <w:qFormat/>
    <w:uiPriority w:val="0"/>
    <w:pPr>
      <w:ind w:firstLine="0"/>
      <w:jc w:val="center"/>
    </w:pPr>
    <w:rPr>
      <w:rFonts w:ascii="黑体" w:hAnsi="宋体" w:eastAsia="黑体"/>
      <w:bCs/>
      <w:spacing w:val="0"/>
    </w:rPr>
  </w:style>
  <w:style w:type="paragraph" w:customStyle="1" w:styleId="1500">
    <w:name w:val="表格内字体8"/>
    <w:basedOn w:val="316"/>
    <w:next w:val="316"/>
    <w:autoRedefine/>
    <w:qFormat/>
    <w:uiPriority w:val="0"/>
    <w:pPr>
      <w:spacing w:line="240" w:lineRule="auto"/>
      <w:ind w:firstLine="0"/>
      <w:jc w:val="center"/>
    </w:pPr>
    <w:rPr>
      <w:rFonts w:hAnsi="宋体"/>
      <w:b w:val="0"/>
      <w:spacing w:val="0"/>
      <w:sz w:val="21"/>
    </w:rPr>
  </w:style>
  <w:style w:type="character" w:customStyle="1" w:styleId="1501">
    <w:name w:val="表格内字体 Char8"/>
    <w:autoRedefine/>
    <w:qFormat/>
    <w:uiPriority w:val="0"/>
    <w:rPr>
      <w:rFonts w:ascii="宋体" w:hAnsi="宋体" w:eastAsia="宋体"/>
      <w:kern w:val="2"/>
      <w:sz w:val="21"/>
      <w:szCs w:val="24"/>
      <w:lang w:val="en-US" w:eastAsia="zh-CN" w:bidi="ar-SA"/>
    </w:rPr>
  </w:style>
  <w:style w:type="paragraph" w:customStyle="1" w:styleId="1502">
    <w:name w:val="Char111"/>
    <w:basedOn w:val="1"/>
    <w:autoRedefine/>
    <w:qFormat/>
    <w:uiPriority w:val="0"/>
    <w:pPr>
      <w:ind w:left="-48"/>
    </w:pPr>
    <w:rPr>
      <w:rFonts w:ascii="宋体" w:hAnsi="宋体" w:cs="宋体"/>
    </w:rPr>
  </w:style>
  <w:style w:type="character" w:customStyle="1" w:styleId="1503">
    <w:name w:val="正文文本缩进 3 Char3"/>
    <w:autoRedefine/>
    <w:qFormat/>
    <w:uiPriority w:val="0"/>
    <w:rPr>
      <w:rFonts w:eastAsia="宋体"/>
      <w:kern w:val="2"/>
      <w:sz w:val="16"/>
      <w:szCs w:val="16"/>
      <w:lang w:val="en-US" w:eastAsia="zh-CN" w:bidi="ar-SA"/>
    </w:rPr>
  </w:style>
  <w:style w:type="paragraph" w:customStyle="1" w:styleId="1504">
    <w:name w:val="表题16"/>
    <w:basedOn w:val="22"/>
    <w:autoRedefine/>
    <w:qFormat/>
    <w:uiPriority w:val="0"/>
    <w:pPr>
      <w:widowControl w:val="0"/>
      <w:spacing w:line="360" w:lineRule="auto"/>
      <w:jc w:val="center"/>
    </w:pPr>
    <w:rPr>
      <w:rFonts w:ascii="黑体" w:hAnsi="Arial" w:cs="Arial"/>
      <w:b/>
      <w:kern w:val="2"/>
    </w:rPr>
  </w:style>
  <w:style w:type="character" w:customStyle="1" w:styleId="1505">
    <w:name w:val="表题1 Char7"/>
    <w:autoRedefine/>
    <w:qFormat/>
    <w:uiPriority w:val="0"/>
    <w:rPr>
      <w:rFonts w:ascii="黑体" w:hAnsi="Arial" w:eastAsia="黑体" w:cs="Arial"/>
      <w:b/>
      <w:kern w:val="2"/>
      <w:sz w:val="24"/>
      <w:szCs w:val="24"/>
      <w:lang w:val="en-US" w:eastAsia="zh-CN" w:bidi="ar-SA"/>
    </w:rPr>
  </w:style>
  <w:style w:type="paragraph" w:customStyle="1" w:styleId="1506">
    <w:name w:val="燕山正文5"/>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507">
    <w:name w:val="燕山正文 Char15"/>
    <w:autoRedefine/>
    <w:qFormat/>
    <w:uiPriority w:val="0"/>
    <w:rPr>
      <w:rFonts w:ascii="宋体" w:eastAsia="宋体" w:cs="宋体"/>
      <w:kern w:val="2"/>
      <w:sz w:val="24"/>
      <w:szCs w:val="24"/>
      <w:lang w:val="en-US" w:eastAsia="zh-CN" w:bidi="ar-SA"/>
    </w:rPr>
  </w:style>
  <w:style w:type="paragraph" w:customStyle="1" w:styleId="1508">
    <w:name w:val="正文修改5"/>
    <w:basedOn w:val="1181"/>
    <w:autoRedefine/>
    <w:qFormat/>
    <w:uiPriority w:val="0"/>
    <w:rPr>
      <w:rFonts w:hAnsi="宋体"/>
      <w:color w:val="000000"/>
    </w:rPr>
  </w:style>
  <w:style w:type="character" w:customStyle="1" w:styleId="1509">
    <w:name w:val="正文修改 Char15"/>
    <w:autoRedefine/>
    <w:qFormat/>
    <w:uiPriority w:val="0"/>
    <w:rPr>
      <w:rFonts w:ascii="宋体" w:hAnsi="宋体" w:eastAsia="宋体" w:cs="宋体"/>
      <w:color w:val="000000"/>
      <w:kern w:val="2"/>
      <w:sz w:val="24"/>
      <w:szCs w:val="24"/>
      <w:lang w:val="en-US" w:eastAsia="zh-CN" w:bidi="ar-SA"/>
    </w:rPr>
  </w:style>
  <w:style w:type="paragraph" w:customStyle="1" w:styleId="1510">
    <w:name w:val="表中文字6"/>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511">
    <w:name w:val="表中文字 Char25"/>
    <w:autoRedefine/>
    <w:qFormat/>
    <w:uiPriority w:val="0"/>
    <w:rPr>
      <w:rFonts w:ascii="宋体" w:eastAsia="宋体"/>
      <w:kern w:val="2"/>
      <w:sz w:val="21"/>
      <w:szCs w:val="21"/>
      <w:lang w:val="en-US" w:eastAsia="zh-CN" w:bidi="ar-SA"/>
    </w:rPr>
  </w:style>
  <w:style w:type="paragraph" w:customStyle="1" w:styleId="1512">
    <w:name w:val="默认段落字体 Para Char Char Char Char6"/>
    <w:basedOn w:val="1"/>
    <w:autoRedefine/>
    <w:qFormat/>
    <w:uiPriority w:val="0"/>
    <w:rPr>
      <w:rFonts w:ascii="宋体" w:hAnsi="宋体" w:cs="宋体"/>
    </w:rPr>
  </w:style>
  <w:style w:type="paragraph" w:customStyle="1" w:styleId="1513">
    <w:name w:val="Char121"/>
    <w:basedOn w:val="1"/>
    <w:autoRedefine/>
    <w:qFormat/>
    <w:uiPriority w:val="0"/>
    <w:pPr>
      <w:adjustRightInd w:val="0"/>
      <w:snapToGrid w:val="0"/>
      <w:spacing w:line="360" w:lineRule="auto"/>
    </w:pPr>
    <w:rPr>
      <w:rFonts w:ascii="宋体" w:hAnsi="宋体" w:cs="宋体"/>
    </w:rPr>
  </w:style>
  <w:style w:type="paragraph" w:customStyle="1" w:styleId="1514">
    <w:name w:val="封面标准文稿编辑信息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1515">
    <w:name w:val="样式 表内小5 + 黑体 加粗 倾斜 下划线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516">
    <w:name w:val="样式 表内小5 + 黑体 加粗 倾斜 下划线 Char1"/>
    <w:autoRedefine/>
    <w:qFormat/>
    <w:uiPriority w:val="0"/>
    <w:rPr>
      <w:rFonts w:ascii="黑体" w:hAnsi="黑体" w:eastAsia="黑体"/>
      <w:b/>
      <w:bCs/>
      <w:i/>
      <w:iCs/>
      <w:kern w:val="2"/>
      <w:sz w:val="18"/>
      <w:szCs w:val="24"/>
      <w:u w:val="single"/>
      <w:lang w:val="en-US" w:eastAsia="zh-CN" w:bidi="ar-SA"/>
    </w:rPr>
  </w:style>
  <w:style w:type="paragraph" w:customStyle="1" w:styleId="1517">
    <w:name w:val="表内5中2"/>
    <w:basedOn w:val="1"/>
    <w:autoRedefine/>
    <w:qFormat/>
    <w:uiPriority w:val="0"/>
    <w:pPr>
      <w:adjustRightInd w:val="0"/>
      <w:snapToGrid w:val="0"/>
      <w:jc w:val="center"/>
    </w:pPr>
    <w:rPr>
      <w:rFonts w:ascii="宋体" w:hAnsi="宋体" w:cs="Arial"/>
      <w:snapToGrid w:val="0"/>
      <w:color w:val="000000"/>
      <w:szCs w:val="21"/>
    </w:rPr>
  </w:style>
  <w:style w:type="paragraph" w:customStyle="1" w:styleId="1518">
    <w:name w:val="表内5415"/>
    <w:basedOn w:val="1"/>
    <w:autoRedefine/>
    <w:qFormat/>
    <w:uiPriority w:val="0"/>
    <w:pPr>
      <w:adjustRightInd w:val="0"/>
      <w:snapToGrid w:val="0"/>
      <w:spacing w:line="300" w:lineRule="auto"/>
      <w:jc w:val="center"/>
    </w:pPr>
    <w:rPr>
      <w:rFonts w:ascii="宋体" w:hAnsi="宋体" w:cs="宋体"/>
    </w:rPr>
  </w:style>
  <w:style w:type="paragraph" w:customStyle="1" w:styleId="1519">
    <w:name w:val="表格11"/>
    <w:basedOn w:val="1"/>
    <w:autoRedefine/>
    <w:qFormat/>
    <w:uiPriority w:val="0"/>
    <w:pPr>
      <w:adjustRightInd w:val="0"/>
      <w:jc w:val="center"/>
      <w:textAlignment w:val="baseline"/>
    </w:pPr>
    <w:rPr>
      <w:rFonts w:ascii="宋体" w:hAnsi="宋体" w:cs="宋体"/>
      <w:kern w:val="0"/>
      <w:sz w:val="24"/>
    </w:rPr>
  </w:style>
  <w:style w:type="paragraph" w:customStyle="1" w:styleId="1520">
    <w:name w:val="c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1521">
    <w:name w:val="表题91"/>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1522">
    <w:name w:val="正文缩进 Char7"/>
    <w:autoRedefine/>
    <w:qFormat/>
    <w:uiPriority w:val="0"/>
    <w:rPr>
      <w:rFonts w:ascii="宋体" w:hAnsi="宋体" w:eastAsia="宋体"/>
      <w:kern w:val="2"/>
      <w:sz w:val="24"/>
      <w:szCs w:val="24"/>
      <w:lang w:val="en-US" w:eastAsia="zh-CN" w:bidi="ar-SA"/>
    </w:rPr>
  </w:style>
  <w:style w:type="paragraph" w:customStyle="1" w:styleId="1523">
    <w:name w:val="福建正文缩进1"/>
    <w:basedOn w:val="9"/>
    <w:autoRedefine/>
    <w:qFormat/>
    <w:uiPriority w:val="0"/>
    <w:pPr>
      <w:spacing w:line="360" w:lineRule="auto"/>
      <w:ind w:firstLine="567" w:firstLineChars="0"/>
    </w:pPr>
    <w:rPr>
      <w:rFonts w:ascii="宋体" w:hAnsi="Calibri" w:eastAsia="宋体" w:cs="宋体"/>
      <w:color w:val="auto"/>
      <w:kern w:val="0"/>
      <w:sz w:val="24"/>
    </w:rPr>
  </w:style>
  <w:style w:type="character" w:customStyle="1" w:styleId="1524">
    <w:name w:val="福建正文缩进 Char1"/>
    <w:autoRedefine/>
    <w:qFormat/>
    <w:uiPriority w:val="0"/>
    <w:rPr>
      <w:rFonts w:ascii="宋体" w:eastAsia="宋体"/>
      <w:kern w:val="2"/>
      <w:sz w:val="24"/>
      <w:szCs w:val="24"/>
      <w:lang w:val="en-US" w:eastAsia="zh-CN" w:bidi="ar-SA"/>
    </w:rPr>
  </w:style>
  <w:style w:type="paragraph" w:customStyle="1" w:styleId="1525">
    <w:name w:val="表内文字小3"/>
    <w:basedOn w:val="1"/>
    <w:autoRedefine/>
    <w:qFormat/>
    <w:uiPriority w:val="0"/>
    <w:pPr>
      <w:adjustRightInd w:val="0"/>
      <w:snapToGrid w:val="0"/>
      <w:jc w:val="center"/>
    </w:pPr>
    <w:rPr>
      <w:rFonts w:ascii="宋体" w:hAnsi="Times" w:cs="宋体"/>
    </w:rPr>
  </w:style>
  <w:style w:type="paragraph" w:customStyle="1" w:styleId="1526">
    <w:name w:val="表内591"/>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1527">
    <w:name w:val="表内小5中1"/>
    <w:basedOn w:val="1"/>
    <w:autoRedefine/>
    <w:qFormat/>
    <w:uiPriority w:val="0"/>
    <w:pPr>
      <w:adjustRightInd w:val="0"/>
      <w:snapToGrid w:val="0"/>
      <w:jc w:val="center"/>
    </w:pPr>
    <w:rPr>
      <w:rFonts w:ascii="宋体" w:hAnsi="宋体" w:cs="宋体"/>
      <w:sz w:val="18"/>
    </w:rPr>
  </w:style>
  <w:style w:type="paragraph" w:customStyle="1" w:styleId="1528">
    <w:name w:val="表内5中41"/>
    <w:basedOn w:val="1"/>
    <w:autoRedefine/>
    <w:qFormat/>
    <w:uiPriority w:val="0"/>
    <w:pPr>
      <w:adjustRightInd w:val="0"/>
      <w:snapToGrid w:val="0"/>
      <w:jc w:val="center"/>
    </w:pPr>
    <w:rPr>
      <w:rFonts w:ascii="宋体" w:hAnsi="宋体" w:cs="宋体"/>
      <w:bCs/>
    </w:rPr>
  </w:style>
  <w:style w:type="paragraph" w:customStyle="1" w:styleId="1529">
    <w:name w:val="默认段落字体 Para Char5"/>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530">
    <w:name w:val="燕山正文13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1531">
    <w:name w:val="批注框文本 Char5"/>
    <w:autoRedefine/>
    <w:qFormat/>
    <w:uiPriority w:val="0"/>
    <w:rPr>
      <w:rFonts w:eastAsia="宋体"/>
      <w:kern w:val="2"/>
      <w:sz w:val="18"/>
      <w:szCs w:val="18"/>
      <w:lang w:val="en-US" w:eastAsia="zh-CN" w:bidi="ar-SA"/>
    </w:rPr>
  </w:style>
  <w:style w:type="paragraph" w:customStyle="1" w:styleId="1532">
    <w:name w:val="样式 标题 4无效格式无效格式1河石管道4H4H41小小节河石管道41H42H411小小节1河石管道42...2"/>
    <w:basedOn w:val="6"/>
    <w:autoRedefine/>
    <w:qFormat/>
    <w:uiPriority w:val="0"/>
    <w:pPr>
      <w:widowControl w:val="0"/>
      <w:tabs>
        <w:tab w:val="clear" w:pos="1276"/>
      </w:tabs>
      <w:adjustRightInd w:val="0"/>
      <w:snapToGrid w:val="0"/>
      <w:ind w:left="1404" w:hanging="864"/>
      <w:jc w:val="both"/>
    </w:pPr>
    <w:rPr>
      <w:rFonts w:ascii="黑体" w:eastAsia="黑体"/>
      <w:b w:val="0"/>
      <w:bCs w:val="0"/>
      <w:kern w:val="2"/>
      <w:szCs w:val="24"/>
    </w:rPr>
  </w:style>
  <w:style w:type="paragraph" w:customStyle="1" w:styleId="1533">
    <w:name w:val="样式 标题 4无效格式无效格式1河石管道4H4H41小小节河石管道41H42H411小小节1河石管道42...11"/>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534">
    <w:name w:val="附件4"/>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535">
    <w:name w:val="标题4313"/>
    <w:basedOn w:val="1"/>
    <w:autoRedefine/>
    <w:qFormat/>
    <w:uiPriority w:val="0"/>
    <w:pPr>
      <w:adjustRightInd w:val="0"/>
      <w:snapToGrid w:val="0"/>
      <w:spacing w:line="480" w:lineRule="exact"/>
      <w:jc w:val="center"/>
    </w:pPr>
    <w:rPr>
      <w:rFonts w:ascii="宋体" w:hAnsi="宋体" w:cs="宋体"/>
      <w:sz w:val="24"/>
    </w:rPr>
  </w:style>
  <w:style w:type="paragraph" w:customStyle="1" w:styleId="1536">
    <w:name w:val="燕山正文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37">
    <w:name w:val="表题411"/>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1538">
    <w:name w:val="表内文字小214"/>
    <w:basedOn w:val="1"/>
    <w:autoRedefine/>
    <w:qFormat/>
    <w:uiPriority w:val="0"/>
    <w:pPr>
      <w:adjustRightInd w:val="0"/>
      <w:snapToGrid w:val="0"/>
      <w:jc w:val="center"/>
    </w:pPr>
    <w:rPr>
      <w:rFonts w:ascii="宋体" w:hAnsi="Times" w:cs="宋体"/>
      <w:bCs/>
      <w:color w:val="000000"/>
    </w:rPr>
  </w:style>
  <w:style w:type="paragraph" w:customStyle="1" w:styleId="1539">
    <w:name w:val="表题314"/>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540">
    <w:name w:val="Char Char Char Char Char Char Char31"/>
    <w:basedOn w:val="1"/>
    <w:autoRedefine/>
    <w:qFormat/>
    <w:uiPriority w:val="0"/>
    <w:rPr>
      <w:rFonts w:ascii="宋体" w:hAnsi="宋体" w:cs="宋体"/>
    </w:rPr>
  </w:style>
  <w:style w:type="paragraph" w:customStyle="1" w:styleId="1541">
    <w:name w:val="表文字54"/>
    <w:basedOn w:val="1"/>
    <w:autoRedefine/>
    <w:qFormat/>
    <w:uiPriority w:val="0"/>
    <w:pPr>
      <w:adjustRightInd w:val="0"/>
      <w:jc w:val="left"/>
      <w:textAlignment w:val="baseline"/>
    </w:pPr>
    <w:rPr>
      <w:rFonts w:ascii="宋体" w:hAnsi="宋体" w:cs="宋体"/>
      <w:kern w:val="0"/>
    </w:rPr>
  </w:style>
  <w:style w:type="paragraph" w:customStyle="1" w:styleId="1542">
    <w:name w:val="表内文字小314"/>
    <w:basedOn w:val="1"/>
    <w:autoRedefine/>
    <w:qFormat/>
    <w:uiPriority w:val="0"/>
    <w:pPr>
      <w:adjustRightInd w:val="0"/>
      <w:snapToGrid w:val="0"/>
      <w:jc w:val="center"/>
    </w:pPr>
    <w:rPr>
      <w:rFonts w:ascii="宋体" w:hAnsi="Times" w:cs="宋体"/>
      <w:bCs/>
      <w:color w:val="003366"/>
    </w:rPr>
  </w:style>
  <w:style w:type="paragraph" w:customStyle="1" w:styleId="1543">
    <w:name w:val="表内宋511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544">
    <w:name w:val="文本框2"/>
    <w:basedOn w:val="1"/>
    <w:autoRedefine/>
    <w:qFormat/>
    <w:uiPriority w:val="0"/>
    <w:pPr>
      <w:adjustRightInd w:val="0"/>
      <w:snapToGrid w:val="0"/>
      <w:spacing w:after="6"/>
      <w:jc w:val="center"/>
    </w:pPr>
    <w:rPr>
      <w:rFonts w:ascii="宋体" w:hAnsi="宋体" w:eastAsia="仿宋_GB2312" w:cs="宋体"/>
    </w:rPr>
  </w:style>
  <w:style w:type="paragraph" w:customStyle="1" w:styleId="1545">
    <w:name w:val="正文.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546">
    <w:name w:val="表4"/>
    <w:basedOn w:val="1"/>
    <w:autoRedefine/>
    <w:qFormat/>
    <w:uiPriority w:val="0"/>
    <w:pPr>
      <w:adjustRightInd w:val="0"/>
      <w:snapToGrid w:val="0"/>
      <w:jc w:val="center"/>
    </w:pPr>
    <w:rPr>
      <w:rFonts w:ascii="宋体" w:hAnsi="宋体" w:eastAsia="仿宋_GB2312" w:cs="宋体"/>
      <w:sz w:val="24"/>
    </w:rPr>
  </w:style>
  <w:style w:type="paragraph" w:customStyle="1" w:styleId="1547">
    <w:name w:val="黑体三号5"/>
    <w:basedOn w:val="316"/>
    <w:autoRedefine/>
    <w:qFormat/>
    <w:uiPriority w:val="0"/>
    <w:pPr>
      <w:jc w:val="center"/>
    </w:pPr>
    <w:rPr>
      <w:rFonts w:ascii="黑体" w:hAnsi="宋体" w:eastAsia="黑体"/>
      <w:bCs/>
      <w:spacing w:val="0"/>
      <w:sz w:val="32"/>
    </w:rPr>
  </w:style>
  <w:style w:type="paragraph" w:customStyle="1" w:styleId="1548">
    <w:name w:val="Char131"/>
    <w:basedOn w:val="1"/>
    <w:autoRedefine/>
    <w:qFormat/>
    <w:uiPriority w:val="0"/>
    <w:pPr>
      <w:ind w:left="-48"/>
    </w:pPr>
    <w:rPr>
      <w:rFonts w:ascii="宋体" w:hAnsi="宋体" w:cs="宋体"/>
    </w:rPr>
  </w:style>
  <w:style w:type="paragraph" w:customStyle="1" w:styleId="1549">
    <w:name w:val="样式13"/>
    <w:basedOn w:val="1228"/>
    <w:autoRedefine/>
    <w:qFormat/>
    <w:uiPriority w:val="0"/>
    <w:pPr>
      <w:spacing w:line="240" w:lineRule="auto"/>
      <w:ind w:firstLine="0"/>
      <w:jc w:val="center"/>
    </w:pPr>
    <w:rPr>
      <w:rFonts w:cs="Times New Roman"/>
      <w:b/>
      <w:color w:val="auto"/>
      <w:szCs w:val="20"/>
    </w:rPr>
  </w:style>
  <w:style w:type="paragraph" w:customStyle="1" w:styleId="1550">
    <w:name w:val="首行缩进:  0.99 厘米 + 首行缩进:  2 字符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1551">
    <w:name w:val="正文文本 3 Char1"/>
    <w:autoRedefine/>
    <w:qFormat/>
    <w:uiPriority w:val="0"/>
    <w:rPr>
      <w:rFonts w:eastAsia="宋体"/>
      <w:kern w:val="2"/>
      <w:sz w:val="16"/>
      <w:szCs w:val="16"/>
      <w:lang w:val="en-US" w:eastAsia="zh-CN" w:bidi="ar-SA"/>
    </w:rPr>
  </w:style>
  <w:style w:type="paragraph" w:customStyle="1" w:styleId="1552">
    <w:name w:val="图表名称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1553">
    <w:name w:val="表内文字边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554">
    <w:name w:val="正文缩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1555">
    <w:name w:val="样式2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1556">
    <w:name w:val="默认段落字体 Para Char Char Char Char Char1"/>
    <w:basedOn w:val="1"/>
    <w:autoRedefine/>
    <w:qFormat/>
    <w:uiPriority w:val="0"/>
    <w:rPr>
      <w:rFonts w:ascii="宋体" w:hAnsi="宋体" w:cs="宋体"/>
    </w:rPr>
  </w:style>
  <w:style w:type="paragraph" w:customStyle="1" w:styleId="1557">
    <w:name w:val="表内宋5中3"/>
    <w:basedOn w:val="1"/>
    <w:autoRedefine/>
    <w:qFormat/>
    <w:uiPriority w:val="0"/>
    <w:pPr>
      <w:adjustRightInd w:val="0"/>
      <w:snapToGrid w:val="0"/>
      <w:textAlignment w:val="baseline"/>
    </w:pPr>
    <w:rPr>
      <w:rFonts w:ascii="宋体" w:hAnsi="宋体" w:cs="宋体"/>
      <w:color w:val="000000"/>
      <w:kern w:val="0"/>
    </w:rPr>
  </w:style>
  <w:style w:type="paragraph" w:customStyle="1" w:styleId="1558">
    <w:name w:val="样式 标题 3 + 段前: 12 磅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559">
    <w:name w:val="表内52"/>
    <w:basedOn w:val="1"/>
    <w:autoRedefine/>
    <w:qFormat/>
    <w:uiPriority w:val="0"/>
    <w:pPr>
      <w:adjustRightInd w:val="0"/>
      <w:snapToGrid w:val="0"/>
      <w:spacing w:line="300" w:lineRule="auto"/>
      <w:jc w:val="left"/>
    </w:pPr>
    <w:rPr>
      <w:rFonts w:ascii="宋体" w:hAnsi="宋体" w:cs="宋体"/>
      <w:sz w:val="18"/>
    </w:rPr>
  </w:style>
  <w:style w:type="paragraph" w:customStyle="1" w:styleId="1560">
    <w:name w:val="Char Char Char Char1 Char Char Char11"/>
    <w:basedOn w:val="1"/>
    <w:autoRedefine/>
    <w:qFormat/>
    <w:uiPriority w:val="0"/>
    <w:pPr>
      <w:widowControl/>
      <w:spacing w:after="160"/>
      <w:jc w:val="left"/>
    </w:pPr>
    <w:rPr>
      <w:rFonts w:ascii="Verdana" w:hAnsi="Verdana" w:cs="宋体"/>
      <w:kern w:val="0"/>
      <w:sz w:val="24"/>
      <w:lang w:eastAsia="en-US"/>
    </w:rPr>
  </w:style>
  <w:style w:type="paragraph" w:customStyle="1" w:styleId="1561">
    <w:name w:val="正文格式111"/>
    <w:basedOn w:val="1"/>
    <w:autoRedefine/>
    <w:qFormat/>
    <w:uiPriority w:val="0"/>
    <w:pPr>
      <w:spacing w:line="360" w:lineRule="auto"/>
      <w:ind w:firstLine="482"/>
    </w:pPr>
    <w:rPr>
      <w:rFonts w:ascii="宋体" w:hAnsi="宋体" w:cs="宋体"/>
      <w:sz w:val="24"/>
    </w:rPr>
  </w:style>
  <w:style w:type="paragraph" w:customStyle="1" w:styleId="1562">
    <w:name w:val="图题11"/>
    <w:basedOn w:val="316"/>
    <w:next w:val="316"/>
    <w:autoRedefine/>
    <w:qFormat/>
    <w:uiPriority w:val="0"/>
    <w:pPr>
      <w:ind w:firstLine="0"/>
      <w:jc w:val="center"/>
    </w:pPr>
    <w:rPr>
      <w:rFonts w:ascii="黑体" w:hAnsi="宋体" w:eastAsia="黑体"/>
      <w:bCs/>
      <w:spacing w:val="0"/>
    </w:rPr>
  </w:style>
  <w:style w:type="paragraph" w:customStyle="1" w:styleId="1563">
    <w:name w:val="表格内字体12"/>
    <w:basedOn w:val="316"/>
    <w:next w:val="316"/>
    <w:autoRedefine/>
    <w:qFormat/>
    <w:uiPriority w:val="0"/>
    <w:pPr>
      <w:spacing w:line="240" w:lineRule="auto"/>
      <w:ind w:firstLine="0"/>
      <w:jc w:val="center"/>
    </w:pPr>
    <w:rPr>
      <w:rFonts w:hAnsi="宋体"/>
      <w:b w:val="0"/>
      <w:spacing w:val="0"/>
      <w:sz w:val="21"/>
    </w:rPr>
  </w:style>
  <w:style w:type="character" w:customStyle="1" w:styleId="1564">
    <w:name w:val="Char Char1111"/>
    <w:autoRedefine/>
    <w:qFormat/>
    <w:uiPriority w:val="0"/>
    <w:rPr>
      <w:rFonts w:ascii="黑体" w:hAnsi="Arial" w:eastAsia="黑体"/>
      <w:bCs/>
      <w:kern w:val="2"/>
      <w:sz w:val="30"/>
      <w:szCs w:val="30"/>
      <w:lang w:val="en-US" w:eastAsia="zh-CN" w:bidi="ar-SA"/>
    </w:rPr>
  </w:style>
  <w:style w:type="paragraph" w:customStyle="1" w:styleId="1565">
    <w:name w:val="Char141"/>
    <w:basedOn w:val="1"/>
    <w:autoRedefine/>
    <w:qFormat/>
    <w:uiPriority w:val="0"/>
    <w:pPr>
      <w:ind w:left="-48"/>
    </w:pPr>
    <w:rPr>
      <w:rFonts w:ascii="宋体" w:hAnsi="宋体" w:cs="宋体"/>
    </w:rPr>
  </w:style>
  <w:style w:type="paragraph" w:customStyle="1" w:styleId="1566">
    <w:name w:val="正文格式22"/>
    <w:basedOn w:val="1"/>
    <w:autoRedefine/>
    <w:qFormat/>
    <w:uiPriority w:val="0"/>
    <w:pPr>
      <w:spacing w:line="360" w:lineRule="auto"/>
      <w:ind w:firstLine="482"/>
    </w:pPr>
    <w:rPr>
      <w:rFonts w:ascii="宋体" w:hAnsi="宋体" w:cs="宋体"/>
      <w:sz w:val="24"/>
    </w:rPr>
  </w:style>
  <w:style w:type="paragraph" w:customStyle="1" w:styleId="1567">
    <w:name w:val="Char15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568">
    <w:name w:val="题注 Char11"/>
    <w:autoRedefine/>
    <w:qFormat/>
    <w:uiPriority w:val="0"/>
    <w:rPr>
      <w:rFonts w:ascii="黑体" w:hAnsi="Arial" w:eastAsia="黑体" w:cs="Arial"/>
      <w:spacing w:val="10"/>
      <w:kern w:val="2"/>
      <w:sz w:val="24"/>
      <w:szCs w:val="24"/>
      <w:lang w:val="en-US" w:eastAsia="zh-CN" w:bidi="ar-SA"/>
    </w:rPr>
  </w:style>
  <w:style w:type="paragraph" w:customStyle="1" w:styleId="1569">
    <w:name w:val="图题22"/>
    <w:basedOn w:val="316"/>
    <w:next w:val="316"/>
    <w:autoRedefine/>
    <w:qFormat/>
    <w:uiPriority w:val="0"/>
    <w:pPr>
      <w:ind w:firstLine="0"/>
      <w:jc w:val="center"/>
    </w:pPr>
    <w:rPr>
      <w:rFonts w:ascii="黑体" w:hAnsi="宋体" w:eastAsia="黑体"/>
      <w:bCs/>
      <w:spacing w:val="0"/>
    </w:rPr>
  </w:style>
  <w:style w:type="paragraph" w:customStyle="1" w:styleId="1570">
    <w:name w:val="表格内字体22"/>
    <w:basedOn w:val="316"/>
    <w:next w:val="316"/>
    <w:autoRedefine/>
    <w:qFormat/>
    <w:uiPriority w:val="0"/>
    <w:pPr>
      <w:spacing w:line="240" w:lineRule="auto"/>
      <w:ind w:firstLine="0"/>
      <w:jc w:val="center"/>
    </w:pPr>
    <w:rPr>
      <w:rFonts w:hAnsi="宋体"/>
      <w:b w:val="0"/>
      <w:spacing w:val="0"/>
      <w:sz w:val="21"/>
    </w:rPr>
  </w:style>
  <w:style w:type="paragraph" w:customStyle="1" w:styleId="1571">
    <w:name w:val="表内54111"/>
    <w:basedOn w:val="1"/>
    <w:autoRedefine/>
    <w:qFormat/>
    <w:uiPriority w:val="0"/>
    <w:pPr>
      <w:adjustRightInd w:val="0"/>
      <w:snapToGrid w:val="0"/>
      <w:spacing w:line="300" w:lineRule="auto"/>
      <w:jc w:val="center"/>
    </w:pPr>
    <w:rPr>
      <w:rFonts w:ascii="宋体" w:hAnsi="宋体" w:cs="宋体"/>
    </w:rPr>
  </w:style>
  <w:style w:type="paragraph" w:customStyle="1" w:styleId="1572">
    <w:name w:val="表内文字小2111"/>
    <w:basedOn w:val="1"/>
    <w:autoRedefine/>
    <w:qFormat/>
    <w:uiPriority w:val="0"/>
    <w:pPr>
      <w:adjustRightInd w:val="0"/>
      <w:snapToGrid w:val="0"/>
      <w:jc w:val="center"/>
    </w:pPr>
    <w:rPr>
      <w:rFonts w:ascii="宋体" w:hAnsi="Times" w:cs="宋体"/>
      <w:bCs/>
      <w:color w:val="000000"/>
    </w:rPr>
  </w:style>
  <w:style w:type="paragraph" w:customStyle="1" w:styleId="1573">
    <w:name w:val="表题31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574">
    <w:name w:val="Char Char Char Char Char Char Char111"/>
    <w:basedOn w:val="1"/>
    <w:autoRedefine/>
    <w:qFormat/>
    <w:uiPriority w:val="0"/>
    <w:rPr>
      <w:rFonts w:ascii="宋体" w:hAnsi="宋体" w:cs="宋体"/>
    </w:rPr>
  </w:style>
  <w:style w:type="paragraph" w:customStyle="1" w:styleId="1575">
    <w:name w:val="标题43111"/>
    <w:basedOn w:val="1"/>
    <w:autoRedefine/>
    <w:qFormat/>
    <w:uiPriority w:val="0"/>
    <w:pPr>
      <w:adjustRightInd w:val="0"/>
      <w:snapToGrid w:val="0"/>
      <w:spacing w:line="480" w:lineRule="exact"/>
      <w:jc w:val="center"/>
    </w:pPr>
    <w:rPr>
      <w:rFonts w:ascii="宋体" w:hAnsi="宋体" w:cs="宋体"/>
      <w:sz w:val="24"/>
    </w:rPr>
  </w:style>
  <w:style w:type="paragraph" w:customStyle="1" w:styleId="1576">
    <w:name w:val="燕山正文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77">
    <w:name w:val="默认段落字体 Para Char Char Char Char11"/>
    <w:basedOn w:val="1"/>
    <w:autoRedefine/>
    <w:qFormat/>
    <w:uiPriority w:val="0"/>
    <w:rPr>
      <w:rFonts w:ascii="宋体" w:hAnsi="宋体" w:cs="宋体"/>
    </w:rPr>
  </w:style>
  <w:style w:type="paragraph" w:customStyle="1" w:styleId="1578">
    <w:name w:val="附件1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579">
    <w:name w:val="黑体三号11"/>
    <w:basedOn w:val="316"/>
    <w:autoRedefine/>
    <w:qFormat/>
    <w:uiPriority w:val="0"/>
    <w:pPr>
      <w:jc w:val="center"/>
    </w:pPr>
    <w:rPr>
      <w:rFonts w:ascii="黑体" w:hAnsi="宋体" w:eastAsia="黑体"/>
      <w:bCs/>
      <w:spacing w:val="0"/>
      <w:sz w:val="32"/>
    </w:rPr>
  </w:style>
  <w:style w:type="paragraph" w:customStyle="1" w:styleId="1580">
    <w:name w:val="表11"/>
    <w:basedOn w:val="1"/>
    <w:autoRedefine/>
    <w:qFormat/>
    <w:uiPriority w:val="0"/>
    <w:pPr>
      <w:adjustRightInd w:val="0"/>
      <w:snapToGrid w:val="0"/>
      <w:jc w:val="center"/>
    </w:pPr>
    <w:rPr>
      <w:rFonts w:ascii="宋体" w:hAnsi="宋体" w:eastAsia="仿宋_GB2312" w:cs="宋体"/>
      <w:sz w:val="24"/>
    </w:rPr>
  </w:style>
  <w:style w:type="character" w:customStyle="1" w:styleId="1581">
    <w:name w:val="Char Char611"/>
    <w:autoRedefine/>
    <w:qFormat/>
    <w:uiPriority w:val="0"/>
    <w:rPr>
      <w:rFonts w:ascii="黑体" w:eastAsia="黑体"/>
      <w:b/>
      <w:bCs/>
      <w:kern w:val="2"/>
      <w:sz w:val="28"/>
      <w:szCs w:val="28"/>
      <w:lang w:val="en-US" w:eastAsia="zh-CN" w:bidi="ar-SA"/>
    </w:rPr>
  </w:style>
  <w:style w:type="paragraph" w:customStyle="1" w:styleId="1582">
    <w:name w:val="表题112"/>
    <w:basedOn w:val="22"/>
    <w:autoRedefine/>
    <w:qFormat/>
    <w:uiPriority w:val="0"/>
    <w:pPr>
      <w:widowControl w:val="0"/>
      <w:spacing w:line="360" w:lineRule="auto"/>
      <w:jc w:val="center"/>
    </w:pPr>
    <w:rPr>
      <w:rFonts w:ascii="黑体" w:hAnsi="Arial" w:cs="Arial"/>
      <w:kern w:val="2"/>
    </w:rPr>
  </w:style>
  <w:style w:type="paragraph" w:customStyle="1" w:styleId="1583">
    <w:name w:val="燕山正文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584">
    <w:name w:val="正文修改11"/>
    <w:basedOn w:val="1181"/>
    <w:autoRedefine/>
    <w:qFormat/>
    <w:uiPriority w:val="0"/>
    <w:rPr>
      <w:rFonts w:hAnsi="宋体"/>
      <w:color w:val="000000"/>
    </w:rPr>
  </w:style>
  <w:style w:type="character" w:customStyle="1" w:styleId="1585">
    <w:name w:val="正文修改 Char111"/>
    <w:autoRedefine/>
    <w:qFormat/>
    <w:uiPriority w:val="0"/>
    <w:rPr>
      <w:rFonts w:ascii="宋体" w:hAnsi="宋体" w:eastAsia="宋体" w:cs="宋体"/>
      <w:color w:val="000000"/>
      <w:kern w:val="2"/>
      <w:sz w:val="24"/>
      <w:szCs w:val="24"/>
      <w:lang w:val="en-US" w:eastAsia="zh-CN" w:bidi="ar-SA"/>
    </w:rPr>
  </w:style>
  <w:style w:type="paragraph" w:customStyle="1" w:styleId="1586">
    <w:name w:val="表中文字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587">
    <w:name w:val="表文字512"/>
    <w:basedOn w:val="1"/>
    <w:autoRedefine/>
    <w:qFormat/>
    <w:uiPriority w:val="0"/>
    <w:pPr>
      <w:adjustRightInd w:val="0"/>
      <w:jc w:val="left"/>
      <w:textAlignment w:val="baseline"/>
    </w:pPr>
    <w:rPr>
      <w:rFonts w:ascii="宋体" w:hAnsi="宋体" w:cs="宋体"/>
      <w:kern w:val="0"/>
    </w:rPr>
  </w:style>
  <w:style w:type="paragraph" w:customStyle="1" w:styleId="1588">
    <w:name w:val="表内文字小3111"/>
    <w:basedOn w:val="1"/>
    <w:autoRedefine/>
    <w:qFormat/>
    <w:uiPriority w:val="0"/>
    <w:pPr>
      <w:adjustRightInd w:val="0"/>
      <w:snapToGrid w:val="0"/>
      <w:jc w:val="center"/>
    </w:pPr>
    <w:rPr>
      <w:rFonts w:ascii="宋体" w:hAnsi="Times" w:cs="宋体"/>
      <w:bCs/>
      <w:color w:val="003366"/>
    </w:rPr>
  </w:style>
  <w:style w:type="paragraph" w:customStyle="1" w:styleId="1589">
    <w:name w:val="样式111"/>
    <w:basedOn w:val="1228"/>
    <w:autoRedefine/>
    <w:qFormat/>
    <w:uiPriority w:val="0"/>
    <w:pPr>
      <w:spacing w:line="240" w:lineRule="auto"/>
      <w:ind w:firstLine="0"/>
      <w:jc w:val="center"/>
    </w:pPr>
    <w:rPr>
      <w:rFonts w:cs="Times New Roman"/>
      <w:b/>
      <w:color w:val="auto"/>
      <w:szCs w:val="20"/>
    </w:rPr>
  </w:style>
  <w:style w:type="paragraph" w:customStyle="1" w:styleId="1590">
    <w:name w:val="Char211"/>
    <w:basedOn w:val="1"/>
    <w:autoRedefine/>
    <w:qFormat/>
    <w:uiPriority w:val="0"/>
    <w:pPr>
      <w:ind w:left="-48"/>
    </w:pPr>
    <w:rPr>
      <w:rFonts w:ascii="宋体" w:hAnsi="宋体" w:cs="宋体"/>
    </w:rPr>
  </w:style>
  <w:style w:type="paragraph" w:customStyle="1" w:styleId="1591">
    <w:name w:val="表内文字小23"/>
    <w:basedOn w:val="1"/>
    <w:autoRedefine/>
    <w:qFormat/>
    <w:uiPriority w:val="0"/>
    <w:pPr>
      <w:adjustRightInd w:val="0"/>
      <w:snapToGrid w:val="0"/>
      <w:jc w:val="center"/>
    </w:pPr>
    <w:rPr>
      <w:rFonts w:ascii="宋体" w:hAnsi="Times" w:cs="宋体"/>
      <w:bCs/>
      <w:color w:val="000000"/>
    </w:rPr>
  </w:style>
  <w:style w:type="paragraph" w:customStyle="1" w:styleId="1592">
    <w:name w:val="表内532"/>
    <w:basedOn w:val="1"/>
    <w:autoRedefine/>
    <w:qFormat/>
    <w:uiPriority w:val="0"/>
    <w:pPr>
      <w:adjustRightInd w:val="0"/>
      <w:snapToGrid w:val="0"/>
      <w:spacing w:line="300" w:lineRule="auto"/>
      <w:jc w:val="left"/>
    </w:pPr>
    <w:rPr>
      <w:rFonts w:ascii="宋体" w:hAnsi="宋体" w:cs="宋体"/>
    </w:rPr>
  </w:style>
  <w:style w:type="paragraph" w:customStyle="1" w:styleId="1593">
    <w:name w:val="正文格式31"/>
    <w:basedOn w:val="1"/>
    <w:autoRedefine/>
    <w:qFormat/>
    <w:uiPriority w:val="0"/>
    <w:pPr>
      <w:spacing w:line="360" w:lineRule="auto"/>
      <w:ind w:firstLine="482"/>
    </w:pPr>
    <w:rPr>
      <w:rFonts w:ascii="宋体" w:hAnsi="宋体" w:cs="宋体"/>
      <w:sz w:val="24"/>
    </w:rPr>
  </w:style>
  <w:style w:type="paragraph" w:customStyle="1" w:styleId="1594">
    <w:name w:val="Char22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595">
    <w:name w:val="题注 Char21"/>
    <w:autoRedefine/>
    <w:qFormat/>
    <w:uiPriority w:val="0"/>
    <w:rPr>
      <w:rFonts w:ascii="黑体" w:hAnsi="Arial" w:eastAsia="黑体" w:cs="Arial"/>
      <w:spacing w:val="10"/>
      <w:kern w:val="2"/>
      <w:sz w:val="24"/>
      <w:szCs w:val="24"/>
      <w:lang w:val="en-US" w:eastAsia="zh-CN" w:bidi="ar-SA"/>
    </w:rPr>
  </w:style>
  <w:style w:type="paragraph" w:customStyle="1" w:styleId="1596">
    <w:name w:val="图题31"/>
    <w:basedOn w:val="316"/>
    <w:next w:val="316"/>
    <w:autoRedefine/>
    <w:qFormat/>
    <w:uiPriority w:val="0"/>
    <w:pPr>
      <w:ind w:firstLine="0"/>
      <w:jc w:val="center"/>
    </w:pPr>
    <w:rPr>
      <w:rFonts w:ascii="黑体" w:hAnsi="宋体" w:eastAsia="黑体"/>
      <w:bCs/>
      <w:spacing w:val="0"/>
    </w:rPr>
  </w:style>
  <w:style w:type="paragraph" w:customStyle="1" w:styleId="1597">
    <w:name w:val="表格内字体31"/>
    <w:basedOn w:val="316"/>
    <w:next w:val="316"/>
    <w:autoRedefine/>
    <w:qFormat/>
    <w:uiPriority w:val="0"/>
    <w:pPr>
      <w:spacing w:line="240" w:lineRule="auto"/>
      <w:ind w:firstLine="0"/>
      <w:jc w:val="center"/>
    </w:pPr>
    <w:rPr>
      <w:rFonts w:hAnsi="宋体"/>
      <w:b w:val="0"/>
      <w:spacing w:val="0"/>
      <w:sz w:val="21"/>
    </w:rPr>
  </w:style>
  <w:style w:type="paragraph" w:customStyle="1" w:styleId="1598">
    <w:name w:val="表内54121"/>
    <w:basedOn w:val="1"/>
    <w:autoRedefine/>
    <w:qFormat/>
    <w:uiPriority w:val="0"/>
    <w:pPr>
      <w:adjustRightInd w:val="0"/>
      <w:snapToGrid w:val="0"/>
      <w:spacing w:line="300" w:lineRule="auto"/>
      <w:jc w:val="center"/>
    </w:pPr>
    <w:rPr>
      <w:rFonts w:ascii="宋体" w:hAnsi="宋体" w:cs="宋体"/>
    </w:rPr>
  </w:style>
  <w:style w:type="paragraph" w:customStyle="1" w:styleId="1599">
    <w:name w:val="表内文字小2121"/>
    <w:basedOn w:val="1"/>
    <w:autoRedefine/>
    <w:qFormat/>
    <w:uiPriority w:val="0"/>
    <w:pPr>
      <w:adjustRightInd w:val="0"/>
      <w:snapToGrid w:val="0"/>
      <w:jc w:val="center"/>
    </w:pPr>
    <w:rPr>
      <w:rFonts w:ascii="宋体" w:hAnsi="Times" w:cs="宋体"/>
      <w:bCs/>
      <w:color w:val="000000"/>
    </w:rPr>
  </w:style>
  <w:style w:type="paragraph" w:customStyle="1" w:styleId="1600">
    <w:name w:val="表题312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601">
    <w:name w:val="Char Char Char Char Char Char Char41"/>
    <w:basedOn w:val="1"/>
    <w:autoRedefine/>
    <w:qFormat/>
    <w:uiPriority w:val="0"/>
    <w:rPr>
      <w:rFonts w:ascii="宋体" w:hAnsi="宋体" w:cs="宋体"/>
    </w:rPr>
  </w:style>
  <w:style w:type="paragraph" w:customStyle="1" w:styleId="1602">
    <w:name w:val="标题43121"/>
    <w:basedOn w:val="1"/>
    <w:autoRedefine/>
    <w:qFormat/>
    <w:uiPriority w:val="0"/>
    <w:pPr>
      <w:adjustRightInd w:val="0"/>
      <w:snapToGrid w:val="0"/>
      <w:spacing w:line="480" w:lineRule="exact"/>
      <w:jc w:val="center"/>
    </w:pPr>
    <w:rPr>
      <w:rFonts w:ascii="宋体" w:hAnsi="宋体" w:cs="宋体"/>
      <w:sz w:val="24"/>
    </w:rPr>
  </w:style>
  <w:style w:type="paragraph" w:customStyle="1" w:styleId="1603">
    <w:name w:val="燕山正文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04">
    <w:name w:val="默认段落字体 Para Char Char Char Char21"/>
    <w:basedOn w:val="1"/>
    <w:autoRedefine/>
    <w:qFormat/>
    <w:uiPriority w:val="0"/>
    <w:rPr>
      <w:rFonts w:ascii="宋体" w:hAnsi="宋体" w:cs="宋体"/>
    </w:rPr>
  </w:style>
  <w:style w:type="paragraph" w:customStyle="1" w:styleId="1605">
    <w:name w:val="附件2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606">
    <w:name w:val="黑体三号21"/>
    <w:basedOn w:val="316"/>
    <w:autoRedefine/>
    <w:qFormat/>
    <w:uiPriority w:val="0"/>
    <w:pPr>
      <w:jc w:val="center"/>
    </w:pPr>
    <w:rPr>
      <w:rFonts w:ascii="黑体" w:hAnsi="宋体" w:eastAsia="黑体"/>
      <w:bCs/>
      <w:spacing w:val="0"/>
      <w:sz w:val="32"/>
    </w:rPr>
  </w:style>
  <w:style w:type="paragraph" w:customStyle="1" w:styleId="1607">
    <w:name w:val="表21"/>
    <w:basedOn w:val="1"/>
    <w:autoRedefine/>
    <w:qFormat/>
    <w:uiPriority w:val="0"/>
    <w:pPr>
      <w:adjustRightInd w:val="0"/>
      <w:snapToGrid w:val="0"/>
      <w:jc w:val="center"/>
    </w:pPr>
    <w:rPr>
      <w:rFonts w:ascii="宋体" w:hAnsi="宋体" w:eastAsia="仿宋_GB2312" w:cs="宋体"/>
      <w:sz w:val="24"/>
    </w:rPr>
  </w:style>
  <w:style w:type="paragraph" w:customStyle="1" w:styleId="1608">
    <w:name w:val="表题121"/>
    <w:basedOn w:val="22"/>
    <w:autoRedefine/>
    <w:qFormat/>
    <w:uiPriority w:val="0"/>
    <w:pPr>
      <w:widowControl w:val="0"/>
      <w:spacing w:line="360" w:lineRule="auto"/>
      <w:jc w:val="center"/>
    </w:pPr>
    <w:rPr>
      <w:rFonts w:ascii="黑体" w:hAnsi="Arial" w:cs="Arial"/>
      <w:kern w:val="2"/>
    </w:rPr>
  </w:style>
  <w:style w:type="paragraph" w:customStyle="1" w:styleId="1609">
    <w:name w:val="燕山正文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610">
    <w:name w:val="正文修改21"/>
    <w:basedOn w:val="1181"/>
    <w:autoRedefine/>
    <w:qFormat/>
    <w:uiPriority w:val="0"/>
    <w:rPr>
      <w:rFonts w:hAnsi="宋体"/>
      <w:color w:val="000000"/>
    </w:rPr>
  </w:style>
  <w:style w:type="character" w:customStyle="1" w:styleId="1611">
    <w:name w:val="正文修改 Char121"/>
    <w:autoRedefine/>
    <w:qFormat/>
    <w:uiPriority w:val="0"/>
    <w:rPr>
      <w:rFonts w:ascii="宋体" w:hAnsi="宋体" w:eastAsia="宋体" w:cs="宋体"/>
      <w:color w:val="000000"/>
      <w:kern w:val="2"/>
      <w:sz w:val="24"/>
      <w:szCs w:val="24"/>
      <w:lang w:val="en-US" w:eastAsia="zh-CN" w:bidi="ar-SA"/>
    </w:rPr>
  </w:style>
  <w:style w:type="paragraph" w:customStyle="1" w:styleId="1612">
    <w:name w:val="表中文字21"/>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1613">
    <w:name w:val="表文字521"/>
    <w:basedOn w:val="1"/>
    <w:autoRedefine/>
    <w:qFormat/>
    <w:uiPriority w:val="0"/>
    <w:pPr>
      <w:adjustRightInd w:val="0"/>
      <w:jc w:val="left"/>
      <w:textAlignment w:val="baseline"/>
    </w:pPr>
    <w:rPr>
      <w:rFonts w:ascii="宋体" w:hAnsi="宋体" w:cs="宋体"/>
      <w:kern w:val="0"/>
    </w:rPr>
  </w:style>
  <w:style w:type="paragraph" w:customStyle="1" w:styleId="1614">
    <w:name w:val="表内文字小3121"/>
    <w:basedOn w:val="1"/>
    <w:autoRedefine/>
    <w:qFormat/>
    <w:uiPriority w:val="0"/>
    <w:pPr>
      <w:adjustRightInd w:val="0"/>
      <w:snapToGrid w:val="0"/>
      <w:jc w:val="center"/>
    </w:pPr>
    <w:rPr>
      <w:rFonts w:ascii="宋体" w:hAnsi="Times" w:cs="宋体"/>
      <w:bCs/>
      <w:color w:val="003366"/>
    </w:rPr>
  </w:style>
  <w:style w:type="paragraph" w:customStyle="1" w:styleId="1615">
    <w:name w:val="样式121"/>
    <w:basedOn w:val="1228"/>
    <w:autoRedefine/>
    <w:qFormat/>
    <w:uiPriority w:val="0"/>
    <w:pPr>
      <w:spacing w:line="240" w:lineRule="auto"/>
      <w:ind w:firstLine="0"/>
      <w:jc w:val="center"/>
    </w:pPr>
    <w:rPr>
      <w:rFonts w:cs="Times New Roman"/>
      <w:b/>
      <w:color w:val="auto"/>
      <w:szCs w:val="20"/>
    </w:rPr>
  </w:style>
  <w:style w:type="paragraph" w:customStyle="1" w:styleId="1616">
    <w:name w:val="Char311"/>
    <w:basedOn w:val="1"/>
    <w:autoRedefine/>
    <w:qFormat/>
    <w:uiPriority w:val="0"/>
    <w:pPr>
      <w:ind w:left="-48"/>
    </w:pPr>
    <w:rPr>
      <w:rFonts w:ascii="宋体" w:hAnsi="宋体" w:cs="宋体"/>
    </w:rPr>
  </w:style>
  <w:style w:type="paragraph" w:customStyle="1" w:styleId="1617">
    <w:name w:val="表内文字小221"/>
    <w:basedOn w:val="1"/>
    <w:autoRedefine/>
    <w:qFormat/>
    <w:uiPriority w:val="0"/>
    <w:pPr>
      <w:adjustRightInd w:val="0"/>
      <w:snapToGrid w:val="0"/>
      <w:jc w:val="center"/>
    </w:pPr>
    <w:rPr>
      <w:rFonts w:ascii="宋体" w:hAnsi="Times" w:cs="宋体"/>
      <w:bCs/>
      <w:color w:val="000000"/>
    </w:rPr>
  </w:style>
  <w:style w:type="paragraph" w:customStyle="1" w:styleId="1618">
    <w:name w:val="表内5311"/>
    <w:basedOn w:val="1"/>
    <w:autoRedefine/>
    <w:qFormat/>
    <w:uiPriority w:val="0"/>
    <w:pPr>
      <w:adjustRightInd w:val="0"/>
      <w:snapToGrid w:val="0"/>
      <w:spacing w:line="300" w:lineRule="auto"/>
      <w:jc w:val="left"/>
    </w:pPr>
    <w:rPr>
      <w:rFonts w:ascii="宋体" w:hAnsi="宋体" w:cs="宋体"/>
    </w:rPr>
  </w:style>
  <w:style w:type="paragraph" w:customStyle="1" w:styleId="1619">
    <w:name w:val="正文格式211"/>
    <w:basedOn w:val="1"/>
    <w:autoRedefine/>
    <w:qFormat/>
    <w:uiPriority w:val="0"/>
    <w:pPr>
      <w:spacing w:line="360" w:lineRule="auto"/>
      <w:ind w:firstLine="482"/>
    </w:pPr>
    <w:rPr>
      <w:rFonts w:ascii="宋体" w:hAnsi="宋体" w:cs="宋体"/>
      <w:sz w:val="24"/>
    </w:rPr>
  </w:style>
  <w:style w:type="paragraph" w:customStyle="1" w:styleId="1620">
    <w:name w:val="图题211"/>
    <w:basedOn w:val="316"/>
    <w:next w:val="316"/>
    <w:autoRedefine/>
    <w:qFormat/>
    <w:uiPriority w:val="0"/>
    <w:pPr>
      <w:ind w:firstLine="0"/>
      <w:jc w:val="center"/>
    </w:pPr>
    <w:rPr>
      <w:rFonts w:ascii="黑体" w:hAnsi="宋体" w:eastAsia="黑体"/>
      <w:bCs/>
      <w:spacing w:val="0"/>
    </w:rPr>
  </w:style>
  <w:style w:type="paragraph" w:customStyle="1" w:styleId="1621">
    <w:name w:val="表格内字体211"/>
    <w:basedOn w:val="316"/>
    <w:next w:val="316"/>
    <w:autoRedefine/>
    <w:qFormat/>
    <w:uiPriority w:val="0"/>
    <w:pPr>
      <w:spacing w:line="240" w:lineRule="auto"/>
      <w:ind w:firstLine="0"/>
      <w:jc w:val="center"/>
    </w:pPr>
    <w:rPr>
      <w:rFonts w:hAnsi="宋体"/>
      <w:b w:val="0"/>
      <w:spacing w:val="0"/>
      <w:sz w:val="21"/>
    </w:rPr>
  </w:style>
  <w:style w:type="paragraph" w:customStyle="1" w:styleId="1622">
    <w:name w:val="表题1111"/>
    <w:basedOn w:val="22"/>
    <w:autoRedefine/>
    <w:qFormat/>
    <w:uiPriority w:val="0"/>
    <w:pPr>
      <w:widowControl w:val="0"/>
      <w:spacing w:line="360" w:lineRule="auto"/>
      <w:jc w:val="center"/>
    </w:pPr>
    <w:rPr>
      <w:rFonts w:ascii="黑体" w:hAnsi="Arial" w:cs="Arial"/>
      <w:kern w:val="2"/>
    </w:rPr>
  </w:style>
  <w:style w:type="paragraph" w:customStyle="1" w:styleId="1623">
    <w:name w:val="表中文字1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624">
    <w:name w:val="表文字5111"/>
    <w:basedOn w:val="1"/>
    <w:autoRedefine/>
    <w:qFormat/>
    <w:uiPriority w:val="0"/>
    <w:pPr>
      <w:adjustRightInd w:val="0"/>
      <w:jc w:val="left"/>
      <w:textAlignment w:val="baseline"/>
    </w:pPr>
    <w:rPr>
      <w:rFonts w:ascii="宋体" w:hAnsi="宋体" w:cs="宋体"/>
      <w:kern w:val="0"/>
    </w:rPr>
  </w:style>
  <w:style w:type="paragraph" w:customStyle="1" w:styleId="1625">
    <w:name w:val="正文格式41"/>
    <w:basedOn w:val="1"/>
    <w:autoRedefine/>
    <w:qFormat/>
    <w:uiPriority w:val="0"/>
    <w:pPr>
      <w:spacing w:line="360" w:lineRule="auto"/>
      <w:ind w:firstLine="482"/>
    </w:pPr>
    <w:rPr>
      <w:rFonts w:ascii="宋体" w:hAnsi="宋体" w:cs="宋体"/>
      <w:sz w:val="24"/>
    </w:rPr>
  </w:style>
  <w:style w:type="paragraph" w:customStyle="1" w:styleId="1626">
    <w:name w:val="图题41"/>
    <w:basedOn w:val="316"/>
    <w:next w:val="316"/>
    <w:autoRedefine/>
    <w:qFormat/>
    <w:uiPriority w:val="0"/>
    <w:pPr>
      <w:ind w:firstLine="0"/>
      <w:jc w:val="center"/>
    </w:pPr>
    <w:rPr>
      <w:rFonts w:ascii="黑体" w:hAnsi="宋体" w:eastAsia="黑体"/>
      <w:bCs/>
      <w:spacing w:val="0"/>
    </w:rPr>
  </w:style>
  <w:style w:type="paragraph" w:customStyle="1" w:styleId="1627">
    <w:name w:val="表格内字体41"/>
    <w:basedOn w:val="316"/>
    <w:next w:val="316"/>
    <w:autoRedefine/>
    <w:qFormat/>
    <w:uiPriority w:val="0"/>
    <w:pPr>
      <w:spacing w:line="240" w:lineRule="auto"/>
      <w:ind w:firstLine="0"/>
      <w:jc w:val="center"/>
    </w:pPr>
    <w:rPr>
      <w:rFonts w:hAnsi="宋体"/>
      <w:b w:val="0"/>
      <w:spacing w:val="0"/>
      <w:sz w:val="21"/>
    </w:rPr>
  </w:style>
  <w:style w:type="paragraph" w:customStyle="1" w:styleId="1628">
    <w:name w:val="Char411"/>
    <w:basedOn w:val="1"/>
    <w:autoRedefine/>
    <w:qFormat/>
    <w:uiPriority w:val="0"/>
    <w:pPr>
      <w:ind w:left="-48"/>
    </w:pPr>
    <w:rPr>
      <w:rFonts w:ascii="宋体" w:hAnsi="宋体" w:cs="宋体"/>
    </w:rPr>
  </w:style>
  <w:style w:type="paragraph" w:customStyle="1" w:styleId="1629">
    <w:name w:val="表题131"/>
    <w:basedOn w:val="22"/>
    <w:autoRedefine/>
    <w:qFormat/>
    <w:uiPriority w:val="0"/>
    <w:pPr>
      <w:widowControl w:val="0"/>
      <w:spacing w:line="360" w:lineRule="auto"/>
      <w:jc w:val="center"/>
    </w:pPr>
    <w:rPr>
      <w:rFonts w:ascii="黑体" w:hAnsi="Arial" w:cs="Arial"/>
      <w:b/>
      <w:kern w:val="2"/>
    </w:rPr>
  </w:style>
  <w:style w:type="paragraph" w:customStyle="1" w:styleId="1630">
    <w:name w:val="默认段落字体 Para Char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631">
    <w:name w:val="23-47表名1"/>
    <w:basedOn w:val="1"/>
    <w:autoRedefine/>
    <w:qFormat/>
    <w:uiPriority w:val="0"/>
    <w:pPr>
      <w:spacing w:afterLines="50" w:line="440" w:lineRule="exact"/>
      <w:jc w:val="center"/>
    </w:pPr>
    <w:rPr>
      <w:rFonts w:ascii="宋体" w:hAnsi="宋体" w:cs="宋体"/>
      <w:b/>
      <w:sz w:val="24"/>
    </w:rPr>
  </w:style>
  <w:style w:type="paragraph" w:customStyle="1" w:styleId="1632">
    <w:name w:val="xl24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633">
    <w:name w:val="Char Char Char Char Char Char Char121"/>
    <w:basedOn w:val="1"/>
    <w:autoRedefine/>
    <w:qFormat/>
    <w:uiPriority w:val="0"/>
    <w:rPr>
      <w:rFonts w:ascii="宋体" w:hAnsi="宋体" w:cs="宋体"/>
    </w:rPr>
  </w:style>
  <w:style w:type="paragraph" w:customStyle="1" w:styleId="1634">
    <w:name w:val="Char51"/>
    <w:basedOn w:val="1"/>
    <w:autoRedefine/>
    <w:qFormat/>
    <w:uiPriority w:val="0"/>
    <w:pPr>
      <w:adjustRightInd w:val="0"/>
      <w:snapToGrid w:val="0"/>
      <w:ind w:left="-45"/>
    </w:pPr>
    <w:rPr>
      <w:rFonts w:ascii="宋体" w:hAnsi="宋体" w:cs="宋体"/>
    </w:rPr>
  </w:style>
  <w:style w:type="paragraph" w:customStyle="1" w:styleId="1635">
    <w:name w:val="燕山正文113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636">
    <w:name w:val="正文格式51"/>
    <w:basedOn w:val="1"/>
    <w:autoRedefine/>
    <w:qFormat/>
    <w:uiPriority w:val="0"/>
    <w:pPr>
      <w:spacing w:line="360" w:lineRule="auto"/>
      <w:ind w:firstLine="482"/>
    </w:pPr>
    <w:rPr>
      <w:rFonts w:ascii="宋体" w:hAnsi="宋体" w:cs="宋体"/>
      <w:sz w:val="24"/>
    </w:rPr>
  </w:style>
  <w:style w:type="paragraph" w:customStyle="1" w:styleId="1637">
    <w:name w:val="Char321"/>
    <w:basedOn w:val="1"/>
    <w:autoRedefine/>
    <w:qFormat/>
    <w:uiPriority w:val="0"/>
    <w:pPr>
      <w:ind w:left="-48"/>
    </w:pPr>
    <w:rPr>
      <w:rFonts w:ascii="宋体" w:hAnsi="宋体" w:cs="宋体"/>
    </w:rPr>
  </w:style>
  <w:style w:type="character" w:customStyle="1" w:styleId="1638">
    <w:name w:val="题注 Char31"/>
    <w:autoRedefine/>
    <w:qFormat/>
    <w:uiPriority w:val="0"/>
    <w:rPr>
      <w:rFonts w:ascii="黑体" w:hAnsi="Arial" w:eastAsia="黑体" w:cs="Arial"/>
      <w:spacing w:val="10"/>
      <w:kern w:val="2"/>
      <w:sz w:val="24"/>
      <w:szCs w:val="24"/>
      <w:lang w:val="en-US" w:eastAsia="zh-CN" w:bidi="ar-SA"/>
    </w:rPr>
  </w:style>
  <w:style w:type="paragraph" w:customStyle="1" w:styleId="1639">
    <w:name w:val="图题51"/>
    <w:basedOn w:val="316"/>
    <w:next w:val="316"/>
    <w:autoRedefine/>
    <w:qFormat/>
    <w:uiPriority w:val="0"/>
    <w:pPr>
      <w:ind w:firstLine="0"/>
      <w:jc w:val="center"/>
    </w:pPr>
    <w:rPr>
      <w:rFonts w:ascii="黑体" w:hAnsi="宋体" w:eastAsia="黑体"/>
      <w:bCs/>
      <w:spacing w:val="0"/>
    </w:rPr>
  </w:style>
  <w:style w:type="paragraph" w:customStyle="1" w:styleId="1640">
    <w:name w:val="表格内字体51"/>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1641">
    <w:name w:val="表31"/>
    <w:basedOn w:val="1"/>
    <w:autoRedefine/>
    <w:qFormat/>
    <w:uiPriority w:val="0"/>
    <w:pPr>
      <w:adjustRightInd w:val="0"/>
      <w:snapToGrid w:val="0"/>
      <w:jc w:val="center"/>
    </w:pPr>
    <w:rPr>
      <w:rFonts w:ascii="宋体" w:hAnsi="宋体" w:eastAsia="仿宋_GB2312" w:cs="宋体"/>
      <w:sz w:val="24"/>
    </w:rPr>
  </w:style>
  <w:style w:type="paragraph" w:customStyle="1" w:styleId="1642">
    <w:name w:val="正文.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643">
    <w:name w:val="文本框11"/>
    <w:basedOn w:val="1"/>
    <w:autoRedefine/>
    <w:qFormat/>
    <w:uiPriority w:val="0"/>
    <w:pPr>
      <w:adjustRightInd w:val="0"/>
      <w:snapToGrid w:val="0"/>
      <w:spacing w:after="6"/>
      <w:jc w:val="center"/>
    </w:pPr>
    <w:rPr>
      <w:rFonts w:ascii="宋体" w:hAnsi="宋体" w:eastAsia="仿宋_GB2312" w:cs="宋体"/>
    </w:rPr>
  </w:style>
  <w:style w:type="paragraph" w:customStyle="1" w:styleId="1644">
    <w:name w:val="表内宋511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645">
    <w:name w:val="表内文字小3131"/>
    <w:basedOn w:val="1"/>
    <w:autoRedefine/>
    <w:qFormat/>
    <w:uiPriority w:val="0"/>
    <w:pPr>
      <w:adjustRightInd w:val="0"/>
      <w:snapToGrid w:val="0"/>
      <w:jc w:val="center"/>
    </w:pPr>
    <w:rPr>
      <w:rFonts w:ascii="宋体" w:hAnsi="Times" w:cs="宋体"/>
      <w:bCs/>
      <w:color w:val="003366"/>
    </w:rPr>
  </w:style>
  <w:style w:type="paragraph" w:customStyle="1" w:styleId="1646">
    <w:name w:val="表文字531"/>
    <w:basedOn w:val="1"/>
    <w:autoRedefine/>
    <w:qFormat/>
    <w:uiPriority w:val="0"/>
    <w:pPr>
      <w:adjustRightInd w:val="0"/>
      <w:jc w:val="left"/>
      <w:textAlignment w:val="baseline"/>
    </w:pPr>
    <w:rPr>
      <w:rFonts w:ascii="宋体" w:hAnsi="宋体" w:cs="宋体"/>
      <w:kern w:val="0"/>
    </w:rPr>
  </w:style>
  <w:style w:type="paragraph" w:customStyle="1" w:styleId="1647">
    <w:name w:val="Char Char Char Char Char Char Char211"/>
    <w:basedOn w:val="1"/>
    <w:autoRedefine/>
    <w:qFormat/>
    <w:uiPriority w:val="0"/>
    <w:rPr>
      <w:rFonts w:ascii="宋体" w:hAnsi="宋体" w:cs="宋体"/>
    </w:rPr>
  </w:style>
  <w:style w:type="paragraph" w:customStyle="1" w:styleId="1648">
    <w:name w:val="表题313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649">
    <w:name w:val="表内文字小2131"/>
    <w:basedOn w:val="1"/>
    <w:autoRedefine/>
    <w:qFormat/>
    <w:uiPriority w:val="0"/>
    <w:pPr>
      <w:adjustRightInd w:val="0"/>
      <w:snapToGrid w:val="0"/>
      <w:jc w:val="center"/>
      <w:textAlignment w:val="baseline"/>
    </w:pPr>
    <w:rPr>
      <w:rFonts w:ascii="宋体" w:hAnsi="Times" w:cs="宋体"/>
      <w:bCs/>
      <w:color w:val="000000"/>
    </w:rPr>
  </w:style>
  <w:style w:type="character" w:customStyle="1" w:styleId="1650">
    <w:name w:val="文档结构图 Char2"/>
    <w:autoRedefine/>
    <w:qFormat/>
    <w:uiPriority w:val="0"/>
    <w:rPr>
      <w:rFonts w:eastAsia="宋体"/>
      <w:kern w:val="2"/>
      <w:sz w:val="21"/>
      <w:szCs w:val="24"/>
      <w:shd w:val="clear" w:color="auto" w:fill="000080"/>
      <w:lang w:val="en-US" w:eastAsia="zh-CN" w:bidi="ar-SA"/>
    </w:rPr>
  </w:style>
  <w:style w:type="paragraph" w:customStyle="1" w:styleId="1651">
    <w:name w:val="燕山正文3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652">
    <w:name w:val="正文修改31"/>
    <w:basedOn w:val="1181"/>
    <w:autoRedefine/>
    <w:qFormat/>
    <w:uiPriority w:val="0"/>
    <w:rPr>
      <w:rFonts w:hAnsi="宋体"/>
      <w:color w:val="000000"/>
    </w:rPr>
  </w:style>
  <w:style w:type="character" w:customStyle="1" w:styleId="1653">
    <w:name w:val="正文修改 Char131"/>
    <w:autoRedefine/>
    <w:qFormat/>
    <w:uiPriority w:val="0"/>
    <w:rPr>
      <w:rFonts w:ascii="宋体" w:hAnsi="宋体" w:eastAsia="宋体" w:cs="宋体"/>
      <w:color w:val="000000"/>
      <w:kern w:val="2"/>
      <w:sz w:val="24"/>
      <w:szCs w:val="24"/>
      <w:lang w:val="en-US" w:eastAsia="zh-CN" w:bidi="ar-SA"/>
    </w:rPr>
  </w:style>
  <w:style w:type="paragraph" w:customStyle="1" w:styleId="1654">
    <w:name w:val="表题142"/>
    <w:basedOn w:val="22"/>
    <w:autoRedefine/>
    <w:qFormat/>
    <w:uiPriority w:val="0"/>
    <w:pPr>
      <w:widowControl w:val="0"/>
      <w:spacing w:line="360" w:lineRule="auto"/>
      <w:jc w:val="center"/>
    </w:pPr>
    <w:rPr>
      <w:rFonts w:ascii="黑体" w:hAnsi="Arial" w:cs="Arial"/>
      <w:b/>
      <w:kern w:val="2"/>
    </w:rPr>
  </w:style>
  <w:style w:type="character" w:customStyle="1" w:styleId="1655">
    <w:name w:val="表题1 Char41"/>
    <w:autoRedefine/>
    <w:qFormat/>
    <w:uiPriority w:val="0"/>
    <w:rPr>
      <w:rFonts w:ascii="黑体" w:hAnsi="Arial" w:eastAsia="黑体" w:cs="Arial"/>
      <w:b/>
      <w:kern w:val="2"/>
      <w:sz w:val="24"/>
      <w:szCs w:val="24"/>
      <w:lang w:val="en-US" w:eastAsia="zh-CN" w:bidi="ar-SA"/>
    </w:rPr>
  </w:style>
  <w:style w:type="paragraph" w:customStyle="1" w:styleId="1656">
    <w:name w:val="表中文字3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657">
    <w:name w:val="黑体三号31"/>
    <w:basedOn w:val="316"/>
    <w:autoRedefine/>
    <w:qFormat/>
    <w:uiPriority w:val="0"/>
    <w:pPr>
      <w:jc w:val="center"/>
    </w:pPr>
    <w:rPr>
      <w:rFonts w:ascii="黑体" w:hAnsi="宋体" w:eastAsia="黑体"/>
      <w:bCs/>
      <w:spacing w:val="0"/>
      <w:sz w:val="32"/>
    </w:rPr>
  </w:style>
  <w:style w:type="paragraph" w:customStyle="1" w:styleId="1658">
    <w:name w:val="默认段落字体 Para Char Char Char Char31"/>
    <w:basedOn w:val="1"/>
    <w:autoRedefine/>
    <w:qFormat/>
    <w:uiPriority w:val="0"/>
    <w:rPr>
      <w:rFonts w:ascii="宋体" w:hAnsi="宋体" w:cs="宋体"/>
    </w:rPr>
  </w:style>
  <w:style w:type="paragraph" w:customStyle="1" w:styleId="1659">
    <w:name w:val="表内54131"/>
    <w:basedOn w:val="1"/>
    <w:autoRedefine/>
    <w:qFormat/>
    <w:uiPriority w:val="0"/>
    <w:pPr>
      <w:adjustRightInd w:val="0"/>
      <w:snapToGrid w:val="0"/>
      <w:spacing w:line="300" w:lineRule="auto"/>
      <w:jc w:val="center"/>
    </w:pPr>
    <w:rPr>
      <w:rFonts w:ascii="宋体" w:hAnsi="宋体" w:cs="宋体"/>
    </w:rPr>
  </w:style>
  <w:style w:type="paragraph" w:customStyle="1" w:styleId="1660">
    <w:name w:val="Char61"/>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1661">
    <w:name w:val="表题2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662">
    <w:name w:val="表内宋5中111"/>
    <w:basedOn w:val="1"/>
    <w:autoRedefine/>
    <w:qFormat/>
    <w:uiPriority w:val="0"/>
    <w:pPr>
      <w:adjustRightInd w:val="0"/>
      <w:snapToGrid w:val="0"/>
      <w:jc w:val="center"/>
      <w:textAlignment w:val="baseline"/>
    </w:pPr>
    <w:rPr>
      <w:rFonts w:ascii="宋体" w:hAnsi="宋体" w:cs="宋体"/>
      <w:kern w:val="0"/>
    </w:rPr>
  </w:style>
  <w:style w:type="paragraph" w:customStyle="1" w:styleId="1663">
    <w:name w:val="表内宋5中12"/>
    <w:basedOn w:val="1"/>
    <w:autoRedefine/>
    <w:qFormat/>
    <w:uiPriority w:val="0"/>
    <w:pPr>
      <w:adjustRightInd w:val="0"/>
      <w:snapToGrid w:val="0"/>
      <w:jc w:val="center"/>
      <w:textAlignment w:val="baseline"/>
    </w:pPr>
    <w:rPr>
      <w:rFonts w:ascii="宋体" w:hAnsi="宋体" w:cs="宋体"/>
      <w:kern w:val="0"/>
    </w:rPr>
  </w:style>
  <w:style w:type="paragraph" w:customStyle="1" w:styleId="1664">
    <w:name w:val="表内文字小111"/>
    <w:basedOn w:val="1"/>
    <w:autoRedefine/>
    <w:qFormat/>
    <w:uiPriority w:val="0"/>
    <w:pPr>
      <w:adjustRightInd w:val="0"/>
      <w:snapToGrid w:val="0"/>
    </w:pPr>
    <w:rPr>
      <w:rFonts w:ascii="宋体" w:hAnsi="Times" w:cs="宋体"/>
    </w:rPr>
  </w:style>
  <w:style w:type="paragraph" w:customStyle="1" w:styleId="1665">
    <w:name w:val="标题411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666">
    <w:name w:val="表题14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667">
    <w:name w:val="表内文字小81"/>
    <w:basedOn w:val="1"/>
    <w:autoRedefine/>
    <w:qFormat/>
    <w:uiPriority w:val="0"/>
    <w:pPr>
      <w:adjustRightInd w:val="0"/>
      <w:snapToGrid w:val="0"/>
      <w:jc w:val="center"/>
    </w:pPr>
    <w:rPr>
      <w:rFonts w:ascii="宋体" w:hAnsi="Times" w:cs="宋体"/>
    </w:rPr>
  </w:style>
  <w:style w:type="paragraph" w:customStyle="1" w:styleId="1668">
    <w:name w:val="默认段落字体 Para Char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669">
    <w:name w:val="Default1"/>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1670">
    <w:name w:val="标题 6 Char1"/>
    <w:autoRedefine/>
    <w:qFormat/>
    <w:uiPriority w:val="0"/>
    <w:rPr>
      <w:rFonts w:ascii="Arial" w:hAnsi="Arial" w:eastAsia="黑体"/>
      <w:b/>
      <w:bCs/>
      <w:kern w:val="2"/>
      <w:sz w:val="24"/>
      <w:szCs w:val="24"/>
      <w:lang w:val="en-US" w:eastAsia="zh-CN" w:bidi="ar-SA"/>
    </w:rPr>
  </w:style>
  <w:style w:type="character" w:customStyle="1" w:styleId="1671">
    <w:name w:val="标题 7 Char1"/>
    <w:autoRedefine/>
    <w:qFormat/>
    <w:uiPriority w:val="0"/>
    <w:rPr>
      <w:rFonts w:eastAsia="宋体"/>
      <w:b/>
      <w:bCs/>
      <w:kern w:val="2"/>
      <w:sz w:val="24"/>
      <w:szCs w:val="24"/>
      <w:lang w:val="en-US" w:eastAsia="zh-CN" w:bidi="ar-SA"/>
    </w:rPr>
  </w:style>
  <w:style w:type="character" w:customStyle="1" w:styleId="1672">
    <w:name w:val="标题 8 Char1"/>
    <w:autoRedefine/>
    <w:qFormat/>
    <w:uiPriority w:val="0"/>
    <w:rPr>
      <w:rFonts w:ascii="Arial" w:hAnsi="Arial" w:eastAsia="黑体"/>
      <w:kern w:val="2"/>
      <w:sz w:val="24"/>
      <w:szCs w:val="24"/>
      <w:lang w:val="en-US" w:eastAsia="zh-CN" w:bidi="ar-SA"/>
    </w:rPr>
  </w:style>
  <w:style w:type="character" w:customStyle="1" w:styleId="1673">
    <w:name w:val="标题 9 Char1"/>
    <w:autoRedefine/>
    <w:qFormat/>
    <w:uiPriority w:val="0"/>
    <w:rPr>
      <w:rFonts w:ascii="Arial" w:hAnsi="Arial" w:eastAsia="黑体"/>
      <w:kern w:val="2"/>
      <w:sz w:val="21"/>
      <w:szCs w:val="21"/>
      <w:lang w:val="en-US" w:eastAsia="zh-CN" w:bidi="ar-SA"/>
    </w:rPr>
  </w:style>
  <w:style w:type="paragraph" w:customStyle="1" w:styleId="1674">
    <w:name w:val="正文格式61"/>
    <w:basedOn w:val="1"/>
    <w:autoRedefine/>
    <w:qFormat/>
    <w:uiPriority w:val="0"/>
    <w:pPr>
      <w:spacing w:line="360" w:lineRule="auto"/>
      <w:ind w:firstLine="482"/>
    </w:pPr>
    <w:rPr>
      <w:rFonts w:ascii="宋体" w:hAnsi="宋体" w:cs="宋体"/>
      <w:sz w:val="24"/>
    </w:rPr>
  </w:style>
  <w:style w:type="character" w:customStyle="1" w:styleId="1675">
    <w:name w:val="河石1 Char21"/>
    <w:autoRedefine/>
    <w:qFormat/>
    <w:uiPriority w:val="0"/>
    <w:rPr>
      <w:rFonts w:ascii="黑体" w:hAnsi="宋体" w:eastAsia="黑体" w:cs="Times New Roman"/>
      <w:bCs/>
      <w:kern w:val="44"/>
      <w:sz w:val="32"/>
      <w:szCs w:val="32"/>
      <w:lang w:val="en-US" w:eastAsia="zh-CN" w:bidi="ar-SA"/>
    </w:rPr>
  </w:style>
  <w:style w:type="paragraph" w:customStyle="1" w:styleId="1676">
    <w:name w:val="附件31"/>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1677">
    <w:name w:val="正文文本 Char2"/>
    <w:autoRedefine/>
    <w:qFormat/>
    <w:uiPriority w:val="0"/>
    <w:rPr>
      <w:rFonts w:eastAsia="宋体"/>
      <w:kern w:val="2"/>
      <w:sz w:val="21"/>
      <w:szCs w:val="24"/>
      <w:lang w:val="en-US" w:eastAsia="zh-CN" w:bidi="ar-SA"/>
    </w:rPr>
  </w:style>
  <w:style w:type="paragraph" w:customStyle="1" w:styleId="1678">
    <w:name w:val="图题61"/>
    <w:basedOn w:val="316"/>
    <w:next w:val="316"/>
    <w:autoRedefine/>
    <w:qFormat/>
    <w:uiPriority w:val="0"/>
    <w:pPr>
      <w:ind w:firstLine="0"/>
      <w:jc w:val="center"/>
    </w:pPr>
    <w:rPr>
      <w:rFonts w:ascii="黑体" w:hAnsi="宋体" w:eastAsia="黑体"/>
      <w:bCs/>
      <w:spacing w:val="0"/>
      <w:kern w:val="0"/>
    </w:rPr>
  </w:style>
  <w:style w:type="character" w:customStyle="1" w:styleId="1679">
    <w:name w:val="图题 Char1"/>
    <w:autoRedefine/>
    <w:qFormat/>
    <w:uiPriority w:val="0"/>
    <w:rPr>
      <w:rFonts w:ascii="黑体" w:hAnsi="宋体" w:eastAsia="黑体" w:cs="宋体"/>
      <w:b/>
      <w:bCs/>
      <w:kern w:val="2"/>
      <w:sz w:val="24"/>
      <w:szCs w:val="24"/>
      <w:lang w:val="en-US" w:eastAsia="zh-CN" w:bidi="ar-SA"/>
    </w:rPr>
  </w:style>
  <w:style w:type="paragraph" w:customStyle="1" w:styleId="1680">
    <w:name w:val="表格内字体61"/>
    <w:basedOn w:val="316"/>
    <w:next w:val="316"/>
    <w:autoRedefine/>
    <w:qFormat/>
    <w:uiPriority w:val="0"/>
    <w:pPr>
      <w:spacing w:line="240" w:lineRule="auto"/>
      <w:ind w:firstLine="0"/>
      <w:jc w:val="center"/>
    </w:pPr>
    <w:rPr>
      <w:rFonts w:hAnsi="宋体"/>
      <w:b w:val="0"/>
      <w:spacing w:val="0"/>
      <w:sz w:val="21"/>
    </w:rPr>
  </w:style>
  <w:style w:type="paragraph" w:customStyle="1" w:styleId="1681">
    <w:name w:val="黑体三号41"/>
    <w:basedOn w:val="316"/>
    <w:autoRedefine/>
    <w:qFormat/>
    <w:uiPriority w:val="0"/>
    <w:pPr>
      <w:jc w:val="center"/>
    </w:pPr>
    <w:rPr>
      <w:rFonts w:ascii="黑体" w:hAnsi="宋体" w:eastAsia="黑体"/>
      <w:bCs/>
      <w:spacing w:val="0"/>
      <w:sz w:val="32"/>
    </w:rPr>
  </w:style>
  <w:style w:type="paragraph" w:customStyle="1" w:styleId="1682">
    <w:name w:val="默认段落字体 Para Char Char Char Char41"/>
    <w:basedOn w:val="1"/>
    <w:autoRedefine/>
    <w:qFormat/>
    <w:uiPriority w:val="0"/>
    <w:rPr>
      <w:rFonts w:ascii="宋体" w:hAnsi="宋体" w:cs="宋体"/>
    </w:rPr>
  </w:style>
  <w:style w:type="paragraph" w:customStyle="1" w:styleId="1683">
    <w:name w:val="图表题1"/>
    <w:basedOn w:val="316"/>
    <w:next w:val="316"/>
    <w:autoRedefine/>
    <w:qFormat/>
    <w:uiPriority w:val="0"/>
    <w:pPr>
      <w:ind w:firstLine="0"/>
      <w:jc w:val="center"/>
    </w:pPr>
    <w:rPr>
      <w:rFonts w:ascii="黑体" w:hAnsi="宋体" w:eastAsia="黑体"/>
      <w:bCs/>
      <w:spacing w:val="0"/>
    </w:rPr>
  </w:style>
  <w:style w:type="character" w:customStyle="1" w:styleId="1684">
    <w:name w:val="图表题 Char1"/>
    <w:autoRedefine/>
    <w:qFormat/>
    <w:uiPriority w:val="0"/>
    <w:rPr>
      <w:rFonts w:ascii="黑体" w:hAnsi="宋体" w:eastAsia="黑体" w:cs="宋体"/>
      <w:bCs/>
      <w:spacing w:val="10"/>
      <w:kern w:val="2"/>
      <w:sz w:val="24"/>
      <w:szCs w:val="24"/>
      <w:lang w:val="en-US" w:eastAsia="zh-CN" w:bidi="ar-SA"/>
    </w:rPr>
  </w:style>
  <w:style w:type="paragraph" w:customStyle="1" w:styleId="1685">
    <w:name w:val="样式 表格内字体 +1"/>
    <w:basedOn w:val="1178"/>
    <w:autoRedefine/>
    <w:qFormat/>
    <w:uiPriority w:val="0"/>
    <w:pPr>
      <w:spacing w:line="280" w:lineRule="exact"/>
      <w:ind w:firstLine="36"/>
      <w:jc w:val="both"/>
    </w:pPr>
    <w:rPr>
      <w:kern w:val="0"/>
    </w:rPr>
  </w:style>
  <w:style w:type="character" w:customStyle="1" w:styleId="1686">
    <w:name w:val="样式 表格内字体 + Char1"/>
    <w:basedOn w:val="1179"/>
    <w:autoRedefine/>
    <w:qFormat/>
    <w:uiPriority w:val="0"/>
    <w:rPr>
      <w:rFonts w:ascii="宋体" w:hAnsi="宋体"/>
      <w:kern w:val="2"/>
      <w:sz w:val="21"/>
    </w:rPr>
  </w:style>
  <w:style w:type="paragraph" w:customStyle="1" w:styleId="1687">
    <w:name w:val="A正文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1688">
    <w:name w:val="A正文 Char1"/>
    <w:autoRedefine/>
    <w:qFormat/>
    <w:uiPriority w:val="0"/>
    <w:rPr>
      <w:rFonts w:eastAsia="仿宋_GB2312"/>
      <w:kern w:val="2"/>
      <w:sz w:val="24"/>
      <w:szCs w:val="24"/>
      <w:lang w:val="en-US" w:eastAsia="zh-CN" w:bidi="ar-SA"/>
    </w:rPr>
  </w:style>
  <w:style w:type="paragraph" w:customStyle="1" w:styleId="1689">
    <w:name w:val="图题注1"/>
    <w:basedOn w:val="22"/>
    <w:autoRedefine/>
    <w:qFormat/>
    <w:uiPriority w:val="0"/>
    <w:pPr>
      <w:widowControl w:val="0"/>
      <w:jc w:val="center"/>
    </w:pPr>
    <w:rPr>
      <w:rFonts w:ascii="黑体" w:hAnsi="Arial"/>
      <w:b/>
      <w:bCs/>
      <w:kern w:val="2"/>
    </w:rPr>
  </w:style>
  <w:style w:type="character" w:customStyle="1" w:styleId="1690">
    <w:name w:val="图题注 Char1"/>
    <w:autoRedefine/>
    <w:qFormat/>
    <w:uiPriority w:val="0"/>
    <w:rPr>
      <w:rFonts w:ascii="黑体" w:hAnsi="Arial" w:eastAsia="黑体" w:cs="宋体"/>
      <w:b/>
      <w:bCs/>
      <w:kern w:val="2"/>
      <w:sz w:val="24"/>
      <w:szCs w:val="24"/>
      <w:lang w:val="en-US" w:eastAsia="zh-CN" w:bidi="ar-SA"/>
    </w:rPr>
  </w:style>
  <w:style w:type="paragraph" w:customStyle="1" w:styleId="1691">
    <w:name w:val="Char71"/>
    <w:basedOn w:val="1"/>
    <w:autoRedefine/>
    <w:qFormat/>
    <w:uiPriority w:val="0"/>
    <w:pPr>
      <w:ind w:left="-48"/>
    </w:pPr>
    <w:rPr>
      <w:rFonts w:ascii="宋体" w:hAnsi="宋体" w:cs="宋体"/>
    </w:rPr>
  </w:style>
  <w:style w:type="paragraph" w:customStyle="1" w:styleId="1692">
    <w:name w:val="表格内字体111"/>
    <w:basedOn w:val="316"/>
    <w:autoRedefine/>
    <w:qFormat/>
    <w:uiPriority w:val="0"/>
    <w:pPr>
      <w:spacing w:line="240" w:lineRule="auto"/>
      <w:ind w:firstLine="0"/>
      <w:jc w:val="center"/>
    </w:pPr>
    <w:rPr>
      <w:rFonts w:hAnsi="Times New Roman"/>
      <w:b w:val="0"/>
      <w:spacing w:val="0"/>
      <w:sz w:val="21"/>
    </w:rPr>
  </w:style>
  <w:style w:type="paragraph" w:customStyle="1" w:styleId="1693">
    <w:name w:val="样式 正文缩进 + 宋体 黑色 首行缩进:  2 字符1"/>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character" w:customStyle="1" w:styleId="1694">
    <w:name w:val="环评正文 Char1"/>
    <w:autoRedefine/>
    <w:qFormat/>
    <w:uiPriority w:val="0"/>
    <w:rPr>
      <w:rFonts w:eastAsia="宋体"/>
      <w:bCs/>
      <w:kern w:val="2"/>
      <w:sz w:val="24"/>
      <w:szCs w:val="24"/>
      <w:lang w:val="en-US" w:eastAsia="zh-CN" w:bidi="ar-SA"/>
    </w:rPr>
  </w:style>
  <w:style w:type="paragraph" w:customStyle="1" w:styleId="1695">
    <w:name w:val="注释1"/>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1696">
    <w:name w:val="样式41"/>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1697">
    <w:name w:val="标题412"/>
    <w:basedOn w:val="6"/>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1698">
    <w:name w:val="表中文字41"/>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1699">
    <w:name w:val="表中文字 Char1"/>
    <w:autoRedefine/>
    <w:qFormat/>
    <w:uiPriority w:val="0"/>
    <w:rPr>
      <w:rFonts w:ascii="Arial" w:hAnsi="Arial" w:eastAsia="宋体"/>
      <w:kern w:val="2"/>
      <w:sz w:val="24"/>
      <w:szCs w:val="24"/>
      <w:lang w:val="en-US" w:eastAsia="zh-TW" w:bidi="ar-SA"/>
    </w:rPr>
  </w:style>
  <w:style w:type="paragraph" w:customStyle="1" w:styleId="1700">
    <w:name w:val="样式 正文缩进 + 宋体 黑色1"/>
    <w:basedOn w:val="9"/>
    <w:autoRedefine/>
    <w:qFormat/>
    <w:uiPriority w:val="0"/>
    <w:pPr>
      <w:adjustRightInd/>
      <w:snapToGrid/>
      <w:spacing w:line="360" w:lineRule="auto"/>
      <w:jc w:val="left"/>
    </w:pPr>
    <w:rPr>
      <w:rFonts w:ascii="宋体" w:hAnsi="宋体" w:eastAsia="宋体" w:cs="宋体"/>
      <w:sz w:val="24"/>
    </w:rPr>
  </w:style>
  <w:style w:type="character" w:customStyle="1" w:styleId="1701">
    <w:name w:val="样式 正文缩进 + 宋体 黑色 Char1"/>
    <w:autoRedefine/>
    <w:qFormat/>
    <w:uiPriority w:val="0"/>
    <w:rPr>
      <w:rFonts w:ascii="宋体" w:hAnsi="宋体" w:eastAsia="宋体"/>
      <w:color w:val="000000"/>
      <w:kern w:val="2"/>
      <w:sz w:val="24"/>
      <w:szCs w:val="24"/>
      <w:lang w:val="en-US" w:eastAsia="zh-CN" w:bidi="ar-SA"/>
    </w:rPr>
  </w:style>
  <w:style w:type="paragraph" w:customStyle="1" w:styleId="1702">
    <w:name w:val="表内511"/>
    <w:basedOn w:val="1"/>
    <w:autoRedefine/>
    <w:qFormat/>
    <w:uiPriority w:val="0"/>
    <w:pPr>
      <w:adjustRightInd w:val="0"/>
      <w:snapToGrid w:val="0"/>
      <w:jc w:val="center"/>
    </w:pPr>
    <w:rPr>
      <w:rFonts w:ascii="宋体" w:hAnsi="宋体" w:cs="宋体"/>
      <w:kern w:val="0"/>
      <w:sz w:val="24"/>
    </w:rPr>
  </w:style>
  <w:style w:type="character" w:customStyle="1" w:styleId="1703">
    <w:name w:val="表内5 Char1"/>
    <w:autoRedefine/>
    <w:qFormat/>
    <w:uiPriority w:val="0"/>
    <w:rPr>
      <w:rFonts w:ascii="宋体" w:hAnsi="宋体" w:eastAsia="宋体" w:cs="Times New Roman"/>
      <w:kern w:val="2"/>
      <w:sz w:val="24"/>
      <w:szCs w:val="24"/>
      <w:lang w:val="en-US" w:eastAsia="zh-CN" w:bidi="ar-SA"/>
    </w:rPr>
  </w:style>
  <w:style w:type="paragraph" w:customStyle="1" w:styleId="1704">
    <w:name w:val="样式 样式 宋体 + 首行缩进:  2 字符11"/>
    <w:basedOn w:val="1"/>
    <w:autoRedefine/>
    <w:qFormat/>
    <w:uiPriority w:val="0"/>
    <w:pPr>
      <w:spacing w:line="360" w:lineRule="auto"/>
      <w:ind w:firstLine="480" w:firstLineChars="200"/>
      <w:jc w:val="left"/>
    </w:pPr>
    <w:rPr>
      <w:rFonts w:ascii="宋体" w:hAnsi="宋体" w:cs="宋体"/>
      <w:sz w:val="24"/>
    </w:rPr>
  </w:style>
  <w:style w:type="paragraph" w:customStyle="1" w:styleId="1705">
    <w:name w:val="表内宋5中21"/>
    <w:basedOn w:val="1"/>
    <w:autoRedefine/>
    <w:qFormat/>
    <w:uiPriority w:val="0"/>
    <w:pPr>
      <w:adjustRightInd w:val="0"/>
      <w:snapToGrid w:val="0"/>
      <w:jc w:val="center"/>
      <w:textAlignment w:val="baseline"/>
    </w:pPr>
    <w:rPr>
      <w:rFonts w:ascii="宋体" w:hAnsi="宋体" w:cs="宋体"/>
      <w:kern w:val="0"/>
    </w:rPr>
  </w:style>
  <w:style w:type="paragraph" w:customStyle="1" w:styleId="1706">
    <w:name w:val="xl631"/>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1707">
    <w:name w:val="标准1"/>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1708">
    <w:name w:val="Fax Header1"/>
    <w:basedOn w:val="1"/>
    <w:autoRedefine/>
    <w:qFormat/>
    <w:uiPriority w:val="0"/>
    <w:pPr>
      <w:widowControl/>
      <w:spacing w:before="240" w:after="60"/>
      <w:jc w:val="left"/>
    </w:pPr>
    <w:rPr>
      <w:rFonts w:ascii="宋体" w:hAnsi="宋体" w:cs="宋体"/>
      <w:kern w:val="0"/>
      <w:sz w:val="24"/>
    </w:rPr>
  </w:style>
  <w:style w:type="paragraph" w:customStyle="1" w:styleId="1709">
    <w:name w:val="样式 表格内字体1 +1"/>
    <w:basedOn w:val="1265"/>
    <w:next w:val="1178"/>
    <w:autoRedefine/>
    <w:qFormat/>
    <w:uiPriority w:val="0"/>
    <w:rPr>
      <w:rFonts w:hAnsi="Times New Roman"/>
    </w:rPr>
  </w:style>
  <w:style w:type="paragraph" w:customStyle="1" w:styleId="1710">
    <w:name w:val="默认段落字体 Para Char31"/>
    <w:basedOn w:val="1"/>
    <w:autoRedefine/>
    <w:qFormat/>
    <w:uiPriority w:val="0"/>
    <w:pPr>
      <w:spacing w:line="360" w:lineRule="auto"/>
      <w:ind w:firstLine="200" w:firstLineChars="200"/>
    </w:pPr>
    <w:rPr>
      <w:rFonts w:ascii="宋体" w:hAnsi="宋体" w:cs="宋体"/>
      <w:sz w:val="24"/>
    </w:rPr>
  </w:style>
  <w:style w:type="paragraph" w:customStyle="1" w:styleId="1711">
    <w:name w:val="正文斜体1"/>
    <w:basedOn w:val="316"/>
    <w:next w:val="316"/>
    <w:autoRedefine/>
    <w:qFormat/>
    <w:uiPriority w:val="0"/>
    <w:rPr>
      <w:rFonts w:hAnsi="宋体"/>
      <w:b w:val="0"/>
      <w:i/>
      <w:iCs/>
      <w:spacing w:val="0"/>
    </w:rPr>
  </w:style>
  <w:style w:type="character" w:customStyle="1" w:styleId="1712">
    <w:name w:val="正文斜体 Char1"/>
    <w:autoRedefine/>
    <w:qFormat/>
    <w:uiPriority w:val="0"/>
    <w:rPr>
      <w:rFonts w:ascii="宋体" w:hAnsi="宋体" w:eastAsia="宋体" w:cs="宋体"/>
      <w:b/>
      <w:i/>
      <w:iCs/>
      <w:spacing w:val="10"/>
      <w:kern w:val="2"/>
      <w:sz w:val="24"/>
      <w:szCs w:val="24"/>
      <w:lang w:val="en-US" w:eastAsia="zh-CN" w:bidi="ar-SA"/>
    </w:rPr>
  </w:style>
  <w:style w:type="paragraph" w:customStyle="1" w:styleId="1713">
    <w:name w:val="Char81"/>
    <w:basedOn w:val="1"/>
    <w:autoRedefine/>
    <w:qFormat/>
    <w:uiPriority w:val="0"/>
    <w:pPr>
      <w:ind w:left="-48"/>
    </w:pPr>
    <w:rPr>
      <w:rFonts w:ascii="宋体" w:hAnsi="宋体" w:cs="宋体"/>
    </w:rPr>
  </w:style>
  <w:style w:type="paragraph" w:customStyle="1" w:styleId="1714">
    <w:name w:val="正文格式71"/>
    <w:basedOn w:val="1"/>
    <w:autoRedefine/>
    <w:qFormat/>
    <w:uiPriority w:val="0"/>
    <w:pPr>
      <w:spacing w:line="360" w:lineRule="auto"/>
      <w:ind w:firstLine="482"/>
    </w:pPr>
    <w:rPr>
      <w:rFonts w:ascii="宋体" w:hAnsi="宋体" w:cs="宋体"/>
      <w:sz w:val="24"/>
    </w:rPr>
  </w:style>
  <w:style w:type="character" w:customStyle="1" w:styleId="1715">
    <w:name w:val="题注 Char51"/>
    <w:autoRedefine/>
    <w:qFormat/>
    <w:uiPriority w:val="0"/>
    <w:rPr>
      <w:rFonts w:ascii="黑体" w:hAnsi="Arial" w:eastAsia="黑体" w:cs="Arial"/>
      <w:spacing w:val="10"/>
      <w:kern w:val="2"/>
      <w:sz w:val="24"/>
      <w:szCs w:val="24"/>
      <w:lang w:val="en-US" w:eastAsia="zh-CN" w:bidi="ar-SA"/>
    </w:rPr>
  </w:style>
  <w:style w:type="paragraph" w:customStyle="1" w:styleId="1716">
    <w:name w:val="图题71"/>
    <w:basedOn w:val="316"/>
    <w:next w:val="316"/>
    <w:autoRedefine/>
    <w:qFormat/>
    <w:uiPriority w:val="0"/>
    <w:pPr>
      <w:ind w:firstLine="0"/>
      <w:jc w:val="center"/>
    </w:pPr>
    <w:rPr>
      <w:rFonts w:ascii="黑体" w:hAnsi="宋体" w:eastAsia="黑体"/>
      <w:bCs/>
      <w:spacing w:val="0"/>
    </w:rPr>
  </w:style>
  <w:style w:type="paragraph" w:customStyle="1" w:styleId="1717">
    <w:name w:val="表格内字体71"/>
    <w:basedOn w:val="316"/>
    <w:next w:val="316"/>
    <w:autoRedefine/>
    <w:qFormat/>
    <w:uiPriority w:val="0"/>
    <w:pPr>
      <w:spacing w:line="240" w:lineRule="auto"/>
      <w:ind w:firstLine="0"/>
      <w:jc w:val="center"/>
    </w:pPr>
    <w:rPr>
      <w:rFonts w:hAnsi="宋体"/>
      <w:b w:val="0"/>
      <w:spacing w:val="0"/>
      <w:sz w:val="21"/>
    </w:rPr>
  </w:style>
  <w:style w:type="paragraph" w:customStyle="1" w:styleId="1718">
    <w:name w:val="Char91"/>
    <w:basedOn w:val="1"/>
    <w:autoRedefine/>
    <w:qFormat/>
    <w:uiPriority w:val="0"/>
    <w:pPr>
      <w:ind w:left="-48"/>
    </w:pPr>
    <w:rPr>
      <w:rFonts w:ascii="宋体" w:hAnsi="宋体" w:cs="宋体"/>
    </w:rPr>
  </w:style>
  <w:style w:type="character" w:customStyle="1" w:styleId="1719">
    <w:name w:val="表题1 Char61"/>
    <w:autoRedefine/>
    <w:qFormat/>
    <w:uiPriority w:val="0"/>
    <w:rPr>
      <w:rFonts w:ascii="黑体" w:hAnsi="Arial" w:eastAsia="黑体" w:cs="Arial"/>
      <w:b/>
      <w:kern w:val="2"/>
      <w:sz w:val="24"/>
      <w:szCs w:val="24"/>
      <w:lang w:val="en-US" w:eastAsia="zh-CN" w:bidi="ar-SA"/>
    </w:rPr>
  </w:style>
  <w:style w:type="paragraph" w:customStyle="1" w:styleId="1720">
    <w:name w:val="燕山正文4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721">
    <w:name w:val="正文修改41"/>
    <w:basedOn w:val="1181"/>
    <w:autoRedefine/>
    <w:qFormat/>
    <w:uiPriority w:val="0"/>
    <w:rPr>
      <w:rFonts w:hAnsi="宋体"/>
      <w:color w:val="000000"/>
    </w:rPr>
  </w:style>
  <w:style w:type="character" w:customStyle="1" w:styleId="1722">
    <w:name w:val="正文修改 Char141"/>
    <w:basedOn w:val="1182"/>
    <w:autoRedefine/>
    <w:qFormat/>
    <w:uiPriority w:val="0"/>
    <w:rPr>
      <w:rFonts w:ascii="宋体" w:hAnsi="Calibri" w:cs="宋体"/>
      <w:kern w:val="2"/>
      <w:sz w:val="24"/>
      <w:szCs w:val="24"/>
    </w:rPr>
  </w:style>
  <w:style w:type="paragraph" w:customStyle="1" w:styleId="1723">
    <w:name w:val="表中文字5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724">
    <w:name w:val="默认段落字体 Para Char Char Char Char51"/>
    <w:basedOn w:val="1"/>
    <w:autoRedefine/>
    <w:qFormat/>
    <w:uiPriority w:val="0"/>
    <w:rPr>
      <w:rFonts w:ascii="宋体" w:hAnsi="宋体" w:cs="宋体"/>
    </w:rPr>
  </w:style>
  <w:style w:type="paragraph" w:customStyle="1" w:styleId="1725">
    <w:name w:val="Char101"/>
    <w:basedOn w:val="1"/>
    <w:autoRedefine/>
    <w:qFormat/>
    <w:uiPriority w:val="0"/>
    <w:pPr>
      <w:adjustRightInd w:val="0"/>
      <w:snapToGrid w:val="0"/>
      <w:spacing w:line="360" w:lineRule="auto"/>
    </w:pPr>
    <w:rPr>
      <w:rFonts w:ascii="宋体" w:hAnsi="宋体" w:cs="宋体"/>
    </w:rPr>
  </w:style>
  <w:style w:type="paragraph" w:customStyle="1" w:styleId="1726">
    <w:name w:val="表内5中11"/>
    <w:basedOn w:val="1"/>
    <w:autoRedefine/>
    <w:qFormat/>
    <w:uiPriority w:val="0"/>
    <w:pPr>
      <w:adjustRightInd w:val="0"/>
      <w:snapToGrid w:val="0"/>
      <w:jc w:val="center"/>
    </w:pPr>
    <w:rPr>
      <w:rFonts w:ascii="宋体" w:hAnsi="宋体" w:cs="Arial"/>
      <w:snapToGrid w:val="0"/>
      <w:color w:val="000000"/>
      <w:szCs w:val="21"/>
    </w:rPr>
  </w:style>
  <w:style w:type="paragraph" w:customStyle="1" w:styleId="1727">
    <w:name w:val="表内54141"/>
    <w:basedOn w:val="1"/>
    <w:autoRedefine/>
    <w:qFormat/>
    <w:uiPriority w:val="0"/>
    <w:pPr>
      <w:adjustRightInd w:val="0"/>
      <w:snapToGrid w:val="0"/>
      <w:spacing w:line="300" w:lineRule="auto"/>
      <w:jc w:val="center"/>
    </w:pPr>
    <w:rPr>
      <w:rFonts w:ascii="宋体" w:hAnsi="宋体" w:cs="宋体"/>
    </w:rPr>
  </w:style>
  <w:style w:type="paragraph" w:customStyle="1" w:styleId="1728">
    <w:name w:val="表内文字小12"/>
    <w:basedOn w:val="1"/>
    <w:autoRedefine/>
    <w:qFormat/>
    <w:uiPriority w:val="0"/>
    <w:pPr>
      <w:adjustRightInd w:val="0"/>
      <w:snapToGrid w:val="0"/>
      <w:jc w:val="center"/>
    </w:pPr>
    <w:rPr>
      <w:rFonts w:ascii="宋体" w:hAnsi="Times" w:cs="宋体"/>
    </w:rPr>
  </w:style>
  <w:style w:type="character" w:customStyle="1" w:styleId="1729">
    <w:name w:val="正文文本缩进 Char1"/>
    <w:autoRedefine/>
    <w:qFormat/>
    <w:uiPriority w:val="0"/>
    <w:rPr>
      <w:rFonts w:eastAsia="宋体"/>
      <w:kern w:val="2"/>
      <w:sz w:val="21"/>
      <w:szCs w:val="24"/>
      <w:lang w:val="en-US" w:eastAsia="zh-CN" w:bidi="ar-SA"/>
    </w:rPr>
  </w:style>
  <w:style w:type="paragraph" w:customStyle="1" w:styleId="1730">
    <w:name w:val="默认段落字体 Para Char4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731">
    <w:name w:val="正文格式81"/>
    <w:basedOn w:val="1"/>
    <w:autoRedefine/>
    <w:qFormat/>
    <w:uiPriority w:val="0"/>
    <w:pPr>
      <w:spacing w:line="360" w:lineRule="auto"/>
      <w:ind w:firstLine="482"/>
    </w:pPr>
    <w:rPr>
      <w:rFonts w:ascii="宋体" w:hAnsi="宋体" w:cs="宋体"/>
      <w:sz w:val="24"/>
    </w:rPr>
  </w:style>
  <w:style w:type="paragraph" w:customStyle="1" w:styleId="1732">
    <w:name w:val="正文格式91"/>
    <w:basedOn w:val="1"/>
    <w:autoRedefine/>
    <w:qFormat/>
    <w:uiPriority w:val="0"/>
    <w:pPr>
      <w:spacing w:line="360" w:lineRule="auto"/>
      <w:ind w:firstLine="482"/>
    </w:pPr>
    <w:rPr>
      <w:rFonts w:ascii="宋体" w:hAnsi="宋体" w:cs="宋体"/>
      <w:sz w:val="24"/>
    </w:rPr>
  </w:style>
  <w:style w:type="paragraph" w:customStyle="1" w:styleId="1733">
    <w:name w:val="Char421"/>
    <w:basedOn w:val="1"/>
    <w:autoRedefine/>
    <w:qFormat/>
    <w:uiPriority w:val="0"/>
    <w:pPr>
      <w:ind w:left="-48"/>
    </w:pPr>
    <w:rPr>
      <w:rFonts w:ascii="宋体" w:hAnsi="宋体" w:cs="宋体"/>
    </w:rPr>
  </w:style>
  <w:style w:type="paragraph" w:customStyle="1" w:styleId="1734">
    <w:name w:val="Char Char Char Char Char Char Char5"/>
    <w:basedOn w:val="1"/>
    <w:autoRedefine/>
    <w:qFormat/>
    <w:uiPriority w:val="0"/>
    <w:rPr>
      <w:rFonts w:ascii="宋体" w:hAnsi="宋体" w:cs="宋体"/>
    </w:rPr>
  </w:style>
  <w:style w:type="paragraph" w:customStyle="1" w:styleId="1735">
    <w:name w:val="Char161"/>
    <w:basedOn w:val="1"/>
    <w:autoRedefine/>
    <w:qFormat/>
    <w:uiPriority w:val="0"/>
    <w:pPr>
      <w:ind w:left="-48"/>
    </w:pPr>
    <w:rPr>
      <w:rFonts w:ascii="宋体" w:hAnsi="宋体" w:cs="宋体"/>
    </w:rPr>
  </w:style>
  <w:style w:type="paragraph" w:customStyle="1" w:styleId="1736">
    <w:name w:val="Char Char Char Char1 Char Char Char21"/>
    <w:basedOn w:val="1"/>
    <w:autoRedefine/>
    <w:qFormat/>
    <w:uiPriority w:val="0"/>
    <w:pPr>
      <w:widowControl/>
      <w:spacing w:after="160"/>
      <w:jc w:val="left"/>
    </w:pPr>
    <w:rPr>
      <w:rFonts w:ascii="Verdana" w:hAnsi="Verdana" w:cs="宋体"/>
      <w:kern w:val="0"/>
      <w:sz w:val="24"/>
      <w:lang w:eastAsia="en-US"/>
    </w:rPr>
  </w:style>
  <w:style w:type="character" w:customStyle="1" w:styleId="1737">
    <w:name w:val="Char Char1121"/>
    <w:autoRedefine/>
    <w:qFormat/>
    <w:uiPriority w:val="0"/>
    <w:rPr>
      <w:rFonts w:ascii="黑体" w:hAnsi="Arial" w:eastAsia="黑体"/>
      <w:bCs/>
      <w:kern w:val="2"/>
      <w:sz w:val="30"/>
      <w:szCs w:val="30"/>
      <w:lang w:val="en-US" w:eastAsia="zh-CN" w:bidi="ar-SA"/>
    </w:rPr>
  </w:style>
  <w:style w:type="paragraph" w:customStyle="1" w:styleId="1738">
    <w:name w:val="Char17"/>
    <w:basedOn w:val="1"/>
    <w:autoRedefine/>
    <w:qFormat/>
    <w:uiPriority w:val="0"/>
    <w:pPr>
      <w:ind w:left="-48"/>
    </w:pPr>
    <w:rPr>
      <w:rFonts w:ascii="宋体" w:hAnsi="宋体" w:cs="宋体"/>
    </w:rPr>
  </w:style>
  <w:style w:type="paragraph" w:customStyle="1" w:styleId="1739">
    <w:name w:val="Char Char Char Char Char Char Char131"/>
    <w:basedOn w:val="1"/>
    <w:autoRedefine/>
    <w:qFormat/>
    <w:uiPriority w:val="0"/>
    <w:rPr>
      <w:rFonts w:ascii="宋体" w:hAnsi="宋体" w:cs="宋体"/>
    </w:rPr>
  </w:style>
  <w:style w:type="character" w:customStyle="1" w:styleId="1740">
    <w:name w:val="Char Char621"/>
    <w:autoRedefine/>
    <w:qFormat/>
    <w:uiPriority w:val="0"/>
    <w:rPr>
      <w:rFonts w:ascii="黑体" w:eastAsia="黑体"/>
      <w:b/>
      <w:bCs/>
      <w:kern w:val="2"/>
      <w:sz w:val="28"/>
      <w:szCs w:val="28"/>
      <w:lang w:val="en-US" w:eastAsia="zh-CN" w:bidi="ar-SA"/>
    </w:rPr>
  </w:style>
  <w:style w:type="paragraph" w:customStyle="1" w:styleId="1741">
    <w:name w:val="Char231"/>
    <w:basedOn w:val="1"/>
    <w:autoRedefine/>
    <w:qFormat/>
    <w:uiPriority w:val="0"/>
    <w:pPr>
      <w:ind w:left="-48"/>
    </w:pPr>
    <w:rPr>
      <w:rFonts w:ascii="宋体" w:hAnsi="宋体" w:cs="宋体"/>
    </w:rPr>
  </w:style>
  <w:style w:type="paragraph" w:customStyle="1" w:styleId="1742">
    <w:name w:val="Char331"/>
    <w:basedOn w:val="1"/>
    <w:autoRedefine/>
    <w:qFormat/>
    <w:uiPriority w:val="0"/>
    <w:pPr>
      <w:ind w:left="-48"/>
    </w:pPr>
    <w:rPr>
      <w:rFonts w:ascii="宋体" w:hAnsi="宋体" w:cs="宋体"/>
    </w:rPr>
  </w:style>
  <w:style w:type="paragraph" w:customStyle="1" w:styleId="1743">
    <w:name w:val="Char Char Char Char Char Char Char221"/>
    <w:basedOn w:val="1"/>
    <w:autoRedefine/>
    <w:qFormat/>
    <w:uiPriority w:val="0"/>
    <w:rPr>
      <w:rFonts w:ascii="宋体" w:hAnsi="宋体" w:cs="宋体"/>
    </w:rPr>
  </w:style>
  <w:style w:type="paragraph" w:customStyle="1" w:styleId="1744">
    <w:name w:val="Char431"/>
    <w:basedOn w:val="1"/>
    <w:autoRedefine/>
    <w:qFormat/>
    <w:uiPriority w:val="0"/>
    <w:pPr>
      <w:ind w:left="-48"/>
    </w:pPr>
    <w:rPr>
      <w:rFonts w:ascii="宋体" w:hAnsi="宋体" w:cs="宋体"/>
    </w:rPr>
  </w:style>
  <w:style w:type="character" w:customStyle="1" w:styleId="1745">
    <w:name w:val="正文首行缩进 Char1"/>
    <w:autoRedefine/>
    <w:qFormat/>
    <w:uiPriority w:val="0"/>
    <w:rPr>
      <w:rFonts w:eastAsia="宋体"/>
      <w:kern w:val="2"/>
      <w:sz w:val="21"/>
      <w:szCs w:val="24"/>
      <w:lang w:val="en-US" w:eastAsia="zh-CN" w:bidi="ar-SA"/>
    </w:rPr>
  </w:style>
  <w:style w:type="character" w:customStyle="1" w:styleId="1746">
    <w:name w:val="正文文本缩进 2 Char1"/>
    <w:autoRedefine/>
    <w:qFormat/>
    <w:uiPriority w:val="0"/>
    <w:rPr>
      <w:rFonts w:eastAsia="宋体"/>
      <w:kern w:val="2"/>
      <w:sz w:val="24"/>
      <w:szCs w:val="24"/>
      <w:lang w:val="en-US" w:eastAsia="zh-CN" w:bidi="ar-SA"/>
    </w:rPr>
  </w:style>
  <w:style w:type="character" w:customStyle="1" w:styleId="1747">
    <w:name w:val="表格内容 Char1"/>
    <w:autoRedefine/>
    <w:qFormat/>
    <w:uiPriority w:val="0"/>
    <w:rPr>
      <w:rFonts w:eastAsia="宋体"/>
      <w:kern w:val="2"/>
      <w:sz w:val="21"/>
      <w:szCs w:val="21"/>
      <w:lang w:val="en-US" w:eastAsia="zh-CN" w:bidi="ar-SA"/>
    </w:rPr>
  </w:style>
  <w:style w:type="paragraph" w:customStyle="1" w:styleId="1748">
    <w:name w:val="正文格式82"/>
    <w:basedOn w:val="1"/>
    <w:autoRedefine/>
    <w:qFormat/>
    <w:uiPriority w:val="0"/>
    <w:pPr>
      <w:spacing w:line="360" w:lineRule="auto"/>
      <w:ind w:firstLine="482"/>
    </w:pPr>
    <w:rPr>
      <w:rFonts w:ascii="宋体" w:hAnsi="宋体" w:cs="宋体"/>
      <w:sz w:val="24"/>
    </w:rPr>
  </w:style>
  <w:style w:type="paragraph" w:customStyle="1" w:styleId="1749">
    <w:name w:val="正文格式12"/>
    <w:basedOn w:val="1"/>
    <w:autoRedefine/>
    <w:qFormat/>
    <w:uiPriority w:val="0"/>
    <w:pPr>
      <w:spacing w:line="360" w:lineRule="auto"/>
      <w:ind w:firstLine="482"/>
    </w:pPr>
    <w:rPr>
      <w:rFonts w:ascii="宋体" w:hAnsi="宋体" w:cs="宋体"/>
      <w:sz w:val="24"/>
    </w:rPr>
  </w:style>
  <w:style w:type="paragraph" w:customStyle="1" w:styleId="1750">
    <w:name w:val="图题9"/>
    <w:basedOn w:val="316"/>
    <w:next w:val="316"/>
    <w:autoRedefine/>
    <w:qFormat/>
    <w:uiPriority w:val="0"/>
    <w:pPr>
      <w:ind w:firstLine="0"/>
      <w:jc w:val="center"/>
    </w:pPr>
    <w:rPr>
      <w:rFonts w:ascii="黑体" w:hAnsi="宋体" w:eastAsia="黑体"/>
      <w:bCs/>
      <w:spacing w:val="0"/>
    </w:rPr>
  </w:style>
  <w:style w:type="paragraph" w:customStyle="1" w:styleId="1751">
    <w:name w:val="表格内字体9"/>
    <w:basedOn w:val="316"/>
    <w:next w:val="316"/>
    <w:autoRedefine/>
    <w:qFormat/>
    <w:uiPriority w:val="0"/>
    <w:pPr>
      <w:spacing w:line="240" w:lineRule="auto"/>
      <w:ind w:firstLine="0"/>
      <w:jc w:val="center"/>
    </w:pPr>
    <w:rPr>
      <w:rFonts w:hAnsi="宋体"/>
      <w:b w:val="0"/>
      <w:spacing w:val="0"/>
      <w:sz w:val="21"/>
    </w:rPr>
  </w:style>
  <w:style w:type="character" w:customStyle="1" w:styleId="1752">
    <w:name w:val="表格内字体 Char9"/>
    <w:autoRedefine/>
    <w:qFormat/>
    <w:uiPriority w:val="0"/>
    <w:rPr>
      <w:rFonts w:ascii="宋体" w:hAnsi="宋体" w:eastAsia="宋体"/>
      <w:kern w:val="2"/>
      <w:sz w:val="21"/>
      <w:szCs w:val="24"/>
      <w:lang w:val="en-US" w:eastAsia="zh-CN" w:bidi="ar-SA"/>
    </w:rPr>
  </w:style>
  <w:style w:type="character" w:customStyle="1" w:styleId="1753">
    <w:name w:val="正文格式 Char11"/>
    <w:autoRedefine/>
    <w:qFormat/>
    <w:uiPriority w:val="0"/>
    <w:rPr>
      <w:rFonts w:ascii="宋体" w:hAnsi="宋体" w:eastAsia="宋体"/>
      <w:kern w:val="2"/>
      <w:sz w:val="24"/>
      <w:szCs w:val="24"/>
      <w:lang w:val="en-US" w:eastAsia="zh-CN" w:bidi="ar-SA"/>
    </w:rPr>
  </w:style>
  <w:style w:type="character" w:customStyle="1" w:styleId="1754">
    <w:name w:val="标题 2 Char6"/>
    <w:autoRedefine/>
    <w:qFormat/>
    <w:uiPriority w:val="0"/>
    <w:rPr>
      <w:rFonts w:ascii="黑体" w:hAnsi="Arial" w:eastAsia="黑体"/>
      <w:b/>
      <w:bCs/>
      <w:kern w:val="2"/>
      <w:sz w:val="30"/>
      <w:szCs w:val="30"/>
      <w:lang w:val="en-US" w:eastAsia="zh-CN" w:bidi="ar-SA"/>
    </w:rPr>
  </w:style>
  <w:style w:type="character" w:customStyle="1" w:styleId="1755">
    <w:name w:val="标题 3 Char13"/>
    <w:autoRedefine/>
    <w:qFormat/>
    <w:uiPriority w:val="0"/>
    <w:rPr>
      <w:rFonts w:ascii="黑体" w:hAnsi="宋体" w:eastAsia="黑体"/>
      <w:b/>
      <w:bCs/>
      <w:kern w:val="2"/>
      <w:sz w:val="28"/>
      <w:szCs w:val="28"/>
      <w:lang w:val="en-US" w:eastAsia="zh-CN" w:bidi="ar-SA"/>
    </w:rPr>
  </w:style>
  <w:style w:type="paragraph" w:customStyle="1" w:styleId="1756">
    <w:name w:val="Char18"/>
    <w:basedOn w:val="1"/>
    <w:autoRedefine/>
    <w:qFormat/>
    <w:uiPriority w:val="0"/>
    <w:pPr>
      <w:ind w:left="-48"/>
    </w:pPr>
    <w:rPr>
      <w:rFonts w:ascii="宋体" w:hAnsi="宋体" w:cs="宋体"/>
    </w:rPr>
  </w:style>
  <w:style w:type="paragraph" w:customStyle="1" w:styleId="1757">
    <w:name w:val="表题17"/>
    <w:basedOn w:val="22"/>
    <w:autoRedefine/>
    <w:qFormat/>
    <w:uiPriority w:val="0"/>
    <w:pPr>
      <w:widowControl w:val="0"/>
      <w:spacing w:line="360" w:lineRule="auto"/>
      <w:jc w:val="center"/>
    </w:pPr>
    <w:rPr>
      <w:rFonts w:ascii="黑体" w:hAnsi="Arial" w:cs="Arial"/>
      <w:b/>
      <w:kern w:val="2"/>
    </w:rPr>
  </w:style>
  <w:style w:type="character" w:customStyle="1" w:styleId="1758">
    <w:name w:val="表题1 Char8"/>
    <w:autoRedefine/>
    <w:qFormat/>
    <w:uiPriority w:val="0"/>
    <w:rPr>
      <w:rFonts w:ascii="黑体" w:hAnsi="Arial" w:eastAsia="黑体" w:cs="Arial"/>
      <w:b/>
      <w:kern w:val="2"/>
      <w:sz w:val="24"/>
      <w:szCs w:val="24"/>
      <w:lang w:val="en-US" w:eastAsia="zh-CN" w:bidi="ar-SA"/>
    </w:rPr>
  </w:style>
  <w:style w:type="paragraph" w:customStyle="1" w:styleId="1759">
    <w:name w:val="默认段落字体 Para Char6"/>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760">
    <w:name w:val="23-47表名2"/>
    <w:basedOn w:val="1"/>
    <w:autoRedefine/>
    <w:qFormat/>
    <w:uiPriority w:val="0"/>
    <w:pPr>
      <w:spacing w:afterLines="50" w:line="440" w:lineRule="exact"/>
      <w:jc w:val="center"/>
    </w:pPr>
    <w:rPr>
      <w:rFonts w:ascii="宋体" w:hAnsi="宋体" w:cs="宋体"/>
      <w:b/>
      <w:sz w:val="24"/>
    </w:rPr>
  </w:style>
  <w:style w:type="paragraph" w:customStyle="1" w:styleId="1761">
    <w:name w:val="xl24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762">
    <w:name w:val="Char Char Char Char Char Char Char6"/>
    <w:basedOn w:val="1"/>
    <w:autoRedefine/>
    <w:qFormat/>
    <w:uiPriority w:val="0"/>
    <w:rPr>
      <w:rFonts w:ascii="宋体" w:hAnsi="宋体" w:cs="宋体"/>
    </w:rPr>
  </w:style>
  <w:style w:type="paragraph" w:customStyle="1" w:styleId="1763">
    <w:name w:val="Char19"/>
    <w:basedOn w:val="1"/>
    <w:autoRedefine/>
    <w:qFormat/>
    <w:uiPriority w:val="0"/>
    <w:pPr>
      <w:adjustRightInd w:val="0"/>
      <w:snapToGrid w:val="0"/>
      <w:ind w:left="-45"/>
    </w:pPr>
    <w:rPr>
      <w:rFonts w:ascii="宋体" w:hAnsi="宋体" w:cs="宋体"/>
    </w:rPr>
  </w:style>
  <w:style w:type="paragraph" w:customStyle="1" w:styleId="1764">
    <w:name w:val="燕山正文115"/>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1765">
    <w:name w:val="批注框文本 Char6"/>
    <w:autoRedefine/>
    <w:qFormat/>
    <w:uiPriority w:val="0"/>
    <w:rPr>
      <w:rFonts w:eastAsia="宋体"/>
      <w:kern w:val="2"/>
      <w:sz w:val="18"/>
      <w:szCs w:val="18"/>
      <w:lang w:val="en-US" w:eastAsia="zh-CN" w:bidi="ar-SA"/>
    </w:rPr>
  </w:style>
  <w:style w:type="paragraph" w:customStyle="1" w:styleId="1766">
    <w:name w:val="附件5"/>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767">
    <w:name w:val="标题4314"/>
    <w:basedOn w:val="1"/>
    <w:autoRedefine/>
    <w:qFormat/>
    <w:uiPriority w:val="0"/>
    <w:pPr>
      <w:adjustRightInd w:val="0"/>
      <w:snapToGrid w:val="0"/>
      <w:spacing w:line="480" w:lineRule="exact"/>
      <w:jc w:val="center"/>
    </w:pPr>
    <w:rPr>
      <w:rFonts w:ascii="宋体" w:hAnsi="宋体" w:cs="宋体"/>
      <w:sz w:val="24"/>
    </w:rPr>
  </w:style>
  <w:style w:type="character" w:customStyle="1" w:styleId="1768">
    <w:name w:val="正文文本缩进 Char2"/>
    <w:autoRedefine/>
    <w:qFormat/>
    <w:uiPriority w:val="0"/>
    <w:rPr>
      <w:rFonts w:ascii="宋体" w:hAnsi="宋体" w:eastAsia="宋体" w:cs="宋体"/>
      <w:color w:val="000000"/>
      <w:kern w:val="2"/>
      <w:sz w:val="24"/>
      <w:szCs w:val="24"/>
      <w:lang w:val="en-US" w:eastAsia="zh-CN" w:bidi="ar-SA"/>
    </w:rPr>
  </w:style>
  <w:style w:type="paragraph" w:customStyle="1" w:styleId="1769">
    <w:name w:val="表题412"/>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770">
    <w:name w:val="表内5416"/>
    <w:basedOn w:val="1"/>
    <w:autoRedefine/>
    <w:qFormat/>
    <w:uiPriority w:val="0"/>
    <w:pPr>
      <w:adjustRightInd w:val="0"/>
      <w:snapToGrid w:val="0"/>
      <w:spacing w:line="300" w:lineRule="auto"/>
      <w:jc w:val="center"/>
    </w:pPr>
    <w:rPr>
      <w:rFonts w:ascii="宋体" w:hAnsi="宋体" w:cs="宋体"/>
    </w:rPr>
  </w:style>
  <w:style w:type="paragraph" w:customStyle="1" w:styleId="1771">
    <w:name w:val="表内文字小215"/>
    <w:basedOn w:val="1"/>
    <w:autoRedefine/>
    <w:qFormat/>
    <w:uiPriority w:val="0"/>
    <w:pPr>
      <w:adjustRightInd w:val="0"/>
      <w:snapToGrid w:val="0"/>
      <w:jc w:val="center"/>
    </w:pPr>
    <w:rPr>
      <w:rFonts w:ascii="宋体" w:hAnsi="Times" w:cs="宋体"/>
      <w:bCs/>
      <w:color w:val="000000"/>
    </w:rPr>
  </w:style>
  <w:style w:type="paragraph" w:customStyle="1" w:styleId="1772">
    <w:name w:val="表题315"/>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773">
    <w:name w:val="Char Char Char Char Char Char Char7"/>
    <w:basedOn w:val="1"/>
    <w:autoRedefine/>
    <w:qFormat/>
    <w:uiPriority w:val="0"/>
    <w:rPr>
      <w:rFonts w:ascii="宋体" w:hAnsi="宋体" w:cs="宋体"/>
    </w:rPr>
  </w:style>
  <w:style w:type="character" w:customStyle="1" w:styleId="1774">
    <w:name w:val="正文文本缩进 2 Char2"/>
    <w:autoRedefine/>
    <w:qFormat/>
    <w:uiPriority w:val="0"/>
    <w:rPr>
      <w:rFonts w:eastAsia="宋体"/>
      <w:kern w:val="2"/>
      <w:sz w:val="21"/>
      <w:szCs w:val="24"/>
      <w:lang w:val="en-US" w:eastAsia="zh-CN" w:bidi="ar-SA"/>
    </w:rPr>
  </w:style>
  <w:style w:type="paragraph" w:customStyle="1" w:styleId="1775">
    <w:name w:val="表文字55"/>
    <w:basedOn w:val="1"/>
    <w:autoRedefine/>
    <w:qFormat/>
    <w:uiPriority w:val="0"/>
    <w:pPr>
      <w:adjustRightInd w:val="0"/>
      <w:jc w:val="left"/>
      <w:textAlignment w:val="baseline"/>
    </w:pPr>
    <w:rPr>
      <w:rFonts w:ascii="宋体" w:hAnsi="宋体" w:cs="宋体"/>
      <w:kern w:val="0"/>
    </w:rPr>
  </w:style>
  <w:style w:type="paragraph" w:customStyle="1" w:styleId="1776">
    <w:name w:val="表内文字小315"/>
    <w:basedOn w:val="1"/>
    <w:autoRedefine/>
    <w:qFormat/>
    <w:uiPriority w:val="0"/>
    <w:pPr>
      <w:adjustRightInd w:val="0"/>
      <w:snapToGrid w:val="0"/>
      <w:jc w:val="center"/>
    </w:pPr>
    <w:rPr>
      <w:rFonts w:ascii="宋体" w:hAnsi="Times" w:cs="宋体"/>
      <w:bCs/>
      <w:color w:val="003366"/>
    </w:rPr>
  </w:style>
  <w:style w:type="paragraph" w:customStyle="1" w:styleId="1777">
    <w:name w:val="表内宋511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1778">
    <w:name w:val="正文文本 Char3"/>
    <w:autoRedefine/>
    <w:qFormat/>
    <w:uiPriority w:val="0"/>
    <w:rPr>
      <w:rFonts w:eastAsia="宋体"/>
      <w:kern w:val="2"/>
      <w:sz w:val="24"/>
      <w:szCs w:val="24"/>
      <w:lang w:val="en-US" w:eastAsia="zh-CN" w:bidi="ar-SA"/>
    </w:rPr>
  </w:style>
  <w:style w:type="character" w:customStyle="1" w:styleId="1779">
    <w:name w:val="正文首行缩进 Char2"/>
    <w:autoRedefine/>
    <w:qFormat/>
    <w:uiPriority w:val="0"/>
    <w:rPr>
      <w:rFonts w:eastAsia="宋体"/>
      <w:kern w:val="2"/>
      <w:sz w:val="24"/>
      <w:szCs w:val="24"/>
      <w:lang w:val="en-US" w:eastAsia="zh-CN" w:bidi="ar-SA"/>
    </w:rPr>
  </w:style>
  <w:style w:type="paragraph" w:customStyle="1" w:styleId="1780">
    <w:name w:val="文本框3"/>
    <w:basedOn w:val="1"/>
    <w:autoRedefine/>
    <w:qFormat/>
    <w:uiPriority w:val="0"/>
    <w:pPr>
      <w:adjustRightInd w:val="0"/>
      <w:snapToGrid w:val="0"/>
      <w:spacing w:after="6"/>
      <w:jc w:val="center"/>
    </w:pPr>
    <w:rPr>
      <w:rFonts w:ascii="宋体" w:hAnsi="宋体" w:eastAsia="仿宋_GB2312" w:cs="宋体"/>
    </w:rPr>
  </w:style>
  <w:style w:type="paragraph" w:customStyle="1" w:styleId="1781">
    <w:name w:val="正文.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782">
    <w:name w:val="表5"/>
    <w:basedOn w:val="1"/>
    <w:autoRedefine/>
    <w:qFormat/>
    <w:uiPriority w:val="0"/>
    <w:pPr>
      <w:adjustRightInd w:val="0"/>
      <w:snapToGrid w:val="0"/>
      <w:jc w:val="center"/>
    </w:pPr>
    <w:rPr>
      <w:rFonts w:ascii="宋体" w:hAnsi="宋体" w:eastAsia="仿宋_GB2312" w:cs="宋体"/>
      <w:sz w:val="24"/>
    </w:rPr>
  </w:style>
  <w:style w:type="paragraph" w:customStyle="1" w:styleId="1783">
    <w:name w:val="默认段落字体 Para Char Char Char Char7"/>
    <w:basedOn w:val="1"/>
    <w:autoRedefine/>
    <w:qFormat/>
    <w:uiPriority w:val="0"/>
    <w:rPr>
      <w:rFonts w:ascii="宋体" w:hAnsi="宋体" w:cs="宋体"/>
    </w:rPr>
  </w:style>
  <w:style w:type="paragraph" w:customStyle="1" w:styleId="1784">
    <w:name w:val="黑体三号6"/>
    <w:basedOn w:val="316"/>
    <w:autoRedefine/>
    <w:qFormat/>
    <w:uiPriority w:val="0"/>
    <w:pPr>
      <w:jc w:val="center"/>
    </w:pPr>
    <w:rPr>
      <w:rFonts w:ascii="黑体" w:hAnsi="宋体" w:eastAsia="黑体"/>
      <w:bCs/>
      <w:spacing w:val="0"/>
      <w:sz w:val="32"/>
    </w:rPr>
  </w:style>
  <w:style w:type="paragraph" w:customStyle="1" w:styleId="1785">
    <w:name w:val="Char20"/>
    <w:basedOn w:val="1"/>
    <w:autoRedefine/>
    <w:qFormat/>
    <w:uiPriority w:val="0"/>
    <w:pPr>
      <w:ind w:left="-48"/>
    </w:pPr>
    <w:rPr>
      <w:rFonts w:ascii="宋体" w:hAnsi="宋体" w:cs="宋体"/>
    </w:rPr>
  </w:style>
  <w:style w:type="paragraph" w:customStyle="1" w:styleId="1786">
    <w:name w:val="样式14"/>
    <w:basedOn w:val="1228"/>
    <w:autoRedefine/>
    <w:qFormat/>
    <w:uiPriority w:val="0"/>
    <w:pPr>
      <w:spacing w:line="240" w:lineRule="auto"/>
      <w:ind w:firstLine="0"/>
      <w:jc w:val="center"/>
    </w:pPr>
    <w:rPr>
      <w:rFonts w:cs="Times New Roman"/>
      <w:b/>
      <w:color w:val="auto"/>
      <w:szCs w:val="20"/>
    </w:rPr>
  </w:style>
  <w:style w:type="character" w:customStyle="1" w:styleId="1787">
    <w:name w:val="正文文本缩进 3 Char4"/>
    <w:autoRedefine/>
    <w:qFormat/>
    <w:uiPriority w:val="0"/>
    <w:rPr>
      <w:rFonts w:eastAsia="宋体"/>
      <w:kern w:val="2"/>
      <w:sz w:val="16"/>
      <w:szCs w:val="16"/>
      <w:lang w:val="en-US" w:eastAsia="zh-CN" w:bidi="ar-SA"/>
    </w:rPr>
  </w:style>
  <w:style w:type="paragraph" w:customStyle="1" w:styleId="1788">
    <w:name w:val="燕山正文6"/>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789">
    <w:name w:val="燕山正文 Char16"/>
    <w:autoRedefine/>
    <w:qFormat/>
    <w:uiPriority w:val="0"/>
    <w:rPr>
      <w:rFonts w:ascii="宋体" w:eastAsia="宋体" w:cs="宋体"/>
      <w:kern w:val="2"/>
      <w:sz w:val="24"/>
      <w:szCs w:val="24"/>
      <w:lang w:val="en-US" w:eastAsia="zh-CN" w:bidi="ar-SA"/>
    </w:rPr>
  </w:style>
  <w:style w:type="paragraph" w:customStyle="1" w:styleId="1790">
    <w:name w:val="正文修改6"/>
    <w:basedOn w:val="1181"/>
    <w:autoRedefine/>
    <w:qFormat/>
    <w:uiPriority w:val="0"/>
    <w:rPr>
      <w:rFonts w:hAnsi="宋体"/>
      <w:color w:val="000000"/>
    </w:rPr>
  </w:style>
  <w:style w:type="character" w:customStyle="1" w:styleId="1791">
    <w:name w:val="正文修改 Char16"/>
    <w:autoRedefine/>
    <w:qFormat/>
    <w:uiPriority w:val="0"/>
    <w:rPr>
      <w:rFonts w:ascii="宋体" w:hAnsi="宋体" w:eastAsia="宋体" w:cs="宋体"/>
      <w:color w:val="000000"/>
      <w:kern w:val="2"/>
      <w:sz w:val="24"/>
      <w:szCs w:val="24"/>
      <w:lang w:val="en-US" w:eastAsia="zh-CN" w:bidi="ar-SA"/>
    </w:rPr>
  </w:style>
  <w:style w:type="character" w:customStyle="1" w:styleId="1792">
    <w:name w:val="题注 Char7"/>
    <w:autoRedefine/>
    <w:qFormat/>
    <w:uiPriority w:val="0"/>
    <w:rPr>
      <w:rFonts w:ascii="黑体" w:hAnsi="Arial" w:eastAsia="黑体" w:cs="Arial"/>
      <w:spacing w:val="10"/>
      <w:kern w:val="2"/>
      <w:sz w:val="24"/>
      <w:szCs w:val="24"/>
      <w:lang w:val="en-US" w:eastAsia="zh-CN" w:bidi="ar-SA"/>
    </w:rPr>
  </w:style>
  <w:style w:type="paragraph" w:customStyle="1" w:styleId="1793">
    <w:name w:val="首行缩进:  0.99 厘米 + 首行缩进:  2 字符2"/>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1794">
    <w:name w:val="正文文本 3 Char2"/>
    <w:autoRedefine/>
    <w:qFormat/>
    <w:uiPriority w:val="0"/>
    <w:rPr>
      <w:rFonts w:eastAsia="宋体"/>
      <w:kern w:val="2"/>
      <w:sz w:val="16"/>
      <w:szCs w:val="16"/>
      <w:lang w:val="en-US" w:eastAsia="zh-CN" w:bidi="ar-SA"/>
    </w:rPr>
  </w:style>
  <w:style w:type="paragraph" w:customStyle="1" w:styleId="1795">
    <w:name w:val="图表名称2"/>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1796">
    <w:name w:val="表内文字边2"/>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797">
    <w:name w:val="正文缩2"/>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1798">
    <w:name w:val="样式22"/>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1799">
    <w:name w:val="默认段落字体 Para Char Char Char Char Char2"/>
    <w:basedOn w:val="1"/>
    <w:autoRedefine/>
    <w:qFormat/>
    <w:uiPriority w:val="0"/>
    <w:rPr>
      <w:rFonts w:ascii="宋体" w:hAnsi="宋体" w:cs="宋体"/>
    </w:rPr>
  </w:style>
  <w:style w:type="paragraph" w:customStyle="1" w:styleId="1800">
    <w:name w:val="表中文字7"/>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01">
    <w:name w:val="表内宋5中4"/>
    <w:basedOn w:val="1"/>
    <w:autoRedefine/>
    <w:qFormat/>
    <w:uiPriority w:val="0"/>
    <w:pPr>
      <w:adjustRightInd w:val="0"/>
      <w:snapToGrid w:val="0"/>
      <w:textAlignment w:val="baseline"/>
    </w:pPr>
    <w:rPr>
      <w:rFonts w:ascii="宋体" w:hAnsi="宋体" w:cs="宋体"/>
      <w:color w:val="000000"/>
      <w:kern w:val="0"/>
    </w:rPr>
  </w:style>
  <w:style w:type="character" w:customStyle="1" w:styleId="1802">
    <w:name w:val="表中文字 Char26"/>
    <w:autoRedefine/>
    <w:qFormat/>
    <w:uiPriority w:val="0"/>
    <w:rPr>
      <w:rFonts w:ascii="宋体" w:eastAsia="宋体"/>
      <w:kern w:val="2"/>
      <w:sz w:val="21"/>
      <w:szCs w:val="21"/>
      <w:lang w:val="en-US" w:eastAsia="zh-CN" w:bidi="ar-SA"/>
    </w:rPr>
  </w:style>
  <w:style w:type="paragraph" w:customStyle="1" w:styleId="1803">
    <w:name w:val="样式 标题 3 + 段前: 12 磅2"/>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804">
    <w:name w:val="表内文字小4"/>
    <w:basedOn w:val="1"/>
    <w:autoRedefine/>
    <w:qFormat/>
    <w:uiPriority w:val="0"/>
    <w:pPr>
      <w:adjustRightInd w:val="0"/>
      <w:snapToGrid w:val="0"/>
      <w:jc w:val="center"/>
    </w:pPr>
    <w:rPr>
      <w:rFonts w:ascii="宋体" w:hAnsi="Times" w:cs="宋体"/>
    </w:rPr>
  </w:style>
  <w:style w:type="paragraph" w:customStyle="1" w:styleId="1805">
    <w:name w:val="表内54"/>
    <w:basedOn w:val="1"/>
    <w:autoRedefine/>
    <w:qFormat/>
    <w:uiPriority w:val="0"/>
    <w:pPr>
      <w:adjustRightInd w:val="0"/>
      <w:snapToGrid w:val="0"/>
      <w:spacing w:line="300" w:lineRule="auto"/>
      <w:jc w:val="left"/>
    </w:pPr>
    <w:rPr>
      <w:rFonts w:ascii="宋体" w:hAnsi="宋体" w:cs="宋体"/>
      <w:sz w:val="18"/>
    </w:rPr>
  </w:style>
  <w:style w:type="paragraph" w:customStyle="1" w:styleId="1806">
    <w:name w:val="Char Char Char Char1 Char Char Char3"/>
    <w:basedOn w:val="1"/>
    <w:autoRedefine/>
    <w:qFormat/>
    <w:uiPriority w:val="0"/>
    <w:pPr>
      <w:widowControl/>
      <w:spacing w:after="160"/>
      <w:jc w:val="left"/>
    </w:pPr>
    <w:rPr>
      <w:rFonts w:ascii="Verdana" w:hAnsi="Verdana" w:cs="宋体"/>
      <w:kern w:val="0"/>
      <w:sz w:val="24"/>
      <w:lang w:eastAsia="en-US"/>
    </w:rPr>
  </w:style>
  <w:style w:type="paragraph" w:customStyle="1" w:styleId="1807">
    <w:name w:val="正文格式13"/>
    <w:basedOn w:val="1"/>
    <w:autoRedefine/>
    <w:qFormat/>
    <w:uiPriority w:val="0"/>
    <w:pPr>
      <w:spacing w:line="360" w:lineRule="auto"/>
      <w:ind w:firstLine="482"/>
    </w:pPr>
    <w:rPr>
      <w:rFonts w:ascii="宋体" w:hAnsi="宋体" w:cs="宋体"/>
      <w:sz w:val="24"/>
    </w:rPr>
  </w:style>
  <w:style w:type="paragraph" w:customStyle="1" w:styleId="1808">
    <w:name w:val="图题12"/>
    <w:basedOn w:val="316"/>
    <w:next w:val="316"/>
    <w:autoRedefine/>
    <w:qFormat/>
    <w:uiPriority w:val="0"/>
    <w:pPr>
      <w:ind w:firstLine="0"/>
      <w:jc w:val="center"/>
    </w:pPr>
    <w:rPr>
      <w:rFonts w:ascii="黑体" w:hAnsi="宋体" w:eastAsia="黑体"/>
      <w:bCs/>
      <w:spacing w:val="0"/>
    </w:rPr>
  </w:style>
  <w:style w:type="paragraph" w:customStyle="1" w:styleId="1809">
    <w:name w:val="表格内字体13"/>
    <w:basedOn w:val="316"/>
    <w:next w:val="316"/>
    <w:autoRedefine/>
    <w:qFormat/>
    <w:uiPriority w:val="0"/>
    <w:pPr>
      <w:spacing w:line="240" w:lineRule="auto"/>
      <w:ind w:firstLine="0"/>
      <w:jc w:val="center"/>
    </w:pPr>
    <w:rPr>
      <w:rFonts w:hAnsi="宋体"/>
      <w:b w:val="0"/>
      <w:spacing w:val="0"/>
      <w:sz w:val="21"/>
    </w:rPr>
  </w:style>
  <w:style w:type="character" w:customStyle="1" w:styleId="1810">
    <w:name w:val="Char Char1131"/>
    <w:autoRedefine/>
    <w:qFormat/>
    <w:uiPriority w:val="0"/>
    <w:rPr>
      <w:rFonts w:ascii="黑体" w:hAnsi="Arial" w:eastAsia="黑体"/>
      <w:bCs/>
      <w:kern w:val="2"/>
      <w:sz w:val="30"/>
      <w:szCs w:val="30"/>
      <w:lang w:val="en-US" w:eastAsia="zh-CN" w:bidi="ar-SA"/>
    </w:rPr>
  </w:style>
  <w:style w:type="paragraph" w:customStyle="1" w:styleId="1811">
    <w:name w:val="Char110"/>
    <w:basedOn w:val="1"/>
    <w:autoRedefine/>
    <w:qFormat/>
    <w:uiPriority w:val="0"/>
    <w:pPr>
      <w:ind w:left="-48"/>
    </w:pPr>
    <w:rPr>
      <w:rFonts w:ascii="宋体" w:hAnsi="宋体" w:cs="宋体"/>
    </w:rPr>
  </w:style>
  <w:style w:type="paragraph" w:customStyle="1" w:styleId="1812">
    <w:name w:val="正文格式23"/>
    <w:basedOn w:val="1"/>
    <w:autoRedefine/>
    <w:qFormat/>
    <w:uiPriority w:val="0"/>
    <w:pPr>
      <w:spacing w:line="360" w:lineRule="auto"/>
      <w:ind w:firstLine="482"/>
    </w:pPr>
    <w:rPr>
      <w:rFonts w:ascii="宋体" w:hAnsi="宋体" w:cs="宋体"/>
      <w:sz w:val="24"/>
    </w:rPr>
  </w:style>
  <w:style w:type="paragraph" w:customStyle="1" w:styleId="1813">
    <w:name w:val="Char111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814">
    <w:name w:val="题注 Char12"/>
    <w:autoRedefine/>
    <w:qFormat/>
    <w:uiPriority w:val="0"/>
    <w:rPr>
      <w:rFonts w:ascii="黑体" w:hAnsi="Arial" w:eastAsia="黑体" w:cs="Arial"/>
      <w:spacing w:val="10"/>
      <w:kern w:val="2"/>
      <w:sz w:val="24"/>
      <w:szCs w:val="24"/>
      <w:lang w:val="en-US" w:eastAsia="zh-CN" w:bidi="ar-SA"/>
    </w:rPr>
  </w:style>
  <w:style w:type="paragraph" w:customStyle="1" w:styleId="1815">
    <w:name w:val="图题23"/>
    <w:basedOn w:val="316"/>
    <w:next w:val="316"/>
    <w:autoRedefine/>
    <w:qFormat/>
    <w:uiPriority w:val="0"/>
    <w:pPr>
      <w:ind w:firstLine="0"/>
      <w:jc w:val="center"/>
    </w:pPr>
    <w:rPr>
      <w:rFonts w:ascii="黑体" w:hAnsi="宋体" w:eastAsia="黑体"/>
      <w:bCs/>
      <w:spacing w:val="0"/>
    </w:rPr>
  </w:style>
  <w:style w:type="paragraph" w:customStyle="1" w:styleId="1816">
    <w:name w:val="表格内字体23"/>
    <w:basedOn w:val="316"/>
    <w:next w:val="316"/>
    <w:autoRedefine/>
    <w:qFormat/>
    <w:uiPriority w:val="0"/>
    <w:pPr>
      <w:spacing w:line="240" w:lineRule="auto"/>
      <w:ind w:firstLine="0"/>
      <w:jc w:val="center"/>
    </w:pPr>
    <w:rPr>
      <w:rFonts w:hAnsi="宋体"/>
      <w:b w:val="0"/>
      <w:spacing w:val="0"/>
      <w:sz w:val="21"/>
    </w:rPr>
  </w:style>
  <w:style w:type="paragraph" w:customStyle="1" w:styleId="1817">
    <w:name w:val="表内54112"/>
    <w:basedOn w:val="1"/>
    <w:autoRedefine/>
    <w:qFormat/>
    <w:uiPriority w:val="0"/>
    <w:pPr>
      <w:adjustRightInd w:val="0"/>
      <w:snapToGrid w:val="0"/>
      <w:spacing w:line="300" w:lineRule="auto"/>
      <w:jc w:val="center"/>
    </w:pPr>
    <w:rPr>
      <w:rFonts w:ascii="宋体" w:hAnsi="宋体" w:cs="宋体"/>
    </w:rPr>
  </w:style>
  <w:style w:type="paragraph" w:customStyle="1" w:styleId="1818">
    <w:name w:val="表内文字小2112"/>
    <w:basedOn w:val="1"/>
    <w:autoRedefine/>
    <w:qFormat/>
    <w:uiPriority w:val="0"/>
    <w:pPr>
      <w:adjustRightInd w:val="0"/>
      <w:snapToGrid w:val="0"/>
      <w:jc w:val="center"/>
    </w:pPr>
    <w:rPr>
      <w:rFonts w:ascii="宋体" w:hAnsi="Times" w:cs="宋体"/>
      <w:bCs/>
      <w:color w:val="000000"/>
    </w:rPr>
  </w:style>
  <w:style w:type="paragraph" w:customStyle="1" w:styleId="1819">
    <w:name w:val="表题311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20">
    <w:name w:val="Char Char Char Char Char Char Char141"/>
    <w:basedOn w:val="1"/>
    <w:autoRedefine/>
    <w:qFormat/>
    <w:uiPriority w:val="0"/>
    <w:rPr>
      <w:rFonts w:ascii="宋体" w:hAnsi="宋体" w:cs="宋体"/>
    </w:rPr>
  </w:style>
  <w:style w:type="paragraph" w:customStyle="1" w:styleId="1821">
    <w:name w:val="标题43112"/>
    <w:basedOn w:val="1"/>
    <w:autoRedefine/>
    <w:qFormat/>
    <w:uiPriority w:val="0"/>
    <w:pPr>
      <w:adjustRightInd w:val="0"/>
      <w:snapToGrid w:val="0"/>
      <w:spacing w:line="480" w:lineRule="exact"/>
      <w:jc w:val="center"/>
    </w:pPr>
    <w:rPr>
      <w:rFonts w:ascii="宋体" w:hAnsi="宋体" w:cs="宋体"/>
      <w:sz w:val="24"/>
    </w:rPr>
  </w:style>
  <w:style w:type="paragraph" w:customStyle="1" w:styleId="1822">
    <w:name w:val="燕山正文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823">
    <w:name w:val="默认段落字体 Para Char Char Char Char12"/>
    <w:basedOn w:val="1"/>
    <w:autoRedefine/>
    <w:qFormat/>
    <w:uiPriority w:val="0"/>
    <w:rPr>
      <w:rFonts w:ascii="宋体" w:hAnsi="宋体" w:cs="宋体"/>
    </w:rPr>
  </w:style>
  <w:style w:type="paragraph" w:customStyle="1" w:styleId="1824">
    <w:name w:val="附件12"/>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825">
    <w:name w:val="黑体三号12"/>
    <w:basedOn w:val="316"/>
    <w:autoRedefine/>
    <w:qFormat/>
    <w:uiPriority w:val="0"/>
    <w:pPr>
      <w:jc w:val="center"/>
    </w:pPr>
    <w:rPr>
      <w:rFonts w:ascii="黑体" w:hAnsi="宋体" w:eastAsia="黑体"/>
      <w:bCs/>
      <w:spacing w:val="0"/>
      <w:sz w:val="32"/>
    </w:rPr>
  </w:style>
  <w:style w:type="character" w:customStyle="1" w:styleId="1826">
    <w:name w:val="Char Char631"/>
    <w:autoRedefine/>
    <w:qFormat/>
    <w:uiPriority w:val="0"/>
    <w:rPr>
      <w:rFonts w:ascii="黑体" w:eastAsia="黑体"/>
      <w:b/>
      <w:bCs/>
      <w:kern w:val="2"/>
      <w:sz w:val="28"/>
      <w:szCs w:val="28"/>
      <w:lang w:val="en-US" w:eastAsia="zh-CN" w:bidi="ar-SA"/>
    </w:rPr>
  </w:style>
  <w:style w:type="paragraph" w:customStyle="1" w:styleId="1827">
    <w:name w:val="表题113"/>
    <w:basedOn w:val="22"/>
    <w:autoRedefine/>
    <w:qFormat/>
    <w:uiPriority w:val="0"/>
    <w:pPr>
      <w:widowControl w:val="0"/>
      <w:spacing w:line="360" w:lineRule="auto"/>
      <w:jc w:val="center"/>
    </w:pPr>
    <w:rPr>
      <w:rFonts w:ascii="黑体" w:hAnsi="Arial" w:cs="Arial"/>
      <w:kern w:val="2"/>
    </w:rPr>
  </w:style>
  <w:style w:type="paragraph" w:customStyle="1" w:styleId="1828">
    <w:name w:val="燕山正文14"/>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829">
    <w:name w:val="正文修改12"/>
    <w:basedOn w:val="1181"/>
    <w:autoRedefine/>
    <w:qFormat/>
    <w:uiPriority w:val="0"/>
    <w:rPr>
      <w:rFonts w:hAnsi="宋体"/>
      <w:color w:val="000000"/>
    </w:rPr>
  </w:style>
  <w:style w:type="character" w:customStyle="1" w:styleId="1830">
    <w:name w:val="正文修改 Char112"/>
    <w:autoRedefine/>
    <w:qFormat/>
    <w:uiPriority w:val="0"/>
    <w:rPr>
      <w:rFonts w:ascii="宋体" w:hAnsi="宋体" w:eastAsia="宋体" w:cs="宋体"/>
      <w:color w:val="000000"/>
      <w:kern w:val="2"/>
      <w:sz w:val="24"/>
      <w:szCs w:val="24"/>
      <w:lang w:val="en-US" w:eastAsia="zh-CN" w:bidi="ar-SA"/>
    </w:rPr>
  </w:style>
  <w:style w:type="paragraph" w:customStyle="1" w:styleId="1831">
    <w:name w:val="表中文字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32">
    <w:name w:val="表文字513"/>
    <w:basedOn w:val="1"/>
    <w:autoRedefine/>
    <w:qFormat/>
    <w:uiPriority w:val="0"/>
    <w:pPr>
      <w:adjustRightInd w:val="0"/>
      <w:jc w:val="left"/>
      <w:textAlignment w:val="baseline"/>
    </w:pPr>
    <w:rPr>
      <w:rFonts w:ascii="宋体" w:hAnsi="宋体" w:cs="宋体"/>
      <w:kern w:val="0"/>
    </w:rPr>
  </w:style>
  <w:style w:type="paragraph" w:customStyle="1" w:styleId="1833">
    <w:name w:val="表内文字小3112"/>
    <w:basedOn w:val="1"/>
    <w:autoRedefine/>
    <w:qFormat/>
    <w:uiPriority w:val="0"/>
    <w:pPr>
      <w:adjustRightInd w:val="0"/>
      <w:snapToGrid w:val="0"/>
      <w:jc w:val="center"/>
    </w:pPr>
    <w:rPr>
      <w:rFonts w:ascii="宋体" w:hAnsi="Times" w:cs="宋体"/>
      <w:bCs/>
      <w:color w:val="003366"/>
    </w:rPr>
  </w:style>
  <w:style w:type="paragraph" w:customStyle="1" w:styleId="1834">
    <w:name w:val="样式112"/>
    <w:basedOn w:val="1228"/>
    <w:autoRedefine/>
    <w:qFormat/>
    <w:uiPriority w:val="0"/>
    <w:pPr>
      <w:spacing w:line="240" w:lineRule="auto"/>
      <w:ind w:firstLine="0"/>
      <w:jc w:val="center"/>
    </w:pPr>
    <w:rPr>
      <w:rFonts w:cs="Times New Roman"/>
      <w:b/>
      <w:color w:val="auto"/>
      <w:szCs w:val="20"/>
    </w:rPr>
  </w:style>
  <w:style w:type="paragraph" w:customStyle="1" w:styleId="1835">
    <w:name w:val="Char241"/>
    <w:basedOn w:val="1"/>
    <w:autoRedefine/>
    <w:qFormat/>
    <w:uiPriority w:val="0"/>
    <w:pPr>
      <w:ind w:left="-48"/>
    </w:pPr>
    <w:rPr>
      <w:rFonts w:ascii="宋体" w:hAnsi="宋体" w:cs="宋体"/>
    </w:rPr>
  </w:style>
  <w:style w:type="paragraph" w:customStyle="1" w:styleId="1836">
    <w:name w:val="表内文字小24"/>
    <w:basedOn w:val="1"/>
    <w:autoRedefine/>
    <w:qFormat/>
    <w:uiPriority w:val="0"/>
    <w:pPr>
      <w:adjustRightInd w:val="0"/>
      <w:snapToGrid w:val="0"/>
      <w:jc w:val="center"/>
    </w:pPr>
    <w:rPr>
      <w:rFonts w:ascii="宋体" w:hAnsi="Times" w:cs="宋体"/>
      <w:bCs/>
      <w:color w:val="000000"/>
    </w:rPr>
  </w:style>
  <w:style w:type="paragraph" w:customStyle="1" w:styleId="1837">
    <w:name w:val="表内533"/>
    <w:basedOn w:val="1"/>
    <w:autoRedefine/>
    <w:qFormat/>
    <w:uiPriority w:val="0"/>
    <w:pPr>
      <w:adjustRightInd w:val="0"/>
      <w:snapToGrid w:val="0"/>
      <w:spacing w:line="300" w:lineRule="auto"/>
      <w:jc w:val="left"/>
    </w:pPr>
    <w:rPr>
      <w:rFonts w:ascii="宋体" w:hAnsi="宋体" w:cs="宋体"/>
    </w:rPr>
  </w:style>
  <w:style w:type="paragraph" w:customStyle="1" w:styleId="1838">
    <w:name w:val="正文格式32"/>
    <w:basedOn w:val="1"/>
    <w:autoRedefine/>
    <w:qFormat/>
    <w:uiPriority w:val="0"/>
    <w:pPr>
      <w:spacing w:line="360" w:lineRule="auto"/>
      <w:ind w:firstLine="482"/>
    </w:pPr>
    <w:rPr>
      <w:rFonts w:ascii="宋体" w:hAnsi="宋体" w:cs="宋体"/>
      <w:sz w:val="24"/>
    </w:rPr>
  </w:style>
  <w:style w:type="paragraph" w:customStyle="1" w:styleId="1839">
    <w:name w:val="Char25"/>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840">
    <w:name w:val="题注 Char22"/>
    <w:autoRedefine/>
    <w:qFormat/>
    <w:uiPriority w:val="0"/>
    <w:rPr>
      <w:rFonts w:ascii="黑体" w:hAnsi="Arial" w:eastAsia="黑体" w:cs="Arial"/>
      <w:spacing w:val="10"/>
      <w:kern w:val="2"/>
      <w:sz w:val="24"/>
      <w:szCs w:val="24"/>
      <w:lang w:val="en-US" w:eastAsia="zh-CN" w:bidi="ar-SA"/>
    </w:rPr>
  </w:style>
  <w:style w:type="paragraph" w:customStyle="1" w:styleId="1841">
    <w:name w:val="图题32"/>
    <w:basedOn w:val="316"/>
    <w:next w:val="316"/>
    <w:autoRedefine/>
    <w:qFormat/>
    <w:uiPriority w:val="0"/>
    <w:pPr>
      <w:ind w:firstLine="0"/>
      <w:jc w:val="center"/>
    </w:pPr>
    <w:rPr>
      <w:rFonts w:ascii="黑体" w:hAnsi="宋体" w:eastAsia="黑体"/>
      <w:bCs/>
      <w:spacing w:val="0"/>
    </w:rPr>
  </w:style>
  <w:style w:type="paragraph" w:customStyle="1" w:styleId="1842">
    <w:name w:val="表格内字体32"/>
    <w:basedOn w:val="316"/>
    <w:next w:val="316"/>
    <w:autoRedefine/>
    <w:qFormat/>
    <w:uiPriority w:val="0"/>
    <w:pPr>
      <w:spacing w:line="240" w:lineRule="auto"/>
      <w:ind w:firstLine="0"/>
      <w:jc w:val="center"/>
    </w:pPr>
    <w:rPr>
      <w:rFonts w:hAnsi="宋体"/>
      <w:b w:val="0"/>
      <w:spacing w:val="0"/>
      <w:sz w:val="21"/>
    </w:rPr>
  </w:style>
  <w:style w:type="paragraph" w:customStyle="1" w:styleId="1843">
    <w:name w:val="表内54122"/>
    <w:basedOn w:val="1"/>
    <w:autoRedefine/>
    <w:qFormat/>
    <w:uiPriority w:val="0"/>
    <w:pPr>
      <w:adjustRightInd w:val="0"/>
      <w:snapToGrid w:val="0"/>
      <w:spacing w:line="300" w:lineRule="auto"/>
      <w:jc w:val="center"/>
    </w:pPr>
    <w:rPr>
      <w:rFonts w:ascii="宋体" w:hAnsi="宋体" w:cs="宋体"/>
    </w:rPr>
  </w:style>
  <w:style w:type="paragraph" w:customStyle="1" w:styleId="1844">
    <w:name w:val="表内文字小2122"/>
    <w:basedOn w:val="1"/>
    <w:autoRedefine/>
    <w:qFormat/>
    <w:uiPriority w:val="0"/>
    <w:pPr>
      <w:adjustRightInd w:val="0"/>
      <w:snapToGrid w:val="0"/>
      <w:jc w:val="center"/>
    </w:pPr>
    <w:rPr>
      <w:rFonts w:ascii="宋体" w:hAnsi="Times" w:cs="宋体"/>
      <w:bCs/>
      <w:color w:val="000000"/>
    </w:rPr>
  </w:style>
  <w:style w:type="paragraph" w:customStyle="1" w:styleId="1845">
    <w:name w:val="表题312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46">
    <w:name w:val="标题43122"/>
    <w:basedOn w:val="1"/>
    <w:autoRedefine/>
    <w:qFormat/>
    <w:uiPriority w:val="0"/>
    <w:pPr>
      <w:adjustRightInd w:val="0"/>
      <w:snapToGrid w:val="0"/>
      <w:spacing w:line="480" w:lineRule="exact"/>
      <w:jc w:val="center"/>
    </w:pPr>
    <w:rPr>
      <w:rFonts w:ascii="宋体" w:hAnsi="宋体" w:cs="宋体"/>
      <w:sz w:val="24"/>
    </w:rPr>
  </w:style>
  <w:style w:type="paragraph" w:customStyle="1" w:styleId="1847">
    <w:name w:val="燕山正文112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848">
    <w:name w:val="默认段落字体 Para Char Char Char Char22"/>
    <w:basedOn w:val="1"/>
    <w:autoRedefine/>
    <w:qFormat/>
    <w:uiPriority w:val="0"/>
    <w:rPr>
      <w:rFonts w:ascii="宋体" w:hAnsi="宋体" w:cs="宋体"/>
    </w:rPr>
  </w:style>
  <w:style w:type="paragraph" w:customStyle="1" w:styleId="1849">
    <w:name w:val="附件22"/>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850">
    <w:name w:val="黑体三号22"/>
    <w:basedOn w:val="316"/>
    <w:autoRedefine/>
    <w:qFormat/>
    <w:uiPriority w:val="0"/>
    <w:pPr>
      <w:jc w:val="center"/>
    </w:pPr>
    <w:rPr>
      <w:rFonts w:ascii="黑体" w:hAnsi="宋体" w:eastAsia="黑体"/>
      <w:bCs/>
      <w:spacing w:val="0"/>
      <w:sz w:val="32"/>
    </w:rPr>
  </w:style>
  <w:style w:type="paragraph" w:customStyle="1" w:styleId="1851">
    <w:name w:val="表22"/>
    <w:basedOn w:val="1"/>
    <w:autoRedefine/>
    <w:qFormat/>
    <w:uiPriority w:val="0"/>
    <w:pPr>
      <w:adjustRightInd w:val="0"/>
      <w:snapToGrid w:val="0"/>
      <w:jc w:val="center"/>
    </w:pPr>
    <w:rPr>
      <w:rFonts w:ascii="宋体" w:hAnsi="宋体" w:eastAsia="仿宋_GB2312" w:cs="宋体"/>
      <w:sz w:val="24"/>
    </w:rPr>
  </w:style>
  <w:style w:type="paragraph" w:customStyle="1" w:styleId="1852">
    <w:name w:val="表题122"/>
    <w:basedOn w:val="22"/>
    <w:autoRedefine/>
    <w:qFormat/>
    <w:uiPriority w:val="0"/>
    <w:pPr>
      <w:widowControl w:val="0"/>
      <w:spacing w:line="360" w:lineRule="auto"/>
      <w:jc w:val="center"/>
    </w:pPr>
    <w:rPr>
      <w:rFonts w:ascii="黑体" w:hAnsi="Arial" w:cs="Arial"/>
      <w:b/>
      <w:kern w:val="2"/>
    </w:rPr>
  </w:style>
  <w:style w:type="paragraph" w:customStyle="1" w:styleId="1853">
    <w:name w:val="燕山正文2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854">
    <w:name w:val="正文修改22"/>
    <w:basedOn w:val="1181"/>
    <w:autoRedefine/>
    <w:qFormat/>
    <w:uiPriority w:val="0"/>
    <w:rPr>
      <w:rFonts w:hAnsi="宋体"/>
      <w:color w:val="000000"/>
    </w:rPr>
  </w:style>
  <w:style w:type="character" w:customStyle="1" w:styleId="1855">
    <w:name w:val="正文修改 Char122"/>
    <w:autoRedefine/>
    <w:qFormat/>
    <w:uiPriority w:val="0"/>
    <w:rPr>
      <w:rFonts w:ascii="宋体" w:hAnsi="宋体" w:eastAsia="宋体" w:cs="宋体"/>
      <w:color w:val="000000"/>
      <w:kern w:val="2"/>
      <w:sz w:val="24"/>
      <w:szCs w:val="24"/>
      <w:lang w:val="en-US" w:eastAsia="zh-CN" w:bidi="ar-SA"/>
    </w:rPr>
  </w:style>
  <w:style w:type="paragraph" w:customStyle="1" w:styleId="1856">
    <w:name w:val="表中文字22"/>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1857">
    <w:name w:val="表文字522"/>
    <w:basedOn w:val="1"/>
    <w:autoRedefine/>
    <w:qFormat/>
    <w:uiPriority w:val="0"/>
    <w:pPr>
      <w:adjustRightInd w:val="0"/>
      <w:jc w:val="left"/>
      <w:textAlignment w:val="baseline"/>
    </w:pPr>
    <w:rPr>
      <w:rFonts w:ascii="宋体" w:hAnsi="宋体" w:cs="宋体"/>
      <w:kern w:val="0"/>
    </w:rPr>
  </w:style>
  <w:style w:type="paragraph" w:customStyle="1" w:styleId="1858">
    <w:name w:val="表内文字小3122"/>
    <w:basedOn w:val="1"/>
    <w:autoRedefine/>
    <w:qFormat/>
    <w:uiPriority w:val="0"/>
    <w:pPr>
      <w:adjustRightInd w:val="0"/>
      <w:snapToGrid w:val="0"/>
      <w:jc w:val="center"/>
    </w:pPr>
    <w:rPr>
      <w:rFonts w:ascii="宋体" w:hAnsi="Times" w:cs="宋体"/>
      <w:bCs/>
      <w:color w:val="003366"/>
    </w:rPr>
  </w:style>
  <w:style w:type="paragraph" w:customStyle="1" w:styleId="1859">
    <w:name w:val="样式122"/>
    <w:basedOn w:val="1228"/>
    <w:autoRedefine/>
    <w:qFormat/>
    <w:uiPriority w:val="0"/>
    <w:pPr>
      <w:spacing w:line="240" w:lineRule="auto"/>
      <w:ind w:firstLine="0"/>
      <w:jc w:val="center"/>
    </w:pPr>
    <w:rPr>
      <w:rFonts w:cs="Times New Roman"/>
      <w:b/>
      <w:color w:val="auto"/>
      <w:szCs w:val="20"/>
    </w:rPr>
  </w:style>
  <w:style w:type="paragraph" w:customStyle="1" w:styleId="1860">
    <w:name w:val="Char34"/>
    <w:basedOn w:val="1"/>
    <w:autoRedefine/>
    <w:qFormat/>
    <w:uiPriority w:val="0"/>
    <w:pPr>
      <w:ind w:left="-48"/>
    </w:pPr>
    <w:rPr>
      <w:rFonts w:ascii="宋体" w:hAnsi="宋体" w:cs="宋体"/>
    </w:rPr>
  </w:style>
  <w:style w:type="paragraph" w:customStyle="1" w:styleId="1861">
    <w:name w:val="表内文字小222"/>
    <w:basedOn w:val="1"/>
    <w:autoRedefine/>
    <w:qFormat/>
    <w:uiPriority w:val="0"/>
    <w:pPr>
      <w:adjustRightInd w:val="0"/>
      <w:snapToGrid w:val="0"/>
      <w:jc w:val="center"/>
    </w:pPr>
    <w:rPr>
      <w:rFonts w:ascii="宋体" w:hAnsi="Times" w:cs="宋体"/>
      <w:bCs/>
      <w:color w:val="000000"/>
    </w:rPr>
  </w:style>
  <w:style w:type="paragraph" w:customStyle="1" w:styleId="1862">
    <w:name w:val="表内5312"/>
    <w:basedOn w:val="1"/>
    <w:autoRedefine/>
    <w:qFormat/>
    <w:uiPriority w:val="0"/>
    <w:pPr>
      <w:adjustRightInd w:val="0"/>
      <w:snapToGrid w:val="0"/>
      <w:spacing w:line="300" w:lineRule="auto"/>
      <w:jc w:val="left"/>
    </w:pPr>
    <w:rPr>
      <w:rFonts w:ascii="宋体" w:hAnsi="宋体" w:cs="宋体"/>
    </w:rPr>
  </w:style>
  <w:style w:type="paragraph" w:customStyle="1" w:styleId="1863">
    <w:name w:val="正文格式212"/>
    <w:basedOn w:val="1"/>
    <w:autoRedefine/>
    <w:qFormat/>
    <w:uiPriority w:val="0"/>
    <w:pPr>
      <w:spacing w:line="360" w:lineRule="auto"/>
      <w:ind w:firstLine="482"/>
    </w:pPr>
    <w:rPr>
      <w:rFonts w:ascii="宋体" w:hAnsi="宋体" w:cs="宋体"/>
      <w:sz w:val="24"/>
    </w:rPr>
  </w:style>
  <w:style w:type="paragraph" w:customStyle="1" w:styleId="1864">
    <w:name w:val="图题212"/>
    <w:basedOn w:val="316"/>
    <w:next w:val="316"/>
    <w:autoRedefine/>
    <w:qFormat/>
    <w:uiPriority w:val="0"/>
    <w:pPr>
      <w:ind w:firstLine="0"/>
      <w:jc w:val="center"/>
    </w:pPr>
    <w:rPr>
      <w:rFonts w:ascii="黑体" w:hAnsi="宋体" w:eastAsia="黑体"/>
      <w:bCs/>
      <w:spacing w:val="0"/>
    </w:rPr>
  </w:style>
  <w:style w:type="paragraph" w:customStyle="1" w:styleId="1865">
    <w:name w:val="表格内字体212"/>
    <w:basedOn w:val="316"/>
    <w:next w:val="316"/>
    <w:autoRedefine/>
    <w:qFormat/>
    <w:uiPriority w:val="0"/>
    <w:pPr>
      <w:spacing w:line="240" w:lineRule="auto"/>
      <w:ind w:firstLine="0"/>
      <w:jc w:val="center"/>
    </w:pPr>
    <w:rPr>
      <w:rFonts w:hAnsi="宋体"/>
      <w:b w:val="0"/>
      <w:spacing w:val="0"/>
      <w:sz w:val="21"/>
    </w:rPr>
  </w:style>
  <w:style w:type="paragraph" w:customStyle="1" w:styleId="1866">
    <w:name w:val="表题1112"/>
    <w:basedOn w:val="22"/>
    <w:autoRedefine/>
    <w:qFormat/>
    <w:uiPriority w:val="0"/>
    <w:pPr>
      <w:widowControl w:val="0"/>
      <w:spacing w:line="360" w:lineRule="auto"/>
      <w:jc w:val="center"/>
    </w:pPr>
    <w:rPr>
      <w:rFonts w:ascii="黑体" w:hAnsi="Arial" w:cs="Arial"/>
      <w:kern w:val="2"/>
    </w:rPr>
  </w:style>
  <w:style w:type="paragraph" w:customStyle="1" w:styleId="1867">
    <w:name w:val="表中文字1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68">
    <w:name w:val="表文字5112"/>
    <w:basedOn w:val="1"/>
    <w:autoRedefine/>
    <w:qFormat/>
    <w:uiPriority w:val="0"/>
    <w:pPr>
      <w:adjustRightInd w:val="0"/>
      <w:jc w:val="left"/>
      <w:textAlignment w:val="baseline"/>
    </w:pPr>
    <w:rPr>
      <w:rFonts w:ascii="宋体" w:hAnsi="宋体" w:cs="宋体"/>
      <w:kern w:val="0"/>
    </w:rPr>
  </w:style>
  <w:style w:type="paragraph" w:customStyle="1" w:styleId="1869">
    <w:name w:val="图题42"/>
    <w:basedOn w:val="316"/>
    <w:next w:val="316"/>
    <w:autoRedefine/>
    <w:qFormat/>
    <w:uiPriority w:val="0"/>
    <w:pPr>
      <w:ind w:firstLine="0"/>
      <w:jc w:val="center"/>
    </w:pPr>
    <w:rPr>
      <w:rFonts w:ascii="黑体" w:hAnsi="宋体" w:eastAsia="黑体"/>
      <w:bCs/>
      <w:spacing w:val="0"/>
    </w:rPr>
  </w:style>
  <w:style w:type="paragraph" w:customStyle="1" w:styleId="1870">
    <w:name w:val="表格内字体42"/>
    <w:basedOn w:val="316"/>
    <w:next w:val="316"/>
    <w:autoRedefine/>
    <w:qFormat/>
    <w:uiPriority w:val="0"/>
    <w:pPr>
      <w:spacing w:line="240" w:lineRule="auto"/>
      <w:ind w:firstLine="0"/>
      <w:jc w:val="center"/>
    </w:pPr>
    <w:rPr>
      <w:rFonts w:hAnsi="宋体"/>
      <w:b w:val="0"/>
      <w:spacing w:val="0"/>
      <w:sz w:val="21"/>
    </w:rPr>
  </w:style>
  <w:style w:type="paragraph" w:customStyle="1" w:styleId="1871">
    <w:name w:val="Char44"/>
    <w:basedOn w:val="1"/>
    <w:autoRedefine/>
    <w:qFormat/>
    <w:uiPriority w:val="0"/>
    <w:pPr>
      <w:ind w:left="-48"/>
    </w:pPr>
    <w:rPr>
      <w:rFonts w:ascii="宋体" w:hAnsi="宋体" w:cs="宋体"/>
    </w:rPr>
  </w:style>
  <w:style w:type="paragraph" w:customStyle="1" w:styleId="1872">
    <w:name w:val="表题132"/>
    <w:basedOn w:val="22"/>
    <w:autoRedefine/>
    <w:qFormat/>
    <w:uiPriority w:val="0"/>
    <w:pPr>
      <w:widowControl w:val="0"/>
      <w:spacing w:line="360" w:lineRule="auto"/>
      <w:jc w:val="center"/>
    </w:pPr>
    <w:rPr>
      <w:rFonts w:ascii="黑体" w:hAnsi="Arial" w:cs="Arial"/>
      <w:b/>
      <w:kern w:val="2"/>
    </w:rPr>
  </w:style>
  <w:style w:type="paragraph" w:customStyle="1" w:styleId="1873">
    <w:name w:val="默认段落字体 Para Char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874">
    <w:name w:val="Char Char Char Char Char Char Char15"/>
    <w:basedOn w:val="1"/>
    <w:autoRedefine/>
    <w:qFormat/>
    <w:uiPriority w:val="0"/>
    <w:rPr>
      <w:rFonts w:ascii="宋体" w:hAnsi="宋体" w:cs="宋体"/>
    </w:rPr>
  </w:style>
  <w:style w:type="paragraph" w:customStyle="1" w:styleId="1875">
    <w:name w:val="Char52"/>
    <w:basedOn w:val="1"/>
    <w:autoRedefine/>
    <w:qFormat/>
    <w:uiPriority w:val="0"/>
    <w:pPr>
      <w:adjustRightInd w:val="0"/>
      <w:snapToGrid w:val="0"/>
      <w:ind w:left="-45"/>
    </w:pPr>
    <w:rPr>
      <w:rFonts w:ascii="宋体" w:hAnsi="宋体" w:cs="宋体"/>
    </w:rPr>
  </w:style>
  <w:style w:type="paragraph" w:customStyle="1" w:styleId="1876">
    <w:name w:val="燕山正文113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877">
    <w:name w:val="正文格式52"/>
    <w:basedOn w:val="1"/>
    <w:autoRedefine/>
    <w:qFormat/>
    <w:uiPriority w:val="0"/>
    <w:pPr>
      <w:spacing w:line="360" w:lineRule="auto"/>
      <w:ind w:firstLine="482"/>
    </w:pPr>
    <w:rPr>
      <w:rFonts w:ascii="宋体" w:hAnsi="宋体" w:cs="宋体"/>
      <w:sz w:val="24"/>
    </w:rPr>
  </w:style>
  <w:style w:type="paragraph" w:customStyle="1" w:styleId="1878">
    <w:name w:val="Char35"/>
    <w:basedOn w:val="1"/>
    <w:autoRedefine/>
    <w:qFormat/>
    <w:uiPriority w:val="0"/>
    <w:pPr>
      <w:ind w:left="-48"/>
    </w:pPr>
    <w:rPr>
      <w:rFonts w:ascii="宋体" w:hAnsi="宋体" w:cs="宋体"/>
    </w:rPr>
  </w:style>
  <w:style w:type="character" w:customStyle="1" w:styleId="1879">
    <w:name w:val="题注 Char32"/>
    <w:autoRedefine/>
    <w:qFormat/>
    <w:uiPriority w:val="0"/>
    <w:rPr>
      <w:rFonts w:ascii="黑体" w:hAnsi="Arial" w:eastAsia="黑体" w:cs="Arial"/>
      <w:spacing w:val="10"/>
      <w:kern w:val="2"/>
      <w:sz w:val="24"/>
      <w:szCs w:val="24"/>
      <w:lang w:val="en-US" w:eastAsia="zh-CN" w:bidi="ar-SA"/>
    </w:rPr>
  </w:style>
  <w:style w:type="paragraph" w:customStyle="1" w:styleId="1880">
    <w:name w:val="图题52"/>
    <w:basedOn w:val="316"/>
    <w:next w:val="316"/>
    <w:autoRedefine/>
    <w:qFormat/>
    <w:uiPriority w:val="0"/>
    <w:pPr>
      <w:ind w:firstLine="0"/>
      <w:jc w:val="center"/>
    </w:pPr>
    <w:rPr>
      <w:rFonts w:ascii="黑体" w:hAnsi="宋体" w:eastAsia="黑体"/>
      <w:bCs/>
      <w:spacing w:val="0"/>
    </w:rPr>
  </w:style>
  <w:style w:type="paragraph" w:customStyle="1" w:styleId="1881">
    <w:name w:val="表格内字体52"/>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1882">
    <w:name w:val="表32"/>
    <w:basedOn w:val="1"/>
    <w:autoRedefine/>
    <w:qFormat/>
    <w:uiPriority w:val="0"/>
    <w:pPr>
      <w:adjustRightInd w:val="0"/>
      <w:snapToGrid w:val="0"/>
      <w:jc w:val="center"/>
    </w:pPr>
    <w:rPr>
      <w:rFonts w:ascii="宋体" w:hAnsi="宋体" w:eastAsia="仿宋_GB2312" w:cs="宋体"/>
      <w:sz w:val="24"/>
    </w:rPr>
  </w:style>
  <w:style w:type="paragraph" w:customStyle="1" w:styleId="1883">
    <w:name w:val="正文.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884">
    <w:name w:val="文本框12"/>
    <w:basedOn w:val="1"/>
    <w:autoRedefine/>
    <w:qFormat/>
    <w:uiPriority w:val="0"/>
    <w:pPr>
      <w:adjustRightInd w:val="0"/>
      <w:snapToGrid w:val="0"/>
      <w:spacing w:after="6"/>
      <w:jc w:val="center"/>
    </w:pPr>
    <w:rPr>
      <w:rFonts w:ascii="宋体" w:hAnsi="宋体" w:eastAsia="仿宋_GB2312" w:cs="宋体"/>
    </w:rPr>
  </w:style>
  <w:style w:type="paragraph" w:customStyle="1" w:styleId="1885">
    <w:name w:val="表内宋5111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886">
    <w:name w:val="表内文字小3132"/>
    <w:basedOn w:val="1"/>
    <w:autoRedefine/>
    <w:qFormat/>
    <w:uiPriority w:val="0"/>
    <w:pPr>
      <w:adjustRightInd w:val="0"/>
      <w:snapToGrid w:val="0"/>
      <w:jc w:val="center"/>
    </w:pPr>
    <w:rPr>
      <w:rFonts w:ascii="宋体" w:hAnsi="Times" w:cs="宋体"/>
      <w:bCs/>
      <w:color w:val="003366"/>
    </w:rPr>
  </w:style>
  <w:style w:type="paragraph" w:customStyle="1" w:styleId="1887">
    <w:name w:val="表文字532"/>
    <w:basedOn w:val="1"/>
    <w:autoRedefine/>
    <w:qFormat/>
    <w:uiPriority w:val="0"/>
    <w:pPr>
      <w:adjustRightInd w:val="0"/>
      <w:jc w:val="left"/>
      <w:textAlignment w:val="baseline"/>
    </w:pPr>
    <w:rPr>
      <w:rFonts w:ascii="宋体" w:hAnsi="宋体" w:cs="宋体"/>
      <w:kern w:val="0"/>
    </w:rPr>
  </w:style>
  <w:style w:type="paragraph" w:customStyle="1" w:styleId="1888">
    <w:name w:val="Char Char Char Char Char Char Char23"/>
    <w:basedOn w:val="1"/>
    <w:autoRedefine/>
    <w:qFormat/>
    <w:uiPriority w:val="0"/>
    <w:rPr>
      <w:rFonts w:ascii="宋体" w:hAnsi="宋体" w:cs="宋体"/>
    </w:rPr>
  </w:style>
  <w:style w:type="paragraph" w:customStyle="1" w:styleId="1889">
    <w:name w:val="表题313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90">
    <w:name w:val="表内文字小2132"/>
    <w:basedOn w:val="1"/>
    <w:autoRedefine/>
    <w:qFormat/>
    <w:uiPriority w:val="0"/>
    <w:pPr>
      <w:adjustRightInd w:val="0"/>
      <w:snapToGrid w:val="0"/>
      <w:jc w:val="center"/>
      <w:textAlignment w:val="baseline"/>
    </w:pPr>
    <w:rPr>
      <w:rFonts w:ascii="宋体" w:hAnsi="Times" w:cs="宋体"/>
      <w:bCs/>
      <w:color w:val="000000"/>
    </w:rPr>
  </w:style>
  <w:style w:type="character" w:customStyle="1" w:styleId="1891">
    <w:name w:val="文档结构图 Char3"/>
    <w:autoRedefine/>
    <w:qFormat/>
    <w:uiPriority w:val="0"/>
    <w:rPr>
      <w:rFonts w:eastAsia="宋体"/>
      <w:kern w:val="2"/>
      <w:sz w:val="21"/>
      <w:szCs w:val="24"/>
      <w:shd w:val="clear" w:color="auto" w:fill="000080"/>
      <w:lang w:val="en-US" w:eastAsia="zh-CN" w:bidi="ar-SA"/>
    </w:rPr>
  </w:style>
  <w:style w:type="paragraph" w:customStyle="1" w:styleId="1892">
    <w:name w:val="燕山正文3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893">
    <w:name w:val="正文修改32"/>
    <w:basedOn w:val="1181"/>
    <w:autoRedefine/>
    <w:qFormat/>
    <w:uiPriority w:val="0"/>
    <w:rPr>
      <w:rFonts w:hAnsi="宋体"/>
      <w:color w:val="000000"/>
    </w:rPr>
  </w:style>
  <w:style w:type="paragraph" w:customStyle="1" w:styleId="1894">
    <w:name w:val="表题143"/>
    <w:basedOn w:val="22"/>
    <w:autoRedefine/>
    <w:qFormat/>
    <w:uiPriority w:val="0"/>
    <w:pPr>
      <w:widowControl w:val="0"/>
      <w:spacing w:line="360" w:lineRule="auto"/>
      <w:jc w:val="center"/>
    </w:pPr>
    <w:rPr>
      <w:rFonts w:ascii="黑体" w:hAnsi="Arial" w:cs="Arial"/>
      <w:b/>
      <w:kern w:val="2"/>
    </w:rPr>
  </w:style>
  <w:style w:type="character" w:customStyle="1" w:styleId="1895">
    <w:name w:val="表题1 Char42"/>
    <w:autoRedefine/>
    <w:qFormat/>
    <w:uiPriority w:val="0"/>
    <w:rPr>
      <w:rFonts w:ascii="黑体" w:hAnsi="Arial" w:eastAsia="黑体" w:cs="Arial"/>
      <w:b/>
      <w:kern w:val="2"/>
      <w:sz w:val="24"/>
      <w:szCs w:val="24"/>
      <w:lang w:val="en-US" w:eastAsia="zh-CN" w:bidi="ar-SA"/>
    </w:rPr>
  </w:style>
  <w:style w:type="paragraph" w:customStyle="1" w:styleId="1896">
    <w:name w:val="表中文字3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97">
    <w:name w:val="黑体三号32"/>
    <w:basedOn w:val="316"/>
    <w:autoRedefine/>
    <w:qFormat/>
    <w:uiPriority w:val="0"/>
    <w:pPr>
      <w:jc w:val="center"/>
    </w:pPr>
    <w:rPr>
      <w:rFonts w:ascii="黑体" w:hAnsi="宋体" w:eastAsia="黑体"/>
      <w:bCs/>
      <w:spacing w:val="0"/>
      <w:sz w:val="32"/>
    </w:rPr>
  </w:style>
  <w:style w:type="paragraph" w:customStyle="1" w:styleId="1898">
    <w:name w:val="默认段落字体 Para Char Char Char Char32"/>
    <w:basedOn w:val="1"/>
    <w:autoRedefine/>
    <w:qFormat/>
    <w:uiPriority w:val="0"/>
    <w:rPr>
      <w:rFonts w:ascii="宋体" w:hAnsi="宋体" w:cs="宋体"/>
    </w:rPr>
  </w:style>
  <w:style w:type="paragraph" w:customStyle="1" w:styleId="1899">
    <w:name w:val="表内54132"/>
    <w:basedOn w:val="1"/>
    <w:autoRedefine/>
    <w:qFormat/>
    <w:uiPriority w:val="0"/>
    <w:pPr>
      <w:adjustRightInd w:val="0"/>
      <w:snapToGrid w:val="0"/>
      <w:spacing w:line="300" w:lineRule="auto"/>
      <w:jc w:val="center"/>
    </w:pPr>
    <w:rPr>
      <w:rFonts w:ascii="宋体" w:hAnsi="宋体" w:cs="宋体"/>
    </w:rPr>
  </w:style>
  <w:style w:type="paragraph" w:customStyle="1" w:styleId="1900">
    <w:name w:val="标题4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901">
    <w:name w:val="Char62"/>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1902">
    <w:name w:val="表题2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903">
    <w:name w:val="表内宋5中112"/>
    <w:basedOn w:val="1"/>
    <w:autoRedefine/>
    <w:qFormat/>
    <w:uiPriority w:val="0"/>
    <w:pPr>
      <w:adjustRightInd w:val="0"/>
      <w:snapToGrid w:val="0"/>
      <w:jc w:val="center"/>
      <w:textAlignment w:val="baseline"/>
    </w:pPr>
    <w:rPr>
      <w:rFonts w:ascii="宋体" w:hAnsi="宋体" w:cs="宋体"/>
      <w:kern w:val="0"/>
    </w:rPr>
  </w:style>
  <w:style w:type="paragraph" w:customStyle="1" w:styleId="1904">
    <w:name w:val="表内宋5中13"/>
    <w:basedOn w:val="1"/>
    <w:autoRedefine/>
    <w:qFormat/>
    <w:uiPriority w:val="0"/>
    <w:pPr>
      <w:adjustRightInd w:val="0"/>
      <w:snapToGrid w:val="0"/>
      <w:jc w:val="center"/>
      <w:textAlignment w:val="baseline"/>
    </w:pPr>
    <w:rPr>
      <w:rFonts w:ascii="宋体" w:hAnsi="宋体" w:cs="宋体"/>
      <w:kern w:val="0"/>
    </w:rPr>
  </w:style>
  <w:style w:type="paragraph" w:customStyle="1" w:styleId="1905">
    <w:name w:val="表内文字小112"/>
    <w:basedOn w:val="1"/>
    <w:autoRedefine/>
    <w:qFormat/>
    <w:uiPriority w:val="0"/>
    <w:pPr>
      <w:adjustRightInd w:val="0"/>
      <w:snapToGrid w:val="0"/>
    </w:pPr>
    <w:rPr>
      <w:rFonts w:ascii="宋体" w:hAnsi="Times" w:cs="宋体"/>
    </w:rPr>
  </w:style>
  <w:style w:type="paragraph" w:customStyle="1" w:styleId="1906">
    <w:name w:val="标题411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907">
    <w:name w:val="表题14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908">
    <w:name w:val="表内文字小82"/>
    <w:basedOn w:val="1"/>
    <w:autoRedefine/>
    <w:qFormat/>
    <w:uiPriority w:val="0"/>
    <w:pPr>
      <w:adjustRightInd w:val="0"/>
      <w:snapToGrid w:val="0"/>
      <w:jc w:val="center"/>
    </w:pPr>
    <w:rPr>
      <w:rFonts w:ascii="宋体" w:hAnsi="Times" w:cs="宋体"/>
    </w:rPr>
  </w:style>
  <w:style w:type="paragraph" w:customStyle="1" w:styleId="1909">
    <w:name w:val="默认段落字体 Para Char2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910">
    <w:name w:val="表内5中3"/>
    <w:basedOn w:val="1"/>
    <w:autoRedefine/>
    <w:qFormat/>
    <w:uiPriority w:val="0"/>
    <w:pPr>
      <w:adjustRightInd w:val="0"/>
      <w:snapToGrid w:val="0"/>
      <w:jc w:val="center"/>
    </w:pPr>
    <w:rPr>
      <w:rFonts w:ascii="宋体" w:hAnsi="宋体" w:cs="Arial"/>
      <w:snapToGrid w:val="0"/>
      <w:color w:val="000000"/>
      <w:szCs w:val="21"/>
    </w:rPr>
  </w:style>
  <w:style w:type="paragraph" w:customStyle="1" w:styleId="1911">
    <w:name w:val="Default2"/>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1912">
    <w:name w:val="标题 1 Char4"/>
    <w:autoRedefine/>
    <w:qFormat/>
    <w:uiPriority w:val="0"/>
    <w:rPr>
      <w:rFonts w:ascii="黑体" w:hAnsi="宋体" w:eastAsia="黑体"/>
      <w:b/>
      <w:bCs/>
      <w:kern w:val="44"/>
      <w:sz w:val="32"/>
      <w:szCs w:val="32"/>
      <w:lang w:val="en-US" w:eastAsia="zh-CN" w:bidi="ar-SA"/>
    </w:rPr>
  </w:style>
  <w:style w:type="paragraph" w:customStyle="1" w:styleId="1913">
    <w:name w:val="正文格式62"/>
    <w:basedOn w:val="1"/>
    <w:autoRedefine/>
    <w:qFormat/>
    <w:uiPriority w:val="0"/>
    <w:pPr>
      <w:spacing w:line="360" w:lineRule="auto"/>
      <w:ind w:firstLine="482"/>
    </w:pPr>
    <w:rPr>
      <w:rFonts w:ascii="宋体" w:hAnsi="宋体" w:cs="宋体"/>
      <w:sz w:val="24"/>
    </w:rPr>
  </w:style>
  <w:style w:type="paragraph" w:customStyle="1" w:styleId="1914">
    <w:name w:val="附件32"/>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1915">
    <w:name w:val="图题62"/>
    <w:basedOn w:val="316"/>
    <w:next w:val="316"/>
    <w:autoRedefine/>
    <w:qFormat/>
    <w:uiPriority w:val="0"/>
    <w:pPr>
      <w:ind w:firstLine="0"/>
      <w:jc w:val="center"/>
    </w:pPr>
    <w:rPr>
      <w:rFonts w:ascii="黑体" w:hAnsi="宋体" w:eastAsia="黑体"/>
      <w:bCs/>
      <w:spacing w:val="0"/>
      <w:kern w:val="0"/>
    </w:rPr>
  </w:style>
  <w:style w:type="character" w:customStyle="1" w:styleId="1916">
    <w:name w:val="图题 Char2"/>
    <w:autoRedefine/>
    <w:qFormat/>
    <w:uiPriority w:val="0"/>
    <w:rPr>
      <w:rFonts w:ascii="黑体" w:hAnsi="宋体" w:eastAsia="黑体" w:cs="宋体"/>
      <w:b/>
      <w:bCs/>
      <w:kern w:val="2"/>
      <w:sz w:val="24"/>
      <w:szCs w:val="24"/>
      <w:lang w:val="en-US" w:eastAsia="zh-CN" w:bidi="ar-SA"/>
    </w:rPr>
  </w:style>
  <w:style w:type="paragraph" w:customStyle="1" w:styleId="1917">
    <w:name w:val="表格内字体62"/>
    <w:basedOn w:val="316"/>
    <w:next w:val="316"/>
    <w:autoRedefine/>
    <w:qFormat/>
    <w:uiPriority w:val="0"/>
    <w:pPr>
      <w:spacing w:line="240" w:lineRule="auto"/>
      <w:ind w:firstLine="0"/>
      <w:jc w:val="center"/>
    </w:pPr>
    <w:rPr>
      <w:rFonts w:hAnsi="宋体"/>
      <w:b w:val="0"/>
      <w:spacing w:val="0"/>
      <w:sz w:val="21"/>
    </w:rPr>
  </w:style>
  <w:style w:type="character" w:customStyle="1" w:styleId="1918">
    <w:name w:val="页脚 Char3"/>
    <w:autoRedefine/>
    <w:qFormat/>
    <w:uiPriority w:val="0"/>
    <w:rPr>
      <w:rFonts w:eastAsia="宋体"/>
      <w:kern w:val="2"/>
      <w:sz w:val="18"/>
      <w:szCs w:val="18"/>
      <w:lang w:val="en-US" w:eastAsia="zh-CN" w:bidi="ar-SA"/>
    </w:rPr>
  </w:style>
  <w:style w:type="paragraph" w:customStyle="1" w:styleId="1919">
    <w:name w:val="黑体三号42"/>
    <w:basedOn w:val="316"/>
    <w:autoRedefine/>
    <w:qFormat/>
    <w:uiPriority w:val="0"/>
    <w:pPr>
      <w:jc w:val="center"/>
    </w:pPr>
    <w:rPr>
      <w:rFonts w:ascii="黑体" w:hAnsi="宋体" w:eastAsia="黑体"/>
      <w:bCs/>
      <w:spacing w:val="0"/>
      <w:sz w:val="32"/>
    </w:rPr>
  </w:style>
  <w:style w:type="paragraph" w:customStyle="1" w:styleId="1920">
    <w:name w:val="默认段落字体 Para Char Char Char Char42"/>
    <w:basedOn w:val="1"/>
    <w:autoRedefine/>
    <w:qFormat/>
    <w:uiPriority w:val="0"/>
    <w:rPr>
      <w:rFonts w:ascii="宋体" w:hAnsi="宋体" w:cs="宋体"/>
    </w:rPr>
  </w:style>
  <w:style w:type="paragraph" w:customStyle="1" w:styleId="1921">
    <w:name w:val="图表题2"/>
    <w:basedOn w:val="316"/>
    <w:next w:val="316"/>
    <w:autoRedefine/>
    <w:qFormat/>
    <w:uiPriority w:val="0"/>
    <w:pPr>
      <w:ind w:firstLine="0"/>
      <w:jc w:val="center"/>
    </w:pPr>
    <w:rPr>
      <w:rFonts w:ascii="黑体" w:hAnsi="宋体" w:eastAsia="黑体"/>
      <w:bCs/>
      <w:spacing w:val="0"/>
    </w:rPr>
  </w:style>
  <w:style w:type="character" w:customStyle="1" w:styleId="1922">
    <w:name w:val="图表题 Char2"/>
    <w:autoRedefine/>
    <w:qFormat/>
    <w:uiPriority w:val="0"/>
    <w:rPr>
      <w:rFonts w:ascii="黑体" w:hAnsi="宋体" w:eastAsia="黑体" w:cs="宋体"/>
      <w:bCs/>
      <w:spacing w:val="10"/>
      <w:kern w:val="2"/>
      <w:sz w:val="24"/>
      <w:szCs w:val="24"/>
      <w:lang w:val="en-US" w:eastAsia="zh-CN" w:bidi="ar-SA"/>
    </w:rPr>
  </w:style>
  <w:style w:type="paragraph" w:customStyle="1" w:styleId="1923">
    <w:name w:val="样式 表格内字体 +2"/>
    <w:basedOn w:val="1178"/>
    <w:autoRedefine/>
    <w:qFormat/>
    <w:uiPriority w:val="0"/>
    <w:pPr>
      <w:spacing w:line="280" w:lineRule="exact"/>
      <w:ind w:firstLine="36"/>
      <w:jc w:val="both"/>
    </w:pPr>
    <w:rPr>
      <w:kern w:val="0"/>
    </w:rPr>
  </w:style>
  <w:style w:type="character" w:customStyle="1" w:styleId="1924">
    <w:name w:val="样式 表格内字体 + Char2"/>
    <w:basedOn w:val="1179"/>
    <w:autoRedefine/>
    <w:qFormat/>
    <w:uiPriority w:val="0"/>
    <w:rPr>
      <w:rFonts w:ascii="宋体" w:hAnsi="宋体"/>
      <w:kern w:val="2"/>
      <w:sz w:val="21"/>
    </w:rPr>
  </w:style>
  <w:style w:type="paragraph" w:customStyle="1" w:styleId="1925">
    <w:name w:val="A正文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1926">
    <w:name w:val="A正文 Char2"/>
    <w:autoRedefine/>
    <w:qFormat/>
    <w:uiPriority w:val="0"/>
    <w:rPr>
      <w:rFonts w:eastAsia="仿宋_GB2312"/>
      <w:kern w:val="2"/>
      <w:sz w:val="24"/>
      <w:szCs w:val="24"/>
      <w:lang w:val="en-US" w:eastAsia="zh-CN" w:bidi="ar-SA"/>
    </w:rPr>
  </w:style>
  <w:style w:type="paragraph" w:customStyle="1" w:styleId="1927">
    <w:name w:val="图题注2"/>
    <w:basedOn w:val="22"/>
    <w:autoRedefine/>
    <w:qFormat/>
    <w:uiPriority w:val="0"/>
    <w:pPr>
      <w:widowControl w:val="0"/>
      <w:jc w:val="center"/>
    </w:pPr>
    <w:rPr>
      <w:rFonts w:ascii="黑体" w:hAnsi="Arial"/>
      <w:b/>
      <w:bCs/>
      <w:kern w:val="2"/>
    </w:rPr>
  </w:style>
  <w:style w:type="character" w:customStyle="1" w:styleId="1928">
    <w:name w:val="图题注 Char2"/>
    <w:autoRedefine/>
    <w:qFormat/>
    <w:uiPriority w:val="0"/>
    <w:rPr>
      <w:rFonts w:ascii="黑体" w:hAnsi="Arial" w:eastAsia="黑体" w:cs="宋体"/>
      <w:b/>
      <w:bCs/>
      <w:kern w:val="2"/>
      <w:sz w:val="24"/>
      <w:szCs w:val="24"/>
      <w:lang w:val="en-US" w:eastAsia="zh-CN" w:bidi="ar-SA"/>
    </w:rPr>
  </w:style>
  <w:style w:type="paragraph" w:customStyle="1" w:styleId="1929">
    <w:name w:val="Char72"/>
    <w:basedOn w:val="1"/>
    <w:autoRedefine/>
    <w:qFormat/>
    <w:uiPriority w:val="0"/>
    <w:pPr>
      <w:ind w:left="-48"/>
    </w:pPr>
    <w:rPr>
      <w:rFonts w:ascii="宋体" w:hAnsi="宋体" w:cs="宋体"/>
    </w:rPr>
  </w:style>
  <w:style w:type="paragraph" w:customStyle="1" w:styleId="1930">
    <w:name w:val="表格内字体112"/>
    <w:basedOn w:val="316"/>
    <w:autoRedefine/>
    <w:qFormat/>
    <w:uiPriority w:val="0"/>
    <w:pPr>
      <w:spacing w:line="240" w:lineRule="auto"/>
      <w:ind w:firstLine="0"/>
      <w:jc w:val="center"/>
    </w:pPr>
    <w:rPr>
      <w:rFonts w:hAnsi="Times New Roman"/>
      <w:b w:val="0"/>
      <w:spacing w:val="0"/>
      <w:sz w:val="21"/>
    </w:rPr>
  </w:style>
  <w:style w:type="paragraph" w:customStyle="1" w:styleId="1931">
    <w:name w:val="样式 正文缩进 + 宋体 黑色 首行缩进:  2 字符2"/>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1932">
    <w:name w:val="环评正文2"/>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1933">
    <w:name w:val="环评正文 Char2"/>
    <w:autoRedefine/>
    <w:qFormat/>
    <w:uiPriority w:val="0"/>
    <w:rPr>
      <w:rFonts w:eastAsia="宋体"/>
      <w:bCs/>
      <w:kern w:val="2"/>
      <w:sz w:val="24"/>
      <w:szCs w:val="24"/>
      <w:lang w:val="en-US" w:eastAsia="zh-CN" w:bidi="ar-SA"/>
    </w:rPr>
  </w:style>
  <w:style w:type="paragraph" w:customStyle="1" w:styleId="1934">
    <w:name w:val="注释2"/>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1935">
    <w:name w:val="样式42"/>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1936">
    <w:name w:val="标题413"/>
    <w:basedOn w:val="6"/>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1937">
    <w:name w:val="表中文字42"/>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1938">
    <w:name w:val="表中文字 Char3"/>
    <w:autoRedefine/>
    <w:qFormat/>
    <w:uiPriority w:val="0"/>
    <w:rPr>
      <w:rFonts w:ascii="Arial" w:hAnsi="Arial" w:eastAsia="宋体"/>
      <w:kern w:val="2"/>
      <w:sz w:val="24"/>
      <w:szCs w:val="24"/>
      <w:lang w:val="en-US" w:eastAsia="zh-TW" w:bidi="ar-SA"/>
    </w:rPr>
  </w:style>
  <w:style w:type="paragraph" w:customStyle="1" w:styleId="1939">
    <w:name w:val="样式 正文缩进 + 宋体 黑色2"/>
    <w:basedOn w:val="9"/>
    <w:autoRedefine/>
    <w:qFormat/>
    <w:uiPriority w:val="0"/>
    <w:pPr>
      <w:adjustRightInd/>
      <w:snapToGrid/>
      <w:spacing w:line="360" w:lineRule="auto"/>
      <w:jc w:val="left"/>
    </w:pPr>
    <w:rPr>
      <w:rFonts w:ascii="宋体" w:hAnsi="宋体" w:eastAsia="宋体" w:cs="宋体"/>
      <w:sz w:val="24"/>
    </w:rPr>
  </w:style>
  <w:style w:type="character" w:customStyle="1" w:styleId="1940">
    <w:name w:val="样式 正文缩进 + 宋体 黑色 Char2"/>
    <w:autoRedefine/>
    <w:qFormat/>
    <w:uiPriority w:val="0"/>
    <w:rPr>
      <w:rFonts w:ascii="宋体" w:hAnsi="宋体" w:eastAsia="宋体"/>
      <w:color w:val="000000"/>
      <w:kern w:val="2"/>
      <w:sz w:val="24"/>
      <w:szCs w:val="24"/>
      <w:lang w:val="en-US" w:eastAsia="zh-CN" w:bidi="ar-SA"/>
    </w:rPr>
  </w:style>
  <w:style w:type="paragraph" w:customStyle="1" w:styleId="1941">
    <w:name w:val="表内512"/>
    <w:basedOn w:val="1"/>
    <w:autoRedefine/>
    <w:qFormat/>
    <w:uiPriority w:val="0"/>
    <w:pPr>
      <w:adjustRightInd w:val="0"/>
      <w:snapToGrid w:val="0"/>
      <w:jc w:val="center"/>
    </w:pPr>
    <w:rPr>
      <w:rFonts w:ascii="宋体" w:hAnsi="宋体" w:cs="宋体"/>
      <w:kern w:val="0"/>
      <w:sz w:val="24"/>
    </w:rPr>
  </w:style>
  <w:style w:type="character" w:customStyle="1" w:styleId="1942">
    <w:name w:val="表内5 Char3"/>
    <w:autoRedefine/>
    <w:qFormat/>
    <w:uiPriority w:val="0"/>
    <w:rPr>
      <w:rFonts w:ascii="宋体" w:hAnsi="宋体" w:eastAsia="宋体" w:cs="Times New Roman"/>
      <w:kern w:val="2"/>
      <w:sz w:val="24"/>
      <w:szCs w:val="24"/>
      <w:lang w:val="en-US" w:eastAsia="zh-CN" w:bidi="ar-SA"/>
    </w:rPr>
  </w:style>
  <w:style w:type="paragraph" w:customStyle="1" w:styleId="1943">
    <w:name w:val="样式 样式 宋体 + 首行缩进:  2 字符12"/>
    <w:basedOn w:val="1"/>
    <w:autoRedefine/>
    <w:qFormat/>
    <w:uiPriority w:val="0"/>
    <w:pPr>
      <w:spacing w:line="360" w:lineRule="auto"/>
      <w:ind w:firstLine="480" w:firstLineChars="200"/>
      <w:jc w:val="left"/>
    </w:pPr>
    <w:rPr>
      <w:rFonts w:ascii="宋体" w:hAnsi="宋体" w:cs="宋体"/>
      <w:sz w:val="24"/>
    </w:rPr>
  </w:style>
  <w:style w:type="paragraph" w:customStyle="1" w:styleId="1944">
    <w:name w:val="表内宋5中22"/>
    <w:basedOn w:val="1"/>
    <w:autoRedefine/>
    <w:qFormat/>
    <w:uiPriority w:val="0"/>
    <w:pPr>
      <w:adjustRightInd w:val="0"/>
      <w:snapToGrid w:val="0"/>
      <w:jc w:val="center"/>
      <w:textAlignment w:val="baseline"/>
    </w:pPr>
    <w:rPr>
      <w:rFonts w:ascii="宋体" w:hAnsi="宋体" w:cs="宋体"/>
      <w:kern w:val="0"/>
    </w:rPr>
  </w:style>
  <w:style w:type="paragraph" w:customStyle="1" w:styleId="1945">
    <w:name w:val="xl632"/>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1946">
    <w:name w:val="标准2"/>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1947">
    <w:name w:val="Fax Header2"/>
    <w:basedOn w:val="1"/>
    <w:autoRedefine/>
    <w:qFormat/>
    <w:uiPriority w:val="0"/>
    <w:pPr>
      <w:widowControl/>
      <w:spacing w:before="240" w:after="60"/>
      <w:jc w:val="left"/>
    </w:pPr>
    <w:rPr>
      <w:rFonts w:ascii="宋体" w:hAnsi="宋体" w:cs="宋体"/>
      <w:kern w:val="0"/>
      <w:sz w:val="24"/>
    </w:rPr>
  </w:style>
  <w:style w:type="paragraph" w:customStyle="1" w:styleId="1948">
    <w:name w:val="样式 表格内字体1 +2"/>
    <w:basedOn w:val="1265"/>
    <w:next w:val="1178"/>
    <w:autoRedefine/>
    <w:qFormat/>
    <w:uiPriority w:val="0"/>
    <w:rPr>
      <w:rFonts w:hAnsi="Times New Roman"/>
    </w:rPr>
  </w:style>
  <w:style w:type="paragraph" w:customStyle="1" w:styleId="1949">
    <w:name w:val="默认段落字体 Para Char32"/>
    <w:basedOn w:val="1"/>
    <w:autoRedefine/>
    <w:qFormat/>
    <w:uiPriority w:val="0"/>
    <w:pPr>
      <w:spacing w:line="360" w:lineRule="auto"/>
      <w:ind w:firstLine="200" w:firstLineChars="200"/>
    </w:pPr>
    <w:rPr>
      <w:rFonts w:ascii="宋体" w:hAnsi="宋体" w:cs="宋体"/>
      <w:sz w:val="24"/>
    </w:rPr>
  </w:style>
  <w:style w:type="paragraph" w:customStyle="1" w:styleId="1950">
    <w:name w:val="正文斜体2"/>
    <w:basedOn w:val="316"/>
    <w:next w:val="316"/>
    <w:autoRedefine/>
    <w:qFormat/>
    <w:uiPriority w:val="0"/>
    <w:rPr>
      <w:rFonts w:hAnsi="宋体"/>
      <w:b w:val="0"/>
      <w:i/>
      <w:iCs/>
      <w:spacing w:val="0"/>
    </w:rPr>
  </w:style>
  <w:style w:type="character" w:customStyle="1" w:styleId="1951">
    <w:name w:val="正文斜体 Char2"/>
    <w:autoRedefine/>
    <w:qFormat/>
    <w:uiPriority w:val="0"/>
    <w:rPr>
      <w:rFonts w:ascii="宋体" w:hAnsi="宋体" w:eastAsia="宋体" w:cs="宋体"/>
      <w:b/>
      <w:i/>
      <w:iCs/>
      <w:spacing w:val="10"/>
      <w:kern w:val="2"/>
      <w:sz w:val="24"/>
      <w:szCs w:val="24"/>
      <w:lang w:val="en-US" w:eastAsia="zh-CN" w:bidi="ar-SA"/>
    </w:rPr>
  </w:style>
  <w:style w:type="paragraph" w:customStyle="1" w:styleId="1952">
    <w:name w:val="Char82"/>
    <w:basedOn w:val="1"/>
    <w:autoRedefine/>
    <w:qFormat/>
    <w:uiPriority w:val="0"/>
    <w:pPr>
      <w:ind w:left="-48"/>
    </w:pPr>
    <w:rPr>
      <w:rFonts w:ascii="宋体" w:hAnsi="宋体" w:cs="宋体"/>
    </w:rPr>
  </w:style>
  <w:style w:type="paragraph" w:customStyle="1" w:styleId="1953">
    <w:name w:val="正文格式72"/>
    <w:basedOn w:val="1"/>
    <w:autoRedefine/>
    <w:qFormat/>
    <w:uiPriority w:val="0"/>
    <w:pPr>
      <w:spacing w:line="360" w:lineRule="auto"/>
      <w:ind w:firstLine="482"/>
    </w:pPr>
    <w:rPr>
      <w:rFonts w:ascii="宋体" w:hAnsi="宋体" w:cs="宋体"/>
      <w:sz w:val="24"/>
    </w:rPr>
  </w:style>
  <w:style w:type="character" w:customStyle="1" w:styleId="1954">
    <w:name w:val="题注 Char52"/>
    <w:autoRedefine/>
    <w:qFormat/>
    <w:uiPriority w:val="0"/>
    <w:rPr>
      <w:rFonts w:ascii="黑体" w:hAnsi="Arial" w:eastAsia="黑体" w:cs="Arial"/>
      <w:spacing w:val="10"/>
      <w:kern w:val="2"/>
      <w:sz w:val="24"/>
      <w:szCs w:val="24"/>
      <w:lang w:val="en-US" w:eastAsia="zh-CN" w:bidi="ar-SA"/>
    </w:rPr>
  </w:style>
  <w:style w:type="paragraph" w:customStyle="1" w:styleId="1955">
    <w:name w:val="图题72"/>
    <w:basedOn w:val="316"/>
    <w:next w:val="316"/>
    <w:autoRedefine/>
    <w:qFormat/>
    <w:uiPriority w:val="0"/>
    <w:pPr>
      <w:ind w:firstLine="0"/>
      <w:jc w:val="center"/>
    </w:pPr>
    <w:rPr>
      <w:rFonts w:ascii="黑体" w:hAnsi="宋体" w:eastAsia="黑体"/>
      <w:bCs/>
      <w:spacing w:val="0"/>
    </w:rPr>
  </w:style>
  <w:style w:type="paragraph" w:customStyle="1" w:styleId="1956">
    <w:name w:val="表格内字体72"/>
    <w:basedOn w:val="316"/>
    <w:next w:val="316"/>
    <w:autoRedefine/>
    <w:qFormat/>
    <w:uiPriority w:val="0"/>
    <w:pPr>
      <w:spacing w:line="240" w:lineRule="auto"/>
      <w:ind w:firstLine="0"/>
      <w:jc w:val="center"/>
    </w:pPr>
    <w:rPr>
      <w:rFonts w:hAnsi="宋体"/>
      <w:b w:val="0"/>
      <w:spacing w:val="0"/>
      <w:sz w:val="21"/>
    </w:rPr>
  </w:style>
  <w:style w:type="paragraph" w:customStyle="1" w:styleId="1957">
    <w:name w:val="Char92"/>
    <w:basedOn w:val="1"/>
    <w:autoRedefine/>
    <w:qFormat/>
    <w:uiPriority w:val="0"/>
    <w:pPr>
      <w:ind w:left="-48"/>
    </w:pPr>
    <w:rPr>
      <w:rFonts w:ascii="宋体" w:hAnsi="宋体" w:cs="宋体"/>
    </w:rPr>
  </w:style>
  <w:style w:type="paragraph" w:customStyle="1" w:styleId="1958">
    <w:name w:val="表题152"/>
    <w:basedOn w:val="22"/>
    <w:autoRedefine/>
    <w:qFormat/>
    <w:uiPriority w:val="0"/>
    <w:pPr>
      <w:widowControl w:val="0"/>
      <w:spacing w:line="360" w:lineRule="auto"/>
      <w:jc w:val="center"/>
    </w:pPr>
    <w:rPr>
      <w:rFonts w:ascii="黑体" w:hAnsi="Arial" w:cs="Arial"/>
      <w:b/>
      <w:kern w:val="2"/>
    </w:rPr>
  </w:style>
  <w:style w:type="character" w:customStyle="1" w:styleId="1959">
    <w:name w:val="表题1 Char62"/>
    <w:autoRedefine/>
    <w:qFormat/>
    <w:uiPriority w:val="0"/>
    <w:rPr>
      <w:rFonts w:ascii="黑体" w:hAnsi="Arial" w:eastAsia="黑体" w:cs="Arial"/>
      <w:b/>
      <w:kern w:val="2"/>
      <w:sz w:val="24"/>
      <w:szCs w:val="24"/>
      <w:lang w:val="en-US" w:eastAsia="zh-CN" w:bidi="ar-SA"/>
    </w:rPr>
  </w:style>
  <w:style w:type="paragraph" w:customStyle="1" w:styleId="1960">
    <w:name w:val="燕山正文4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961">
    <w:name w:val="正文修改42"/>
    <w:basedOn w:val="1181"/>
    <w:autoRedefine/>
    <w:qFormat/>
    <w:uiPriority w:val="0"/>
    <w:rPr>
      <w:rFonts w:hAnsi="宋体"/>
      <w:color w:val="000000"/>
    </w:rPr>
  </w:style>
  <w:style w:type="character" w:customStyle="1" w:styleId="1962">
    <w:name w:val="正文修改 Char142"/>
    <w:basedOn w:val="1182"/>
    <w:autoRedefine/>
    <w:qFormat/>
    <w:uiPriority w:val="0"/>
    <w:rPr>
      <w:rFonts w:ascii="宋体" w:hAnsi="Calibri" w:cs="宋体"/>
      <w:kern w:val="2"/>
      <w:sz w:val="24"/>
      <w:szCs w:val="24"/>
    </w:rPr>
  </w:style>
  <w:style w:type="paragraph" w:customStyle="1" w:styleId="1963">
    <w:name w:val="表中文字5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964">
    <w:name w:val="默认段落字体 Para Char Char Char Char52"/>
    <w:basedOn w:val="1"/>
    <w:autoRedefine/>
    <w:qFormat/>
    <w:uiPriority w:val="0"/>
    <w:rPr>
      <w:rFonts w:ascii="宋体" w:hAnsi="宋体" w:cs="宋体"/>
    </w:rPr>
  </w:style>
  <w:style w:type="paragraph" w:customStyle="1" w:styleId="1965">
    <w:name w:val="Char102"/>
    <w:basedOn w:val="1"/>
    <w:autoRedefine/>
    <w:qFormat/>
    <w:uiPriority w:val="0"/>
    <w:pPr>
      <w:adjustRightInd w:val="0"/>
      <w:snapToGrid w:val="0"/>
      <w:spacing w:line="360" w:lineRule="auto"/>
    </w:pPr>
    <w:rPr>
      <w:rFonts w:ascii="宋体" w:hAnsi="宋体" w:cs="宋体"/>
    </w:rPr>
  </w:style>
  <w:style w:type="paragraph" w:customStyle="1" w:styleId="1966">
    <w:name w:val="封面标准文稿编辑信息2"/>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1967">
    <w:name w:val="样式 表内小5 + 黑体 加粗 倾斜 下划线2"/>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968">
    <w:name w:val="样式 表内小5 + 黑体 加粗 倾斜 下划线 Char2"/>
    <w:autoRedefine/>
    <w:qFormat/>
    <w:uiPriority w:val="0"/>
    <w:rPr>
      <w:rFonts w:ascii="黑体" w:hAnsi="黑体" w:eastAsia="黑体"/>
      <w:b/>
      <w:bCs/>
      <w:i/>
      <w:iCs/>
      <w:kern w:val="2"/>
      <w:sz w:val="18"/>
      <w:szCs w:val="24"/>
      <w:u w:val="single"/>
      <w:lang w:val="en-US" w:eastAsia="zh-CN" w:bidi="ar-SA"/>
    </w:rPr>
  </w:style>
  <w:style w:type="paragraph" w:customStyle="1" w:styleId="1969">
    <w:name w:val="表内5中12"/>
    <w:basedOn w:val="1"/>
    <w:autoRedefine/>
    <w:qFormat/>
    <w:uiPriority w:val="0"/>
    <w:pPr>
      <w:adjustRightInd w:val="0"/>
      <w:snapToGrid w:val="0"/>
      <w:jc w:val="center"/>
    </w:pPr>
    <w:rPr>
      <w:rFonts w:ascii="宋体" w:hAnsi="宋体" w:cs="Arial"/>
      <w:snapToGrid w:val="0"/>
      <w:color w:val="000000"/>
      <w:szCs w:val="21"/>
    </w:rPr>
  </w:style>
  <w:style w:type="paragraph" w:customStyle="1" w:styleId="1970">
    <w:name w:val="表内54142"/>
    <w:basedOn w:val="1"/>
    <w:autoRedefine/>
    <w:qFormat/>
    <w:uiPriority w:val="0"/>
    <w:pPr>
      <w:adjustRightInd w:val="0"/>
      <w:snapToGrid w:val="0"/>
      <w:spacing w:line="300" w:lineRule="auto"/>
      <w:jc w:val="center"/>
    </w:pPr>
    <w:rPr>
      <w:rFonts w:ascii="宋体" w:hAnsi="宋体" w:cs="宋体"/>
    </w:rPr>
  </w:style>
  <w:style w:type="paragraph" w:customStyle="1" w:styleId="1971">
    <w:name w:val="表格12"/>
    <w:basedOn w:val="1"/>
    <w:autoRedefine/>
    <w:qFormat/>
    <w:uiPriority w:val="0"/>
    <w:pPr>
      <w:adjustRightInd w:val="0"/>
      <w:jc w:val="center"/>
      <w:textAlignment w:val="baseline"/>
    </w:pPr>
    <w:rPr>
      <w:rFonts w:ascii="宋体" w:hAnsi="宋体" w:cs="宋体"/>
      <w:kern w:val="0"/>
      <w:sz w:val="24"/>
    </w:rPr>
  </w:style>
  <w:style w:type="paragraph" w:customStyle="1" w:styleId="1972">
    <w:name w:val="c2"/>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1973">
    <w:name w:val="表题92"/>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1974">
    <w:name w:val="福建正文缩进2"/>
    <w:basedOn w:val="9"/>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1975">
    <w:name w:val="福建正文缩进 Char2"/>
    <w:autoRedefine/>
    <w:qFormat/>
    <w:uiPriority w:val="0"/>
    <w:rPr>
      <w:rFonts w:ascii="宋体" w:hAnsi="宋体" w:eastAsia="宋体" w:cs="宋体"/>
      <w:color w:val="000000"/>
      <w:kern w:val="2"/>
      <w:sz w:val="24"/>
      <w:szCs w:val="24"/>
      <w:lang w:val="en-US" w:eastAsia="zh-CN" w:bidi="ar-SA"/>
    </w:rPr>
  </w:style>
  <w:style w:type="paragraph" w:customStyle="1" w:styleId="1976">
    <w:name w:val="表内文字小13"/>
    <w:basedOn w:val="1"/>
    <w:autoRedefine/>
    <w:qFormat/>
    <w:uiPriority w:val="0"/>
    <w:pPr>
      <w:adjustRightInd w:val="0"/>
      <w:snapToGrid w:val="0"/>
      <w:jc w:val="center"/>
    </w:pPr>
    <w:rPr>
      <w:rFonts w:ascii="宋体" w:hAnsi="Times" w:cs="宋体"/>
    </w:rPr>
  </w:style>
  <w:style w:type="paragraph" w:customStyle="1" w:styleId="1977">
    <w:name w:val="表内592"/>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1978">
    <w:name w:val="正文首行缩进 2 Char2"/>
    <w:autoRedefine/>
    <w:qFormat/>
    <w:uiPriority w:val="0"/>
    <w:rPr>
      <w:rFonts w:eastAsia="宋体"/>
      <w:kern w:val="2"/>
      <w:sz w:val="21"/>
      <w:szCs w:val="24"/>
      <w:lang w:val="en-US" w:eastAsia="zh-CN" w:bidi="ar-SA"/>
    </w:rPr>
  </w:style>
  <w:style w:type="paragraph" w:customStyle="1" w:styleId="1979">
    <w:name w:val="表内小5中2"/>
    <w:basedOn w:val="1"/>
    <w:autoRedefine/>
    <w:qFormat/>
    <w:uiPriority w:val="0"/>
    <w:pPr>
      <w:adjustRightInd w:val="0"/>
      <w:snapToGrid w:val="0"/>
      <w:jc w:val="center"/>
    </w:pPr>
    <w:rPr>
      <w:rFonts w:ascii="宋体" w:hAnsi="宋体" w:cs="宋体"/>
      <w:sz w:val="18"/>
    </w:rPr>
  </w:style>
  <w:style w:type="paragraph" w:customStyle="1" w:styleId="1980">
    <w:name w:val="表内5中42"/>
    <w:basedOn w:val="1"/>
    <w:autoRedefine/>
    <w:qFormat/>
    <w:uiPriority w:val="0"/>
    <w:pPr>
      <w:adjustRightInd w:val="0"/>
      <w:snapToGrid w:val="0"/>
      <w:jc w:val="center"/>
    </w:pPr>
    <w:rPr>
      <w:rFonts w:ascii="宋体" w:hAnsi="宋体" w:cs="宋体"/>
      <w:bCs/>
    </w:rPr>
  </w:style>
  <w:style w:type="paragraph" w:customStyle="1" w:styleId="1981">
    <w:name w:val="默认段落字体 Para Char4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982">
    <w:name w:val="燕山正文13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983">
    <w:name w:val="样式 标题 4无效格式无效格式1河石管道4H4H41小小节河石管道41H42H411小小节1河石管道42...3"/>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984">
    <w:name w:val="样式 标题 4无效格式无效格式1河石管道4H4H41小小节河石管道41H42H411小小节1河石管道42...12"/>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985">
    <w:name w:val="正文格式83"/>
    <w:basedOn w:val="1"/>
    <w:autoRedefine/>
    <w:qFormat/>
    <w:uiPriority w:val="0"/>
    <w:pPr>
      <w:spacing w:line="360" w:lineRule="auto"/>
      <w:ind w:firstLine="482"/>
    </w:pPr>
    <w:rPr>
      <w:rFonts w:ascii="宋体" w:hAnsi="宋体" w:cs="宋体"/>
      <w:sz w:val="24"/>
    </w:rPr>
  </w:style>
  <w:style w:type="paragraph" w:customStyle="1" w:styleId="1986">
    <w:name w:val="正文格式92"/>
    <w:basedOn w:val="1"/>
    <w:autoRedefine/>
    <w:qFormat/>
    <w:uiPriority w:val="0"/>
    <w:pPr>
      <w:spacing w:line="360" w:lineRule="auto"/>
      <w:ind w:firstLine="482"/>
    </w:pPr>
    <w:rPr>
      <w:rFonts w:ascii="宋体" w:hAnsi="宋体" w:cs="宋体"/>
      <w:sz w:val="24"/>
    </w:rPr>
  </w:style>
  <w:style w:type="paragraph" w:customStyle="1" w:styleId="1987">
    <w:name w:val="Char45"/>
    <w:basedOn w:val="1"/>
    <w:autoRedefine/>
    <w:qFormat/>
    <w:uiPriority w:val="0"/>
    <w:pPr>
      <w:ind w:left="-48"/>
    </w:pPr>
    <w:rPr>
      <w:rFonts w:ascii="宋体" w:hAnsi="宋体" w:cs="宋体"/>
    </w:rPr>
  </w:style>
  <w:style w:type="paragraph" w:customStyle="1" w:styleId="1988">
    <w:name w:val="Char Char Char Char Char Char Char8"/>
    <w:basedOn w:val="1"/>
    <w:autoRedefine/>
    <w:qFormat/>
    <w:uiPriority w:val="0"/>
    <w:rPr>
      <w:rFonts w:ascii="宋体" w:hAnsi="宋体" w:cs="宋体"/>
    </w:rPr>
  </w:style>
  <w:style w:type="paragraph" w:customStyle="1" w:styleId="1989">
    <w:name w:val="Char26"/>
    <w:basedOn w:val="1"/>
    <w:autoRedefine/>
    <w:qFormat/>
    <w:uiPriority w:val="0"/>
    <w:pPr>
      <w:ind w:left="-48"/>
    </w:pPr>
    <w:rPr>
      <w:rFonts w:ascii="宋体" w:hAnsi="宋体" w:cs="宋体"/>
    </w:rPr>
  </w:style>
  <w:style w:type="paragraph" w:customStyle="1" w:styleId="1990">
    <w:name w:val="Char Char Char Char1 Char Char Char4"/>
    <w:basedOn w:val="1"/>
    <w:autoRedefine/>
    <w:qFormat/>
    <w:uiPriority w:val="0"/>
    <w:pPr>
      <w:widowControl/>
      <w:spacing w:after="160"/>
      <w:jc w:val="left"/>
    </w:pPr>
    <w:rPr>
      <w:rFonts w:ascii="Verdana" w:hAnsi="Verdana" w:cs="宋体"/>
      <w:kern w:val="0"/>
      <w:sz w:val="24"/>
      <w:lang w:eastAsia="en-US"/>
    </w:rPr>
  </w:style>
  <w:style w:type="character" w:customStyle="1" w:styleId="1991">
    <w:name w:val="Char Char114"/>
    <w:autoRedefine/>
    <w:qFormat/>
    <w:uiPriority w:val="0"/>
    <w:rPr>
      <w:rFonts w:ascii="黑体" w:hAnsi="Arial" w:eastAsia="黑体"/>
      <w:bCs/>
      <w:kern w:val="2"/>
      <w:sz w:val="30"/>
      <w:szCs w:val="30"/>
      <w:lang w:val="en-US" w:eastAsia="zh-CN" w:bidi="ar-SA"/>
    </w:rPr>
  </w:style>
  <w:style w:type="paragraph" w:customStyle="1" w:styleId="1992">
    <w:name w:val="Char112"/>
    <w:basedOn w:val="1"/>
    <w:autoRedefine/>
    <w:qFormat/>
    <w:uiPriority w:val="0"/>
    <w:pPr>
      <w:ind w:left="-48"/>
    </w:pPr>
    <w:rPr>
      <w:rFonts w:ascii="宋体" w:hAnsi="宋体" w:cs="宋体"/>
    </w:rPr>
  </w:style>
  <w:style w:type="paragraph" w:customStyle="1" w:styleId="1993">
    <w:name w:val="Char Char Char Char Char Char Char16"/>
    <w:basedOn w:val="1"/>
    <w:autoRedefine/>
    <w:qFormat/>
    <w:uiPriority w:val="0"/>
    <w:rPr>
      <w:rFonts w:ascii="宋体" w:hAnsi="宋体" w:cs="宋体"/>
    </w:rPr>
  </w:style>
  <w:style w:type="character" w:customStyle="1" w:styleId="1994">
    <w:name w:val="Char Char64"/>
    <w:autoRedefine/>
    <w:qFormat/>
    <w:uiPriority w:val="0"/>
    <w:rPr>
      <w:rFonts w:ascii="黑体" w:eastAsia="黑体"/>
      <w:b/>
      <w:bCs/>
      <w:kern w:val="2"/>
      <w:sz w:val="28"/>
      <w:szCs w:val="28"/>
      <w:lang w:val="en-US" w:eastAsia="zh-CN" w:bidi="ar-SA"/>
    </w:rPr>
  </w:style>
  <w:style w:type="paragraph" w:customStyle="1" w:styleId="1995">
    <w:name w:val="Char27"/>
    <w:basedOn w:val="1"/>
    <w:autoRedefine/>
    <w:qFormat/>
    <w:uiPriority w:val="0"/>
    <w:pPr>
      <w:ind w:left="-48"/>
    </w:pPr>
    <w:rPr>
      <w:rFonts w:ascii="宋体" w:hAnsi="宋体" w:cs="宋体"/>
    </w:rPr>
  </w:style>
  <w:style w:type="paragraph" w:customStyle="1" w:styleId="1996">
    <w:name w:val="Char36"/>
    <w:basedOn w:val="1"/>
    <w:autoRedefine/>
    <w:qFormat/>
    <w:uiPriority w:val="0"/>
    <w:pPr>
      <w:ind w:left="-48"/>
    </w:pPr>
    <w:rPr>
      <w:rFonts w:ascii="宋体" w:hAnsi="宋体" w:cs="宋体"/>
    </w:rPr>
  </w:style>
  <w:style w:type="paragraph" w:customStyle="1" w:styleId="1997">
    <w:name w:val="Char Char Char Char Char Char Char24"/>
    <w:basedOn w:val="1"/>
    <w:autoRedefine/>
    <w:qFormat/>
    <w:uiPriority w:val="0"/>
    <w:rPr>
      <w:rFonts w:ascii="宋体" w:hAnsi="宋体" w:cs="宋体"/>
    </w:rPr>
  </w:style>
  <w:style w:type="paragraph" w:customStyle="1" w:styleId="1998">
    <w:name w:val="Char46"/>
    <w:basedOn w:val="1"/>
    <w:autoRedefine/>
    <w:qFormat/>
    <w:uiPriority w:val="0"/>
    <w:pPr>
      <w:ind w:left="-48"/>
    </w:pPr>
    <w:rPr>
      <w:rFonts w:ascii="宋体" w:hAnsi="宋体" w:cs="宋体"/>
    </w:rPr>
  </w:style>
  <w:style w:type="paragraph" w:customStyle="1" w:styleId="1999">
    <w:name w:val="Char Char Char Char Char Char Char9"/>
    <w:basedOn w:val="1"/>
    <w:autoRedefine/>
    <w:qFormat/>
    <w:uiPriority w:val="0"/>
    <w:rPr>
      <w:rFonts w:ascii="宋体" w:hAnsi="宋体" w:cs="宋体"/>
    </w:rPr>
  </w:style>
  <w:style w:type="paragraph" w:customStyle="1" w:styleId="2000">
    <w:name w:val="Char28"/>
    <w:basedOn w:val="1"/>
    <w:autoRedefine/>
    <w:qFormat/>
    <w:uiPriority w:val="0"/>
    <w:pPr>
      <w:ind w:left="-48"/>
    </w:pPr>
    <w:rPr>
      <w:rFonts w:ascii="宋体" w:hAnsi="宋体" w:cs="宋体"/>
    </w:rPr>
  </w:style>
  <w:style w:type="paragraph" w:customStyle="1" w:styleId="2001">
    <w:name w:val="Char Char Char Char1 Char Char Char5"/>
    <w:basedOn w:val="1"/>
    <w:autoRedefine/>
    <w:qFormat/>
    <w:uiPriority w:val="0"/>
    <w:pPr>
      <w:widowControl/>
      <w:spacing w:after="160"/>
      <w:jc w:val="left"/>
    </w:pPr>
    <w:rPr>
      <w:rFonts w:ascii="Verdana" w:hAnsi="Verdana" w:cs="宋体"/>
      <w:kern w:val="0"/>
      <w:sz w:val="24"/>
      <w:lang w:eastAsia="en-US"/>
    </w:rPr>
  </w:style>
  <w:style w:type="character" w:customStyle="1" w:styleId="2002">
    <w:name w:val="Char Char115"/>
    <w:autoRedefine/>
    <w:qFormat/>
    <w:uiPriority w:val="0"/>
    <w:rPr>
      <w:rFonts w:ascii="黑体" w:hAnsi="Arial" w:eastAsia="黑体"/>
      <w:bCs/>
      <w:kern w:val="2"/>
      <w:sz w:val="30"/>
      <w:szCs w:val="30"/>
      <w:lang w:val="en-US" w:eastAsia="zh-CN" w:bidi="ar-SA"/>
    </w:rPr>
  </w:style>
  <w:style w:type="paragraph" w:customStyle="1" w:styleId="2003">
    <w:name w:val="Char113"/>
    <w:basedOn w:val="1"/>
    <w:autoRedefine/>
    <w:qFormat/>
    <w:uiPriority w:val="0"/>
    <w:pPr>
      <w:ind w:left="-48"/>
    </w:pPr>
    <w:rPr>
      <w:rFonts w:ascii="宋体" w:hAnsi="宋体" w:cs="宋体"/>
    </w:rPr>
  </w:style>
  <w:style w:type="paragraph" w:customStyle="1" w:styleId="2004">
    <w:name w:val="Char Char Char Char Char Char Char17"/>
    <w:basedOn w:val="1"/>
    <w:autoRedefine/>
    <w:qFormat/>
    <w:uiPriority w:val="0"/>
    <w:rPr>
      <w:rFonts w:ascii="宋体" w:hAnsi="宋体" w:cs="宋体"/>
    </w:rPr>
  </w:style>
  <w:style w:type="character" w:customStyle="1" w:styleId="2005">
    <w:name w:val="Char Char65"/>
    <w:autoRedefine/>
    <w:qFormat/>
    <w:uiPriority w:val="0"/>
    <w:rPr>
      <w:rFonts w:ascii="黑体" w:eastAsia="黑体"/>
      <w:b/>
      <w:bCs/>
      <w:kern w:val="2"/>
      <w:sz w:val="28"/>
      <w:szCs w:val="28"/>
      <w:lang w:val="en-US" w:eastAsia="zh-CN" w:bidi="ar-SA"/>
    </w:rPr>
  </w:style>
  <w:style w:type="paragraph" w:customStyle="1" w:styleId="2006">
    <w:name w:val="Char29"/>
    <w:basedOn w:val="1"/>
    <w:autoRedefine/>
    <w:qFormat/>
    <w:uiPriority w:val="0"/>
    <w:pPr>
      <w:ind w:left="-48"/>
    </w:pPr>
    <w:rPr>
      <w:rFonts w:ascii="宋体" w:hAnsi="宋体" w:cs="宋体"/>
    </w:rPr>
  </w:style>
  <w:style w:type="paragraph" w:customStyle="1" w:styleId="2007">
    <w:name w:val="Char37"/>
    <w:basedOn w:val="1"/>
    <w:autoRedefine/>
    <w:qFormat/>
    <w:uiPriority w:val="0"/>
    <w:pPr>
      <w:ind w:left="-48"/>
    </w:pPr>
    <w:rPr>
      <w:rFonts w:ascii="宋体" w:hAnsi="宋体" w:cs="宋体"/>
    </w:rPr>
  </w:style>
  <w:style w:type="paragraph" w:customStyle="1" w:styleId="2008">
    <w:name w:val="Char Char Char Char Char Char Char25"/>
    <w:basedOn w:val="1"/>
    <w:autoRedefine/>
    <w:qFormat/>
    <w:uiPriority w:val="0"/>
    <w:rPr>
      <w:rFonts w:ascii="宋体" w:hAnsi="宋体" w:cs="宋体"/>
    </w:rPr>
  </w:style>
  <w:style w:type="paragraph" w:customStyle="1" w:styleId="2009">
    <w:name w:val="Char47"/>
    <w:basedOn w:val="1"/>
    <w:autoRedefine/>
    <w:qFormat/>
    <w:uiPriority w:val="0"/>
    <w:pPr>
      <w:ind w:left="-48"/>
    </w:pPr>
    <w:rPr>
      <w:rFonts w:ascii="宋体" w:hAnsi="宋体" w:cs="宋体"/>
    </w:rPr>
  </w:style>
  <w:style w:type="paragraph" w:customStyle="1" w:styleId="2010">
    <w:name w:val="表格内容2"/>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2011">
    <w:name w:val="表格内容 Char2"/>
    <w:autoRedefine/>
    <w:qFormat/>
    <w:uiPriority w:val="0"/>
    <w:rPr>
      <w:rFonts w:eastAsia="宋体"/>
      <w:kern w:val="2"/>
      <w:sz w:val="21"/>
      <w:szCs w:val="21"/>
      <w:lang w:val="en-US" w:eastAsia="zh-CN" w:bidi="ar-SA"/>
    </w:rPr>
  </w:style>
  <w:style w:type="paragraph" w:customStyle="1" w:styleId="2012">
    <w:name w:val="正文格式101"/>
    <w:basedOn w:val="1"/>
    <w:autoRedefine/>
    <w:qFormat/>
    <w:uiPriority w:val="0"/>
    <w:pPr>
      <w:spacing w:line="360" w:lineRule="auto"/>
      <w:ind w:firstLine="482"/>
    </w:pPr>
    <w:rPr>
      <w:rFonts w:ascii="宋体" w:hAnsi="宋体" w:cs="宋体"/>
      <w:sz w:val="24"/>
    </w:rPr>
  </w:style>
  <w:style w:type="character" w:customStyle="1" w:styleId="2013">
    <w:name w:val="题注 Char61"/>
    <w:autoRedefine/>
    <w:qFormat/>
    <w:uiPriority w:val="0"/>
    <w:rPr>
      <w:rFonts w:ascii="黑体" w:hAnsi="Arial" w:eastAsia="黑体" w:cs="Arial"/>
      <w:spacing w:val="10"/>
      <w:kern w:val="2"/>
      <w:sz w:val="24"/>
      <w:szCs w:val="24"/>
      <w:lang w:val="en-US" w:eastAsia="zh-CN" w:bidi="ar-SA"/>
    </w:rPr>
  </w:style>
  <w:style w:type="paragraph" w:customStyle="1" w:styleId="2014">
    <w:name w:val="图题81"/>
    <w:basedOn w:val="316"/>
    <w:next w:val="316"/>
    <w:autoRedefine/>
    <w:qFormat/>
    <w:uiPriority w:val="0"/>
    <w:pPr>
      <w:ind w:firstLine="0"/>
      <w:jc w:val="center"/>
    </w:pPr>
    <w:rPr>
      <w:rFonts w:ascii="黑体" w:hAnsi="宋体" w:eastAsia="黑体"/>
      <w:bCs/>
      <w:spacing w:val="0"/>
    </w:rPr>
  </w:style>
  <w:style w:type="paragraph" w:customStyle="1" w:styleId="2015">
    <w:name w:val="表格内字体81"/>
    <w:basedOn w:val="316"/>
    <w:next w:val="316"/>
    <w:autoRedefine/>
    <w:qFormat/>
    <w:uiPriority w:val="0"/>
    <w:pPr>
      <w:spacing w:line="240" w:lineRule="auto"/>
      <w:ind w:firstLine="0"/>
      <w:jc w:val="center"/>
    </w:pPr>
    <w:rPr>
      <w:rFonts w:hAnsi="宋体"/>
      <w:b w:val="0"/>
      <w:spacing w:val="0"/>
      <w:sz w:val="21"/>
    </w:rPr>
  </w:style>
  <w:style w:type="paragraph" w:customStyle="1" w:styleId="2016">
    <w:name w:val="Char114"/>
    <w:basedOn w:val="1"/>
    <w:autoRedefine/>
    <w:qFormat/>
    <w:uiPriority w:val="0"/>
    <w:pPr>
      <w:ind w:left="-48"/>
    </w:pPr>
    <w:rPr>
      <w:rFonts w:ascii="宋体" w:hAnsi="宋体" w:cs="宋体"/>
    </w:rPr>
  </w:style>
  <w:style w:type="paragraph" w:customStyle="1" w:styleId="2017">
    <w:name w:val="表题161"/>
    <w:basedOn w:val="22"/>
    <w:autoRedefine/>
    <w:qFormat/>
    <w:uiPriority w:val="0"/>
    <w:pPr>
      <w:widowControl w:val="0"/>
      <w:spacing w:line="360" w:lineRule="auto"/>
      <w:jc w:val="center"/>
    </w:pPr>
    <w:rPr>
      <w:rFonts w:ascii="黑体" w:hAnsi="Arial" w:cs="Arial"/>
      <w:b/>
      <w:kern w:val="2"/>
    </w:rPr>
  </w:style>
  <w:style w:type="character" w:customStyle="1" w:styleId="2018">
    <w:name w:val="表题1 Char71"/>
    <w:autoRedefine/>
    <w:qFormat/>
    <w:uiPriority w:val="0"/>
    <w:rPr>
      <w:rFonts w:ascii="黑体" w:hAnsi="Arial" w:eastAsia="黑体" w:cs="Arial"/>
      <w:b/>
      <w:kern w:val="2"/>
      <w:sz w:val="24"/>
      <w:szCs w:val="24"/>
      <w:lang w:val="en-US" w:eastAsia="zh-CN" w:bidi="ar-SA"/>
    </w:rPr>
  </w:style>
  <w:style w:type="paragraph" w:customStyle="1" w:styleId="2019">
    <w:name w:val="燕山正文5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020">
    <w:name w:val="正文修改51"/>
    <w:basedOn w:val="1181"/>
    <w:autoRedefine/>
    <w:qFormat/>
    <w:uiPriority w:val="0"/>
    <w:rPr>
      <w:rFonts w:hAnsi="宋体"/>
      <w:color w:val="000000"/>
    </w:rPr>
  </w:style>
  <w:style w:type="character" w:customStyle="1" w:styleId="2021">
    <w:name w:val="正文修改 Char151"/>
    <w:autoRedefine/>
    <w:qFormat/>
    <w:uiPriority w:val="0"/>
    <w:rPr>
      <w:rFonts w:ascii="宋体" w:hAnsi="宋体" w:eastAsia="宋体" w:cs="宋体"/>
      <w:color w:val="000000"/>
      <w:kern w:val="2"/>
      <w:sz w:val="24"/>
      <w:szCs w:val="24"/>
      <w:lang w:val="en-US" w:eastAsia="zh-CN" w:bidi="ar-SA"/>
    </w:rPr>
  </w:style>
  <w:style w:type="paragraph" w:customStyle="1" w:styleId="2022">
    <w:name w:val="表中文字6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023">
    <w:name w:val="默认段落字体 Para Char Char Char Char61"/>
    <w:basedOn w:val="1"/>
    <w:autoRedefine/>
    <w:qFormat/>
    <w:uiPriority w:val="0"/>
    <w:rPr>
      <w:rFonts w:ascii="宋体" w:hAnsi="宋体" w:cs="宋体"/>
    </w:rPr>
  </w:style>
  <w:style w:type="paragraph" w:customStyle="1" w:styleId="2024">
    <w:name w:val="Char1211"/>
    <w:basedOn w:val="1"/>
    <w:autoRedefine/>
    <w:qFormat/>
    <w:uiPriority w:val="0"/>
    <w:pPr>
      <w:adjustRightInd w:val="0"/>
      <w:snapToGrid w:val="0"/>
      <w:spacing w:line="360" w:lineRule="auto"/>
    </w:pPr>
    <w:rPr>
      <w:rFonts w:ascii="宋体" w:hAnsi="宋体" w:cs="宋体"/>
    </w:rPr>
  </w:style>
  <w:style w:type="paragraph" w:customStyle="1" w:styleId="2025">
    <w:name w:val="封面标准文稿编辑信息1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026">
    <w:name w:val="样式 表内小5 + 黑体 加粗 倾斜 下划线1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2027">
    <w:name w:val="表内5中21"/>
    <w:basedOn w:val="1"/>
    <w:autoRedefine/>
    <w:qFormat/>
    <w:uiPriority w:val="0"/>
    <w:pPr>
      <w:adjustRightInd w:val="0"/>
      <w:snapToGrid w:val="0"/>
      <w:jc w:val="center"/>
    </w:pPr>
    <w:rPr>
      <w:rFonts w:ascii="宋体" w:hAnsi="宋体" w:cs="Arial"/>
      <w:snapToGrid w:val="0"/>
      <w:color w:val="000000"/>
      <w:szCs w:val="21"/>
    </w:rPr>
  </w:style>
  <w:style w:type="paragraph" w:customStyle="1" w:styleId="2028">
    <w:name w:val="表内54151"/>
    <w:basedOn w:val="1"/>
    <w:autoRedefine/>
    <w:qFormat/>
    <w:uiPriority w:val="0"/>
    <w:pPr>
      <w:adjustRightInd w:val="0"/>
      <w:snapToGrid w:val="0"/>
      <w:spacing w:line="300" w:lineRule="auto"/>
      <w:jc w:val="center"/>
    </w:pPr>
    <w:rPr>
      <w:rFonts w:ascii="宋体" w:hAnsi="宋体" w:cs="宋体"/>
    </w:rPr>
  </w:style>
  <w:style w:type="paragraph" w:customStyle="1" w:styleId="2029">
    <w:name w:val="表格111"/>
    <w:basedOn w:val="1"/>
    <w:autoRedefine/>
    <w:qFormat/>
    <w:uiPriority w:val="0"/>
    <w:pPr>
      <w:adjustRightInd w:val="0"/>
      <w:jc w:val="center"/>
      <w:textAlignment w:val="baseline"/>
    </w:pPr>
    <w:rPr>
      <w:rFonts w:ascii="宋体" w:hAnsi="宋体" w:cs="宋体"/>
      <w:kern w:val="0"/>
      <w:sz w:val="24"/>
    </w:rPr>
  </w:style>
  <w:style w:type="paragraph" w:customStyle="1" w:styleId="2030">
    <w:name w:val="c1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031">
    <w:name w:val="表题911"/>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032">
    <w:name w:val="福建正文缩进11"/>
    <w:basedOn w:val="9"/>
    <w:autoRedefine/>
    <w:qFormat/>
    <w:uiPriority w:val="0"/>
    <w:pPr>
      <w:spacing w:line="360" w:lineRule="auto"/>
      <w:ind w:firstLine="567" w:firstLineChars="0"/>
    </w:pPr>
    <w:rPr>
      <w:rFonts w:ascii="宋体" w:hAnsi="Calibri" w:eastAsia="宋体" w:cs="宋体"/>
      <w:color w:val="auto"/>
      <w:kern w:val="0"/>
      <w:sz w:val="24"/>
    </w:rPr>
  </w:style>
  <w:style w:type="paragraph" w:customStyle="1" w:styleId="2033">
    <w:name w:val="表内文字小32"/>
    <w:basedOn w:val="1"/>
    <w:autoRedefine/>
    <w:qFormat/>
    <w:uiPriority w:val="0"/>
    <w:pPr>
      <w:adjustRightInd w:val="0"/>
      <w:snapToGrid w:val="0"/>
      <w:jc w:val="center"/>
    </w:pPr>
    <w:rPr>
      <w:rFonts w:ascii="宋体" w:hAnsi="Times" w:cs="宋体"/>
    </w:rPr>
  </w:style>
  <w:style w:type="paragraph" w:customStyle="1" w:styleId="2034">
    <w:name w:val="表内5911"/>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2035">
    <w:name w:val="表内小5中11"/>
    <w:basedOn w:val="1"/>
    <w:autoRedefine/>
    <w:qFormat/>
    <w:uiPriority w:val="0"/>
    <w:pPr>
      <w:adjustRightInd w:val="0"/>
      <w:snapToGrid w:val="0"/>
      <w:jc w:val="center"/>
    </w:pPr>
    <w:rPr>
      <w:rFonts w:ascii="宋体" w:hAnsi="宋体" w:cs="宋体"/>
      <w:sz w:val="18"/>
    </w:rPr>
  </w:style>
  <w:style w:type="paragraph" w:customStyle="1" w:styleId="2036">
    <w:name w:val="表内5中411"/>
    <w:basedOn w:val="1"/>
    <w:autoRedefine/>
    <w:qFormat/>
    <w:uiPriority w:val="0"/>
    <w:pPr>
      <w:adjustRightInd w:val="0"/>
      <w:snapToGrid w:val="0"/>
      <w:jc w:val="center"/>
    </w:pPr>
    <w:rPr>
      <w:rFonts w:ascii="宋体" w:hAnsi="宋体" w:cs="宋体"/>
      <w:bCs/>
    </w:rPr>
  </w:style>
  <w:style w:type="paragraph" w:customStyle="1" w:styleId="2037">
    <w:name w:val="默认段落字体 Para Char5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038">
    <w:name w:val="燕山正文13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039">
    <w:name w:val="样式 标题 4无效格式无效格式1河石管道4H4H41小小节河石管道41H42H411小小节1河石管道42...21"/>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040">
    <w:name w:val="样式 标题 4无效格式无效格式1河石管道4H4H41小小节河石管道41H42H411小小节1河石管道42...111"/>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041">
    <w:name w:val="附件41"/>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2042">
    <w:name w:val="标题43131"/>
    <w:basedOn w:val="1"/>
    <w:autoRedefine/>
    <w:qFormat/>
    <w:uiPriority w:val="0"/>
    <w:pPr>
      <w:adjustRightInd w:val="0"/>
      <w:snapToGrid w:val="0"/>
      <w:spacing w:line="480" w:lineRule="exact"/>
      <w:jc w:val="center"/>
    </w:pPr>
    <w:rPr>
      <w:rFonts w:ascii="宋体" w:hAnsi="宋体" w:cs="宋体"/>
      <w:sz w:val="24"/>
    </w:rPr>
  </w:style>
  <w:style w:type="paragraph" w:customStyle="1" w:styleId="2043">
    <w:name w:val="燕山正文114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044">
    <w:name w:val="表题4111"/>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045">
    <w:name w:val="表内文字小2141"/>
    <w:basedOn w:val="1"/>
    <w:autoRedefine/>
    <w:qFormat/>
    <w:uiPriority w:val="0"/>
    <w:pPr>
      <w:adjustRightInd w:val="0"/>
      <w:snapToGrid w:val="0"/>
      <w:jc w:val="center"/>
    </w:pPr>
    <w:rPr>
      <w:rFonts w:ascii="宋体" w:hAnsi="Times" w:cs="宋体"/>
      <w:bCs/>
      <w:color w:val="000000"/>
    </w:rPr>
  </w:style>
  <w:style w:type="paragraph" w:customStyle="1" w:styleId="2046">
    <w:name w:val="表题314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047">
    <w:name w:val="Char Char Char Char Char Char Char311"/>
    <w:basedOn w:val="1"/>
    <w:autoRedefine/>
    <w:qFormat/>
    <w:uiPriority w:val="0"/>
    <w:rPr>
      <w:rFonts w:ascii="宋体" w:hAnsi="宋体" w:cs="宋体"/>
    </w:rPr>
  </w:style>
  <w:style w:type="paragraph" w:customStyle="1" w:styleId="2048">
    <w:name w:val="表文字541"/>
    <w:basedOn w:val="1"/>
    <w:autoRedefine/>
    <w:qFormat/>
    <w:uiPriority w:val="0"/>
    <w:pPr>
      <w:adjustRightInd w:val="0"/>
      <w:jc w:val="left"/>
      <w:textAlignment w:val="baseline"/>
    </w:pPr>
    <w:rPr>
      <w:rFonts w:ascii="宋体" w:hAnsi="宋体" w:cs="宋体"/>
      <w:kern w:val="0"/>
    </w:rPr>
  </w:style>
  <w:style w:type="paragraph" w:customStyle="1" w:styleId="2049">
    <w:name w:val="表内文字小3141"/>
    <w:basedOn w:val="1"/>
    <w:autoRedefine/>
    <w:qFormat/>
    <w:uiPriority w:val="0"/>
    <w:pPr>
      <w:adjustRightInd w:val="0"/>
      <w:snapToGrid w:val="0"/>
      <w:jc w:val="center"/>
    </w:pPr>
    <w:rPr>
      <w:rFonts w:ascii="宋体" w:hAnsi="Times" w:cs="宋体"/>
      <w:bCs/>
      <w:color w:val="003366"/>
    </w:rPr>
  </w:style>
  <w:style w:type="paragraph" w:customStyle="1" w:styleId="2050">
    <w:name w:val="表内宋5112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051">
    <w:name w:val="文本框21"/>
    <w:basedOn w:val="1"/>
    <w:autoRedefine/>
    <w:qFormat/>
    <w:uiPriority w:val="0"/>
    <w:pPr>
      <w:adjustRightInd w:val="0"/>
      <w:snapToGrid w:val="0"/>
      <w:spacing w:after="6"/>
      <w:jc w:val="center"/>
    </w:pPr>
    <w:rPr>
      <w:rFonts w:ascii="宋体" w:hAnsi="宋体" w:eastAsia="仿宋_GB2312" w:cs="宋体"/>
    </w:rPr>
  </w:style>
  <w:style w:type="paragraph" w:customStyle="1" w:styleId="2052">
    <w:name w:val="正文.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53">
    <w:name w:val="表41"/>
    <w:basedOn w:val="1"/>
    <w:autoRedefine/>
    <w:qFormat/>
    <w:uiPriority w:val="0"/>
    <w:pPr>
      <w:adjustRightInd w:val="0"/>
      <w:snapToGrid w:val="0"/>
      <w:jc w:val="center"/>
    </w:pPr>
    <w:rPr>
      <w:rFonts w:ascii="宋体" w:hAnsi="宋体" w:eastAsia="仿宋_GB2312" w:cs="宋体"/>
      <w:sz w:val="24"/>
    </w:rPr>
  </w:style>
  <w:style w:type="paragraph" w:customStyle="1" w:styleId="2054">
    <w:name w:val="黑体三号51"/>
    <w:basedOn w:val="316"/>
    <w:autoRedefine/>
    <w:qFormat/>
    <w:uiPriority w:val="0"/>
    <w:pPr>
      <w:jc w:val="center"/>
    </w:pPr>
    <w:rPr>
      <w:rFonts w:ascii="黑体" w:hAnsi="宋体" w:eastAsia="黑体"/>
      <w:bCs/>
      <w:spacing w:val="0"/>
      <w:sz w:val="32"/>
    </w:rPr>
  </w:style>
  <w:style w:type="paragraph" w:customStyle="1" w:styleId="2055">
    <w:name w:val="Char1311"/>
    <w:basedOn w:val="1"/>
    <w:autoRedefine/>
    <w:qFormat/>
    <w:uiPriority w:val="0"/>
    <w:pPr>
      <w:ind w:left="-48"/>
    </w:pPr>
    <w:rPr>
      <w:rFonts w:ascii="宋体" w:hAnsi="宋体" w:cs="宋体"/>
    </w:rPr>
  </w:style>
  <w:style w:type="paragraph" w:customStyle="1" w:styleId="2056">
    <w:name w:val="样式131"/>
    <w:basedOn w:val="1228"/>
    <w:autoRedefine/>
    <w:qFormat/>
    <w:uiPriority w:val="0"/>
    <w:pPr>
      <w:spacing w:line="240" w:lineRule="auto"/>
      <w:ind w:firstLine="0"/>
      <w:jc w:val="center"/>
    </w:pPr>
    <w:rPr>
      <w:rFonts w:cs="Times New Roman"/>
      <w:b/>
      <w:color w:val="auto"/>
      <w:szCs w:val="20"/>
    </w:rPr>
  </w:style>
  <w:style w:type="paragraph" w:customStyle="1" w:styleId="2057">
    <w:name w:val="首行缩进:  0.99 厘米 + 首行缩进:  2 字符1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058">
    <w:name w:val="图表名称1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059">
    <w:name w:val="表内文字边1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060">
    <w:name w:val="正文缩1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061">
    <w:name w:val="样式21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2062">
    <w:name w:val="默认段落字体 Para Char Char Char Char Char11"/>
    <w:basedOn w:val="1"/>
    <w:autoRedefine/>
    <w:qFormat/>
    <w:uiPriority w:val="0"/>
    <w:rPr>
      <w:rFonts w:ascii="宋体" w:hAnsi="宋体" w:cs="宋体"/>
    </w:rPr>
  </w:style>
  <w:style w:type="paragraph" w:customStyle="1" w:styleId="2063">
    <w:name w:val="表内宋5中31"/>
    <w:basedOn w:val="1"/>
    <w:autoRedefine/>
    <w:qFormat/>
    <w:uiPriority w:val="0"/>
    <w:pPr>
      <w:adjustRightInd w:val="0"/>
      <w:snapToGrid w:val="0"/>
      <w:textAlignment w:val="baseline"/>
    </w:pPr>
    <w:rPr>
      <w:rFonts w:ascii="宋体" w:hAnsi="宋体" w:cs="宋体"/>
      <w:color w:val="000000"/>
      <w:kern w:val="0"/>
    </w:rPr>
  </w:style>
  <w:style w:type="paragraph" w:customStyle="1" w:styleId="2064">
    <w:name w:val="样式 标题 3 + 段前: 12 磅1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065">
    <w:name w:val="表内521"/>
    <w:basedOn w:val="1"/>
    <w:autoRedefine/>
    <w:qFormat/>
    <w:uiPriority w:val="0"/>
    <w:pPr>
      <w:adjustRightInd w:val="0"/>
      <w:snapToGrid w:val="0"/>
      <w:spacing w:line="300" w:lineRule="auto"/>
      <w:jc w:val="left"/>
    </w:pPr>
    <w:rPr>
      <w:rFonts w:ascii="宋体" w:hAnsi="宋体" w:cs="宋体"/>
      <w:sz w:val="18"/>
    </w:rPr>
  </w:style>
  <w:style w:type="paragraph" w:customStyle="1" w:styleId="2066">
    <w:name w:val="Char Char Char Char1 Char Char Char111"/>
    <w:basedOn w:val="1"/>
    <w:autoRedefine/>
    <w:qFormat/>
    <w:uiPriority w:val="0"/>
    <w:pPr>
      <w:widowControl/>
      <w:spacing w:after="160"/>
      <w:jc w:val="left"/>
    </w:pPr>
    <w:rPr>
      <w:rFonts w:ascii="Verdana" w:hAnsi="Verdana" w:cs="宋体"/>
      <w:kern w:val="0"/>
      <w:sz w:val="24"/>
      <w:lang w:eastAsia="en-US"/>
    </w:rPr>
  </w:style>
  <w:style w:type="paragraph" w:customStyle="1" w:styleId="2067">
    <w:name w:val="正文格式1111"/>
    <w:basedOn w:val="1"/>
    <w:autoRedefine/>
    <w:qFormat/>
    <w:uiPriority w:val="0"/>
    <w:pPr>
      <w:spacing w:line="360" w:lineRule="auto"/>
      <w:ind w:firstLine="482"/>
    </w:pPr>
    <w:rPr>
      <w:rFonts w:ascii="宋体" w:hAnsi="宋体" w:cs="宋体"/>
      <w:sz w:val="24"/>
    </w:rPr>
  </w:style>
  <w:style w:type="paragraph" w:customStyle="1" w:styleId="2068">
    <w:name w:val="图题111"/>
    <w:basedOn w:val="316"/>
    <w:next w:val="316"/>
    <w:autoRedefine/>
    <w:qFormat/>
    <w:uiPriority w:val="0"/>
    <w:pPr>
      <w:ind w:firstLine="0"/>
      <w:jc w:val="center"/>
    </w:pPr>
    <w:rPr>
      <w:rFonts w:ascii="黑体" w:hAnsi="宋体" w:eastAsia="黑体"/>
      <w:bCs/>
      <w:spacing w:val="0"/>
    </w:rPr>
  </w:style>
  <w:style w:type="paragraph" w:customStyle="1" w:styleId="2069">
    <w:name w:val="表格内字体121"/>
    <w:basedOn w:val="316"/>
    <w:next w:val="316"/>
    <w:autoRedefine/>
    <w:qFormat/>
    <w:uiPriority w:val="0"/>
    <w:pPr>
      <w:spacing w:line="240" w:lineRule="auto"/>
      <w:ind w:firstLine="0"/>
      <w:jc w:val="center"/>
    </w:pPr>
    <w:rPr>
      <w:rFonts w:hAnsi="宋体"/>
      <w:b w:val="0"/>
      <w:spacing w:val="0"/>
      <w:sz w:val="21"/>
    </w:rPr>
  </w:style>
  <w:style w:type="paragraph" w:customStyle="1" w:styleId="2070">
    <w:name w:val="Char1411"/>
    <w:basedOn w:val="1"/>
    <w:autoRedefine/>
    <w:qFormat/>
    <w:uiPriority w:val="0"/>
    <w:pPr>
      <w:ind w:left="-48"/>
    </w:pPr>
    <w:rPr>
      <w:rFonts w:ascii="宋体" w:hAnsi="宋体" w:cs="宋体"/>
    </w:rPr>
  </w:style>
  <w:style w:type="paragraph" w:customStyle="1" w:styleId="2071">
    <w:name w:val="正文格式221"/>
    <w:basedOn w:val="1"/>
    <w:autoRedefine/>
    <w:qFormat/>
    <w:uiPriority w:val="0"/>
    <w:pPr>
      <w:spacing w:line="360" w:lineRule="auto"/>
      <w:ind w:firstLine="482"/>
    </w:pPr>
    <w:rPr>
      <w:rFonts w:ascii="宋体" w:hAnsi="宋体" w:cs="宋体"/>
      <w:sz w:val="24"/>
    </w:rPr>
  </w:style>
  <w:style w:type="paragraph" w:customStyle="1" w:styleId="2072">
    <w:name w:val="Char151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073">
    <w:name w:val="题注 Char111"/>
    <w:autoRedefine/>
    <w:qFormat/>
    <w:uiPriority w:val="0"/>
    <w:rPr>
      <w:rFonts w:ascii="黑体" w:hAnsi="Arial" w:eastAsia="黑体" w:cs="Arial"/>
      <w:spacing w:val="10"/>
      <w:kern w:val="2"/>
      <w:sz w:val="24"/>
      <w:szCs w:val="24"/>
      <w:lang w:val="en-US" w:eastAsia="zh-CN" w:bidi="ar-SA"/>
    </w:rPr>
  </w:style>
  <w:style w:type="paragraph" w:customStyle="1" w:styleId="2074">
    <w:name w:val="图题221"/>
    <w:basedOn w:val="316"/>
    <w:next w:val="316"/>
    <w:autoRedefine/>
    <w:qFormat/>
    <w:uiPriority w:val="0"/>
    <w:pPr>
      <w:ind w:firstLine="0"/>
      <w:jc w:val="center"/>
    </w:pPr>
    <w:rPr>
      <w:rFonts w:ascii="黑体" w:hAnsi="宋体" w:eastAsia="黑体"/>
      <w:bCs/>
      <w:spacing w:val="0"/>
    </w:rPr>
  </w:style>
  <w:style w:type="paragraph" w:customStyle="1" w:styleId="2075">
    <w:name w:val="表格内字体221"/>
    <w:basedOn w:val="316"/>
    <w:next w:val="316"/>
    <w:autoRedefine/>
    <w:qFormat/>
    <w:uiPriority w:val="0"/>
    <w:pPr>
      <w:spacing w:line="240" w:lineRule="auto"/>
      <w:ind w:firstLine="0"/>
      <w:jc w:val="center"/>
    </w:pPr>
    <w:rPr>
      <w:rFonts w:hAnsi="宋体"/>
      <w:b w:val="0"/>
      <w:spacing w:val="0"/>
      <w:sz w:val="21"/>
    </w:rPr>
  </w:style>
  <w:style w:type="paragraph" w:customStyle="1" w:styleId="2076">
    <w:name w:val="表内541111"/>
    <w:basedOn w:val="1"/>
    <w:autoRedefine/>
    <w:qFormat/>
    <w:uiPriority w:val="0"/>
    <w:pPr>
      <w:adjustRightInd w:val="0"/>
      <w:snapToGrid w:val="0"/>
      <w:spacing w:line="300" w:lineRule="auto"/>
      <w:jc w:val="center"/>
    </w:pPr>
    <w:rPr>
      <w:rFonts w:ascii="宋体" w:hAnsi="宋体" w:cs="宋体"/>
    </w:rPr>
  </w:style>
  <w:style w:type="paragraph" w:customStyle="1" w:styleId="2077">
    <w:name w:val="表内文字小21111"/>
    <w:basedOn w:val="1"/>
    <w:autoRedefine/>
    <w:qFormat/>
    <w:uiPriority w:val="0"/>
    <w:pPr>
      <w:adjustRightInd w:val="0"/>
      <w:snapToGrid w:val="0"/>
      <w:jc w:val="center"/>
    </w:pPr>
    <w:rPr>
      <w:rFonts w:ascii="宋体" w:hAnsi="Times" w:cs="宋体"/>
      <w:bCs/>
      <w:color w:val="000000"/>
    </w:rPr>
  </w:style>
  <w:style w:type="paragraph" w:customStyle="1" w:styleId="2078">
    <w:name w:val="表题311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079">
    <w:name w:val="Char Char Char Char Char Char Char1111"/>
    <w:basedOn w:val="1"/>
    <w:autoRedefine/>
    <w:qFormat/>
    <w:uiPriority w:val="0"/>
    <w:rPr>
      <w:rFonts w:ascii="宋体" w:hAnsi="宋体" w:cs="宋体"/>
    </w:rPr>
  </w:style>
  <w:style w:type="paragraph" w:customStyle="1" w:styleId="2080">
    <w:name w:val="标题431111"/>
    <w:basedOn w:val="1"/>
    <w:autoRedefine/>
    <w:qFormat/>
    <w:uiPriority w:val="0"/>
    <w:pPr>
      <w:adjustRightInd w:val="0"/>
      <w:snapToGrid w:val="0"/>
      <w:spacing w:line="480" w:lineRule="exact"/>
      <w:jc w:val="center"/>
    </w:pPr>
    <w:rPr>
      <w:rFonts w:ascii="宋体" w:hAnsi="宋体" w:cs="宋体"/>
      <w:sz w:val="24"/>
    </w:rPr>
  </w:style>
  <w:style w:type="paragraph" w:customStyle="1" w:styleId="2081">
    <w:name w:val="燕山正文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082">
    <w:name w:val="默认段落字体 Para Char Char Char Char111"/>
    <w:basedOn w:val="1"/>
    <w:autoRedefine/>
    <w:qFormat/>
    <w:uiPriority w:val="0"/>
    <w:rPr>
      <w:rFonts w:ascii="宋体" w:hAnsi="宋体" w:cs="宋体"/>
    </w:rPr>
  </w:style>
  <w:style w:type="paragraph" w:customStyle="1" w:styleId="2083">
    <w:name w:val="附件11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084">
    <w:name w:val="黑体三号111"/>
    <w:basedOn w:val="316"/>
    <w:autoRedefine/>
    <w:qFormat/>
    <w:uiPriority w:val="0"/>
    <w:pPr>
      <w:jc w:val="center"/>
    </w:pPr>
    <w:rPr>
      <w:rFonts w:ascii="黑体" w:hAnsi="宋体" w:eastAsia="黑体"/>
      <w:bCs/>
      <w:spacing w:val="0"/>
      <w:sz w:val="32"/>
    </w:rPr>
  </w:style>
  <w:style w:type="paragraph" w:customStyle="1" w:styleId="2085">
    <w:name w:val="表111"/>
    <w:basedOn w:val="1"/>
    <w:autoRedefine/>
    <w:qFormat/>
    <w:uiPriority w:val="0"/>
    <w:pPr>
      <w:adjustRightInd w:val="0"/>
      <w:snapToGrid w:val="0"/>
      <w:jc w:val="center"/>
    </w:pPr>
    <w:rPr>
      <w:rFonts w:ascii="宋体" w:hAnsi="宋体" w:eastAsia="仿宋_GB2312" w:cs="宋体"/>
      <w:sz w:val="24"/>
    </w:rPr>
  </w:style>
  <w:style w:type="paragraph" w:customStyle="1" w:styleId="2086">
    <w:name w:val="表题1121"/>
    <w:basedOn w:val="22"/>
    <w:autoRedefine/>
    <w:qFormat/>
    <w:uiPriority w:val="0"/>
    <w:pPr>
      <w:widowControl w:val="0"/>
      <w:spacing w:line="360" w:lineRule="auto"/>
      <w:jc w:val="center"/>
    </w:pPr>
    <w:rPr>
      <w:rFonts w:ascii="黑体" w:hAnsi="Arial" w:cs="Arial"/>
      <w:kern w:val="2"/>
    </w:rPr>
  </w:style>
  <w:style w:type="paragraph" w:customStyle="1" w:styleId="2087">
    <w:name w:val="燕山正文1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088">
    <w:name w:val="正文修改111"/>
    <w:basedOn w:val="1181"/>
    <w:autoRedefine/>
    <w:qFormat/>
    <w:uiPriority w:val="0"/>
    <w:rPr>
      <w:rFonts w:hAnsi="宋体"/>
      <w:color w:val="000000"/>
    </w:rPr>
  </w:style>
  <w:style w:type="character" w:customStyle="1" w:styleId="2089">
    <w:name w:val="正文修改 Char1111"/>
    <w:autoRedefine/>
    <w:qFormat/>
    <w:uiPriority w:val="0"/>
    <w:rPr>
      <w:rFonts w:ascii="宋体" w:hAnsi="宋体" w:eastAsia="宋体" w:cs="宋体"/>
      <w:color w:val="000000"/>
      <w:kern w:val="2"/>
      <w:sz w:val="24"/>
      <w:szCs w:val="24"/>
      <w:lang w:val="en-US" w:eastAsia="zh-CN" w:bidi="ar-SA"/>
    </w:rPr>
  </w:style>
  <w:style w:type="paragraph" w:customStyle="1" w:styleId="2090">
    <w:name w:val="表中文字1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091">
    <w:name w:val="表文字5121"/>
    <w:basedOn w:val="1"/>
    <w:autoRedefine/>
    <w:qFormat/>
    <w:uiPriority w:val="0"/>
    <w:pPr>
      <w:adjustRightInd w:val="0"/>
      <w:jc w:val="left"/>
      <w:textAlignment w:val="baseline"/>
    </w:pPr>
    <w:rPr>
      <w:rFonts w:ascii="宋体" w:hAnsi="宋体" w:cs="宋体"/>
      <w:kern w:val="0"/>
    </w:rPr>
  </w:style>
  <w:style w:type="paragraph" w:customStyle="1" w:styleId="2092">
    <w:name w:val="表内文字小31111"/>
    <w:basedOn w:val="1"/>
    <w:autoRedefine/>
    <w:qFormat/>
    <w:uiPriority w:val="0"/>
    <w:pPr>
      <w:adjustRightInd w:val="0"/>
      <w:snapToGrid w:val="0"/>
      <w:jc w:val="center"/>
    </w:pPr>
    <w:rPr>
      <w:rFonts w:ascii="宋体" w:hAnsi="Times" w:cs="宋体"/>
      <w:bCs/>
      <w:color w:val="003366"/>
    </w:rPr>
  </w:style>
  <w:style w:type="paragraph" w:customStyle="1" w:styleId="2093">
    <w:name w:val="样式1111"/>
    <w:basedOn w:val="1228"/>
    <w:autoRedefine/>
    <w:qFormat/>
    <w:uiPriority w:val="0"/>
    <w:pPr>
      <w:spacing w:line="240" w:lineRule="auto"/>
      <w:ind w:firstLine="0"/>
      <w:jc w:val="center"/>
    </w:pPr>
    <w:rPr>
      <w:rFonts w:cs="Times New Roman"/>
      <w:b/>
      <w:color w:val="auto"/>
      <w:szCs w:val="20"/>
    </w:rPr>
  </w:style>
  <w:style w:type="paragraph" w:customStyle="1" w:styleId="2094">
    <w:name w:val="Char2111"/>
    <w:basedOn w:val="1"/>
    <w:autoRedefine/>
    <w:qFormat/>
    <w:uiPriority w:val="0"/>
    <w:pPr>
      <w:ind w:left="-48"/>
    </w:pPr>
    <w:rPr>
      <w:rFonts w:ascii="宋体" w:hAnsi="宋体" w:cs="宋体"/>
    </w:rPr>
  </w:style>
  <w:style w:type="paragraph" w:customStyle="1" w:styleId="2095">
    <w:name w:val="表内文字小231"/>
    <w:basedOn w:val="1"/>
    <w:autoRedefine/>
    <w:qFormat/>
    <w:uiPriority w:val="0"/>
    <w:pPr>
      <w:adjustRightInd w:val="0"/>
      <w:snapToGrid w:val="0"/>
      <w:jc w:val="center"/>
    </w:pPr>
    <w:rPr>
      <w:rFonts w:ascii="宋体" w:hAnsi="Times" w:cs="宋体"/>
      <w:bCs/>
      <w:color w:val="000000"/>
    </w:rPr>
  </w:style>
  <w:style w:type="paragraph" w:customStyle="1" w:styleId="2096">
    <w:name w:val="表内5321"/>
    <w:basedOn w:val="1"/>
    <w:autoRedefine/>
    <w:qFormat/>
    <w:uiPriority w:val="0"/>
    <w:pPr>
      <w:adjustRightInd w:val="0"/>
      <w:snapToGrid w:val="0"/>
      <w:spacing w:line="300" w:lineRule="auto"/>
      <w:jc w:val="left"/>
    </w:pPr>
    <w:rPr>
      <w:rFonts w:ascii="宋体" w:hAnsi="宋体" w:cs="宋体"/>
    </w:rPr>
  </w:style>
  <w:style w:type="paragraph" w:customStyle="1" w:styleId="2097">
    <w:name w:val="正文格式311"/>
    <w:basedOn w:val="1"/>
    <w:autoRedefine/>
    <w:qFormat/>
    <w:uiPriority w:val="0"/>
    <w:pPr>
      <w:spacing w:line="360" w:lineRule="auto"/>
      <w:ind w:firstLine="482"/>
    </w:pPr>
    <w:rPr>
      <w:rFonts w:ascii="宋体" w:hAnsi="宋体" w:cs="宋体"/>
      <w:sz w:val="24"/>
    </w:rPr>
  </w:style>
  <w:style w:type="paragraph" w:customStyle="1" w:styleId="2098">
    <w:name w:val="Char221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099">
    <w:name w:val="题注 Char211"/>
    <w:autoRedefine/>
    <w:qFormat/>
    <w:uiPriority w:val="0"/>
    <w:rPr>
      <w:rFonts w:ascii="黑体" w:hAnsi="Arial" w:eastAsia="黑体" w:cs="Arial"/>
      <w:spacing w:val="10"/>
      <w:kern w:val="2"/>
      <w:sz w:val="24"/>
      <w:szCs w:val="24"/>
      <w:lang w:val="en-US" w:eastAsia="zh-CN" w:bidi="ar-SA"/>
    </w:rPr>
  </w:style>
  <w:style w:type="paragraph" w:customStyle="1" w:styleId="2100">
    <w:name w:val="图题311"/>
    <w:basedOn w:val="316"/>
    <w:next w:val="316"/>
    <w:autoRedefine/>
    <w:qFormat/>
    <w:uiPriority w:val="0"/>
    <w:pPr>
      <w:ind w:firstLine="0"/>
      <w:jc w:val="center"/>
    </w:pPr>
    <w:rPr>
      <w:rFonts w:ascii="黑体" w:hAnsi="宋体" w:eastAsia="黑体"/>
      <w:bCs/>
      <w:spacing w:val="0"/>
    </w:rPr>
  </w:style>
  <w:style w:type="paragraph" w:customStyle="1" w:styleId="2101">
    <w:name w:val="表格内字体311"/>
    <w:basedOn w:val="316"/>
    <w:next w:val="316"/>
    <w:autoRedefine/>
    <w:qFormat/>
    <w:uiPriority w:val="0"/>
    <w:pPr>
      <w:spacing w:line="240" w:lineRule="auto"/>
      <w:ind w:firstLine="0"/>
      <w:jc w:val="center"/>
    </w:pPr>
    <w:rPr>
      <w:rFonts w:hAnsi="宋体"/>
      <w:b w:val="0"/>
      <w:spacing w:val="0"/>
      <w:sz w:val="21"/>
    </w:rPr>
  </w:style>
  <w:style w:type="paragraph" w:customStyle="1" w:styleId="2102">
    <w:name w:val="表内541211"/>
    <w:basedOn w:val="1"/>
    <w:autoRedefine/>
    <w:qFormat/>
    <w:uiPriority w:val="0"/>
    <w:pPr>
      <w:adjustRightInd w:val="0"/>
      <w:snapToGrid w:val="0"/>
      <w:spacing w:line="300" w:lineRule="auto"/>
      <w:jc w:val="center"/>
    </w:pPr>
    <w:rPr>
      <w:rFonts w:ascii="宋体" w:hAnsi="宋体" w:cs="宋体"/>
    </w:rPr>
  </w:style>
  <w:style w:type="paragraph" w:customStyle="1" w:styleId="2103">
    <w:name w:val="表内文字小21211"/>
    <w:basedOn w:val="1"/>
    <w:autoRedefine/>
    <w:qFormat/>
    <w:uiPriority w:val="0"/>
    <w:pPr>
      <w:adjustRightInd w:val="0"/>
      <w:snapToGrid w:val="0"/>
      <w:jc w:val="center"/>
    </w:pPr>
    <w:rPr>
      <w:rFonts w:ascii="宋体" w:hAnsi="Times" w:cs="宋体"/>
      <w:bCs/>
      <w:color w:val="000000"/>
    </w:rPr>
  </w:style>
  <w:style w:type="paragraph" w:customStyle="1" w:styleId="2104">
    <w:name w:val="表题312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105">
    <w:name w:val="Char Char Char Char Char Char Char411"/>
    <w:basedOn w:val="1"/>
    <w:autoRedefine/>
    <w:qFormat/>
    <w:uiPriority w:val="0"/>
    <w:rPr>
      <w:rFonts w:ascii="宋体" w:hAnsi="宋体" w:cs="宋体"/>
    </w:rPr>
  </w:style>
  <w:style w:type="paragraph" w:customStyle="1" w:styleId="2106">
    <w:name w:val="标题431211"/>
    <w:basedOn w:val="1"/>
    <w:autoRedefine/>
    <w:qFormat/>
    <w:uiPriority w:val="0"/>
    <w:pPr>
      <w:adjustRightInd w:val="0"/>
      <w:snapToGrid w:val="0"/>
      <w:spacing w:line="480" w:lineRule="exact"/>
      <w:jc w:val="center"/>
    </w:pPr>
    <w:rPr>
      <w:rFonts w:ascii="宋体" w:hAnsi="宋体" w:cs="宋体"/>
      <w:sz w:val="24"/>
    </w:rPr>
  </w:style>
  <w:style w:type="paragraph" w:customStyle="1" w:styleId="2107">
    <w:name w:val="燕山正文112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108">
    <w:name w:val="默认段落字体 Para Char Char Char Char211"/>
    <w:basedOn w:val="1"/>
    <w:autoRedefine/>
    <w:qFormat/>
    <w:uiPriority w:val="0"/>
    <w:rPr>
      <w:rFonts w:ascii="宋体" w:hAnsi="宋体" w:cs="宋体"/>
    </w:rPr>
  </w:style>
  <w:style w:type="paragraph" w:customStyle="1" w:styleId="2109">
    <w:name w:val="附件21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110">
    <w:name w:val="黑体三号211"/>
    <w:basedOn w:val="316"/>
    <w:autoRedefine/>
    <w:qFormat/>
    <w:uiPriority w:val="0"/>
    <w:pPr>
      <w:jc w:val="center"/>
    </w:pPr>
    <w:rPr>
      <w:rFonts w:ascii="黑体" w:hAnsi="宋体" w:eastAsia="黑体"/>
      <w:bCs/>
      <w:spacing w:val="0"/>
      <w:sz w:val="32"/>
    </w:rPr>
  </w:style>
  <w:style w:type="paragraph" w:customStyle="1" w:styleId="2111">
    <w:name w:val="表211"/>
    <w:basedOn w:val="1"/>
    <w:autoRedefine/>
    <w:qFormat/>
    <w:uiPriority w:val="0"/>
    <w:pPr>
      <w:adjustRightInd w:val="0"/>
      <w:snapToGrid w:val="0"/>
      <w:jc w:val="center"/>
    </w:pPr>
    <w:rPr>
      <w:rFonts w:ascii="宋体" w:hAnsi="宋体" w:eastAsia="仿宋_GB2312" w:cs="宋体"/>
      <w:sz w:val="24"/>
    </w:rPr>
  </w:style>
  <w:style w:type="paragraph" w:customStyle="1" w:styleId="2112">
    <w:name w:val="表题1211"/>
    <w:basedOn w:val="22"/>
    <w:autoRedefine/>
    <w:qFormat/>
    <w:uiPriority w:val="0"/>
    <w:pPr>
      <w:widowControl w:val="0"/>
      <w:spacing w:line="360" w:lineRule="auto"/>
      <w:jc w:val="center"/>
    </w:pPr>
    <w:rPr>
      <w:rFonts w:ascii="黑体" w:hAnsi="Arial" w:cs="Arial"/>
      <w:kern w:val="2"/>
    </w:rPr>
  </w:style>
  <w:style w:type="paragraph" w:customStyle="1" w:styleId="2113">
    <w:name w:val="燕山正文2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114">
    <w:name w:val="正文修改211"/>
    <w:basedOn w:val="1181"/>
    <w:autoRedefine/>
    <w:qFormat/>
    <w:uiPriority w:val="0"/>
    <w:rPr>
      <w:rFonts w:hAnsi="宋体"/>
      <w:color w:val="000000"/>
    </w:rPr>
  </w:style>
  <w:style w:type="character" w:customStyle="1" w:styleId="2115">
    <w:name w:val="正文修改 Char1211"/>
    <w:autoRedefine/>
    <w:qFormat/>
    <w:uiPriority w:val="0"/>
    <w:rPr>
      <w:rFonts w:ascii="宋体" w:hAnsi="宋体" w:eastAsia="宋体" w:cs="宋体"/>
      <w:color w:val="000000"/>
      <w:kern w:val="2"/>
      <w:sz w:val="24"/>
      <w:szCs w:val="24"/>
      <w:lang w:val="en-US" w:eastAsia="zh-CN" w:bidi="ar-SA"/>
    </w:rPr>
  </w:style>
  <w:style w:type="paragraph" w:customStyle="1" w:styleId="2116">
    <w:name w:val="表中文字211"/>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117">
    <w:name w:val="表文字5211"/>
    <w:basedOn w:val="1"/>
    <w:autoRedefine/>
    <w:qFormat/>
    <w:uiPriority w:val="0"/>
    <w:pPr>
      <w:adjustRightInd w:val="0"/>
      <w:jc w:val="left"/>
      <w:textAlignment w:val="baseline"/>
    </w:pPr>
    <w:rPr>
      <w:rFonts w:ascii="宋体" w:hAnsi="宋体" w:cs="宋体"/>
      <w:kern w:val="0"/>
    </w:rPr>
  </w:style>
  <w:style w:type="paragraph" w:customStyle="1" w:styleId="2118">
    <w:name w:val="表内文字小31211"/>
    <w:basedOn w:val="1"/>
    <w:autoRedefine/>
    <w:qFormat/>
    <w:uiPriority w:val="0"/>
    <w:pPr>
      <w:adjustRightInd w:val="0"/>
      <w:snapToGrid w:val="0"/>
      <w:jc w:val="center"/>
    </w:pPr>
    <w:rPr>
      <w:rFonts w:ascii="宋体" w:hAnsi="Times" w:cs="宋体"/>
      <w:bCs/>
      <w:color w:val="003366"/>
    </w:rPr>
  </w:style>
  <w:style w:type="paragraph" w:customStyle="1" w:styleId="2119">
    <w:name w:val="样式1211"/>
    <w:basedOn w:val="1228"/>
    <w:autoRedefine/>
    <w:qFormat/>
    <w:uiPriority w:val="0"/>
    <w:pPr>
      <w:spacing w:line="240" w:lineRule="auto"/>
      <w:ind w:firstLine="0"/>
      <w:jc w:val="center"/>
    </w:pPr>
    <w:rPr>
      <w:rFonts w:cs="Times New Roman"/>
      <w:b/>
      <w:color w:val="auto"/>
      <w:szCs w:val="20"/>
    </w:rPr>
  </w:style>
  <w:style w:type="paragraph" w:customStyle="1" w:styleId="2120">
    <w:name w:val="Char3111"/>
    <w:basedOn w:val="1"/>
    <w:autoRedefine/>
    <w:qFormat/>
    <w:uiPriority w:val="0"/>
    <w:pPr>
      <w:ind w:left="-48"/>
    </w:pPr>
    <w:rPr>
      <w:rFonts w:ascii="宋体" w:hAnsi="宋体" w:cs="宋体"/>
    </w:rPr>
  </w:style>
  <w:style w:type="paragraph" w:customStyle="1" w:styleId="2121">
    <w:name w:val="表内文字小2211"/>
    <w:basedOn w:val="1"/>
    <w:autoRedefine/>
    <w:qFormat/>
    <w:uiPriority w:val="0"/>
    <w:pPr>
      <w:adjustRightInd w:val="0"/>
      <w:snapToGrid w:val="0"/>
      <w:jc w:val="center"/>
    </w:pPr>
    <w:rPr>
      <w:rFonts w:ascii="宋体" w:hAnsi="Times" w:cs="宋体"/>
      <w:bCs/>
      <w:color w:val="000000"/>
    </w:rPr>
  </w:style>
  <w:style w:type="paragraph" w:customStyle="1" w:styleId="2122">
    <w:name w:val="表内53111"/>
    <w:basedOn w:val="1"/>
    <w:autoRedefine/>
    <w:qFormat/>
    <w:uiPriority w:val="0"/>
    <w:pPr>
      <w:adjustRightInd w:val="0"/>
      <w:snapToGrid w:val="0"/>
      <w:spacing w:line="300" w:lineRule="auto"/>
      <w:jc w:val="left"/>
    </w:pPr>
    <w:rPr>
      <w:rFonts w:ascii="宋体" w:hAnsi="宋体" w:cs="宋体"/>
    </w:rPr>
  </w:style>
  <w:style w:type="paragraph" w:customStyle="1" w:styleId="2123">
    <w:name w:val="正文格式2111"/>
    <w:basedOn w:val="1"/>
    <w:autoRedefine/>
    <w:qFormat/>
    <w:uiPriority w:val="0"/>
    <w:pPr>
      <w:spacing w:line="360" w:lineRule="auto"/>
      <w:ind w:firstLine="482"/>
    </w:pPr>
    <w:rPr>
      <w:rFonts w:ascii="宋体" w:hAnsi="宋体" w:cs="宋体"/>
      <w:sz w:val="24"/>
    </w:rPr>
  </w:style>
  <w:style w:type="paragraph" w:customStyle="1" w:styleId="2124">
    <w:name w:val="图题2111"/>
    <w:basedOn w:val="316"/>
    <w:next w:val="316"/>
    <w:autoRedefine/>
    <w:qFormat/>
    <w:uiPriority w:val="0"/>
    <w:pPr>
      <w:ind w:firstLine="0"/>
      <w:jc w:val="center"/>
    </w:pPr>
    <w:rPr>
      <w:rFonts w:ascii="黑体" w:hAnsi="宋体" w:eastAsia="黑体"/>
      <w:bCs/>
      <w:spacing w:val="0"/>
    </w:rPr>
  </w:style>
  <w:style w:type="paragraph" w:customStyle="1" w:styleId="2125">
    <w:name w:val="表格内字体2111"/>
    <w:basedOn w:val="316"/>
    <w:next w:val="316"/>
    <w:autoRedefine/>
    <w:qFormat/>
    <w:uiPriority w:val="0"/>
    <w:pPr>
      <w:spacing w:line="240" w:lineRule="auto"/>
      <w:ind w:firstLine="0"/>
      <w:jc w:val="center"/>
    </w:pPr>
    <w:rPr>
      <w:rFonts w:hAnsi="宋体"/>
      <w:b w:val="0"/>
      <w:spacing w:val="0"/>
      <w:sz w:val="21"/>
    </w:rPr>
  </w:style>
  <w:style w:type="paragraph" w:customStyle="1" w:styleId="2126">
    <w:name w:val="表题11111"/>
    <w:basedOn w:val="22"/>
    <w:autoRedefine/>
    <w:qFormat/>
    <w:uiPriority w:val="0"/>
    <w:pPr>
      <w:widowControl w:val="0"/>
      <w:spacing w:line="360" w:lineRule="auto"/>
      <w:jc w:val="center"/>
    </w:pPr>
    <w:rPr>
      <w:rFonts w:ascii="黑体" w:hAnsi="Arial" w:cs="Arial"/>
      <w:kern w:val="2"/>
    </w:rPr>
  </w:style>
  <w:style w:type="paragraph" w:customStyle="1" w:styleId="2127">
    <w:name w:val="表中文字11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128">
    <w:name w:val="表文字51111"/>
    <w:basedOn w:val="1"/>
    <w:autoRedefine/>
    <w:qFormat/>
    <w:uiPriority w:val="0"/>
    <w:pPr>
      <w:adjustRightInd w:val="0"/>
      <w:jc w:val="left"/>
      <w:textAlignment w:val="baseline"/>
    </w:pPr>
    <w:rPr>
      <w:rFonts w:ascii="宋体" w:hAnsi="宋体" w:cs="宋体"/>
      <w:kern w:val="0"/>
    </w:rPr>
  </w:style>
  <w:style w:type="paragraph" w:customStyle="1" w:styleId="2129">
    <w:name w:val="正文格式411"/>
    <w:basedOn w:val="1"/>
    <w:autoRedefine/>
    <w:qFormat/>
    <w:uiPriority w:val="0"/>
    <w:pPr>
      <w:spacing w:line="360" w:lineRule="auto"/>
      <w:ind w:firstLine="482"/>
    </w:pPr>
    <w:rPr>
      <w:rFonts w:ascii="宋体" w:hAnsi="宋体" w:cs="宋体"/>
      <w:sz w:val="24"/>
    </w:rPr>
  </w:style>
  <w:style w:type="paragraph" w:customStyle="1" w:styleId="2130">
    <w:name w:val="图题411"/>
    <w:basedOn w:val="316"/>
    <w:next w:val="316"/>
    <w:autoRedefine/>
    <w:qFormat/>
    <w:uiPriority w:val="0"/>
    <w:pPr>
      <w:ind w:firstLine="0"/>
      <w:jc w:val="center"/>
    </w:pPr>
    <w:rPr>
      <w:rFonts w:ascii="黑体" w:hAnsi="宋体" w:eastAsia="黑体"/>
      <w:bCs/>
      <w:spacing w:val="0"/>
    </w:rPr>
  </w:style>
  <w:style w:type="paragraph" w:customStyle="1" w:styleId="2131">
    <w:name w:val="表格内字体411"/>
    <w:basedOn w:val="316"/>
    <w:next w:val="316"/>
    <w:autoRedefine/>
    <w:qFormat/>
    <w:uiPriority w:val="0"/>
    <w:pPr>
      <w:spacing w:line="240" w:lineRule="auto"/>
      <w:ind w:firstLine="0"/>
      <w:jc w:val="center"/>
    </w:pPr>
    <w:rPr>
      <w:rFonts w:hAnsi="宋体"/>
      <w:b w:val="0"/>
      <w:spacing w:val="0"/>
      <w:sz w:val="21"/>
    </w:rPr>
  </w:style>
  <w:style w:type="paragraph" w:customStyle="1" w:styleId="2132">
    <w:name w:val="Char4111"/>
    <w:basedOn w:val="1"/>
    <w:autoRedefine/>
    <w:qFormat/>
    <w:uiPriority w:val="0"/>
    <w:pPr>
      <w:ind w:left="-48"/>
    </w:pPr>
    <w:rPr>
      <w:rFonts w:ascii="宋体" w:hAnsi="宋体" w:cs="宋体"/>
    </w:rPr>
  </w:style>
  <w:style w:type="paragraph" w:customStyle="1" w:styleId="2133">
    <w:name w:val="表题1311"/>
    <w:basedOn w:val="22"/>
    <w:autoRedefine/>
    <w:qFormat/>
    <w:uiPriority w:val="0"/>
    <w:pPr>
      <w:widowControl w:val="0"/>
      <w:spacing w:line="360" w:lineRule="auto"/>
      <w:jc w:val="center"/>
    </w:pPr>
    <w:rPr>
      <w:rFonts w:ascii="黑体" w:hAnsi="Arial" w:cs="Arial"/>
      <w:b/>
      <w:kern w:val="2"/>
    </w:rPr>
  </w:style>
  <w:style w:type="paragraph" w:customStyle="1" w:styleId="2134">
    <w:name w:val="默认段落字体 Para Char1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35">
    <w:name w:val="23-47表名11"/>
    <w:basedOn w:val="1"/>
    <w:autoRedefine/>
    <w:qFormat/>
    <w:uiPriority w:val="0"/>
    <w:pPr>
      <w:spacing w:afterLines="50" w:line="440" w:lineRule="exact"/>
      <w:jc w:val="center"/>
    </w:pPr>
    <w:rPr>
      <w:rFonts w:ascii="宋体" w:hAnsi="宋体" w:cs="宋体"/>
      <w:b/>
      <w:sz w:val="24"/>
    </w:rPr>
  </w:style>
  <w:style w:type="paragraph" w:customStyle="1" w:styleId="2136">
    <w:name w:val="xl241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137">
    <w:name w:val="Char Char Char Char Char Char Char1211"/>
    <w:basedOn w:val="1"/>
    <w:autoRedefine/>
    <w:qFormat/>
    <w:uiPriority w:val="0"/>
    <w:rPr>
      <w:rFonts w:ascii="宋体" w:hAnsi="宋体" w:cs="宋体"/>
    </w:rPr>
  </w:style>
  <w:style w:type="paragraph" w:customStyle="1" w:styleId="2138">
    <w:name w:val="Char511"/>
    <w:basedOn w:val="1"/>
    <w:autoRedefine/>
    <w:qFormat/>
    <w:uiPriority w:val="0"/>
    <w:pPr>
      <w:adjustRightInd w:val="0"/>
      <w:snapToGrid w:val="0"/>
      <w:ind w:left="-45"/>
    </w:pPr>
    <w:rPr>
      <w:rFonts w:ascii="宋体" w:hAnsi="宋体" w:cs="宋体"/>
    </w:rPr>
  </w:style>
  <w:style w:type="paragraph" w:customStyle="1" w:styleId="2139">
    <w:name w:val="燕山正文113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140">
    <w:name w:val="正文格式511"/>
    <w:basedOn w:val="1"/>
    <w:autoRedefine/>
    <w:qFormat/>
    <w:uiPriority w:val="0"/>
    <w:pPr>
      <w:spacing w:line="360" w:lineRule="auto"/>
      <w:ind w:firstLine="482"/>
    </w:pPr>
    <w:rPr>
      <w:rFonts w:ascii="宋体" w:hAnsi="宋体" w:cs="宋体"/>
      <w:sz w:val="24"/>
    </w:rPr>
  </w:style>
  <w:style w:type="paragraph" w:customStyle="1" w:styleId="2141">
    <w:name w:val="Char3211"/>
    <w:basedOn w:val="1"/>
    <w:autoRedefine/>
    <w:qFormat/>
    <w:uiPriority w:val="0"/>
    <w:pPr>
      <w:ind w:left="-48"/>
    </w:pPr>
    <w:rPr>
      <w:rFonts w:ascii="宋体" w:hAnsi="宋体" w:cs="宋体"/>
    </w:rPr>
  </w:style>
  <w:style w:type="character" w:customStyle="1" w:styleId="2142">
    <w:name w:val="题注 Char311"/>
    <w:autoRedefine/>
    <w:qFormat/>
    <w:uiPriority w:val="0"/>
    <w:rPr>
      <w:rFonts w:ascii="黑体" w:hAnsi="Arial" w:eastAsia="黑体" w:cs="Arial"/>
      <w:spacing w:val="10"/>
      <w:kern w:val="2"/>
      <w:sz w:val="24"/>
      <w:szCs w:val="24"/>
      <w:lang w:val="en-US" w:eastAsia="zh-CN" w:bidi="ar-SA"/>
    </w:rPr>
  </w:style>
  <w:style w:type="paragraph" w:customStyle="1" w:styleId="2143">
    <w:name w:val="图题511"/>
    <w:basedOn w:val="316"/>
    <w:next w:val="316"/>
    <w:autoRedefine/>
    <w:qFormat/>
    <w:uiPriority w:val="0"/>
    <w:pPr>
      <w:ind w:firstLine="0"/>
      <w:jc w:val="center"/>
    </w:pPr>
    <w:rPr>
      <w:rFonts w:ascii="黑体" w:hAnsi="宋体" w:eastAsia="黑体"/>
      <w:bCs/>
      <w:spacing w:val="0"/>
    </w:rPr>
  </w:style>
  <w:style w:type="paragraph" w:customStyle="1" w:styleId="2144">
    <w:name w:val="表格内字体511"/>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2145">
    <w:name w:val="表311"/>
    <w:basedOn w:val="1"/>
    <w:autoRedefine/>
    <w:qFormat/>
    <w:uiPriority w:val="0"/>
    <w:pPr>
      <w:adjustRightInd w:val="0"/>
      <w:snapToGrid w:val="0"/>
      <w:jc w:val="center"/>
    </w:pPr>
    <w:rPr>
      <w:rFonts w:ascii="宋体" w:hAnsi="宋体" w:eastAsia="仿宋_GB2312" w:cs="宋体"/>
      <w:sz w:val="24"/>
    </w:rPr>
  </w:style>
  <w:style w:type="paragraph" w:customStyle="1" w:styleId="2146">
    <w:name w:val="正文.1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47">
    <w:name w:val="文本框111"/>
    <w:basedOn w:val="1"/>
    <w:autoRedefine/>
    <w:qFormat/>
    <w:uiPriority w:val="0"/>
    <w:pPr>
      <w:adjustRightInd w:val="0"/>
      <w:snapToGrid w:val="0"/>
      <w:spacing w:after="6"/>
      <w:jc w:val="center"/>
    </w:pPr>
    <w:rPr>
      <w:rFonts w:ascii="宋体" w:hAnsi="宋体" w:eastAsia="仿宋_GB2312" w:cs="宋体"/>
    </w:rPr>
  </w:style>
  <w:style w:type="paragraph" w:customStyle="1" w:styleId="2148">
    <w:name w:val="表内宋5111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149">
    <w:name w:val="表内文字小31311"/>
    <w:basedOn w:val="1"/>
    <w:autoRedefine/>
    <w:qFormat/>
    <w:uiPriority w:val="0"/>
    <w:pPr>
      <w:adjustRightInd w:val="0"/>
      <w:snapToGrid w:val="0"/>
      <w:jc w:val="center"/>
    </w:pPr>
    <w:rPr>
      <w:rFonts w:ascii="宋体" w:hAnsi="Times" w:cs="宋体"/>
      <w:bCs/>
      <w:color w:val="003366"/>
    </w:rPr>
  </w:style>
  <w:style w:type="paragraph" w:customStyle="1" w:styleId="2150">
    <w:name w:val="表文字5311"/>
    <w:basedOn w:val="1"/>
    <w:autoRedefine/>
    <w:qFormat/>
    <w:uiPriority w:val="0"/>
    <w:pPr>
      <w:adjustRightInd w:val="0"/>
      <w:jc w:val="left"/>
      <w:textAlignment w:val="baseline"/>
    </w:pPr>
    <w:rPr>
      <w:rFonts w:ascii="宋体" w:hAnsi="宋体" w:cs="宋体"/>
      <w:kern w:val="0"/>
    </w:rPr>
  </w:style>
  <w:style w:type="paragraph" w:customStyle="1" w:styleId="2151">
    <w:name w:val="Char Char Char Char Char Char Char2111"/>
    <w:basedOn w:val="1"/>
    <w:autoRedefine/>
    <w:qFormat/>
    <w:uiPriority w:val="0"/>
    <w:rPr>
      <w:rFonts w:ascii="宋体" w:hAnsi="宋体" w:cs="宋体"/>
    </w:rPr>
  </w:style>
  <w:style w:type="paragraph" w:customStyle="1" w:styleId="2152">
    <w:name w:val="表题313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153">
    <w:name w:val="表内文字小21311"/>
    <w:basedOn w:val="1"/>
    <w:autoRedefine/>
    <w:qFormat/>
    <w:uiPriority w:val="0"/>
    <w:pPr>
      <w:adjustRightInd w:val="0"/>
      <w:snapToGrid w:val="0"/>
      <w:jc w:val="center"/>
      <w:textAlignment w:val="baseline"/>
    </w:pPr>
    <w:rPr>
      <w:rFonts w:ascii="宋体" w:hAnsi="Times" w:cs="宋体"/>
      <w:bCs/>
      <w:color w:val="000000"/>
    </w:rPr>
  </w:style>
  <w:style w:type="paragraph" w:customStyle="1" w:styleId="2154">
    <w:name w:val="燕山正文3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155">
    <w:name w:val="正文修改311"/>
    <w:basedOn w:val="1181"/>
    <w:autoRedefine/>
    <w:qFormat/>
    <w:uiPriority w:val="0"/>
    <w:rPr>
      <w:rFonts w:hAnsi="宋体"/>
      <w:color w:val="000000"/>
    </w:rPr>
  </w:style>
  <w:style w:type="character" w:customStyle="1" w:styleId="2156">
    <w:name w:val="正文修改 Char1311"/>
    <w:autoRedefine/>
    <w:qFormat/>
    <w:uiPriority w:val="0"/>
    <w:rPr>
      <w:rFonts w:ascii="宋体" w:hAnsi="宋体" w:eastAsia="宋体" w:cs="宋体"/>
      <w:color w:val="000000"/>
      <w:kern w:val="2"/>
      <w:sz w:val="24"/>
      <w:szCs w:val="24"/>
      <w:lang w:val="en-US" w:eastAsia="zh-CN" w:bidi="ar-SA"/>
    </w:rPr>
  </w:style>
  <w:style w:type="paragraph" w:customStyle="1" w:styleId="2157">
    <w:name w:val="表题1421"/>
    <w:basedOn w:val="22"/>
    <w:autoRedefine/>
    <w:qFormat/>
    <w:uiPriority w:val="0"/>
    <w:pPr>
      <w:widowControl w:val="0"/>
      <w:spacing w:line="360" w:lineRule="auto"/>
      <w:jc w:val="center"/>
    </w:pPr>
    <w:rPr>
      <w:rFonts w:ascii="黑体" w:hAnsi="Arial" w:cs="Arial"/>
      <w:b/>
      <w:kern w:val="2"/>
    </w:rPr>
  </w:style>
  <w:style w:type="character" w:customStyle="1" w:styleId="2158">
    <w:name w:val="表题1 Char411"/>
    <w:autoRedefine/>
    <w:qFormat/>
    <w:uiPriority w:val="0"/>
    <w:rPr>
      <w:rFonts w:ascii="黑体" w:hAnsi="Arial" w:eastAsia="黑体" w:cs="Arial"/>
      <w:b/>
      <w:kern w:val="2"/>
      <w:sz w:val="24"/>
      <w:szCs w:val="24"/>
      <w:lang w:val="en-US" w:eastAsia="zh-CN" w:bidi="ar-SA"/>
    </w:rPr>
  </w:style>
  <w:style w:type="paragraph" w:customStyle="1" w:styleId="2159">
    <w:name w:val="表中文字3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160">
    <w:name w:val="黑体三号311"/>
    <w:basedOn w:val="316"/>
    <w:autoRedefine/>
    <w:qFormat/>
    <w:uiPriority w:val="0"/>
    <w:pPr>
      <w:jc w:val="center"/>
    </w:pPr>
    <w:rPr>
      <w:rFonts w:ascii="黑体" w:hAnsi="宋体" w:eastAsia="黑体"/>
      <w:bCs/>
      <w:spacing w:val="0"/>
      <w:sz w:val="32"/>
    </w:rPr>
  </w:style>
  <w:style w:type="paragraph" w:customStyle="1" w:styleId="2161">
    <w:name w:val="默认段落字体 Para Char Char Char Char311"/>
    <w:basedOn w:val="1"/>
    <w:autoRedefine/>
    <w:qFormat/>
    <w:uiPriority w:val="0"/>
    <w:rPr>
      <w:rFonts w:ascii="宋体" w:hAnsi="宋体" w:cs="宋体"/>
    </w:rPr>
  </w:style>
  <w:style w:type="paragraph" w:customStyle="1" w:styleId="2162">
    <w:name w:val="表内541311"/>
    <w:basedOn w:val="1"/>
    <w:autoRedefine/>
    <w:qFormat/>
    <w:uiPriority w:val="0"/>
    <w:pPr>
      <w:adjustRightInd w:val="0"/>
      <w:snapToGrid w:val="0"/>
      <w:spacing w:line="300" w:lineRule="auto"/>
      <w:jc w:val="center"/>
    </w:pPr>
    <w:rPr>
      <w:rFonts w:ascii="宋体" w:hAnsi="宋体" w:cs="宋体"/>
    </w:rPr>
  </w:style>
  <w:style w:type="paragraph" w:customStyle="1" w:styleId="2163">
    <w:name w:val="标题42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164">
    <w:name w:val="Char611"/>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165">
    <w:name w:val="表题21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166">
    <w:name w:val="表内宋5中1111"/>
    <w:basedOn w:val="1"/>
    <w:autoRedefine/>
    <w:qFormat/>
    <w:uiPriority w:val="0"/>
    <w:pPr>
      <w:adjustRightInd w:val="0"/>
      <w:snapToGrid w:val="0"/>
      <w:jc w:val="center"/>
      <w:textAlignment w:val="baseline"/>
    </w:pPr>
    <w:rPr>
      <w:rFonts w:ascii="宋体" w:hAnsi="宋体" w:cs="宋体"/>
      <w:kern w:val="0"/>
    </w:rPr>
  </w:style>
  <w:style w:type="paragraph" w:customStyle="1" w:styleId="2167">
    <w:name w:val="表内宋5中121"/>
    <w:basedOn w:val="1"/>
    <w:autoRedefine/>
    <w:qFormat/>
    <w:uiPriority w:val="0"/>
    <w:pPr>
      <w:adjustRightInd w:val="0"/>
      <w:snapToGrid w:val="0"/>
      <w:jc w:val="center"/>
      <w:textAlignment w:val="baseline"/>
    </w:pPr>
    <w:rPr>
      <w:rFonts w:ascii="宋体" w:hAnsi="宋体" w:cs="宋体"/>
      <w:kern w:val="0"/>
    </w:rPr>
  </w:style>
  <w:style w:type="paragraph" w:customStyle="1" w:styleId="2168">
    <w:name w:val="表内文字小1111"/>
    <w:basedOn w:val="1"/>
    <w:autoRedefine/>
    <w:qFormat/>
    <w:uiPriority w:val="0"/>
    <w:pPr>
      <w:adjustRightInd w:val="0"/>
      <w:snapToGrid w:val="0"/>
    </w:pPr>
    <w:rPr>
      <w:rFonts w:ascii="宋体" w:hAnsi="Times" w:cs="宋体"/>
    </w:rPr>
  </w:style>
  <w:style w:type="paragraph" w:customStyle="1" w:styleId="2169">
    <w:name w:val="标题4111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170">
    <w:name w:val="表题14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171">
    <w:name w:val="表内文字小811"/>
    <w:basedOn w:val="1"/>
    <w:autoRedefine/>
    <w:qFormat/>
    <w:uiPriority w:val="0"/>
    <w:pPr>
      <w:adjustRightInd w:val="0"/>
      <w:snapToGrid w:val="0"/>
      <w:jc w:val="center"/>
    </w:pPr>
    <w:rPr>
      <w:rFonts w:ascii="宋体" w:hAnsi="Times" w:cs="宋体"/>
    </w:rPr>
  </w:style>
  <w:style w:type="paragraph" w:customStyle="1" w:styleId="2172">
    <w:name w:val="默认段落字体 Para Char2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73">
    <w:name w:val="Default11"/>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paragraph" w:customStyle="1" w:styleId="2174">
    <w:name w:val="正文格式611"/>
    <w:basedOn w:val="1"/>
    <w:autoRedefine/>
    <w:qFormat/>
    <w:uiPriority w:val="0"/>
    <w:pPr>
      <w:spacing w:line="360" w:lineRule="auto"/>
      <w:ind w:firstLine="482"/>
    </w:pPr>
    <w:rPr>
      <w:rFonts w:ascii="宋体" w:hAnsi="宋体" w:cs="宋体"/>
      <w:sz w:val="24"/>
    </w:rPr>
  </w:style>
  <w:style w:type="paragraph" w:customStyle="1" w:styleId="2175">
    <w:name w:val="附件311"/>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2176">
    <w:name w:val="图题611"/>
    <w:basedOn w:val="316"/>
    <w:next w:val="316"/>
    <w:autoRedefine/>
    <w:qFormat/>
    <w:uiPriority w:val="0"/>
    <w:pPr>
      <w:ind w:firstLine="0"/>
      <w:jc w:val="center"/>
    </w:pPr>
    <w:rPr>
      <w:rFonts w:ascii="黑体" w:hAnsi="宋体" w:eastAsia="黑体"/>
      <w:bCs/>
      <w:spacing w:val="0"/>
      <w:kern w:val="0"/>
    </w:rPr>
  </w:style>
  <w:style w:type="paragraph" w:customStyle="1" w:styleId="2177">
    <w:name w:val="表格内字体611"/>
    <w:basedOn w:val="316"/>
    <w:next w:val="316"/>
    <w:autoRedefine/>
    <w:qFormat/>
    <w:uiPriority w:val="0"/>
    <w:pPr>
      <w:spacing w:line="240" w:lineRule="auto"/>
      <w:ind w:firstLine="0"/>
      <w:jc w:val="center"/>
    </w:pPr>
    <w:rPr>
      <w:rFonts w:hAnsi="宋体"/>
      <w:b w:val="0"/>
      <w:spacing w:val="0"/>
      <w:sz w:val="21"/>
    </w:rPr>
  </w:style>
  <w:style w:type="paragraph" w:customStyle="1" w:styleId="2178">
    <w:name w:val="黑体三号411"/>
    <w:basedOn w:val="316"/>
    <w:autoRedefine/>
    <w:qFormat/>
    <w:uiPriority w:val="0"/>
    <w:pPr>
      <w:jc w:val="center"/>
    </w:pPr>
    <w:rPr>
      <w:rFonts w:ascii="黑体" w:hAnsi="宋体" w:eastAsia="黑体"/>
      <w:bCs/>
      <w:spacing w:val="0"/>
      <w:sz w:val="32"/>
    </w:rPr>
  </w:style>
  <w:style w:type="paragraph" w:customStyle="1" w:styleId="2179">
    <w:name w:val="默认段落字体 Para Char Char Char Char411"/>
    <w:basedOn w:val="1"/>
    <w:autoRedefine/>
    <w:qFormat/>
    <w:uiPriority w:val="0"/>
    <w:rPr>
      <w:rFonts w:ascii="宋体" w:hAnsi="宋体" w:cs="宋体"/>
    </w:rPr>
  </w:style>
  <w:style w:type="paragraph" w:customStyle="1" w:styleId="2180">
    <w:name w:val="图表题11"/>
    <w:basedOn w:val="316"/>
    <w:next w:val="316"/>
    <w:autoRedefine/>
    <w:qFormat/>
    <w:uiPriority w:val="0"/>
    <w:pPr>
      <w:ind w:firstLine="0"/>
      <w:jc w:val="center"/>
    </w:pPr>
    <w:rPr>
      <w:rFonts w:ascii="黑体" w:hAnsi="宋体" w:eastAsia="黑体"/>
      <w:bCs/>
      <w:spacing w:val="0"/>
    </w:rPr>
  </w:style>
  <w:style w:type="character" w:customStyle="1" w:styleId="2181">
    <w:name w:val="图表题 Char11"/>
    <w:autoRedefine/>
    <w:qFormat/>
    <w:uiPriority w:val="0"/>
    <w:rPr>
      <w:rFonts w:ascii="黑体" w:hAnsi="宋体" w:eastAsia="黑体" w:cs="宋体"/>
      <w:bCs/>
      <w:spacing w:val="10"/>
      <w:kern w:val="2"/>
      <w:sz w:val="24"/>
      <w:szCs w:val="24"/>
      <w:lang w:val="en-US" w:eastAsia="zh-CN" w:bidi="ar-SA"/>
    </w:rPr>
  </w:style>
  <w:style w:type="paragraph" w:customStyle="1" w:styleId="2182">
    <w:name w:val="样式 表格内字体 +11"/>
    <w:basedOn w:val="1178"/>
    <w:autoRedefine/>
    <w:qFormat/>
    <w:uiPriority w:val="0"/>
    <w:pPr>
      <w:spacing w:line="280" w:lineRule="exact"/>
      <w:ind w:firstLine="36"/>
      <w:jc w:val="both"/>
    </w:pPr>
    <w:rPr>
      <w:kern w:val="0"/>
    </w:rPr>
  </w:style>
  <w:style w:type="character" w:customStyle="1" w:styleId="2183">
    <w:name w:val="样式 表格内字体 + Char11"/>
    <w:basedOn w:val="1179"/>
    <w:autoRedefine/>
    <w:qFormat/>
    <w:uiPriority w:val="0"/>
    <w:rPr>
      <w:rFonts w:ascii="宋体" w:hAnsi="宋体"/>
      <w:kern w:val="2"/>
      <w:sz w:val="21"/>
    </w:rPr>
  </w:style>
  <w:style w:type="paragraph" w:customStyle="1" w:styleId="2184">
    <w:name w:val="A正文1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paragraph" w:customStyle="1" w:styleId="2185">
    <w:name w:val="图题注11"/>
    <w:basedOn w:val="22"/>
    <w:autoRedefine/>
    <w:qFormat/>
    <w:uiPriority w:val="0"/>
    <w:pPr>
      <w:widowControl w:val="0"/>
      <w:jc w:val="center"/>
    </w:pPr>
    <w:rPr>
      <w:rFonts w:ascii="黑体" w:hAnsi="Arial"/>
      <w:b/>
      <w:bCs/>
      <w:kern w:val="2"/>
    </w:rPr>
  </w:style>
  <w:style w:type="paragraph" w:customStyle="1" w:styleId="2186">
    <w:name w:val="Char711"/>
    <w:basedOn w:val="1"/>
    <w:autoRedefine/>
    <w:qFormat/>
    <w:uiPriority w:val="0"/>
    <w:pPr>
      <w:ind w:left="-48"/>
    </w:pPr>
    <w:rPr>
      <w:rFonts w:ascii="宋体" w:hAnsi="宋体" w:cs="宋体"/>
    </w:rPr>
  </w:style>
  <w:style w:type="paragraph" w:customStyle="1" w:styleId="2187">
    <w:name w:val="表格内字体1111"/>
    <w:basedOn w:val="316"/>
    <w:autoRedefine/>
    <w:qFormat/>
    <w:uiPriority w:val="0"/>
    <w:pPr>
      <w:spacing w:line="240" w:lineRule="auto"/>
      <w:ind w:firstLine="0"/>
      <w:jc w:val="center"/>
    </w:pPr>
    <w:rPr>
      <w:rFonts w:hAnsi="Times New Roman"/>
      <w:b w:val="0"/>
      <w:spacing w:val="0"/>
      <w:sz w:val="21"/>
    </w:rPr>
  </w:style>
  <w:style w:type="paragraph" w:customStyle="1" w:styleId="2188">
    <w:name w:val="样式 正文缩进 + 宋体 黑色 首行缩进:  2 字符11"/>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189">
    <w:name w:val="环评正文11"/>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paragraph" w:customStyle="1" w:styleId="2190">
    <w:name w:val="注释11"/>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2191">
    <w:name w:val="样式411"/>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192">
    <w:name w:val="标题4121"/>
    <w:basedOn w:val="6"/>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2193">
    <w:name w:val="表中文字411"/>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paragraph" w:customStyle="1" w:styleId="2194">
    <w:name w:val="样式 正文缩进 + 宋体 黑色11"/>
    <w:basedOn w:val="9"/>
    <w:autoRedefine/>
    <w:qFormat/>
    <w:uiPriority w:val="0"/>
    <w:pPr>
      <w:adjustRightInd/>
      <w:snapToGrid/>
      <w:spacing w:line="360" w:lineRule="auto"/>
      <w:jc w:val="left"/>
    </w:pPr>
    <w:rPr>
      <w:rFonts w:ascii="宋体" w:hAnsi="宋体" w:eastAsia="宋体" w:cs="宋体"/>
      <w:sz w:val="24"/>
    </w:rPr>
  </w:style>
  <w:style w:type="paragraph" w:customStyle="1" w:styleId="2195">
    <w:name w:val="表内5111"/>
    <w:basedOn w:val="1"/>
    <w:autoRedefine/>
    <w:qFormat/>
    <w:uiPriority w:val="0"/>
    <w:pPr>
      <w:adjustRightInd w:val="0"/>
      <w:snapToGrid w:val="0"/>
      <w:jc w:val="center"/>
    </w:pPr>
    <w:rPr>
      <w:rFonts w:ascii="宋体" w:hAnsi="宋体" w:cs="宋体"/>
      <w:kern w:val="0"/>
      <w:sz w:val="24"/>
    </w:rPr>
  </w:style>
  <w:style w:type="paragraph" w:customStyle="1" w:styleId="2196">
    <w:name w:val="样式 样式 宋体 + 首行缩进:  2 字符111"/>
    <w:basedOn w:val="1"/>
    <w:autoRedefine/>
    <w:qFormat/>
    <w:uiPriority w:val="0"/>
    <w:pPr>
      <w:spacing w:line="360" w:lineRule="auto"/>
      <w:ind w:firstLine="480" w:firstLineChars="200"/>
      <w:jc w:val="left"/>
    </w:pPr>
    <w:rPr>
      <w:rFonts w:ascii="宋体" w:hAnsi="宋体" w:cs="宋体"/>
      <w:sz w:val="24"/>
    </w:rPr>
  </w:style>
  <w:style w:type="paragraph" w:customStyle="1" w:styleId="2197">
    <w:name w:val="表内宋5中211"/>
    <w:basedOn w:val="1"/>
    <w:autoRedefine/>
    <w:qFormat/>
    <w:uiPriority w:val="0"/>
    <w:pPr>
      <w:adjustRightInd w:val="0"/>
      <w:snapToGrid w:val="0"/>
      <w:jc w:val="center"/>
      <w:textAlignment w:val="baseline"/>
    </w:pPr>
    <w:rPr>
      <w:rFonts w:ascii="宋体" w:hAnsi="宋体" w:cs="宋体"/>
      <w:kern w:val="0"/>
    </w:rPr>
  </w:style>
  <w:style w:type="paragraph" w:customStyle="1" w:styleId="2198">
    <w:name w:val="xl6311"/>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199">
    <w:name w:val="标准11"/>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200">
    <w:name w:val="Fax Header11"/>
    <w:basedOn w:val="1"/>
    <w:autoRedefine/>
    <w:qFormat/>
    <w:uiPriority w:val="0"/>
    <w:pPr>
      <w:widowControl/>
      <w:spacing w:before="240" w:after="60"/>
      <w:jc w:val="left"/>
    </w:pPr>
    <w:rPr>
      <w:rFonts w:ascii="宋体" w:hAnsi="宋体" w:cs="宋体"/>
      <w:kern w:val="0"/>
      <w:sz w:val="24"/>
    </w:rPr>
  </w:style>
  <w:style w:type="paragraph" w:customStyle="1" w:styleId="2201">
    <w:name w:val="样式 表格内字体1 +11"/>
    <w:basedOn w:val="1265"/>
    <w:next w:val="1178"/>
    <w:autoRedefine/>
    <w:qFormat/>
    <w:uiPriority w:val="0"/>
    <w:rPr>
      <w:rFonts w:hAnsi="Times New Roman"/>
    </w:rPr>
  </w:style>
  <w:style w:type="paragraph" w:customStyle="1" w:styleId="2202">
    <w:name w:val="默认段落字体 Para Char311"/>
    <w:basedOn w:val="1"/>
    <w:autoRedefine/>
    <w:qFormat/>
    <w:uiPriority w:val="0"/>
    <w:pPr>
      <w:spacing w:line="360" w:lineRule="auto"/>
      <w:ind w:firstLine="200" w:firstLineChars="200"/>
    </w:pPr>
    <w:rPr>
      <w:rFonts w:ascii="宋体" w:hAnsi="宋体" w:cs="宋体"/>
      <w:sz w:val="24"/>
    </w:rPr>
  </w:style>
  <w:style w:type="paragraph" w:customStyle="1" w:styleId="2203">
    <w:name w:val="正文斜体11"/>
    <w:basedOn w:val="316"/>
    <w:next w:val="316"/>
    <w:autoRedefine/>
    <w:qFormat/>
    <w:uiPriority w:val="0"/>
    <w:rPr>
      <w:rFonts w:hAnsi="宋体"/>
      <w:b w:val="0"/>
      <w:i/>
      <w:iCs/>
      <w:spacing w:val="0"/>
    </w:rPr>
  </w:style>
  <w:style w:type="character" w:customStyle="1" w:styleId="2204">
    <w:name w:val="正文斜体 Char11"/>
    <w:autoRedefine/>
    <w:qFormat/>
    <w:uiPriority w:val="0"/>
    <w:rPr>
      <w:rFonts w:ascii="宋体" w:hAnsi="宋体" w:eastAsia="宋体" w:cs="宋体"/>
      <w:b/>
      <w:i/>
      <w:iCs/>
      <w:spacing w:val="10"/>
      <w:kern w:val="2"/>
      <w:sz w:val="24"/>
      <w:szCs w:val="24"/>
      <w:lang w:val="en-US" w:eastAsia="zh-CN" w:bidi="ar-SA"/>
    </w:rPr>
  </w:style>
  <w:style w:type="paragraph" w:customStyle="1" w:styleId="2205">
    <w:name w:val="Char811"/>
    <w:basedOn w:val="1"/>
    <w:autoRedefine/>
    <w:qFormat/>
    <w:uiPriority w:val="0"/>
    <w:pPr>
      <w:ind w:left="-48"/>
    </w:pPr>
    <w:rPr>
      <w:rFonts w:ascii="宋体" w:hAnsi="宋体" w:cs="宋体"/>
    </w:rPr>
  </w:style>
  <w:style w:type="paragraph" w:customStyle="1" w:styleId="2206">
    <w:name w:val="正文格式711"/>
    <w:basedOn w:val="1"/>
    <w:autoRedefine/>
    <w:qFormat/>
    <w:uiPriority w:val="0"/>
    <w:pPr>
      <w:spacing w:line="360" w:lineRule="auto"/>
      <w:ind w:firstLine="482"/>
    </w:pPr>
    <w:rPr>
      <w:rFonts w:ascii="宋体" w:hAnsi="宋体" w:cs="宋体"/>
      <w:sz w:val="24"/>
    </w:rPr>
  </w:style>
  <w:style w:type="character" w:customStyle="1" w:styleId="2207">
    <w:name w:val="题注 Char511"/>
    <w:autoRedefine/>
    <w:qFormat/>
    <w:uiPriority w:val="0"/>
    <w:rPr>
      <w:rFonts w:ascii="黑体" w:hAnsi="Arial" w:eastAsia="黑体" w:cs="Arial"/>
      <w:spacing w:val="10"/>
      <w:kern w:val="2"/>
      <w:sz w:val="24"/>
      <w:szCs w:val="24"/>
      <w:lang w:val="en-US" w:eastAsia="zh-CN" w:bidi="ar-SA"/>
    </w:rPr>
  </w:style>
  <w:style w:type="paragraph" w:customStyle="1" w:styleId="2208">
    <w:name w:val="图题711"/>
    <w:basedOn w:val="316"/>
    <w:next w:val="316"/>
    <w:autoRedefine/>
    <w:qFormat/>
    <w:uiPriority w:val="0"/>
    <w:pPr>
      <w:ind w:firstLine="0"/>
      <w:jc w:val="center"/>
    </w:pPr>
    <w:rPr>
      <w:rFonts w:ascii="黑体" w:hAnsi="宋体" w:eastAsia="黑体"/>
      <w:bCs/>
      <w:spacing w:val="0"/>
    </w:rPr>
  </w:style>
  <w:style w:type="paragraph" w:customStyle="1" w:styleId="2209">
    <w:name w:val="表格内字体711"/>
    <w:basedOn w:val="316"/>
    <w:next w:val="316"/>
    <w:autoRedefine/>
    <w:qFormat/>
    <w:uiPriority w:val="0"/>
    <w:pPr>
      <w:spacing w:line="240" w:lineRule="auto"/>
      <w:ind w:firstLine="0"/>
      <w:jc w:val="center"/>
    </w:pPr>
    <w:rPr>
      <w:rFonts w:hAnsi="宋体"/>
      <w:b w:val="0"/>
      <w:spacing w:val="0"/>
      <w:sz w:val="21"/>
    </w:rPr>
  </w:style>
  <w:style w:type="paragraph" w:customStyle="1" w:styleId="2210">
    <w:name w:val="Char911"/>
    <w:basedOn w:val="1"/>
    <w:autoRedefine/>
    <w:qFormat/>
    <w:uiPriority w:val="0"/>
    <w:pPr>
      <w:ind w:left="-48"/>
    </w:pPr>
    <w:rPr>
      <w:rFonts w:ascii="宋体" w:hAnsi="宋体" w:cs="宋体"/>
    </w:rPr>
  </w:style>
  <w:style w:type="paragraph" w:customStyle="1" w:styleId="2211">
    <w:name w:val="表题1511"/>
    <w:basedOn w:val="22"/>
    <w:autoRedefine/>
    <w:qFormat/>
    <w:uiPriority w:val="0"/>
    <w:pPr>
      <w:widowControl w:val="0"/>
      <w:spacing w:line="360" w:lineRule="auto"/>
      <w:jc w:val="center"/>
    </w:pPr>
    <w:rPr>
      <w:rFonts w:ascii="黑体" w:hAnsi="Arial" w:cs="Arial"/>
      <w:b/>
      <w:kern w:val="2"/>
    </w:rPr>
  </w:style>
  <w:style w:type="character" w:customStyle="1" w:styleId="2212">
    <w:name w:val="表题1 Char611"/>
    <w:autoRedefine/>
    <w:qFormat/>
    <w:uiPriority w:val="0"/>
    <w:rPr>
      <w:rFonts w:ascii="黑体" w:hAnsi="Arial" w:eastAsia="黑体" w:cs="Arial"/>
      <w:b/>
      <w:kern w:val="2"/>
      <w:sz w:val="24"/>
      <w:szCs w:val="24"/>
      <w:lang w:val="en-US" w:eastAsia="zh-CN" w:bidi="ar-SA"/>
    </w:rPr>
  </w:style>
  <w:style w:type="paragraph" w:customStyle="1" w:styleId="2213">
    <w:name w:val="燕山正文4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214">
    <w:name w:val="正文修改411"/>
    <w:basedOn w:val="1181"/>
    <w:autoRedefine/>
    <w:qFormat/>
    <w:uiPriority w:val="0"/>
    <w:rPr>
      <w:rFonts w:hAnsi="宋体"/>
      <w:color w:val="000000"/>
    </w:rPr>
  </w:style>
  <w:style w:type="character" w:customStyle="1" w:styleId="2215">
    <w:name w:val="正文修改 Char1411"/>
    <w:basedOn w:val="1182"/>
    <w:autoRedefine/>
    <w:qFormat/>
    <w:uiPriority w:val="0"/>
    <w:rPr>
      <w:rFonts w:ascii="宋体" w:hAnsi="Calibri" w:cs="宋体"/>
      <w:kern w:val="2"/>
      <w:sz w:val="24"/>
      <w:szCs w:val="24"/>
    </w:rPr>
  </w:style>
  <w:style w:type="paragraph" w:customStyle="1" w:styleId="2216">
    <w:name w:val="表中文字5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217">
    <w:name w:val="默认段落字体 Para Char Char Char Char511"/>
    <w:basedOn w:val="1"/>
    <w:autoRedefine/>
    <w:qFormat/>
    <w:uiPriority w:val="0"/>
    <w:rPr>
      <w:rFonts w:ascii="宋体" w:hAnsi="宋体" w:cs="宋体"/>
    </w:rPr>
  </w:style>
  <w:style w:type="paragraph" w:customStyle="1" w:styleId="2218">
    <w:name w:val="Char1011"/>
    <w:basedOn w:val="1"/>
    <w:autoRedefine/>
    <w:qFormat/>
    <w:uiPriority w:val="0"/>
    <w:pPr>
      <w:adjustRightInd w:val="0"/>
      <w:snapToGrid w:val="0"/>
      <w:spacing w:line="360" w:lineRule="auto"/>
    </w:pPr>
    <w:rPr>
      <w:rFonts w:ascii="宋体" w:hAnsi="宋体" w:cs="宋体"/>
    </w:rPr>
  </w:style>
  <w:style w:type="paragraph" w:customStyle="1" w:styleId="2219">
    <w:name w:val="表内5中111"/>
    <w:basedOn w:val="1"/>
    <w:autoRedefine/>
    <w:qFormat/>
    <w:uiPriority w:val="0"/>
    <w:pPr>
      <w:adjustRightInd w:val="0"/>
      <w:snapToGrid w:val="0"/>
      <w:jc w:val="center"/>
    </w:pPr>
    <w:rPr>
      <w:rFonts w:ascii="宋体" w:hAnsi="宋体" w:cs="Arial"/>
      <w:snapToGrid w:val="0"/>
      <w:color w:val="000000"/>
      <w:szCs w:val="21"/>
    </w:rPr>
  </w:style>
  <w:style w:type="paragraph" w:customStyle="1" w:styleId="2220">
    <w:name w:val="表内541411"/>
    <w:basedOn w:val="1"/>
    <w:autoRedefine/>
    <w:qFormat/>
    <w:uiPriority w:val="0"/>
    <w:pPr>
      <w:adjustRightInd w:val="0"/>
      <w:snapToGrid w:val="0"/>
      <w:spacing w:line="300" w:lineRule="auto"/>
      <w:jc w:val="center"/>
    </w:pPr>
    <w:rPr>
      <w:rFonts w:ascii="宋体" w:hAnsi="宋体" w:cs="宋体"/>
    </w:rPr>
  </w:style>
  <w:style w:type="paragraph" w:customStyle="1" w:styleId="2221">
    <w:name w:val="表内文字小121"/>
    <w:basedOn w:val="1"/>
    <w:autoRedefine/>
    <w:qFormat/>
    <w:uiPriority w:val="0"/>
    <w:pPr>
      <w:adjustRightInd w:val="0"/>
      <w:snapToGrid w:val="0"/>
      <w:jc w:val="center"/>
    </w:pPr>
    <w:rPr>
      <w:rFonts w:ascii="宋体" w:hAnsi="Times" w:cs="宋体"/>
    </w:rPr>
  </w:style>
  <w:style w:type="character" w:customStyle="1" w:styleId="2222">
    <w:name w:val="正文首行缩进 2 Char11"/>
    <w:autoRedefine/>
    <w:qFormat/>
    <w:uiPriority w:val="0"/>
    <w:rPr>
      <w:rFonts w:eastAsia="宋体"/>
      <w:kern w:val="2"/>
      <w:sz w:val="21"/>
      <w:szCs w:val="24"/>
      <w:lang w:val="en-US" w:eastAsia="zh-CN" w:bidi="ar-SA"/>
    </w:rPr>
  </w:style>
  <w:style w:type="paragraph" w:customStyle="1" w:styleId="2223">
    <w:name w:val="默认段落字体 Para Char4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224">
    <w:name w:val="正文格式811"/>
    <w:basedOn w:val="1"/>
    <w:autoRedefine/>
    <w:qFormat/>
    <w:uiPriority w:val="0"/>
    <w:pPr>
      <w:spacing w:line="360" w:lineRule="auto"/>
      <w:ind w:firstLine="482"/>
    </w:pPr>
    <w:rPr>
      <w:rFonts w:ascii="宋体" w:hAnsi="宋体" w:cs="宋体"/>
      <w:sz w:val="24"/>
    </w:rPr>
  </w:style>
  <w:style w:type="paragraph" w:customStyle="1" w:styleId="2225">
    <w:name w:val="正文格式911"/>
    <w:basedOn w:val="1"/>
    <w:autoRedefine/>
    <w:qFormat/>
    <w:uiPriority w:val="0"/>
    <w:pPr>
      <w:spacing w:line="360" w:lineRule="auto"/>
      <w:ind w:firstLine="482"/>
    </w:pPr>
    <w:rPr>
      <w:rFonts w:ascii="宋体" w:hAnsi="宋体" w:cs="宋体"/>
      <w:sz w:val="24"/>
    </w:rPr>
  </w:style>
  <w:style w:type="paragraph" w:customStyle="1" w:styleId="2226">
    <w:name w:val="Char4211"/>
    <w:basedOn w:val="1"/>
    <w:autoRedefine/>
    <w:qFormat/>
    <w:uiPriority w:val="0"/>
    <w:pPr>
      <w:ind w:left="-48"/>
    </w:pPr>
    <w:rPr>
      <w:rFonts w:ascii="宋体" w:hAnsi="宋体" w:cs="宋体"/>
    </w:rPr>
  </w:style>
  <w:style w:type="paragraph" w:customStyle="1" w:styleId="2227">
    <w:name w:val="Char Char Char Char Char Char Char51"/>
    <w:basedOn w:val="1"/>
    <w:autoRedefine/>
    <w:qFormat/>
    <w:uiPriority w:val="0"/>
    <w:rPr>
      <w:rFonts w:ascii="宋体" w:hAnsi="宋体" w:cs="宋体"/>
    </w:rPr>
  </w:style>
  <w:style w:type="paragraph" w:customStyle="1" w:styleId="2228">
    <w:name w:val="Char1611"/>
    <w:basedOn w:val="1"/>
    <w:autoRedefine/>
    <w:qFormat/>
    <w:uiPriority w:val="0"/>
    <w:pPr>
      <w:ind w:left="-48"/>
    </w:pPr>
    <w:rPr>
      <w:rFonts w:ascii="宋体" w:hAnsi="宋体" w:cs="宋体"/>
    </w:rPr>
  </w:style>
  <w:style w:type="paragraph" w:customStyle="1" w:styleId="2229">
    <w:name w:val="Char Char Char Char1 Char Char Char211"/>
    <w:basedOn w:val="1"/>
    <w:autoRedefine/>
    <w:qFormat/>
    <w:uiPriority w:val="0"/>
    <w:pPr>
      <w:widowControl/>
      <w:spacing w:after="160"/>
      <w:jc w:val="left"/>
    </w:pPr>
    <w:rPr>
      <w:rFonts w:ascii="Verdana" w:hAnsi="Verdana" w:cs="宋体"/>
      <w:kern w:val="0"/>
      <w:sz w:val="24"/>
      <w:lang w:eastAsia="en-US"/>
    </w:rPr>
  </w:style>
  <w:style w:type="paragraph" w:customStyle="1" w:styleId="2230">
    <w:name w:val="Char171"/>
    <w:basedOn w:val="1"/>
    <w:autoRedefine/>
    <w:qFormat/>
    <w:uiPriority w:val="0"/>
    <w:pPr>
      <w:ind w:left="-48"/>
    </w:pPr>
    <w:rPr>
      <w:rFonts w:ascii="宋体" w:hAnsi="宋体" w:cs="宋体"/>
    </w:rPr>
  </w:style>
  <w:style w:type="paragraph" w:customStyle="1" w:styleId="2231">
    <w:name w:val="Char Char Char Char Char Char Char1311"/>
    <w:basedOn w:val="1"/>
    <w:autoRedefine/>
    <w:qFormat/>
    <w:uiPriority w:val="0"/>
    <w:rPr>
      <w:rFonts w:ascii="宋体" w:hAnsi="宋体" w:cs="宋体"/>
    </w:rPr>
  </w:style>
  <w:style w:type="paragraph" w:customStyle="1" w:styleId="2232">
    <w:name w:val="Char2311"/>
    <w:basedOn w:val="1"/>
    <w:autoRedefine/>
    <w:qFormat/>
    <w:uiPriority w:val="0"/>
    <w:pPr>
      <w:ind w:left="-48"/>
    </w:pPr>
    <w:rPr>
      <w:rFonts w:ascii="宋体" w:hAnsi="宋体" w:cs="宋体"/>
    </w:rPr>
  </w:style>
  <w:style w:type="paragraph" w:customStyle="1" w:styleId="2233">
    <w:name w:val="Char3311"/>
    <w:basedOn w:val="1"/>
    <w:autoRedefine/>
    <w:qFormat/>
    <w:uiPriority w:val="0"/>
    <w:pPr>
      <w:ind w:left="-48"/>
    </w:pPr>
    <w:rPr>
      <w:rFonts w:ascii="宋体" w:hAnsi="宋体" w:cs="宋体"/>
    </w:rPr>
  </w:style>
  <w:style w:type="paragraph" w:customStyle="1" w:styleId="2234">
    <w:name w:val="Char Char Char Char Char Char Char2211"/>
    <w:basedOn w:val="1"/>
    <w:autoRedefine/>
    <w:qFormat/>
    <w:uiPriority w:val="0"/>
    <w:rPr>
      <w:rFonts w:ascii="宋体" w:hAnsi="宋体" w:cs="宋体"/>
    </w:rPr>
  </w:style>
  <w:style w:type="paragraph" w:customStyle="1" w:styleId="2235">
    <w:name w:val="Char4311"/>
    <w:basedOn w:val="1"/>
    <w:autoRedefine/>
    <w:qFormat/>
    <w:uiPriority w:val="0"/>
    <w:pPr>
      <w:ind w:left="-48"/>
    </w:pPr>
    <w:rPr>
      <w:rFonts w:ascii="宋体" w:hAnsi="宋体" w:cs="宋体"/>
    </w:rPr>
  </w:style>
  <w:style w:type="paragraph" w:customStyle="1" w:styleId="2236">
    <w:name w:val="表格内容11"/>
    <w:autoRedefine/>
    <w:qFormat/>
    <w:uiPriority w:val="0"/>
    <w:pPr>
      <w:jc w:val="center"/>
    </w:pPr>
    <w:rPr>
      <w:rFonts w:ascii="Times New Roman" w:hAnsi="Times New Roman" w:cs="Times New Roman" w:eastAsiaTheme="minorEastAsia"/>
      <w:kern w:val="2"/>
      <w:sz w:val="21"/>
      <w:szCs w:val="21"/>
      <w:lang w:val="en-US" w:eastAsia="zh-CN" w:bidi="ar-SA"/>
    </w:rPr>
  </w:style>
  <w:style w:type="paragraph" w:customStyle="1" w:styleId="2237">
    <w:name w:val="正文格式821"/>
    <w:basedOn w:val="1"/>
    <w:autoRedefine/>
    <w:qFormat/>
    <w:uiPriority w:val="0"/>
    <w:pPr>
      <w:spacing w:line="360" w:lineRule="auto"/>
      <w:ind w:firstLine="482"/>
    </w:pPr>
    <w:rPr>
      <w:rFonts w:ascii="宋体" w:hAnsi="宋体" w:cs="宋体"/>
      <w:sz w:val="24"/>
    </w:rPr>
  </w:style>
  <w:style w:type="character" w:customStyle="1" w:styleId="2238">
    <w:name w:val="纯文本 Char3"/>
    <w:autoRedefine/>
    <w:qFormat/>
    <w:uiPriority w:val="0"/>
    <w:rPr>
      <w:rFonts w:ascii="宋体" w:hAnsi="Courier New" w:eastAsia="宋体" w:cs="Courier New"/>
      <w:kern w:val="2"/>
      <w:sz w:val="24"/>
      <w:szCs w:val="21"/>
      <w:lang w:val="en-US" w:eastAsia="zh-CN" w:bidi="ar-SA"/>
    </w:rPr>
  </w:style>
  <w:style w:type="character" w:customStyle="1" w:styleId="2239">
    <w:name w:val="标题 1 Char5"/>
    <w:autoRedefine/>
    <w:qFormat/>
    <w:uiPriority w:val="0"/>
    <w:rPr>
      <w:rFonts w:ascii="黑体" w:hAnsi="宋体" w:eastAsia="黑体" w:cs="Times New Roman"/>
      <w:bCs/>
      <w:kern w:val="44"/>
      <w:sz w:val="32"/>
      <w:szCs w:val="32"/>
      <w:lang w:val="en-US" w:eastAsia="zh-CN" w:bidi="ar-SA"/>
    </w:rPr>
  </w:style>
  <w:style w:type="character" w:customStyle="1" w:styleId="2240">
    <w:name w:val="标题 2 Char7"/>
    <w:autoRedefine/>
    <w:qFormat/>
    <w:uiPriority w:val="0"/>
    <w:rPr>
      <w:rFonts w:ascii="黑体" w:hAnsi="Arial" w:eastAsia="黑体" w:cs="Times New Roman"/>
      <w:bCs/>
      <w:kern w:val="2"/>
      <w:sz w:val="30"/>
      <w:szCs w:val="30"/>
      <w:lang w:val="en-US" w:eastAsia="zh-CN" w:bidi="ar-SA"/>
    </w:rPr>
  </w:style>
  <w:style w:type="character" w:customStyle="1" w:styleId="2241">
    <w:name w:val="标题 3 Char14"/>
    <w:autoRedefine/>
    <w:qFormat/>
    <w:uiPriority w:val="0"/>
    <w:rPr>
      <w:rFonts w:ascii="黑体" w:hAnsi="宋体" w:eastAsia="黑体" w:cs="Times New Roman"/>
      <w:b/>
      <w:bCs/>
      <w:kern w:val="2"/>
      <w:sz w:val="28"/>
      <w:szCs w:val="28"/>
      <w:lang w:val="en-US" w:eastAsia="zh-CN" w:bidi="ar-SA"/>
    </w:rPr>
  </w:style>
  <w:style w:type="character" w:customStyle="1" w:styleId="2242">
    <w:name w:val="标题 5 Char2"/>
    <w:autoRedefine/>
    <w:qFormat/>
    <w:uiPriority w:val="0"/>
    <w:rPr>
      <w:rFonts w:ascii="Times New Roman" w:hAnsi="Times New Roman" w:eastAsia="宋体" w:cs="Times New Roman"/>
      <w:b/>
      <w:bCs/>
      <w:kern w:val="2"/>
      <w:sz w:val="28"/>
      <w:szCs w:val="28"/>
      <w:lang w:val="en-US" w:eastAsia="zh-CN" w:bidi="ar-SA"/>
    </w:rPr>
  </w:style>
  <w:style w:type="character" w:customStyle="1" w:styleId="2243">
    <w:name w:val="标题 6 Char2"/>
    <w:autoRedefine/>
    <w:qFormat/>
    <w:uiPriority w:val="0"/>
    <w:rPr>
      <w:rFonts w:ascii="Arial" w:hAnsi="Arial" w:eastAsia="黑体" w:cs="Times New Roman"/>
      <w:b/>
      <w:bCs/>
      <w:kern w:val="2"/>
      <w:sz w:val="24"/>
      <w:szCs w:val="24"/>
      <w:lang w:val="en-US" w:eastAsia="zh-CN" w:bidi="ar-SA"/>
    </w:rPr>
  </w:style>
  <w:style w:type="character" w:customStyle="1" w:styleId="2244">
    <w:name w:val="标题 8 Char2"/>
    <w:autoRedefine/>
    <w:qFormat/>
    <w:uiPriority w:val="0"/>
    <w:rPr>
      <w:rFonts w:ascii="Arial" w:hAnsi="Arial" w:eastAsia="黑体" w:cs="Times New Roman"/>
      <w:kern w:val="2"/>
      <w:sz w:val="24"/>
      <w:szCs w:val="24"/>
      <w:lang w:val="en-US" w:eastAsia="zh-CN" w:bidi="ar-SA"/>
    </w:rPr>
  </w:style>
  <w:style w:type="paragraph" w:customStyle="1" w:styleId="2245">
    <w:name w:val="附件6"/>
    <w:basedOn w:val="3"/>
    <w:next w:val="316"/>
    <w:autoRedefine/>
    <w:qFormat/>
    <w:uiPriority w:val="0"/>
    <w:pPr>
      <w:keepLines/>
      <w:widowControl w:val="0"/>
      <w:numPr>
        <w:numId w:val="0"/>
      </w:numPr>
      <w:tabs>
        <w:tab w:val="left" w:pos="1566"/>
      </w:tabs>
      <w:adjustRightInd w:val="0"/>
      <w:snapToGrid w:val="0"/>
      <w:spacing w:beforeLines="100"/>
      <w:jc w:val="both"/>
    </w:pPr>
    <w:rPr>
      <w:rFonts w:ascii="黑体" w:eastAsia="黑体"/>
      <w:bCs/>
      <w:kern w:val="44"/>
      <w:szCs w:val="32"/>
    </w:rPr>
  </w:style>
  <w:style w:type="paragraph" w:customStyle="1" w:styleId="2246">
    <w:name w:val="正文格式14"/>
    <w:basedOn w:val="1"/>
    <w:autoRedefine/>
    <w:qFormat/>
    <w:uiPriority w:val="0"/>
    <w:pPr>
      <w:spacing w:line="360" w:lineRule="auto"/>
      <w:ind w:firstLine="482"/>
    </w:pPr>
    <w:rPr>
      <w:rFonts w:ascii="宋体" w:hAnsi="宋体" w:cs="宋体"/>
      <w:sz w:val="24"/>
    </w:rPr>
  </w:style>
  <w:style w:type="character" w:customStyle="1" w:styleId="2247">
    <w:name w:val="正文文本 Char4"/>
    <w:autoRedefine/>
    <w:qFormat/>
    <w:uiPriority w:val="0"/>
    <w:rPr>
      <w:rFonts w:ascii="Times New Roman" w:hAnsi="Times New Roman" w:eastAsia="宋体" w:cs="Times New Roman"/>
      <w:kern w:val="2"/>
      <w:sz w:val="24"/>
      <w:szCs w:val="24"/>
      <w:lang w:val="en-US" w:eastAsia="zh-CN" w:bidi="ar-SA"/>
    </w:rPr>
  </w:style>
  <w:style w:type="paragraph" w:customStyle="1" w:styleId="2248">
    <w:name w:val="图题10"/>
    <w:basedOn w:val="316"/>
    <w:next w:val="316"/>
    <w:autoRedefine/>
    <w:qFormat/>
    <w:uiPriority w:val="0"/>
    <w:pPr>
      <w:ind w:firstLine="0"/>
      <w:jc w:val="center"/>
    </w:pPr>
    <w:rPr>
      <w:rFonts w:ascii="黑体" w:hAnsi="宋体" w:eastAsia="黑体"/>
      <w:bCs/>
      <w:spacing w:val="0"/>
    </w:rPr>
  </w:style>
  <w:style w:type="paragraph" w:customStyle="1" w:styleId="2249">
    <w:name w:val="表格内字体10"/>
    <w:basedOn w:val="316"/>
    <w:next w:val="316"/>
    <w:autoRedefine/>
    <w:qFormat/>
    <w:uiPriority w:val="0"/>
    <w:pPr>
      <w:spacing w:line="240" w:lineRule="auto"/>
      <w:ind w:firstLine="0"/>
      <w:jc w:val="center"/>
    </w:pPr>
    <w:rPr>
      <w:rFonts w:hAnsi="宋体"/>
      <w:b w:val="0"/>
      <w:spacing w:val="0"/>
      <w:sz w:val="21"/>
      <w:szCs w:val="21"/>
    </w:rPr>
  </w:style>
  <w:style w:type="character" w:customStyle="1" w:styleId="2250">
    <w:name w:val="表格内字体 Char10"/>
    <w:autoRedefine/>
    <w:qFormat/>
    <w:uiPriority w:val="0"/>
    <w:rPr>
      <w:rFonts w:ascii="宋体" w:hAnsi="宋体" w:eastAsia="宋体" w:cs="Times New Roman"/>
      <w:kern w:val="2"/>
      <w:sz w:val="24"/>
      <w:szCs w:val="21"/>
      <w:lang w:val="en-US" w:eastAsia="zh-CN" w:bidi="ar-SA"/>
    </w:rPr>
  </w:style>
  <w:style w:type="character" w:customStyle="1" w:styleId="2251">
    <w:name w:val="正文格式 Char12"/>
    <w:autoRedefine/>
    <w:qFormat/>
    <w:uiPriority w:val="0"/>
    <w:rPr>
      <w:rFonts w:ascii="宋体" w:hAnsi="宋体" w:eastAsia="宋体" w:cs="Times New Roman"/>
      <w:kern w:val="2"/>
      <w:sz w:val="24"/>
      <w:szCs w:val="24"/>
      <w:lang w:val="en-US" w:eastAsia="zh-CN" w:bidi="ar-SA"/>
    </w:rPr>
  </w:style>
  <w:style w:type="character" w:customStyle="1" w:styleId="2252">
    <w:name w:val="文档结构图 Char4"/>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253">
    <w:name w:val="页脚 Char4"/>
    <w:autoRedefine/>
    <w:qFormat/>
    <w:uiPriority w:val="0"/>
    <w:rPr>
      <w:rFonts w:ascii="Times New Roman" w:hAnsi="Times New Roman" w:eastAsia="宋体" w:cs="Times New Roman"/>
      <w:kern w:val="2"/>
      <w:sz w:val="18"/>
      <w:szCs w:val="18"/>
      <w:lang w:val="en-US" w:eastAsia="zh-CN" w:bidi="ar-SA"/>
    </w:rPr>
  </w:style>
  <w:style w:type="character" w:customStyle="1" w:styleId="2254">
    <w:name w:val="正文缩进 Char32"/>
    <w:autoRedefine/>
    <w:qFormat/>
    <w:uiPriority w:val="0"/>
    <w:rPr>
      <w:rFonts w:ascii="宋体" w:hAnsi="宋体" w:eastAsia="宋体" w:cs="宋体"/>
      <w:color w:val="000000"/>
      <w:kern w:val="0"/>
      <w:sz w:val="24"/>
      <w:szCs w:val="24"/>
      <w:lang w:val="en-US" w:eastAsia="zh-CN" w:bidi="ar-SA"/>
    </w:rPr>
  </w:style>
  <w:style w:type="paragraph" w:customStyle="1" w:styleId="2255">
    <w:name w:val="标题4315"/>
    <w:basedOn w:val="1"/>
    <w:autoRedefine/>
    <w:qFormat/>
    <w:uiPriority w:val="0"/>
    <w:pPr>
      <w:adjustRightInd w:val="0"/>
      <w:snapToGrid w:val="0"/>
      <w:spacing w:line="480" w:lineRule="exact"/>
      <w:jc w:val="center"/>
    </w:pPr>
    <w:rPr>
      <w:rFonts w:ascii="宋体" w:hAnsi="宋体" w:cs="宋体"/>
      <w:sz w:val="24"/>
    </w:rPr>
  </w:style>
  <w:style w:type="paragraph" w:customStyle="1" w:styleId="2256">
    <w:name w:val="燕山正文116"/>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2257">
    <w:name w:val="正文文本缩进 Char3"/>
    <w:autoRedefine/>
    <w:qFormat/>
    <w:uiPriority w:val="0"/>
    <w:rPr>
      <w:rFonts w:ascii="宋体" w:hAnsi="宋体" w:eastAsia="宋体" w:cs="宋体"/>
      <w:color w:val="000000"/>
      <w:kern w:val="2"/>
      <w:sz w:val="24"/>
      <w:szCs w:val="24"/>
      <w:lang w:val="en-US" w:eastAsia="zh-CN" w:bidi="ar-SA"/>
    </w:rPr>
  </w:style>
  <w:style w:type="paragraph" w:customStyle="1" w:styleId="2258">
    <w:name w:val="表题413"/>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259">
    <w:name w:val="表内5417"/>
    <w:basedOn w:val="1"/>
    <w:autoRedefine/>
    <w:qFormat/>
    <w:uiPriority w:val="0"/>
    <w:pPr>
      <w:adjustRightInd w:val="0"/>
      <w:snapToGrid w:val="0"/>
      <w:spacing w:line="300" w:lineRule="auto"/>
      <w:jc w:val="center"/>
    </w:pPr>
    <w:rPr>
      <w:rFonts w:ascii="宋体" w:hAnsi="宋体" w:cs="宋体"/>
    </w:rPr>
  </w:style>
  <w:style w:type="paragraph" w:customStyle="1" w:styleId="2260">
    <w:name w:val="表内文字小216"/>
    <w:basedOn w:val="1"/>
    <w:autoRedefine/>
    <w:qFormat/>
    <w:uiPriority w:val="0"/>
    <w:pPr>
      <w:adjustRightInd w:val="0"/>
      <w:snapToGrid w:val="0"/>
      <w:jc w:val="center"/>
    </w:pPr>
    <w:rPr>
      <w:rFonts w:ascii="宋体" w:hAnsi="Times" w:cs="宋体"/>
      <w:bCs/>
      <w:color w:val="000000"/>
    </w:rPr>
  </w:style>
  <w:style w:type="paragraph" w:customStyle="1" w:styleId="2261">
    <w:name w:val="表题316"/>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262">
    <w:name w:val="Char Char Char Char Char Char Char10"/>
    <w:basedOn w:val="1"/>
    <w:autoRedefine/>
    <w:qFormat/>
    <w:uiPriority w:val="0"/>
    <w:rPr>
      <w:rFonts w:ascii="宋体" w:hAnsi="宋体" w:cs="宋体"/>
    </w:rPr>
  </w:style>
  <w:style w:type="character" w:customStyle="1" w:styleId="2263">
    <w:name w:val="正文文本缩进 3 Char5"/>
    <w:autoRedefine/>
    <w:qFormat/>
    <w:uiPriority w:val="0"/>
    <w:rPr>
      <w:rFonts w:ascii="Times New Roman" w:hAnsi="Times New Roman" w:eastAsia="宋体" w:cs="Times New Roman"/>
      <w:kern w:val="2"/>
      <w:sz w:val="16"/>
      <w:szCs w:val="16"/>
      <w:lang w:val="en-US" w:eastAsia="zh-CN" w:bidi="ar-SA"/>
    </w:rPr>
  </w:style>
  <w:style w:type="character" w:customStyle="1" w:styleId="2264">
    <w:name w:val="正文文本缩进 2 Char3"/>
    <w:autoRedefine/>
    <w:qFormat/>
    <w:uiPriority w:val="0"/>
    <w:rPr>
      <w:rFonts w:ascii="Times New Roman" w:hAnsi="Times New Roman" w:eastAsia="宋体" w:cs="Times New Roman"/>
      <w:kern w:val="2"/>
      <w:sz w:val="24"/>
      <w:szCs w:val="24"/>
      <w:lang w:val="en-US" w:eastAsia="zh-CN" w:bidi="ar-SA"/>
    </w:rPr>
  </w:style>
  <w:style w:type="paragraph" w:customStyle="1" w:styleId="2265">
    <w:name w:val="表文字56"/>
    <w:basedOn w:val="1"/>
    <w:autoRedefine/>
    <w:qFormat/>
    <w:uiPriority w:val="0"/>
    <w:pPr>
      <w:adjustRightInd w:val="0"/>
      <w:jc w:val="left"/>
      <w:textAlignment w:val="baseline"/>
    </w:pPr>
    <w:rPr>
      <w:rFonts w:ascii="宋体" w:hAnsi="宋体" w:cs="宋体"/>
      <w:kern w:val="0"/>
    </w:rPr>
  </w:style>
  <w:style w:type="paragraph" w:customStyle="1" w:styleId="2266">
    <w:name w:val="表内文字小316"/>
    <w:basedOn w:val="1"/>
    <w:autoRedefine/>
    <w:qFormat/>
    <w:uiPriority w:val="0"/>
    <w:pPr>
      <w:adjustRightInd w:val="0"/>
      <w:snapToGrid w:val="0"/>
      <w:jc w:val="center"/>
    </w:pPr>
    <w:rPr>
      <w:rFonts w:ascii="宋体" w:hAnsi="Times" w:cs="宋体"/>
      <w:bCs/>
      <w:color w:val="003366"/>
    </w:rPr>
  </w:style>
  <w:style w:type="paragraph" w:customStyle="1" w:styleId="2267">
    <w:name w:val="表内宋5114"/>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2268">
    <w:name w:val="正文首行缩进 Char3"/>
    <w:autoRedefine/>
    <w:qFormat/>
    <w:uiPriority w:val="0"/>
    <w:rPr>
      <w:rFonts w:ascii="Times New Roman" w:hAnsi="Times New Roman" w:eastAsia="宋体" w:cs="Times New Roman"/>
      <w:kern w:val="2"/>
      <w:sz w:val="21"/>
      <w:szCs w:val="24"/>
      <w:lang w:val="en-US" w:eastAsia="zh-CN" w:bidi="ar-SA"/>
    </w:rPr>
  </w:style>
  <w:style w:type="paragraph" w:customStyle="1" w:styleId="2269">
    <w:name w:val="文本框4"/>
    <w:basedOn w:val="1"/>
    <w:autoRedefine/>
    <w:qFormat/>
    <w:uiPriority w:val="0"/>
    <w:pPr>
      <w:adjustRightInd w:val="0"/>
      <w:snapToGrid w:val="0"/>
      <w:spacing w:after="6"/>
      <w:jc w:val="center"/>
    </w:pPr>
    <w:rPr>
      <w:rFonts w:ascii="宋体" w:hAnsi="宋体" w:eastAsia="仿宋_GB2312" w:cs="宋体"/>
    </w:rPr>
  </w:style>
  <w:style w:type="paragraph" w:customStyle="1" w:styleId="2270">
    <w:name w:val="正文.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71">
    <w:name w:val="表6"/>
    <w:basedOn w:val="1"/>
    <w:autoRedefine/>
    <w:qFormat/>
    <w:uiPriority w:val="0"/>
    <w:pPr>
      <w:adjustRightInd w:val="0"/>
      <w:snapToGrid w:val="0"/>
      <w:jc w:val="center"/>
    </w:pPr>
    <w:rPr>
      <w:rFonts w:ascii="宋体" w:hAnsi="宋体" w:eastAsia="仿宋_GB2312" w:cs="宋体"/>
      <w:sz w:val="24"/>
    </w:rPr>
  </w:style>
  <w:style w:type="paragraph" w:customStyle="1" w:styleId="2272">
    <w:name w:val="默认段落字体 Para Char Char Char Char8"/>
    <w:basedOn w:val="1"/>
    <w:autoRedefine/>
    <w:qFormat/>
    <w:uiPriority w:val="0"/>
    <w:rPr>
      <w:rFonts w:ascii="宋体" w:hAnsi="宋体" w:cs="宋体"/>
    </w:rPr>
  </w:style>
  <w:style w:type="paragraph" w:customStyle="1" w:styleId="2273">
    <w:name w:val="黑体三号7"/>
    <w:basedOn w:val="316"/>
    <w:autoRedefine/>
    <w:qFormat/>
    <w:uiPriority w:val="0"/>
    <w:pPr>
      <w:jc w:val="center"/>
    </w:pPr>
    <w:rPr>
      <w:rFonts w:ascii="黑体" w:hAnsi="宋体" w:eastAsia="黑体"/>
      <w:bCs/>
      <w:spacing w:val="0"/>
      <w:sz w:val="32"/>
    </w:rPr>
  </w:style>
  <w:style w:type="paragraph" w:customStyle="1" w:styleId="2274">
    <w:name w:val="Char30"/>
    <w:basedOn w:val="1"/>
    <w:autoRedefine/>
    <w:qFormat/>
    <w:uiPriority w:val="0"/>
    <w:pPr>
      <w:ind w:left="-48"/>
    </w:pPr>
    <w:rPr>
      <w:rFonts w:ascii="宋体" w:hAnsi="宋体" w:cs="宋体"/>
    </w:rPr>
  </w:style>
  <w:style w:type="paragraph" w:customStyle="1" w:styleId="2275">
    <w:name w:val="样式15"/>
    <w:basedOn w:val="1228"/>
    <w:autoRedefine/>
    <w:qFormat/>
    <w:uiPriority w:val="0"/>
    <w:pPr>
      <w:spacing w:line="240" w:lineRule="auto"/>
      <w:ind w:firstLine="0"/>
      <w:jc w:val="center"/>
    </w:pPr>
    <w:rPr>
      <w:rFonts w:cs="Times New Roman"/>
      <w:b/>
      <w:color w:val="auto"/>
      <w:szCs w:val="20"/>
    </w:rPr>
  </w:style>
  <w:style w:type="paragraph" w:customStyle="1" w:styleId="2276">
    <w:name w:val="表题18"/>
    <w:basedOn w:val="22"/>
    <w:autoRedefine/>
    <w:qFormat/>
    <w:uiPriority w:val="0"/>
    <w:pPr>
      <w:widowControl w:val="0"/>
      <w:spacing w:line="360" w:lineRule="auto"/>
      <w:jc w:val="center"/>
    </w:pPr>
    <w:rPr>
      <w:rFonts w:ascii="黑体" w:hAnsi="Arial" w:cs="Arial"/>
      <w:b/>
      <w:kern w:val="2"/>
    </w:rPr>
  </w:style>
  <w:style w:type="paragraph" w:customStyle="1" w:styleId="2277">
    <w:name w:val="燕山正文7"/>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278">
    <w:name w:val="燕山正文 Char17"/>
    <w:autoRedefine/>
    <w:qFormat/>
    <w:uiPriority w:val="0"/>
    <w:rPr>
      <w:rFonts w:ascii="宋体" w:hAnsi="Times New Roman" w:eastAsia="宋体" w:cs="宋体"/>
      <w:kern w:val="2"/>
      <w:sz w:val="24"/>
      <w:szCs w:val="24"/>
      <w:lang w:val="en-US" w:eastAsia="zh-CN" w:bidi="ar-SA"/>
    </w:rPr>
  </w:style>
  <w:style w:type="paragraph" w:customStyle="1" w:styleId="2279">
    <w:name w:val="正文修改7"/>
    <w:basedOn w:val="1181"/>
    <w:autoRedefine/>
    <w:qFormat/>
    <w:uiPriority w:val="0"/>
    <w:rPr>
      <w:rFonts w:hAnsi="宋体"/>
      <w:color w:val="000000"/>
    </w:rPr>
  </w:style>
  <w:style w:type="character" w:customStyle="1" w:styleId="2280">
    <w:name w:val="正文修改 Char17"/>
    <w:autoRedefine/>
    <w:qFormat/>
    <w:uiPriority w:val="0"/>
    <w:rPr>
      <w:rFonts w:ascii="宋体" w:hAnsi="宋体" w:eastAsia="宋体" w:cs="宋体"/>
      <w:color w:val="000000"/>
      <w:kern w:val="2"/>
      <w:sz w:val="24"/>
      <w:szCs w:val="24"/>
      <w:lang w:val="en-US" w:eastAsia="zh-CN" w:bidi="ar-SA"/>
    </w:rPr>
  </w:style>
  <w:style w:type="character" w:customStyle="1" w:styleId="2281">
    <w:name w:val="题注 Char8"/>
    <w:autoRedefine/>
    <w:qFormat/>
    <w:uiPriority w:val="0"/>
    <w:rPr>
      <w:rFonts w:ascii="黑体" w:hAnsi="Arial" w:eastAsia="黑体" w:cs="Arial"/>
      <w:spacing w:val="10"/>
      <w:kern w:val="2"/>
      <w:sz w:val="24"/>
      <w:szCs w:val="24"/>
      <w:lang w:val="en-US" w:eastAsia="zh-CN" w:bidi="ar-SA"/>
    </w:rPr>
  </w:style>
  <w:style w:type="character" w:customStyle="1" w:styleId="2282">
    <w:name w:val="表题1 Char9"/>
    <w:autoRedefine/>
    <w:qFormat/>
    <w:uiPriority w:val="0"/>
    <w:rPr>
      <w:rFonts w:ascii="黑体" w:hAnsi="Arial" w:eastAsia="黑体" w:cs="Arial"/>
      <w:b/>
      <w:kern w:val="2"/>
      <w:sz w:val="24"/>
      <w:szCs w:val="24"/>
      <w:lang w:val="en-US" w:eastAsia="zh-CN" w:bidi="ar-SA"/>
    </w:rPr>
  </w:style>
  <w:style w:type="paragraph" w:customStyle="1" w:styleId="2283">
    <w:name w:val="首行缩进:  0.99 厘米 + 首行缩进:  2 字符3"/>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2284">
    <w:name w:val="正文文本 3 Char3"/>
    <w:autoRedefine/>
    <w:qFormat/>
    <w:uiPriority w:val="0"/>
    <w:rPr>
      <w:rFonts w:ascii="Times New Roman" w:hAnsi="Times New Roman" w:eastAsia="宋体" w:cs="Times New Roman"/>
      <w:kern w:val="2"/>
      <w:sz w:val="16"/>
      <w:szCs w:val="16"/>
      <w:lang w:val="en-US" w:eastAsia="zh-CN" w:bidi="ar-SA"/>
    </w:rPr>
  </w:style>
  <w:style w:type="paragraph" w:customStyle="1" w:styleId="2285">
    <w:name w:val="图表名称3"/>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286">
    <w:name w:val="表内文字边3"/>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287">
    <w:name w:val="正文缩3"/>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288">
    <w:name w:val="样式23"/>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2289">
    <w:name w:val="默认段落字体 Para Char Char Char Char Char3"/>
    <w:basedOn w:val="1"/>
    <w:autoRedefine/>
    <w:qFormat/>
    <w:uiPriority w:val="0"/>
    <w:rPr>
      <w:rFonts w:ascii="宋体" w:hAnsi="宋体" w:cs="宋体"/>
    </w:rPr>
  </w:style>
  <w:style w:type="paragraph" w:customStyle="1" w:styleId="2290">
    <w:name w:val="表中文字8"/>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291">
    <w:name w:val="表内宋5中5"/>
    <w:basedOn w:val="1"/>
    <w:autoRedefine/>
    <w:qFormat/>
    <w:uiPriority w:val="0"/>
    <w:pPr>
      <w:adjustRightInd w:val="0"/>
      <w:snapToGrid w:val="0"/>
      <w:textAlignment w:val="baseline"/>
    </w:pPr>
    <w:rPr>
      <w:rFonts w:ascii="宋体" w:hAnsi="宋体" w:cs="宋体"/>
      <w:color w:val="000000"/>
      <w:kern w:val="0"/>
    </w:rPr>
  </w:style>
  <w:style w:type="character" w:customStyle="1" w:styleId="2292">
    <w:name w:val="表中文字 Char27"/>
    <w:autoRedefine/>
    <w:qFormat/>
    <w:uiPriority w:val="0"/>
    <w:rPr>
      <w:rFonts w:ascii="宋体" w:hAnsi="Times New Roman" w:eastAsia="宋体" w:cs="Times New Roman"/>
      <w:kern w:val="0"/>
      <w:sz w:val="24"/>
      <w:szCs w:val="21"/>
      <w:lang w:val="en-US" w:eastAsia="zh-CN" w:bidi="ar-SA"/>
    </w:rPr>
  </w:style>
  <w:style w:type="paragraph" w:customStyle="1" w:styleId="2293">
    <w:name w:val="样式 标题 3 + 段前: 12 磅3"/>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294">
    <w:name w:val="表内文字小5"/>
    <w:basedOn w:val="1"/>
    <w:autoRedefine/>
    <w:qFormat/>
    <w:uiPriority w:val="0"/>
    <w:pPr>
      <w:adjustRightInd w:val="0"/>
      <w:snapToGrid w:val="0"/>
      <w:jc w:val="center"/>
    </w:pPr>
    <w:rPr>
      <w:rFonts w:ascii="宋体" w:hAnsi="Times" w:cs="宋体"/>
    </w:rPr>
  </w:style>
  <w:style w:type="paragraph" w:customStyle="1" w:styleId="2295">
    <w:name w:val="表内55"/>
    <w:basedOn w:val="1"/>
    <w:autoRedefine/>
    <w:qFormat/>
    <w:uiPriority w:val="0"/>
    <w:pPr>
      <w:adjustRightInd w:val="0"/>
      <w:snapToGrid w:val="0"/>
      <w:spacing w:line="300" w:lineRule="auto"/>
      <w:jc w:val="left"/>
    </w:pPr>
    <w:rPr>
      <w:rFonts w:ascii="宋体" w:hAnsi="宋体" w:cs="宋体"/>
      <w:sz w:val="18"/>
    </w:rPr>
  </w:style>
  <w:style w:type="paragraph" w:customStyle="1" w:styleId="2296">
    <w:name w:val="Char Char Char Char1 Char Char Char6"/>
    <w:basedOn w:val="1"/>
    <w:autoRedefine/>
    <w:qFormat/>
    <w:uiPriority w:val="0"/>
    <w:pPr>
      <w:widowControl/>
      <w:spacing w:after="160"/>
      <w:jc w:val="left"/>
    </w:pPr>
    <w:rPr>
      <w:rFonts w:ascii="Verdana" w:hAnsi="Verdana" w:cs="宋体"/>
      <w:kern w:val="0"/>
      <w:sz w:val="24"/>
      <w:lang w:eastAsia="en-US"/>
    </w:rPr>
  </w:style>
  <w:style w:type="paragraph" w:customStyle="1" w:styleId="2297">
    <w:name w:val="正文格式15"/>
    <w:basedOn w:val="1"/>
    <w:autoRedefine/>
    <w:qFormat/>
    <w:uiPriority w:val="0"/>
    <w:pPr>
      <w:spacing w:line="360" w:lineRule="auto"/>
      <w:ind w:firstLine="482"/>
    </w:pPr>
    <w:rPr>
      <w:rFonts w:ascii="宋体" w:hAnsi="宋体" w:cs="宋体"/>
      <w:sz w:val="24"/>
    </w:rPr>
  </w:style>
  <w:style w:type="paragraph" w:customStyle="1" w:styleId="2298">
    <w:name w:val="图题13"/>
    <w:basedOn w:val="316"/>
    <w:next w:val="316"/>
    <w:autoRedefine/>
    <w:qFormat/>
    <w:uiPriority w:val="0"/>
    <w:pPr>
      <w:ind w:firstLine="0"/>
      <w:jc w:val="center"/>
    </w:pPr>
    <w:rPr>
      <w:rFonts w:ascii="黑体" w:hAnsi="宋体" w:eastAsia="黑体"/>
      <w:bCs/>
      <w:spacing w:val="0"/>
    </w:rPr>
  </w:style>
  <w:style w:type="paragraph" w:customStyle="1" w:styleId="2299">
    <w:name w:val="表格内字体14"/>
    <w:basedOn w:val="316"/>
    <w:next w:val="316"/>
    <w:autoRedefine/>
    <w:qFormat/>
    <w:uiPriority w:val="0"/>
    <w:pPr>
      <w:spacing w:line="240" w:lineRule="auto"/>
      <w:ind w:firstLine="0"/>
      <w:jc w:val="center"/>
    </w:pPr>
    <w:rPr>
      <w:rFonts w:hAnsi="宋体"/>
      <w:b w:val="0"/>
      <w:spacing w:val="0"/>
      <w:sz w:val="21"/>
    </w:rPr>
  </w:style>
  <w:style w:type="character" w:customStyle="1" w:styleId="2300">
    <w:name w:val="Char Char116"/>
    <w:autoRedefine/>
    <w:qFormat/>
    <w:uiPriority w:val="0"/>
    <w:rPr>
      <w:rFonts w:ascii="黑体" w:hAnsi="Arial" w:eastAsia="黑体"/>
      <w:bCs/>
      <w:kern w:val="2"/>
      <w:sz w:val="30"/>
      <w:szCs w:val="30"/>
      <w:lang w:val="en-US" w:eastAsia="zh-CN" w:bidi="ar-SA"/>
    </w:rPr>
  </w:style>
  <w:style w:type="paragraph" w:customStyle="1" w:styleId="2301">
    <w:name w:val="Char115"/>
    <w:basedOn w:val="1"/>
    <w:autoRedefine/>
    <w:qFormat/>
    <w:uiPriority w:val="0"/>
    <w:pPr>
      <w:ind w:left="-48"/>
    </w:pPr>
    <w:rPr>
      <w:rFonts w:ascii="宋体" w:hAnsi="宋体" w:cs="宋体"/>
    </w:rPr>
  </w:style>
  <w:style w:type="paragraph" w:customStyle="1" w:styleId="2302">
    <w:name w:val="正文格式24"/>
    <w:basedOn w:val="1"/>
    <w:autoRedefine/>
    <w:qFormat/>
    <w:uiPriority w:val="0"/>
    <w:pPr>
      <w:spacing w:line="360" w:lineRule="auto"/>
      <w:ind w:firstLine="482"/>
    </w:pPr>
    <w:rPr>
      <w:rFonts w:ascii="宋体" w:hAnsi="宋体" w:cs="宋体"/>
      <w:sz w:val="24"/>
    </w:rPr>
  </w:style>
  <w:style w:type="character" w:customStyle="1" w:styleId="2303">
    <w:name w:val="题注 Char13"/>
    <w:autoRedefine/>
    <w:qFormat/>
    <w:uiPriority w:val="0"/>
    <w:rPr>
      <w:rFonts w:ascii="黑体" w:hAnsi="Arial" w:eastAsia="黑体" w:cs="Arial"/>
      <w:spacing w:val="10"/>
      <w:kern w:val="2"/>
      <w:sz w:val="24"/>
      <w:szCs w:val="24"/>
      <w:lang w:val="en-US" w:eastAsia="zh-CN" w:bidi="ar-SA"/>
    </w:rPr>
  </w:style>
  <w:style w:type="paragraph" w:customStyle="1" w:styleId="2304">
    <w:name w:val="图题24"/>
    <w:basedOn w:val="316"/>
    <w:next w:val="316"/>
    <w:autoRedefine/>
    <w:qFormat/>
    <w:uiPriority w:val="0"/>
    <w:pPr>
      <w:ind w:firstLine="0"/>
      <w:jc w:val="center"/>
    </w:pPr>
    <w:rPr>
      <w:rFonts w:ascii="黑体" w:hAnsi="宋体" w:eastAsia="黑体"/>
      <w:bCs/>
      <w:spacing w:val="0"/>
    </w:rPr>
  </w:style>
  <w:style w:type="paragraph" w:customStyle="1" w:styleId="2305">
    <w:name w:val="表格内字体24"/>
    <w:basedOn w:val="316"/>
    <w:next w:val="316"/>
    <w:autoRedefine/>
    <w:qFormat/>
    <w:uiPriority w:val="0"/>
    <w:pPr>
      <w:spacing w:line="240" w:lineRule="auto"/>
      <w:ind w:firstLine="0"/>
      <w:jc w:val="center"/>
    </w:pPr>
    <w:rPr>
      <w:rFonts w:hAnsi="宋体"/>
      <w:b w:val="0"/>
      <w:spacing w:val="0"/>
      <w:sz w:val="21"/>
    </w:rPr>
  </w:style>
  <w:style w:type="paragraph" w:customStyle="1" w:styleId="2306">
    <w:name w:val="表内54113"/>
    <w:basedOn w:val="1"/>
    <w:autoRedefine/>
    <w:qFormat/>
    <w:uiPriority w:val="0"/>
    <w:pPr>
      <w:adjustRightInd w:val="0"/>
      <w:snapToGrid w:val="0"/>
      <w:spacing w:line="300" w:lineRule="auto"/>
      <w:jc w:val="center"/>
    </w:pPr>
    <w:rPr>
      <w:rFonts w:ascii="宋体" w:hAnsi="宋体" w:cs="宋体"/>
    </w:rPr>
  </w:style>
  <w:style w:type="paragraph" w:customStyle="1" w:styleId="2307">
    <w:name w:val="表内文字小2113"/>
    <w:basedOn w:val="1"/>
    <w:autoRedefine/>
    <w:qFormat/>
    <w:uiPriority w:val="0"/>
    <w:pPr>
      <w:adjustRightInd w:val="0"/>
      <w:snapToGrid w:val="0"/>
      <w:jc w:val="center"/>
    </w:pPr>
    <w:rPr>
      <w:rFonts w:ascii="宋体" w:hAnsi="Times" w:cs="宋体"/>
      <w:bCs/>
      <w:color w:val="000000"/>
    </w:rPr>
  </w:style>
  <w:style w:type="paragraph" w:customStyle="1" w:styleId="2308">
    <w:name w:val="表题311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09">
    <w:name w:val="Char Char Char Char Char Char Char18"/>
    <w:basedOn w:val="1"/>
    <w:autoRedefine/>
    <w:qFormat/>
    <w:uiPriority w:val="0"/>
    <w:rPr>
      <w:rFonts w:ascii="宋体" w:hAnsi="宋体" w:cs="宋体"/>
    </w:rPr>
  </w:style>
  <w:style w:type="paragraph" w:customStyle="1" w:styleId="2310">
    <w:name w:val="标题43113"/>
    <w:basedOn w:val="1"/>
    <w:autoRedefine/>
    <w:qFormat/>
    <w:uiPriority w:val="0"/>
    <w:pPr>
      <w:adjustRightInd w:val="0"/>
      <w:snapToGrid w:val="0"/>
      <w:spacing w:line="480" w:lineRule="exact"/>
      <w:jc w:val="center"/>
    </w:pPr>
    <w:rPr>
      <w:rFonts w:ascii="宋体" w:hAnsi="宋体" w:cs="宋体"/>
      <w:sz w:val="24"/>
    </w:rPr>
  </w:style>
  <w:style w:type="paragraph" w:customStyle="1" w:styleId="2311">
    <w:name w:val="燕山正文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12">
    <w:name w:val="默认段落字体 Para Char Char Char Char13"/>
    <w:basedOn w:val="1"/>
    <w:autoRedefine/>
    <w:qFormat/>
    <w:uiPriority w:val="0"/>
    <w:rPr>
      <w:rFonts w:ascii="宋体" w:hAnsi="宋体" w:cs="宋体"/>
    </w:rPr>
  </w:style>
  <w:style w:type="paragraph" w:customStyle="1" w:styleId="2313">
    <w:name w:val="附件13"/>
    <w:basedOn w:val="3"/>
    <w:next w:val="316"/>
    <w:autoRedefine/>
    <w:qFormat/>
    <w:uiPriority w:val="0"/>
    <w:pPr>
      <w:keepLines/>
      <w:widowControl w:val="0"/>
      <w:numPr>
        <w:numId w:val="0"/>
      </w:numPr>
      <w:tabs>
        <w:tab w:val="left" w:pos="1566"/>
      </w:tabs>
      <w:adjustRightInd w:val="0"/>
      <w:snapToGrid w:val="0"/>
      <w:spacing w:beforeLines="100"/>
      <w:jc w:val="both"/>
    </w:pPr>
    <w:rPr>
      <w:rFonts w:ascii="黑体" w:eastAsia="黑体"/>
      <w:b/>
      <w:bCs/>
      <w:kern w:val="44"/>
      <w:szCs w:val="32"/>
    </w:rPr>
  </w:style>
  <w:style w:type="paragraph" w:customStyle="1" w:styleId="2314">
    <w:name w:val="黑体三号13"/>
    <w:basedOn w:val="316"/>
    <w:autoRedefine/>
    <w:qFormat/>
    <w:uiPriority w:val="0"/>
    <w:pPr>
      <w:jc w:val="center"/>
    </w:pPr>
    <w:rPr>
      <w:rFonts w:ascii="黑体" w:hAnsi="宋体" w:eastAsia="黑体"/>
      <w:bCs/>
      <w:spacing w:val="0"/>
      <w:sz w:val="32"/>
    </w:rPr>
  </w:style>
  <w:style w:type="paragraph" w:customStyle="1" w:styleId="2315">
    <w:name w:val="表13"/>
    <w:basedOn w:val="1"/>
    <w:autoRedefine/>
    <w:qFormat/>
    <w:uiPriority w:val="0"/>
    <w:pPr>
      <w:adjustRightInd w:val="0"/>
      <w:snapToGrid w:val="0"/>
      <w:jc w:val="center"/>
    </w:pPr>
    <w:rPr>
      <w:rFonts w:ascii="宋体" w:hAnsi="宋体" w:eastAsia="仿宋_GB2312" w:cs="宋体"/>
      <w:sz w:val="24"/>
    </w:rPr>
  </w:style>
  <w:style w:type="character" w:customStyle="1" w:styleId="2316">
    <w:name w:val="Char Char66"/>
    <w:autoRedefine/>
    <w:qFormat/>
    <w:uiPriority w:val="0"/>
    <w:rPr>
      <w:rFonts w:ascii="黑体" w:eastAsia="黑体"/>
      <w:b/>
      <w:bCs/>
      <w:kern w:val="2"/>
      <w:sz w:val="28"/>
      <w:szCs w:val="28"/>
      <w:lang w:val="en-US" w:eastAsia="zh-CN" w:bidi="ar-SA"/>
    </w:rPr>
  </w:style>
  <w:style w:type="paragraph" w:customStyle="1" w:styleId="2317">
    <w:name w:val="表题114"/>
    <w:basedOn w:val="22"/>
    <w:autoRedefine/>
    <w:qFormat/>
    <w:uiPriority w:val="0"/>
    <w:pPr>
      <w:widowControl w:val="0"/>
      <w:spacing w:line="360" w:lineRule="auto"/>
      <w:jc w:val="center"/>
    </w:pPr>
    <w:rPr>
      <w:rFonts w:ascii="黑体" w:hAnsi="Arial" w:cs="Arial"/>
      <w:kern w:val="2"/>
    </w:rPr>
  </w:style>
  <w:style w:type="paragraph" w:customStyle="1" w:styleId="2318">
    <w:name w:val="燕山正文15"/>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319">
    <w:name w:val="正文修改13"/>
    <w:basedOn w:val="1181"/>
    <w:autoRedefine/>
    <w:qFormat/>
    <w:uiPriority w:val="0"/>
    <w:rPr>
      <w:rFonts w:hAnsi="宋体"/>
      <w:color w:val="000000"/>
    </w:rPr>
  </w:style>
  <w:style w:type="character" w:customStyle="1" w:styleId="2320">
    <w:name w:val="正文修改 Char113"/>
    <w:autoRedefine/>
    <w:qFormat/>
    <w:uiPriority w:val="0"/>
    <w:rPr>
      <w:rFonts w:ascii="宋体" w:hAnsi="宋体" w:eastAsia="宋体" w:cs="宋体"/>
      <w:color w:val="000000"/>
      <w:kern w:val="2"/>
      <w:sz w:val="24"/>
      <w:szCs w:val="24"/>
      <w:lang w:val="en-US" w:eastAsia="zh-CN" w:bidi="ar-SA"/>
    </w:rPr>
  </w:style>
  <w:style w:type="paragraph" w:customStyle="1" w:styleId="2321">
    <w:name w:val="表中文字14"/>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322">
    <w:name w:val="表文字514"/>
    <w:basedOn w:val="1"/>
    <w:autoRedefine/>
    <w:qFormat/>
    <w:uiPriority w:val="0"/>
    <w:pPr>
      <w:adjustRightInd w:val="0"/>
      <w:jc w:val="left"/>
      <w:textAlignment w:val="baseline"/>
    </w:pPr>
    <w:rPr>
      <w:rFonts w:ascii="宋体" w:hAnsi="宋体" w:cs="宋体"/>
      <w:kern w:val="0"/>
    </w:rPr>
  </w:style>
  <w:style w:type="paragraph" w:customStyle="1" w:styleId="2323">
    <w:name w:val="表内文字小3113"/>
    <w:basedOn w:val="1"/>
    <w:autoRedefine/>
    <w:qFormat/>
    <w:uiPriority w:val="0"/>
    <w:pPr>
      <w:adjustRightInd w:val="0"/>
      <w:snapToGrid w:val="0"/>
      <w:jc w:val="center"/>
    </w:pPr>
    <w:rPr>
      <w:rFonts w:ascii="宋体" w:hAnsi="Times" w:cs="宋体"/>
      <w:bCs/>
      <w:color w:val="003366"/>
    </w:rPr>
  </w:style>
  <w:style w:type="paragraph" w:customStyle="1" w:styleId="2324">
    <w:name w:val="样式113"/>
    <w:basedOn w:val="1228"/>
    <w:autoRedefine/>
    <w:qFormat/>
    <w:uiPriority w:val="0"/>
    <w:pPr>
      <w:spacing w:line="240" w:lineRule="auto"/>
      <w:ind w:firstLine="0"/>
      <w:jc w:val="center"/>
    </w:pPr>
    <w:rPr>
      <w:rFonts w:cs="Times New Roman"/>
      <w:b/>
      <w:color w:val="auto"/>
      <w:szCs w:val="20"/>
    </w:rPr>
  </w:style>
  <w:style w:type="paragraph" w:customStyle="1" w:styleId="2325">
    <w:name w:val="Char210"/>
    <w:basedOn w:val="1"/>
    <w:autoRedefine/>
    <w:qFormat/>
    <w:uiPriority w:val="0"/>
    <w:pPr>
      <w:ind w:left="-48"/>
    </w:pPr>
    <w:rPr>
      <w:rFonts w:ascii="宋体" w:hAnsi="宋体" w:cs="宋体"/>
    </w:rPr>
  </w:style>
  <w:style w:type="paragraph" w:customStyle="1" w:styleId="2326">
    <w:name w:val="表内文字小25"/>
    <w:basedOn w:val="1"/>
    <w:autoRedefine/>
    <w:qFormat/>
    <w:uiPriority w:val="0"/>
    <w:pPr>
      <w:adjustRightInd w:val="0"/>
      <w:snapToGrid w:val="0"/>
      <w:jc w:val="center"/>
    </w:pPr>
    <w:rPr>
      <w:rFonts w:ascii="宋体" w:hAnsi="Times" w:cs="宋体"/>
      <w:bCs/>
      <w:color w:val="000000"/>
    </w:rPr>
  </w:style>
  <w:style w:type="paragraph" w:customStyle="1" w:styleId="2327">
    <w:name w:val="表内534"/>
    <w:basedOn w:val="1"/>
    <w:autoRedefine/>
    <w:qFormat/>
    <w:uiPriority w:val="0"/>
    <w:pPr>
      <w:adjustRightInd w:val="0"/>
      <w:snapToGrid w:val="0"/>
      <w:spacing w:line="300" w:lineRule="auto"/>
      <w:jc w:val="left"/>
    </w:pPr>
    <w:rPr>
      <w:rFonts w:ascii="宋体" w:hAnsi="宋体" w:cs="宋体"/>
    </w:rPr>
  </w:style>
  <w:style w:type="paragraph" w:customStyle="1" w:styleId="2328">
    <w:name w:val="正文格式33"/>
    <w:basedOn w:val="1"/>
    <w:autoRedefine/>
    <w:qFormat/>
    <w:uiPriority w:val="0"/>
    <w:pPr>
      <w:spacing w:line="360" w:lineRule="auto"/>
      <w:ind w:firstLine="482"/>
    </w:pPr>
    <w:rPr>
      <w:rFonts w:ascii="宋体" w:hAnsi="宋体" w:cs="宋体"/>
      <w:sz w:val="24"/>
    </w:rPr>
  </w:style>
  <w:style w:type="character" w:customStyle="1" w:styleId="2329">
    <w:name w:val="题注 Char23"/>
    <w:autoRedefine/>
    <w:qFormat/>
    <w:uiPriority w:val="0"/>
    <w:rPr>
      <w:rFonts w:ascii="黑体" w:hAnsi="Arial" w:eastAsia="黑体" w:cs="Arial"/>
      <w:spacing w:val="10"/>
      <w:kern w:val="2"/>
      <w:sz w:val="24"/>
      <w:szCs w:val="24"/>
      <w:lang w:val="en-US" w:eastAsia="zh-CN" w:bidi="ar-SA"/>
    </w:rPr>
  </w:style>
  <w:style w:type="paragraph" w:customStyle="1" w:styleId="2330">
    <w:name w:val="图题33"/>
    <w:basedOn w:val="316"/>
    <w:next w:val="316"/>
    <w:autoRedefine/>
    <w:qFormat/>
    <w:uiPriority w:val="0"/>
    <w:pPr>
      <w:ind w:firstLine="0"/>
      <w:jc w:val="center"/>
    </w:pPr>
    <w:rPr>
      <w:rFonts w:ascii="黑体" w:hAnsi="宋体" w:eastAsia="黑体"/>
      <w:bCs/>
      <w:spacing w:val="0"/>
    </w:rPr>
  </w:style>
  <w:style w:type="paragraph" w:customStyle="1" w:styleId="2331">
    <w:name w:val="表格内字体33"/>
    <w:basedOn w:val="316"/>
    <w:next w:val="316"/>
    <w:autoRedefine/>
    <w:qFormat/>
    <w:uiPriority w:val="0"/>
    <w:pPr>
      <w:spacing w:line="240" w:lineRule="auto"/>
      <w:ind w:firstLine="0"/>
      <w:jc w:val="center"/>
    </w:pPr>
    <w:rPr>
      <w:rFonts w:hAnsi="宋体"/>
      <w:b w:val="0"/>
      <w:spacing w:val="0"/>
      <w:sz w:val="21"/>
    </w:rPr>
  </w:style>
  <w:style w:type="paragraph" w:customStyle="1" w:styleId="2332">
    <w:name w:val="表内54123"/>
    <w:basedOn w:val="1"/>
    <w:autoRedefine/>
    <w:qFormat/>
    <w:uiPriority w:val="0"/>
    <w:pPr>
      <w:adjustRightInd w:val="0"/>
      <w:snapToGrid w:val="0"/>
      <w:spacing w:line="300" w:lineRule="auto"/>
      <w:jc w:val="center"/>
    </w:pPr>
    <w:rPr>
      <w:rFonts w:ascii="宋体" w:hAnsi="宋体" w:cs="宋体"/>
    </w:rPr>
  </w:style>
  <w:style w:type="paragraph" w:customStyle="1" w:styleId="2333">
    <w:name w:val="表内文字小2123"/>
    <w:basedOn w:val="1"/>
    <w:autoRedefine/>
    <w:qFormat/>
    <w:uiPriority w:val="0"/>
    <w:pPr>
      <w:adjustRightInd w:val="0"/>
      <w:snapToGrid w:val="0"/>
      <w:jc w:val="center"/>
    </w:pPr>
    <w:rPr>
      <w:rFonts w:ascii="宋体" w:hAnsi="Times" w:cs="宋体"/>
      <w:bCs/>
      <w:color w:val="000000"/>
    </w:rPr>
  </w:style>
  <w:style w:type="paragraph" w:customStyle="1" w:styleId="2334">
    <w:name w:val="表题312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35">
    <w:name w:val="标题43123"/>
    <w:basedOn w:val="1"/>
    <w:autoRedefine/>
    <w:qFormat/>
    <w:uiPriority w:val="0"/>
    <w:pPr>
      <w:adjustRightInd w:val="0"/>
      <w:snapToGrid w:val="0"/>
      <w:spacing w:line="480" w:lineRule="exact"/>
      <w:jc w:val="center"/>
    </w:pPr>
    <w:rPr>
      <w:rFonts w:ascii="宋体" w:hAnsi="宋体" w:cs="宋体"/>
      <w:sz w:val="24"/>
    </w:rPr>
  </w:style>
  <w:style w:type="paragraph" w:customStyle="1" w:styleId="2336">
    <w:name w:val="燕山正文112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37">
    <w:name w:val="默认段落字体 Para Char Char Char Char23"/>
    <w:basedOn w:val="1"/>
    <w:autoRedefine/>
    <w:qFormat/>
    <w:uiPriority w:val="0"/>
    <w:rPr>
      <w:rFonts w:ascii="宋体" w:hAnsi="宋体" w:cs="宋体"/>
    </w:rPr>
  </w:style>
  <w:style w:type="paragraph" w:customStyle="1" w:styleId="2338">
    <w:name w:val="附件23"/>
    <w:basedOn w:val="3"/>
    <w:next w:val="316"/>
    <w:autoRedefine/>
    <w:qFormat/>
    <w:uiPriority w:val="0"/>
    <w:pPr>
      <w:keepLines/>
      <w:widowControl w:val="0"/>
      <w:numPr>
        <w:numId w:val="0"/>
      </w:numPr>
      <w:tabs>
        <w:tab w:val="left" w:pos="1566"/>
      </w:tabs>
      <w:adjustRightInd w:val="0"/>
      <w:snapToGrid w:val="0"/>
      <w:spacing w:beforeLines="100"/>
      <w:jc w:val="both"/>
    </w:pPr>
    <w:rPr>
      <w:rFonts w:ascii="黑体" w:eastAsia="黑体"/>
      <w:b/>
      <w:bCs/>
      <w:kern w:val="44"/>
      <w:szCs w:val="32"/>
    </w:rPr>
  </w:style>
  <w:style w:type="paragraph" w:customStyle="1" w:styleId="2339">
    <w:name w:val="黑体三号23"/>
    <w:basedOn w:val="316"/>
    <w:autoRedefine/>
    <w:qFormat/>
    <w:uiPriority w:val="0"/>
    <w:pPr>
      <w:jc w:val="center"/>
    </w:pPr>
    <w:rPr>
      <w:rFonts w:ascii="黑体" w:hAnsi="宋体" w:eastAsia="黑体"/>
      <w:bCs/>
      <w:spacing w:val="0"/>
      <w:sz w:val="32"/>
    </w:rPr>
  </w:style>
  <w:style w:type="paragraph" w:customStyle="1" w:styleId="2340">
    <w:name w:val="表23"/>
    <w:basedOn w:val="1"/>
    <w:autoRedefine/>
    <w:qFormat/>
    <w:uiPriority w:val="0"/>
    <w:pPr>
      <w:adjustRightInd w:val="0"/>
      <w:snapToGrid w:val="0"/>
      <w:jc w:val="center"/>
    </w:pPr>
    <w:rPr>
      <w:rFonts w:ascii="宋体" w:hAnsi="宋体" w:eastAsia="仿宋_GB2312" w:cs="宋体"/>
      <w:sz w:val="24"/>
    </w:rPr>
  </w:style>
  <w:style w:type="paragraph" w:customStyle="1" w:styleId="2341">
    <w:name w:val="燕山正文2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342">
    <w:name w:val="正文修改23"/>
    <w:basedOn w:val="1181"/>
    <w:autoRedefine/>
    <w:qFormat/>
    <w:uiPriority w:val="0"/>
    <w:rPr>
      <w:rFonts w:hAnsi="宋体"/>
      <w:color w:val="000000"/>
    </w:rPr>
  </w:style>
  <w:style w:type="character" w:customStyle="1" w:styleId="2343">
    <w:name w:val="正文修改 Char123"/>
    <w:autoRedefine/>
    <w:qFormat/>
    <w:uiPriority w:val="0"/>
    <w:rPr>
      <w:rFonts w:ascii="宋体" w:hAnsi="宋体" w:eastAsia="宋体" w:cs="宋体"/>
      <w:color w:val="000000"/>
      <w:kern w:val="2"/>
      <w:sz w:val="24"/>
      <w:szCs w:val="24"/>
      <w:lang w:val="en-US" w:eastAsia="zh-CN" w:bidi="ar-SA"/>
    </w:rPr>
  </w:style>
  <w:style w:type="paragraph" w:customStyle="1" w:styleId="2344">
    <w:name w:val="表中文字23"/>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345">
    <w:name w:val="表内文字小3123"/>
    <w:basedOn w:val="1"/>
    <w:autoRedefine/>
    <w:qFormat/>
    <w:uiPriority w:val="0"/>
    <w:pPr>
      <w:adjustRightInd w:val="0"/>
      <w:snapToGrid w:val="0"/>
      <w:jc w:val="center"/>
    </w:pPr>
    <w:rPr>
      <w:rFonts w:ascii="宋体" w:hAnsi="Times" w:cs="宋体"/>
      <w:bCs/>
      <w:color w:val="003366"/>
    </w:rPr>
  </w:style>
  <w:style w:type="paragraph" w:customStyle="1" w:styleId="2346">
    <w:name w:val="表内文字小223"/>
    <w:basedOn w:val="1"/>
    <w:autoRedefine/>
    <w:qFormat/>
    <w:uiPriority w:val="0"/>
    <w:pPr>
      <w:adjustRightInd w:val="0"/>
      <w:snapToGrid w:val="0"/>
      <w:jc w:val="center"/>
    </w:pPr>
    <w:rPr>
      <w:rFonts w:ascii="宋体" w:hAnsi="Times" w:cs="宋体"/>
      <w:bCs/>
      <w:color w:val="000000"/>
    </w:rPr>
  </w:style>
  <w:style w:type="paragraph" w:customStyle="1" w:styleId="2347">
    <w:name w:val="正文格式213"/>
    <w:basedOn w:val="1"/>
    <w:autoRedefine/>
    <w:qFormat/>
    <w:uiPriority w:val="0"/>
    <w:pPr>
      <w:spacing w:line="360" w:lineRule="auto"/>
      <w:ind w:firstLine="482"/>
    </w:pPr>
    <w:rPr>
      <w:rFonts w:ascii="宋体" w:hAnsi="宋体" w:cs="宋体"/>
      <w:sz w:val="24"/>
    </w:rPr>
  </w:style>
  <w:style w:type="paragraph" w:customStyle="1" w:styleId="2348">
    <w:name w:val="表格内字体213"/>
    <w:basedOn w:val="316"/>
    <w:next w:val="316"/>
    <w:autoRedefine/>
    <w:qFormat/>
    <w:uiPriority w:val="0"/>
    <w:pPr>
      <w:spacing w:line="240" w:lineRule="auto"/>
      <w:ind w:firstLine="0"/>
      <w:jc w:val="center"/>
    </w:pPr>
    <w:rPr>
      <w:rFonts w:hAnsi="宋体"/>
      <w:b w:val="0"/>
      <w:spacing w:val="0"/>
      <w:sz w:val="21"/>
    </w:rPr>
  </w:style>
  <w:style w:type="paragraph" w:customStyle="1" w:styleId="2349">
    <w:name w:val="表中文字1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350">
    <w:name w:val="表文字5113"/>
    <w:basedOn w:val="1"/>
    <w:autoRedefine/>
    <w:qFormat/>
    <w:uiPriority w:val="0"/>
    <w:pPr>
      <w:adjustRightInd w:val="0"/>
      <w:jc w:val="left"/>
      <w:textAlignment w:val="baseline"/>
    </w:pPr>
    <w:rPr>
      <w:rFonts w:ascii="宋体" w:hAnsi="宋体" w:cs="宋体"/>
      <w:kern w:val="0"/>
    </w:rPr>
  </w:style>
  <w:style w:type="paragraph" w:customStyle="1" w:styleId="2351">
    <w:name w:val="默认段落字体 Para Char7"/>
    <w:basedOn w:val="1"/>
    <w:autoRedefine/>
    <w:qFormat/>
    <w:uiPriority w:val="0"/>
    <w:pPr>
      <w:spacing w:line="360" w:lineRule="auto"/>
      <w:ind w:firstLine="200" w:firstLineChars="200"/>
    </w:pPr>
    <w:rPr>
      <w:rFonts w:ascii="宋体" w:hAnsi="宋体" w:cs="宋体"/>
      <w:sz w:val="24"/>
    </w:rPr>
  </w:style>
  <w:style w:type="character" w:customStyle="1" w:styleId="2352">
    <w:name w:val="批注框文本 Char7"/>
    <w:autoRedefine/>
    <w:qFormat/>
    <w:uiPriority w:val="0"/>
    <w:rPr>
      <w:rFonts w:ascii="Times New Roman" w:hAnsi="Times New Roman" w:eastAsia="宋体" w:cs="Times New Roman"/>
      <w:kern w:val="2"/>
      <w:sz w:val="18"/>
      <w:szCs w:val="18"/>
      <w:lang w:val="en-US" w:eastAsia="zh-CN" w:bidi="ar-SA"/>
    </w:rPr>
  </w:style>
  <w:style w:type="paragraph" w:customStyle="1" w:styleId="2353">
    <w:name w:val="正文格式43"/>
    <w:basedOn w:val="1"/>
    <w:autoRedefine/>
    <w:qFormat/>
    <w:uiPriority w:val="0"/>
    <w:pPr>
      <w:spacing w:line="360" w:lineRule="auto"/>
      <w:ind w:firstLine="482"/>
    </w:pPr>
    <w:rPr>
      <w:rFonts w:ascii="宋体" w:hAnsi="宋体" w:cs="宋体"/>
      <w:sz w:val="24"/>
    </w:rPr>
  </w:style>
  <w:style w:type="paragraph" w:customStyle="1" w:styleId="2354">
    <w:name w:val="图题43"/>
    <w:basedOn w:val="316"/>
    <w:next w:val="316"/>
    <w:autoRedefine/>
    <w:qFormat/>
    <w:uiPriority w:val="0"/>
    <w:pPr>
      <w:ind w:firstLine="0"/>
      <w:jc w:val="center"/>
    </w:pPr>
    <w:rPr>
      <w:rFonts w:ascii="黑体" w:hAnsi="宋体" w:eastAsia="黑体"/>
      <w:bCs/>
      <w:spacing w:val="0"/>
    </w:rPr>
  </w:style>
  <w:style w:type="paragraph" w:customStyle="1" w:styleId="2355">
    <w:name w:val="表格内字体43"/>
    <w:basedOn w:val="316"/>
    <w:next w:val="316"/>
    <w:autoRedefine/>
    <w:qFormat/>
    <w:uiPriority w:val="0"/>
    <w:pPr>
      <w:spacing w:line="240" w:lineRule="auto"/>
      <w:ind w:firstLine="0"/>
      <w:jc w:val="center"/>
    </w:pPr>
    <w:rPr>
      <w:rFonts w:hAnsi="宋体"/>
      <w:b w:val="0"/>
      <w:spacing w:val="0"/>
      <w:sz w:val="21"/>
    </w:rPr>
  </w:style>
  <w:style w:type="paragraph" w:customStyle="1" w:styleId="2356">
    <w:name w:val="Char48"/>
    <w:basedOn w:val="1"/>
    <w:autoRedefine/>
    <w:qFormat/>
    <w:uiPriority w:val="0"/>
    <w:pPr>
      <w:ind w:left="-48"/>
    </w:pPr>
    <w:rPr>
      <w:rFonts w:ascii="宋体" w:hAnsi="宋体" w:cs="宋体"/>
    </w:rPr>
  </w:style>
  <w:style w:type="paragraph" w:customStyle="1" w:styleId="2357">
    <w:name w:val="表题133"/>
    <w:basedOn w:val="22"/>
    <w:autoRedefine/>
    <w:qFormat/>
    <w:uiPriority w:val="0"/>
    <w:pPr>
      <w:widowControl w:val="0"/>
      <w:spacing w:line="360" w:lineRule="auto"/>
      <w:jc w:val="center"/>
    </w:pPr>
    <w:rPr>
      <w:rFonts w:ascii="黑体" w:hAnsi="Arial" w:cs="Arial"/>
      <w:b/>
      <w:kern w:val="2"/>
    </w:rPr>
  </w:style>
  <w:style w:type="paragraph" w:customStyle="1" w:styleId="2358">
    <w:name w:val="默认段落字体 Para Char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359">
    <w:name w:val="23-47表名3"/>
    <w:basedOn w:val="1"/>
    <w:autoRedefine/>
    <w:qFormat/>
    <w:uiPriority w:val="0"/>
    <w:pPr>
      <w:spacing w:afterLines="50" w:line="440" w:lineRule="exact"/>
      <w:jc w:val="center"/>
    </w:pPr>
    <w:rPr>
      <w:rFonts w:ascii="宋体" w:hAnsi="宋体" w:cs="宋体"/>
      <w:b/>
      <w:sz w:val="24"/>
    </w:rPr>
  </w:style>
  <w:style w:type="paragraph" w:customStyle="1" w:styleId="2360">
    <w:name w:val="xl24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361">
    <w:name w:val="Char53"/>
    <w:basedOn w:val="1"/>
    <w:autoRedefine/>
    <w:qFormat/>
    <w:uiPriority w:val="0"/>
    <w:pPr>
      <w:adjustRightInd w:val="0"/>
      <w:snapToGrid w:val="0"/>
      <w:ind w:left="-45"/>
    </w:pPr>
    <w:rPr>
      <w:rFonts w:ascii="宋体" w:hAnsi="宋体" w:cs="宋体"/>
    </w:rPr>
  </w:style>
  <w:style w:type="paragraph" w:customStyle="1" w:styleId="2362">
    <w:name w:val="燕山正文113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363">
    <w:name w:val="题注 Char33"/>
    <w:autoRedefine/>
    <w:qFormat/>
    <w:uiPriority w:val="0"/>
    <w:rPr>
      <w:rFonts w:ascii="黑体" w:hAnsi="Arial" w:eastAsia="黑体" w:cs="Arial"/>
      <w:spacing w:val="10"/>
      <w:kern w:val="2"/>
      <w:sz w:val="24"/>
      <w:szCs w:val="24"/>
      <w:lang w:val="en-US" w:eastAsia="zh-CN" w:bidi="ar-SA"/>
    </w:rPr>
  </w:style>
  <w:style w:type="paragraph" w:customStyle="1" w:styleId="2364">
    <w:name w:val="图题53"/>
    <w:basedOn w:val="316"/>
    <w:next w:val="316"/>
    <w:autoRedefine/>
    <w:qFormat/>
    <w:uiPriority w:val="0"/>
    <w:pPr>
      <w:ind w:firstLine="0"/>
      <w:jc w:val="center"/>
    </w:pPr>
    <w:rPr>
      <w:rFonts w:ascii="黑体" w:hAnsi="宋体" w:eastAsia="黑体"/>
      <w:bCs/>
      <w:spacing w:val="0"/>
    </w:rPr>
  </w:style>
  <w:style w:type="paragraph" w:customStyle="1" w:styleId="2365">
    <w:name w:val="表格内字体53"/>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2366">
    <w:name w:val="表33"/>
    <w:basedOn w:val="1"/>
    <w:autoRedefine/>
    <w:qFormat/>
    <w:uiPriority w:val="0"/>
    <w:pPr>
      <w:adjustRightInd w:val="0"/>
      <w:snapToGrid w:val="0"/>
      <w:jc w:val="center"/>
    </w:pPr>
    <w:rPr>
      <w:rFonts w:ascii="宋体" w:hAnsi="宋体" w:eastAsia="仿宋_GB2312" w:cs="宋体"/>
      <w:sz w:val="24"/>
    </w:rPr>
  </w:style>
  <w:style w:type="paragraph" w:customStyle="1" w:styleId="2367">
    <w:name w:val="文本框13"/>
    <w:basedOn w:val="1"/>
    <w:autoRedefine/>
    <w:qFormat/>
    <w:uiPriority w:val="0"/>
    <w:pPr>
      <w:adjustRightInd w:val="0"/>
      <w:snapToGrid w:val="0"/>
      <w:spacing w:after="6"/>
      <w:jc w:val="center"/>
    </w:pPr>
    <w:rPr>
      <w:rFonts w:ascii="宋体" w:hAnsi="宋体" w:eastAsia="仿宋_GB2312" w:cs="宋体"/>
    </w:rPr>
  </w:style>
  <w:style w:type="paragraph" w:customStyle="1" w:styleId="2368">
    <w:name w:val="表内宋5111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369">
    <w:name w:val="表内文字小3133"/>
    <w:basedOn w:val="1"/>
    <w:autoRedefine/>
    <w:qFormat/>
    <w:uiPriority w:val="0"/>
    <w:pPr>
      <w:adjustRightInd w:val="0"/>
      <w:snapToGrid w:val="0"/>
      <w:jc w:val="center"/>
    </w:pPr>
    <w:rPr>
      <w:rFonts w:ascii="宋体" w:hAnsi="Times" w:cs="宋体"/>
      <w:bCs/>
      <w:color w:val="003366"/>
    </w:rPr>
  </w:style>
  <w:style w:type="paragraph" w:customStyle="1" w:styleId="2370">
    <w:name w:val="表文字533"/>
    <w:basedOn w:val="1"/>
    <w:autoRedefine/>
    <w:qFormat/>
    <w:uiPriority w:val="0"/>
    <w:pPr>
      <w:adjustRightInd w:val="0"/>
      <w:jc w:val="left"/>
      <w:textAlignment w:val="baseline"/>
    </w:pPr>
    <w:rPr>
      <w:rFonts w:ascii="宋体" w:hAnsi="宋体" w:cs="宋体"/>
      <w:kern w:val="0"/>
    </w:rPr>
  </w:style>
  <w:style w:type="paragraph" w:customStyle="1" w:styleId="2371">
    <w:name w:val="Char Char Char Char Char Char Char26"/>
    <w:basedOn w:val="1"/>
    <w:autoRedefine/>
    <w:qFormat/>
    <w:uiPriority w:val="0"/>
    <w:rPr>
      <w:rFonts w:ascii="宋体" w:hAnsi="宋体" w:cs="宋体"/>
    </w:rPr>
  </w:style>
  <w:style w:type="paragraph" w:customStyle="1" w:styleId="2372">
    <w:name w:val="表题313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73">
    <w:name w:val="表内文字小2133"/>
    <w:basedOn w:val="1"/>
    <w:autoRedefine/>
    <w:qFormat/>
    <w:uiPriority w:val="0"/>
    <w:pPr>
      <w:adjustRightInd w:val="0"/>
      <w:snapToGrid w:val="0"/>
      <w:jc w:val="center"/>
      <w:textAlignment w:val="baseline"/>
    </w:pPr>
    <w:rPr>
      <w:rFonts w:ascii="宋体" w:hAnsi="Times" w:cs="宋体"/>
      <w:bCs/>
      <w:color w:val="000000"/>
    </w:rPr>
  </w:style>
  <w:style w:type="paragraph" w:customStyle="1" w:styleId="2374">
    <w:name w:val="燕山正文3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375">
    <w:name w:val="正文修改33"/>
    <w:basedOn w:val="1181"/>
    <w:autoRedefine/>
    <w:qFormat/>
    <w:uiPriority w:val="0"/>
    <w:rPr>
      <w:rFonts w:hAnsi="宋体"/>
      <w:color w:val="000000"/>
    </w:rPr>
  </w:style>
  <w:style w:type="character" w:customStyle="1" w:styleId="2376">
    <w:name w:val="正文修改 Char133"/>
    <w:autoRedefine/>
    <w:qFormat/>
    <w:uiPriority w:val="0"/>
    <w:rPr>
      <w:rFonts w:ascii="宋体" w:hAnsi="宋体" w:eastAsia="宋体" w:cs="宋体"/>
      <w:color w:val="000000"/>
      <w:kern w:val="2"/>
      <w:sz w:val="24"/>
      <w:szCs w:val="24"/>
      <w:lang w:val="en-US" w:eastAsia="zh-CN" w:bidi="ar-SA"/>
    </w:rPr>
  </w:style>
  <w:style w:type="character" w:customStyle="1" w:styleId="2377">
    <w:name w:val="表题1 Char43"/>
    <w:autoRedefine/>
    <w:qFormat/>
    <w:uiPriority w:val="0"/>
    <w:rPr>
      <w:rFonts w:ascii="黑体" w:hAnsi="Arial" w:eastAsia="黑体" w:cs="Arial"/>
      <w:b/>
      <w:kern w:val="2"/>
      <w:sz w:val="24"/>
      <w:szCs w:val="24"/>
      <w:lang w:val="en-US" w:eastAsia="zh-CN" w:bidi="ar-SA"/>
    </w:rPr>
  </w:style>
  <w:style w:type="paragraph" w:customStyle="1" w:styleId="2378">
    <w:name w:val="黑体三号33"/>
    <w:basedOn w:val="316"/>
    <w:autoRedefine/>
    <w:qFormat/>
    <w:uiPriority w:val="0"/>
    <w:pPr>
      <w:jc w:val="center"/>
    </w:pPr>
    <w:rPr>
      <w:rFonts w:ascii="黑体" w:hAnsi="宋体" w:eastAsia="黑体"/>
      <w:bCs/>
      <w:spacing w:val="0"/>
      <w:sz w:val="32"/>
    </w:rPr>
  </w:style>
  <w:style w:type="paragraph" w:customStyle="1" w:styleId="2379">
    <w:name w:val="默认段落字体 Para Char Char Char Char33"/>
    <w:basedOn w:val="1"/>
    <w:autoRedefine/>
    <w:qFormat/>
    <w:uiPriority w:val="0"/>
    <w:rPr>
      <w:rFonts w:ascii="宋体" w:hAnsi="宋体" w:cs="宋体"/>
    </w:rPr>
  </w:style>
  <w:style w:type="paragraph" w:customStyle="1" w:styleId="2380">
    <w:name w:val="表内54133"/>
    <w:basedOn w:val="1"/>
    <w:autoRedefine/>
    <w:qFormat/>
    <w:uiPriority w:val="0"/>
    <w:pPr>
      <w:adjustRightInd w:val="0"/>
      <w:snapToGrid w:val="0"/>
      <w:spacing w:line="300" w:lineRule="auto"/>
      <w:jc w:val="center"/>
    </w:pPr>
    <w:rPr>
      <w:rFonts w:ascii="宋体" w:hAnsi="宋体" w:cs="宋体"/>
    </w:rPr>
  </w:style>
  <w:style w:type="paragraph" w:customStyle="1" w:styleId="2381">
    <w:name w:val="标题44"/>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382">
    <w:name w:val="Char63"/>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383">
    <w:name w:val="表内宋5中113"/>
    <w:basedOn w:val="1"/>
    <w:autoRedefine/>
    <w:qFormat/>
    <w:uiPriority w:val="0"/>
    <w:pPr>
      <w:adjustRightInd w:val="0"/>
      <w:snapToGrid w:val="0"/>
      <w:jc w:val="center"/>
      <w:textAlignment w:val="baseline"/>
    </w:pPr>
    <w:rPr>
      <w:rFonts w:ascii="宋体" w:hAnsi="宋体" w:cs="宋体"/>
      <w:kern w:val="0"/>
    </w:rPr>
  </w:style>
  <w:style w:type="paragraph" w:customStyle="1" w:styleId="2384">
    <w:name w:val="标题411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385">
    <w:name w:val="默认段落字体 Para Char2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386">
    <w:name w:val="表内5中5"/>
    <w:basedOn w:val="1"/>
    <w:autoRedefine/>
    <w:qFormat/>
    <w:uiPriority w:val="0"/>
    <w:pPr>
      <w:adjustRightInd w:val="0"/>
      <w:snapToGrid w:val="0"/>
      <w:jc w:val="center"/>
    </w:pPr>
    <w:rPr>
      <w:rFonts w:ascii="宋体" w:hAnsi="宋体" w:cs="Arial"/>
      <w:snapToGrid w:val="0"/>
      <w:color w:val="000000"/>
      <w:szCs w:val="21"/>
    </w:rPr>
  </w:style>
  <w:style w:type="paragraph" w:customStyle="1" w:styleId="2387">
    <w:name w:val="正文格式63"/>
    <w:basedOn w:val="1"/>
    <w:autoRedefine/>
    <w:qFormat/>
    <w:uiPriority w:val="0"/>
    <w:pPr>
      <w:spacing w:line="360" w:lineRule="auto"/>
      <w:ind w:firstLine="482"/>
    </w:pPr>
    <w:rPr>
      <w:rFonts w:ascii="宋体" w:hAnsi="宋体" w:cs="宋体"/>
      <w:sz w:val="24"/>
    </w:rPr>
  </w:style>
  <w:style w:type="paragraph" w:customStyle="1" w:styleId="2388">
    <w:name w:val="附件33"/>
    <w:basedOn w:val="3"/>
    <w:next w:val="316"/>
    <w:autoRedefine/>
    <w:qFormat/>
    <w:uiPriority w:val="0"/>
    <w:pPr>
      <w:keepLines/>
      <w:widowControl w:val="0"/>
      <w:numPr>
        <w:numId w:val="0"/>
      </w:numPr>
      <w:tabs>
        <w:tab w:val="left" w:pos="1566"/>
      </w:tabs>
      <w:adjustRightInd w:val="0"/>
      <w:snapToGrid w:val="0"/>
      <w:spacing w:beforeLines="100" w:after="120"/>
      <w:jc w:val="both"/>
    </w:pPr>
    <w:rPr>
      <w:rFonts w:ascii="黑体" w:eastAsia="黑体"/>
      <w:b/>
      <w:bCs/>
      <w:kern w:val="44"/>
      <w:szCs w:val="32"/>
    </w:rPr>
  </w:style>
  <w:style w:type="paragraph" w:customStyle="1" w:styleId="2389">
    <w:name w:val="图题63"/>
    <w:basedOn w:val="316"/>
    <w:next w:val="316"/>
    <w:autoRedefine/>
    <w:qFormat/>
    <w:uiPriority w:val="0"/>
    <w:pPr>
      <w:ind w:firstLine="0"/>
      <w:jc w:val="center"/>
    </w:pPr>
    <w:rPr>
      <w:rFonts w:ascii="黑体" w:hAnsi="宋体" w:eastAsia="黑体"/>
      <w:bCs/>
      <w:spacing w:val="0"/>
    </w:rPr>
  </w:style>
  <w:style w:type="character" w:customStyle="1" w:styleId="2390">
    <w:name w:val="图题 Char3"/>
    <w:autoRedefine/>
    <w:qFormat/>
    <w:uiPriority w:val="0"/>
    <w:rPr>
      <w:rFonts w:ascii="黑体" w:hAnsi="宋体" w:eastAsia="黑体" w:cs="宋体"/>
      <w:b/>
      <w:bCs/>
      <w:kern w:val="2"/>
      <w:sz w:val="24"/>
      <w:szCs w:val="24"/>
      <w:lang w:val="en-US" w:eastAsia="zh-CN" w:bidi="ar-SA"/>
    </w:rPr>
  </w:style>
  <w:style w:type="paragraph" w:customStyle="1" w:styleId="2391">
    <w:name w:val="表格内字体63"/>
    <w:basedOn w:val="316"/>
    <w:next w:val="316"/>
    <w:autoRedefine/>
    <w:qFormat/>
    <w:uiPriority w:val="0"/>
    <w:pPr>
      <w:spacing w:line="240" w:lineRule="auto"/>
      <w:ind w:firstLine="0"/>
      <w:jc w:val="center"/>
    </w:pPr>
    <w:rPr>
      <w:rFonts w:hAnsi="宋体"/>
      <w:b w:val="0"/>
      <w:spacing w:val="0"/>
      <w:sz w:val="21"/>
    </w:rPr>
  </w:style>
  <w:style w:type="paragraph" w:customStyle="1" w:styleId="2392">
    <w:name w:val="黑体三号43"/>
    <w:basedOn w:val="316"/>
    <w:autoRedefine/>
    <w:qFormat/>
    <w:uiPriority w:val="0"/>
    <w:pPr>
      <w:jc w:val="center"/>
    </w:pPr>
    <w:rPr>
      <w:rFonts w:ascii="黑体" w:hAnsi="宋体" w:eastAsia="黑体"/>
      <w:bCs/>
      <w:spacing w:val="0"/>
      <w:sz w:val="32"/>
    </w:rPr>
  </w:style>
  <w:style w:type="paragraph" w:customStyle="1" w:styleId="2393">
    <w:name w:val="默认段落字体 Para Char Char Char Char43"/>
    <w:basedOn w:val="1"/>
    <w:autoRedefine/>
    <w:qFormat/>
    <w:uiPriority w:val="0"/>
    <w:rPr>
      <w:rFonts w:ascii="宋体" w:hAnsi="宋体" w:cs="宋体"/>
    </w:rPr>
  </w:style>
  <w:style w:type="paragraph" w:customStyle="1" w:styleId="2394">
    <w:name w:val="图表题3"/>
    <w:basedOn w:val="316"/>
    <w:next w:val="316"/>
    <w:autoRedefine/>
    <w:qFormat/>
    <w:uiPriority w:val="0"/>
    <w:pPr>
      <w:ind w:firstLine="0"/>
      <w:jc w:val="center"/>
    </w:pPr>
    <w:rPr>
      <w:rFonts w:ascii="黑体" w:hAnsi="宋体" w:eastAsia="黑体"/>
      <w:bCs/>
      <w:spacing w:val="0"/>
    </w:rPr>
  </w:style>
  <w:style w:type="character" w:customStyle="1" w:styleId="2395">
    <w:name w:val="图表题 Char3"/>
    <w:autoRedefine/>
    <w:qFormat/>
    <w:uiPriority w:val="0"/>
    <w:rPr>
      <w:rFonts w:ascii="黑体" w:hAnsi="宋体" w:eastAsia="黑体" w:cs="宋体"/>
      <w:bCs/>
      <w:spacing w:val="10"/>
      <w:kern w:val="2"/>
      <w:sz w:val="24"/>
      <w:szCs w:val="24"/>
      <w:lang w:val="en-US" w:eastAsia="zh-CN" w:bidi="ar-SA"/>
    </w:rPr>
  </w:style>
  <w:style w:type="paragraph" w:customStyle="1" w:styleId="2396">
    <w:name w:val="样式 表格内字体 +3"/>
    <w:basedOn w:val="1178"/>
    <w:autoRedefine/>
    <w:qFormat/>
    <w:uiPriority w:val="0"/>
    <w:pPr>
      <w:spacing w:line="280" w:lineRule="exact"/>
      <w:ind w:firstLine="36"/>
      <w:jc w:val="both"/>
    </w:pPr>
    <w:rPr>
      <w:kern w:val="0"/>
    </w:rPr>
  </w:style>
  <w:style w:type="character" w:customStyle="1" w:styleId="2397">
    <w:name w:val="样式 表格内字体 + Char3"/>
    <w:autoRedefine/>
    <w:qFormat/>
    <w:uiPriority w:val="0"/>
    <w:rPr>
      <w:rFonts w:ascii="宋体" w:hAnsi="宋体" w:eastAsia="宋体" w:cs="Times New Roman"/>
      <w:kern w:val="0"/>
      <w:sz w:val="21"/>
      <w:szCs w:val="24"/>
      <w:lang w:val="en-US" w:eastAsia="zh-CN" w:bidi="ar-SA"/>
    </w:rPr>
  </w:style>
  <w:style w:type="paragraph" w:customStyle="1" w:styleId="2398">
    <w:name w:val="A正文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2399">
    <w:name w:val="A正文 Char3"/>
    <w:autoRedefine/>
    <w:qFormat/>
    <w:uiPriority w:val="0"/>
    <w:rPr>
      <w:rFonts w:ascii="Times New Roman" w:hAnsi="Times New Roman" w:eastAsia="仿宋_GB2312" w:cs="Times New Roman"/>
      <w:kern w:val="0"/>
      <w:sz w:val="24"/>
      <w:szCs w:val="24"/>
      <w:lang w:val="en-US" w:eastAsia="zh-CN" w:bidi="ar-SA"/>
    </w:rPr>
  </w:style>
  <w:style w:type="paragraph" w:customStyle="1" w:styleId="2400">
    <w:name w:val="图题注3"/>
    <w:basedOn w:val="22"/>
    <w:autoRedefine/>
    <w:qFormat/>
    <w:uiPriority w:val="0"/>
    <w:pPr>
      <w:widowControl w:val="0"/>
      <w:jc w:val="center"/>
    </w:pPr>
    <w:rPr>
      <w:rFonts w:ascii="黑体" w:hAnsi="Arial"/>
      <w:b/>
      <w:bCs/>
      <w:kern w:val="2"/>
    </w:rPr>
  </w:style>
  <w:style w:type="character" w:customStyle="1" w:styleId="2401">
    <w:name w:val="图题注 Char3"/>
    <w:autoRedefine/>
    <w:qFormat/>
    <w:uiPriority w:val="0"/>
    <w:rPr>
      <w:rFonts w:ascii="黑体" w:hAnsi="Arial" w:eastAsia="黑体" w:cs="宋体"/>
      <w:b/>
      <w:bCs/>
      <w:kern w:val="2"/>
      <w:sz w:val="24"/>
      <w:szCs w:val="24"/>
      <w:lang w:val="en-US" w:eastAsia="zh-CN" w:bidi="ar-SA"/>
    </w:rPr>
  </w:style>
  <w:style w:type="paragraph" w:customStyle="1" w:styleId="2402">
    <w:name w:val="Char73"/>
    <w:basedOn w:val="1"/>
    <w:autoRedefine/>
    <w:qFormat/>
    <w:uiPriority w:val="0"/>
    <w:pPr>
      <w:ind w:left="-48"/>
    </w:pPr>
    <w:rPr>
      <w:rFonts w:ascii="宋体" w:hAnsi="宋体" w:cs="宋体"/>
    </w:rPr>
  </w:style>
  <w:style w:type="paragraph" w:customStyle="1" w:styleId="2403">
    <w:name w:val="表格内字体113"/>
    <w:basedOn w:val="316"/>
    <w:autoRedefine/>
    <w:qFormat/>
    <w:uiPriority w:val="0"/>
    <w:pPr>
      <w:spacing w:line="240" w:lineRule="auto"/>
      <w:ind w:firstLine="0"/>
      <w:jc w:val="center"/>
    </w:pPr>
    <w:rPr>
      <w:rFonts w:hAnsi="Times New Roman"/>
      <w:b w:val="0"/>
      <w:spacing w:val="0"/>
      <w:sz w:val="21"/>
    </w:rPr>
  </w:style>
  <w:style w:type="paragraph" w:customStyle="1" w:styleId="2404">
    <w:name w:val="样式 正文缩进 + 宋体 黑色 首行缩进:  2 字符3"/>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405">
    <w:name w:val="环评正文3"/>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2406">
    <w:name w:val="环评正文 Char3"/>
    <w:autoRedefine/>
    <w:qFormat/>
    <w:uiPriority w:val="0"/>
    <w:rPr>
      <w:rFonts w:ascii="Times New Roman" w:hAnsi="Times New Roman" w:eastAsia="宋体" w:cs="Times New Roman"/>
      <w:bCs/>
      <w:kern w:val="2"/>
      <w:sz w:val="24"/>
      <w:szCs w:val="24"/>
      <w:lang w:val="en-US" w:eastAsia="zh-CN" w:bidi="ar-SA"/>
    </w:rPr>
  </w:style>
  <w:style w:type="paragraph" w:customStyle="1" w:styleId="2407">
    <w:name w:val="注释3"/>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2408">
    <w:name w:val="样式43"/>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409">
    <w:name w:val="标题414"/>
    <w:basedOn w:val="6"/>
    <w:next w:val="1"/>
    <w:autoRedefine/>
    <w:qFormat/>
    <w:uiPriority w:val="0"/>
    <w:pPr>
      <w:widowControl w:val="0"/>
      <w:tabs>
        <w:tab w:val="clear" w:pos="1276"/>
      </w:tabs>
      <w:spacing w:before="160" w:after="170"/>
      <w:ind w:left="0" w:firstLine="0"/>
      <w:jc w:val="both"/>
    </w:pPr>
    <w:rPr>
      <w:rFonts w:ascii="黑体" w:eastAsia="黑体"/>
      <w:kern w:val="2"/>
    </w:rPr>
  </w:style>
  <w:style w:type="character" w:customStyle="1" w:styleId="2410">
    <w:name w:val="标题4 Char3"/>
    <w:autoRedefine/>
    <w:qFormat/>
    <w:uiPriority w:val="0"/>
    <w:rPr>
      <w:rFonts w:ascii="黑体" w:hAnsi="Arial" w:eastAsia="黑体" w:cs="Times New Roman"/>
      <w:b/>
      <w:bCs/>
      <w:kern w:val="2"/>
      <w:sz w:val="24"/>
      <w:szCs w:val="28"/>
      <w:lang w:val="en-US" w:eastAsia="zh-CN" w:bidi="ar-SA"/>
    </w:rPr>
  </w:style>
  <w:style w:type="paragraph" w:customStyle="1" w:styleId="2411">
    <w:name w:val="表中文字43"/>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2412">
    <w:name w:val="表中文字 Char4"/>
    <w:autoRedefine/>
    <w:qFormat/>
    <w:uiPriority w:val="0"/>
    <w:rPr>
      <w:rFonts w:ascii="Arial" w:hAnsi="Arial" w:eastAsia="宋体" w:cs="Times New Roman"/>
      <w:kern w:val="0"/>
      <w:sz w:val="20"/>
      <w:szCs w:val="24"/>
      <w:lang w:val="en-US" w:eastAsia="zh-TW" w:bidi="ar-SA"/>
    </w:rPr>
  </w:style>
  <w:style w:type="paragraph" w:customStyle="1" w:styleId="2413">
    <w:name w:val="样式 正文缩进 + 宋体 黑色3"/>
    <w:basedOn w:val="9"/>
    <w:autoRedefine/>
    <w:qFormat/>
    <w:uiPriority w:val="0"/>
    <w:pPr>
      <w:adjustRightInd/>
      <w:snapToGrid/>
      <w:spacing w:line="360" w:lineRule="auto"/>
      <w:jc w:val="left"/>
    </w:pPr>
    <w:rPr>
      <w:rFonts w:ascii="宋体" w:hAnsi="宋体" w:eastAsia="宋体" w:cs="宋体"/>
      <w:sz w:val="24"/>
    </w:rPr>
  </w:style>
  <w:style w:type="character" w:customStyle="1" w:styleId="2414">
    <w:name w:val="样式 正文缩进 + 宋体 黑色 Char3"/>
    <w:autoRedefine/>
    <w:qFormat/>
    <w:uiPriority w:val="0"/>
    <w:rPr>
      <w:rFonts w:ascii="宋体" w:hAnsi="宋体" w:eastAsia="宋体" w:cs="Times New Roman"/>
      <w:color w:val="000000"/>
      <w:kern w:val="2"/>
      <w:sz w:val="24"/>
      <w:szCs w:val="24"/>
      <w:lang w:val="en-US" w:eastAsia="zh-CN" w:bidi="ar-SA"/>
    </w:rPr>
  </w:style>
  <w:style w:type="paragraph" w:customStyle="1" w:styleId="2415">
    <w:name w:val="表内513"/>
    <w:basedOn w:val="1"/>
    <w:autoRedefine/>
    <w:qFormat/>
    <w:uiPriority w:val="0"/>
    <w:pPr>
      <w:adjustRightInd w:val="0"/>
      <w:snapToGrid w:val="0"/>
      <w:jc w:val="center"/>
    </w:pPr>
    <w:rPr>
      <w:rFonts w:ascii="宋体" w:hAnsi="宋体" w:cs="宋体"/>
      <w:szCs w:val="21"/>
    </w:rPr>
  </w:style>
  <w:style w:type="character" w:customStyle="1" w:styleId="2416">
    <w:name w:val="表内5 Char4"/>
    <w:autoRedefine/>
    <w:qFormat/>
    <w:uiPriority w:val="0"/>
    <w:rPr>
      <w:rFonts w:ascii="宋体" w:hAnsi="宋体" w:eastAsia="宋体" w:cs="Times New Roman"/>
      <w:kern w:val="2"/>
      <w:sz w:val="24"/>
      <w:szCs w:val="21"/>
      <w:lang w:val="en-US" w:eastAsia="zh-CN" w:bidi="ar-SA"/>
    </w:rPr>
  </w:style>
  <w:style w:type="paragraph" w:customStyle="1" w:styleId="2417">
    <w:name w:val="样式 样式 宋体 + 首行缩进:  2 字符13"/>
    <w:basedOn w:val="1"/>
    <w:autoRedefine/>
    <w:qFormat/>
    <w:uiPriority w:val="0"/>
    <w:pPr>
      <w:spacing w:line="360" w:lineRule="auto"/>
      <w:ind w:firstLine="480" w:firstLineChars="200"/>
      <w:jc w:val="left"/>
    </w:pPr>
    <w:rPr>
      <w:rFonts w:ascii="宋体" w:hAnsi="宋体" w:cs="宋体"/>
      <w:sz w:val="24"/>
    </w:rPr>
  </w:style>
  <w:style w:type="paragraph" w:customStyle="1" w:styleId="2418">
    <w:name w:val="表内宋5中23"/>
    <w:basedOn w:val="1"/>
    <w:autoRedefine/>
    <w:qFormat/>
    <w:uiPriority w:val="0"/>
    <w:pPr>
      <w:adjustRightInd w:val="0"/>
      <w:snapToGrid w:val="0"/>
      <w:jc w:val="center"/>
      <w:textAlignment w:val="baseline"/>
    </w:pPr>
    <w:rPr>
      <w:rFonts w:ascii="宋体" w:hAnsi="宋体" w:cs="宋体"/>
      <w:kern w:val="0"/>
    </w:rPr>
  </w:style>
  <w:style w:type="paragraph" w:customStyle="1" w:styleId="2419">
    <w:name w:val="xl633"/>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420">
    <w:name w:val="标准3"/>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421">
    <w:name w:val="Fax Header3"/>
    <w:basedOn w:val="1"/>
    <w:autoRedefine/>
    <w:qFormat/>
    <w:uiPriority w:val="0"/>
    <w:pPr>
      <w:widowControl/>
      <w:spacing w:before="240" w:after="60"/>
      <w:jc w:val="left"/>
    </w:pPr>
    <w:rPr>
      <w:rFonts w:ascii="宋体" w:hAnsi="宋体" w:cs="宋体"/>
      <w:kern w:val="0"/>
      <w:sz w:val="24"/>
    </w:rPr>
  </w:style>
  <w:style w:type="paragraph" w:customStyle="1" w:styleId="2422">
    <w:name w:val="样式 表格内字体1 +3"/>
    <w:basedOn w:val="1265"/>
    <w:next w:val="1178"/>
    <w:autoRedefine/>
    <w:qFormat/>
    <w:uiPriority w:val="0"/>
    <w:rPr>
      <w:rFonts w:hAnsi="Times New Roman"/>
    </w:rPr>
  </w:style>
  <w:style w:type="paragraph" w:customStyle="1" w:styleId="2423">
    <w:name w:val="默认段落字体 Para Char33"/>
    <w:basedOn w:val="1"/>
    <w:autoRedefine/>
    <w:qFormat/>
    <w:uiPriority w:val="0"/>
    <w:pPr>
      <w:spacing w:line="360" w:lineRule="auto"/>
      <w:ind w:firstLine="200" w:firstLineChars="200"/>
    </w:pPr>
    <w:rPr>
      <w:rFonts w:ascii="宋体" w:hAnsi="宋体" w:cs="宋体"/>
      <w:sz w:val="24"/>
    </w:rPr>
  </w:style>
  <w:style w:type="paragraph" w:customStyle="1" w:styleId="2424">
    <w:name w:val="正文斜体3"/>
    <w:basedOn w:val="316"/>
    <w:next w:val="316"/>
    <w:autoRedefine/>
    <w:qFormat/>
    <w:uiPriority w:val="0"/>
    <w:rPr>
      <w:rFonts w:hAnsi="宋体"/>
      <w:b w:val="0"/>
      <w:i/>
      <w:iCs/>
      <w:spacing w:val="0"/>
    </w:rPr>
  </w:style>
  <w:style w:type="character" w:customStyle="1" w:styleId="2425">
    <w:name w:val="正文斜体 Char3"/>
    <w:autoRedefine/>
    <w:qFormat/>
    <w:uiPriority w:val="0"/>
    <w:rPr>
      <w:rFonts w:ascii="宋体" w:hAnsi="宋体" w:eastAsia="宋体" w:cs="Times New Roman"/>
      <w:b/>
      <w:i/>
      <w:iCs/>
      <w:spacing w:val="10"/>
      <w:kern w:val="2"/>
      <w:sz w:val="24"/>
      <w:szCs w:val="24"/>
      <w:lang w:val="en-US" w:eastAsia="zh-CN" w:bidi="ar-SA"/>
    </w:rPr>
  </w:style>
  <w:style w:type="paragraph" w:customStyle="1" w:styleId="2426">
    <w:name w:val="Char83"/>
    <w:basedOn w:val="1"/>
    <w:autoRedefine/>
    <w:qFormat/>
    <w:uiPriority w:val="0"/>
    <w:pPr>
      <w:ind w:left="-48"/>
    </w:pPr>
    <w:rPr>
      <w:rFonts w:ascii="宋体" w:hAnsi="宋体" w:cs="宋体"/>
    </w:rPr>
  </w:style>
  <w:style w:type="character" w:customStyle="1" w:styleId="2427">
    <w:name w:val="题注 Char53"/>
    <w:autoRedefine/>
    <w:qFormat/>
    <w:uiPriority w:val="0"/>
    <w:rPr>
      <w:rFonts w:ascii="黑体" w:hAnsi="Arial" w:eastAsia="黑体" w:cs="Arial"/>
      <w:spacing w:val="10"/>
      <w:kern w:val="2"/>
      <w:sz w:val="24"/>
      <w:szCs w:val="24"/>
      <w:lang w:val="en-US" w:eastAsia="zh-CN" w:bidi="ar-SA"/>
    </w:rPr>
  </w:style>
  <w:style w:type="paragraph" w:customStyle="1" w:styleId="2428">
    <w:name w:val="图题73"/>
    <w:basedOn w:val="316"/>
    <w:next w:val="316"/>
    <w:autoRedefine/>
    <w:qFormat/>
    <w:uiPriority w:val="0"/>
    <w:pPr>
      <w:ind w:firstLine="0"/>
      <w:jc w:val="center"/>
    </w:pPr>
    <w:rPr>
      <w:rFonts w:ascii="黑体" w:hAnsi="宋体" w:eastAsia="黑体"/>
      <w:bCs/>
      <w:spacing w:val="0"/>
    </w:rPr>
  </w:style>
  <w:style w:type="paragraph" w:customStyle="1" w:styleId="2429">
    <w:name w:val="表格内字体73"/>
    <w:basedOn w:val="316"/>
    <w:next w:val="316"/>
    <w:autoRedefine/>
    <w:qFormat/>
    <w:uiPriority w:val="0"/>
    <w:pPr>
      <w:spacing w:line="240" w:lineRule="auto"/>
      <w:ind w:firstLine="0"/>
      <w:jc w:val="center"/>
    </w:pPr>
    <w:rPr>
      <w:rFonts w:hAnsi="宋体"/>
      <w:b w:val="0"/>
      <w:spacing w:val="0"/>
      <w:sz w:val="21"/>
    </w:rPr>
  </w:style>
  <w:style w:type="paragraph" w:customStyle="1" w:styleId="2430">
    <w:name w:val="Char93"/>
    <w:basedOn w:val="1"/>
    <w:autoRedefine/>
    <w:qFormat/>
    <w:uiPriority w:val="0"/>
    <w:pPr>
      <w:ind w:left="-48"/>
    </w:pPr>
    <w:rPr>
      <w:rFonts w:ascii="宋体" w:hAnsi="宋体" w:cs="宋体"/>
    </w:rPr>
  </w:style>
  <w:style w:type="paragraph" w:customStyle="1" w:styleId="2431">
    <w:name w:val="表题153"/>
    <w:basedOn w:val="22"/>
    <w:autoRedefine/>
    <w:qFormat/>
    <w:uiPriority w:val="0"/>
    <w:pPr>
      <w:widowControl w:val="0"/>
      <w:spacing w:line="360" w:lineRule="auto"/>
      <w:jc w:val="center"/>
    </w:pPr>
    <w:rPr>
      <w:rFonts w:ascii="黑体" w:hAnsi="Arial" w:cs="Arial"/>
      <w:b/>
      <w:kern w:val="2"/>
    </w:rPr>
  </w:style>
  <w:style w:type="character" w:customStyle="1" w:styleId="2432">
    <w:name w:val="表题1 Char63"/>
    <w:autoRedefine/>
    <w:qFormat/>
    <w:uiPriority w:val="0"/>
    <w:rPr>
      <w:rFonts w:ascii="黑体" w:hAnsi="Arial" w:eastAsia="黑体" w:cs="Arial"/>
      <w:b/>
      <w:kern w:val="2"/>
      <w:sz w:val="24"/>
      <w:szCs w:val="24"/>
      <w:lang w:val="en-US" w:eastAsia="zh-CN" w:bidi="ar-SA"/>
    </w:rPr>
  </w:style>
  <w:style w:type="paragraph" w:customStyle="1" w:styleId="2433">
    <w:name w:val="燕山正文4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434">
    <w:name w:val="正文修改43"/>
    <w:basedOn w:val="1181"/>
    <w:autoRedefine/>
    <w:qFormat/>
    <w:uiPriority w:val="0"/>
    <w:rPr>
      <w:rFonts w:hAnsi="宋体"/>
      <w:color w:val="000000"/>
    </w:rPr>
  </w:style>
  <w:style w:type="character" w:customStyle="1" w:styleId="2435">
    <w:name w:val="正文修改 Char143"/>
    <w:autoRedefine/>
    <w:qFormat/>
    <w:uiPriority w:val="0"/>
    <w:rPr>
      <w:rFonts w:ascii="宋体" w:hAnsi="Times New Roman" w:eastAsia="宋体" w:cs="宋体"/>
      <w:kern w:val="2"/>
      <w:sz w:val="24"/>
      <w:szCs w:val="24"/>
      <w:lang w:val="en-US" w:eastAsia="zh-CN" w:bidi="ar-SA"/>
    </w:rPr>
  </w:style>
  <w:style w:type="paragraph" w:customStyle="1" w:styleId="2436">
    <w:name w:val="表中文字5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437">
    <w:name w:val="默认段落字体 Para Char Char Char Char53"/>
    <w:basedOn w:val="1"/>
    <w:autoRedefine/>
    <w:qFormat/>
    <w:uiPriority w:val="0"/>
    <w:rPr>
      <w:rFonts w:ascii="宋体" w:hAnsi="宋体" w:cs="宋体"/>
    </w:rPr>
  </w:style>
  <w:style w:type="paragraph" w:customStyle="1" w:styleId="2438">
    <w:name w:val="Char103"/>
    <w:basedOn w:val="1"/>
    <w:autoRedefine/>
    <w:qFormat/>
    <w:uiPriority w:val="0"/>
    <w:pPr>
      <w:adjustRightInd w:val="0"/>
      <w:snapToGrid w:val="0"/>
      <w:spacing w:line="360" w:lineRule="auto"/>
    </w:pPr>
    <w:rPr>
      <w:rFonts w:ascii="宋体" w:hAnsi="宋体" w:cs="宋体"/>
    </w:rPr>
  </w:style>
  <w:style w:type="paragraph" w:customStyle="1" w:styleId="2439">
    <w:name w:val="封面标准文稿编辑信息3"/>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440">
    <w:name w:val="样式 表内小5 + 黑体 加粗 倾斜 下划线3"/>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2441">
    <w:name w:val="样式 表内小5 + 黑体 加粗 倾斜 下划线 Char3"/>
    <w:autoRedefine/>
    <w:qFormat/>
    <w:uiPriority w:val="0"/>
    <w:rPr>
      <w:rFonts w:ascii="黑体" w:hAnsi="黑体" w:eastAsia="黑体" w:cs="Times New Roman"/>
      <w:b/>
      <w:bCs/>
      <w:i/>
      <w:iCs/>
      <w:kern w:val="2"/>
      <w:sz w:val="18"/>
      <w:szCs w:val="24"/>
      <w:u w:val="single"/>
      <w:lang w:val="en-US" w:eastAsia="zh-CN" w:bidi="ar-SA"/>
    </w:rPr>
  </w:style>
  <w:style w:type="paragraph" w:customStyle="1" w:styleId="2442">
    <w:name w:val="表内5中13"/>
    <w:basedOn w:val="1"/>
    <w:autoRedefine/>
    <w:qFormat/>
    <w:uiPriority w:val="0"/>
    <w:pPr>
      <w:adjustRightInd w:val="0"/>
      <w:snapToGrid w:val="0"/>
      <w:jc w:val="center"/>
    </w:pPr>
    <w:rPr>
      <w:rFonts w:ascii="宋体" w:hAnsi="宋体" w:cs="Arial"/>
      <w:snapToGrid w:val="0"/>
      <w:color w:val="000000"/>
      <w:szCs w:val="21"/>
    </w:rPr>
  </w:style>
  <w:style w:type="paragraph" w:customStyle="1" w:styleId="2443">
    <w:name w:val="表内54143"/>
    <w:basedOn w:val="1"/>
    <w:autoRedefine/>
    <w:qFormat/>
    <w:uiPriority w:val="0"/>
    <w:pPr>
      <w:adjustRightInd w:val="0"/>
      <w:snapToGrid w:val="0"/>
      <w:spacing w:line="300" w:lineRule="auto"/>
      <w:jc w:val="center"/>
    </w:pPr>
    <w:rPr>
      <w:rFonts w:ascii="宋体" w:hAnsi="宋体" w:cs="宋体"/>
    </w:rPr>
  </w:style>
  <w:style w:type="paragraph" w:customStyle="1" w:styleId="2444">
    <w:name w:val="表格13"/>
    <w:basedOn w:val="1"/>
    <w:autoRedefine/>
    <w:qFormat/>
    <w:uiPriority w:val="0"/>
    <w:pPr>
      <w:adjustRightInd w:val="0"/>
      <w:jc w:val="center"/>
      <w:textAlignment w:val="baseline"/>
    </w:pPr>
    <w:rPr>
      <w:rFonts w:ascii="宋体" w:hAnsi="宋体" w:cs="宋体"/>
      <w:kern w:val="0"/>
      <w:sz w:val="24"/>
    </w:rPr>
  </w:style>
  <w:style w:type="paragraph" w:customStyle="1" w:styleId="2445">
    <w:name w:val="c3"/>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446">
    <w:name w:val="表题93"/>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447">
    <w:name w:val="福建正文缩进3"/>
    <w:basedOn w:val="9"/>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2448">
    <w:name w:val="福建正文缩进 Char3"/>
    <w:autoRedefine/>
    <w:qFormat/>
    <w:uiPriority w:val="0"/>
    <w:rPr>
      <w:rFonts w:ascii="宋体" w:hAnsi="宋体" w:eastAsia="宋体" w:cs="宋体"/>
      <w:color w:val="000000"/>
      <w:kern w:val="0"/>
      <w:sz w:val="24"/>
      <w:szCs w:val="24"/>
      <w:lang w:val="en-US" w:eastAsia="zh-CN" w:bidi="ar-SA"/>
    </w:rPr>
  </w:style>
  <w:style w:type="paragraph" w:customStyle="1" w:styleId="2449">
    <w:name w:val="表内文字小14"/>
    <w:basedOn w:val="1"/>
    <w:autoRedefine/>
    <w:qFormat/>
    <w:uiPriority w:val="0"/>
    <w:pPr>
      <w:adjustRightInd w:val="0"/>
      <w:snapToGrid w:val="0"/>
      <w:jc w:val="center"/>
    </w:pPr>
    <w:rPr>
      <w:rFonts w:ascii="宋体" w:hAnsi="Times" w:cs="宋体"/>
    </w:rPr>
  </w:style>
  <w:style w:type="paragraph" w:customStyle="1" w:styleId="2450">
    <w:name w:val="表内593"/>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2451">
    <w:name w:val="正文首行缩进 2 Char3"/>
    <w:autoRedefine/>
    <w:qFormat/>
    <w:uiPriority w:val="0"/>
    <w:rPr>
      <w:rFonts w:ascii="Times New Roman" w:hAnsi="Times New Roman" w:eastAsia="宋体" w:cs="Times New Roman"/>
      <w:kern w:val="2"/>
      <w:sz w:val="21"/>
      <w:szCs w:val="24"/>
      <w:lang w:val="en-US" w:eastAsia="zh-CN" w:bidi="ar-SA"/>
    </w:rPr>
  </w:style>
  <w:style w:type="paragraph" w:customStyle="1" w:styleId="2452">
    <w:name w:val="表内小5中3"/>
    <w:basedOn w:val="1"/>
    <w:autoRedefine/>
    <w:qFormat/>
    <w:uiPriority w:val="0"/>
    <w:pPr>
      <w:adjustRightInd w:val="0"/>
      <w:snapToGrid w:val="0"/>
      <w:jc w:val="center"/>
    </w:pPr>
    <w:rPr>
      <w:rFonts w:ascii="宋体" w:hAnsi="宋体" w:cs="宋体"/>
      <w:sz w:val="18"/>
    </w:rPr>
  </w:style>
  <w:style w:type="paragraph" w:customStyle="1" w:styleId="2453">
    <w:name w:val="表内5中43"/>
    <w:basedOn w:val="1"/>
    <w:autoRedefine/>
    <w:qFormat/>
    <w:uiPriority w:val="0"/>
    <w:pPr>
      <w:adjustRightInd w:val="0"/>
      <w:snapToGrid w:val="0"/>
      <w:jc w:val="center"/>
    </w:pPr>
    <w:rPr>
      <w:rFonts w:ascii="宋体" w:hAnsi="宋体" w:cs="宋体"/>
      <w:bCs/>
    </w:rPr>
  </w:style>
  <w:style w:type="paragraph" w:customStyle="1" w:styleId="2454">
    <w:name w:val="默认段落字体 Para Char4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455">
    <w:name w:val="燕山正文13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456">
    <w:name w:val="样式 标题 4无效格式无效格式1河石管道4H4H41小小节河石管道41H42H411小小节1河石管道42...4"/>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457">
    <w:name w:val="样式 标题 4无效格式无效格式1河石管道4H4H41小小节河石管道41H42H411小小节1河石管道42...13"/>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458">
    <w:name w:val="正文格式84"/>
    <w:basedOn w:val="1"/>
    <w:autoRedefine/>
    <w:qFormat/>
    <w:uiPriority w:val="0"/>
    <w:pPr>
      <w:spacing w:line="360" w:lineRule="auto"/>
      <w:ind w:firstLine="482"/>
    </w:pPr>
    <w:rPr>
      <w:rFonts w:ascii="宋体" w:hAnsi="宋体" w:cs="宋体"/>
      <w:sz w:val="24"/>
    </w:rPr>
  </w:style>
  <w:style w:type="paragraph" w:customStyle="1" w:styleId="2459">
    <w:name w:val="正文格式93"/>
    <w:basedOn w:val="1"/>
    <w:autoRedefine/>
    <w:qFormat/>
    <w:uiPriority w:val="0"/>
    <w:pPr>
      <w:spacing w:line="360" w:lineRule="auto"/>
      <w:ind w:firstLine="482"/>
    </w:pPr>
    <w:rPr>
      <w:rFonts w:ascii="宋体" w:hAnsi="宋体" w:cs="宋体"/>
      <w:sz w:val="24"/>
    </w:rPr>
  </w:style>
  <w:style w:type="paragraph" w:customStyle="1" w:styleId="2460">
    <w:name w:val="表格内容3"/>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2461">
    <w:name w:val="表格内容 Char3"/>
    <w:autoRedefine/>
    <w:qFormat/>
    <w:uiPriority w:val="0"/>
    <w:rPr>
      <w:rFonts w:ascii="Times New Roman" w:hAnsi="Times New Roman" w:eastAsia="宋体" w:cs="Times New Roman"/>
      <w:kern w:val="2"/>
      <w:sz w:val="24"/>
      <w:szCs w:val="21"/>
      <w:lang w:val="en-US" w:eastAsia="zh-CN" w:bidi="ar-SA"/>
    </w:rPr>
  </w:style>
  <w:style w:type="paragraph" w:customStyle="1" w:styleId="2462">
    <w:name w:val="正文格式102"/>
    <w:basedOn w:val="1"/>
    <w:autoRedefine/>
    <w:qFormat/>
    <w:uiPriority w:val="0"/>
    <w:pPr>
      <w:spacing w:line="360" w:lineRule="auto"/>
      <w:ind w:firstLine="482"/>
    </w:pPr>
    <w:rPr>
      <w:rFonts w:ascii="宋体" w:hAnsi="宋体" w:cs="宋体"/>
      <w:sz w:val="24"/>
    </w:rPr>
  </w:style>
  <w:style w:type="character" w:customStyle="1" w:styleId="2463">
    <w:name w:val="题注 Char62"/>
    <w:autoRedefine/>
    <w:qFormat/>
    <w:uiPriority w:val="0"/>
    <w:rPr>
      <w:rFonts w:ascii="黑体" w:hAnsi="Arial" w:eastAsia="黑体" w:cs="Arial"/>
      <w:spacing w:val="10"/>
      <w:kern w:val="2"/>
      <w:sz w:val="24"/>
      <w:szCs w:val="24"/>
      <w:lang w:val="en-US" w:eastAsia="zh-CN" w:bidi="ar-SA"/>
    </w:rPr>
  </w:style>
  <w:style w:type="paragraph" w:customStyle="1" w:styleId="2464">
    <w:name w:val="图题82"/>
    <w:basedOn w:val="316"/>
    <w:next w:val="316"/>
    <w:autoRedefine/>
    <w:qFormat/>
    <w:uiPriority w:val="0"/>
    <w:pPr>
      <w:ind w:firstLine="0"/>
      <w:jc w:val="center"/>
    </w:pPr>
    <w:rPr>
      <w:rFonts w:ascii="黑体" w:hAnsi="宋体" w:eastAsia="黑体"/>
      <w:bCs/>
      <w:spacing w:val="0"/>
    </w:rPr>
  </w:style>
  <w:style w:type="paragraph" w:customStyle="1" w:styleId="2465">
    <w:name w:val="表格内字体82"/>
    <w:basedOn w:val="316"/>
    <w:next w:val="316"/>
    <w:autoRedefine/>
    <w:qFormat/>
    <w:uiPriority w:val="0"/>
    <w:pPr>
      <w:spacing w:line="240" w:lineRule="auto"/>
      <w:ind w:firstLine="0"/>
      <w:jc w:val="center"/>
    </w:pPr>
    <w:rPr>
      <w:rFonts w:hAnsi="宋体"/>
      <w:b w:val="0"/>
      <w:spacing w:val="0"/>
      <w:sz w:val="21"/>
    </w:rPr>
  </w:style>
  <w:style w:type="paragraph" w:customStyle="1" w:styleId="2466">
    <w:name w:val="Char116"/>
    <w:basedOn w:val="1"/>
    <w:autoRedefine/>
    <w:qFormat/>
    <w:uiPriority w:val="0"/>
    <w:pPr>
      <w:ind w:left="-48"/>
    </w:pPr>
    <w:rPr>
      <w:rFonts w:ascii="宋体" w:hAnsi="宋体" w:cs="宋体"/>
    </w:rPr>
  </w:style>
  <w:style w:type="paragraph" w:customStyle="1" w:styleId="2467">
    <w:name w:val="表题162"/>
    <w:basedOn w:val="22"/>
    <w:autoRedefine/>
    <w:qFormat/>
    <w:uiPriority w:val="0"/>
    <w:pPr>
      <w:widowControl w:val="0"/>
      <w:spacing w:line="360" w:lineRule="auto"/>
      <w:jc w:val="center"/>
    </w:pPr>
    <w:rPr>
      <w:rFonts w:ascii="黑体" w:hAnsi="Arial" w:cs="Arial"/>
      <w:b/>
      <w:kern w:val="2"/>
    </w:rPr>
  </w:style>
  <w:style w:type="character" w:customStyle="1" w:styleId="2468">
    <w:name w:val="表题1 Char72"/>
    <w:autoRedefine/>
    <w:qFormat/>
    <w:uiPriority w:val="0"/>
    <w:rPr>
      <w:rFonts w:ascii="黑体" w:hAnsi="Arial" w:eastAsia="黑体" w:cs="Arial"/>
      <w:b/>
      <w:kern w:val="2"/>
      <w:sz w:val="24"/>
      <w:szCs w:val="24"/>
      <w:lang w:val="en-US" w:eastAsia="zh-CN" w:bidi="ar-SA"/>
    </w:rPr>
  </w:style>
  <w:style w:type="paragraph" w:customStyle="1" w:styleId="2469">
    <w:name w:val="燕山正文5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470">
    <w:name w:val="正文修改52"/>
    <w:basedOn w:val="1181"/>
    <w:autoRedefine/>
    <w:qFormat/>
    <w:uiPriority w:val="0"/>
    <w:rPr>
      <w:rFonts w:hAnsi="宋体"/>
      <w:color w:val="000000"/>
    </w:rPr>
  </w:style>
  <w:style w:type="character" w:customStyle="1" w:styleId="2471">
    <w:name w:val="正文修改 Char152"/>
    <w:autoRedefine/>
    <w:qFormat/>
    <w:uiPriority w:val="0"/>
    <w:rPr>
      <w:rFonts w:ascii="宋体" w:hAnsi="宋体" w:eastAsia="宋体" w:cs="宋体"/>
      <w:color w:val="000000"/>
      <w:kern w:val="2"/>
      <w:sz w:val="24"/>
      <w:szCs w:val="24"/>
      <w:lang w:val="en-US" w:eastAsia="zh-CN" w:bidi="ar-SA"/>
    </w:rPr>
  </w:style>
  <w:style w:type="paragraph" w:customStyle="1" w:styleId="2472">
    <w:name w:val="表中文字6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473">
    <w:name w:val="默认段落字体 Para Char Char Char Char62"/>
    <w:basedOn w:val="1"/>
    <w:autoRedefine/>
    <w:qFormat/>
    <w:uiPriority w:val="0"/>
    <w:rPr>
      <w:rFonts w:ascii="宋体" w:hAnsi="宋体" w:cs="宋体"/>
    </w:rPr>
  </w:style>
  <w:style w:type="paragraph" w:customStyle="1" w:styleId="2474">
    <w:name w:val="Char122"/>
    <w:basedOn w:val="1"/>
    <w:autoRedefine/>
    <w:qFormat/>
    <w:uiPriority w:val="0"/>
    <w:pPr>
      <w:adjustRightInd w:val="0"/>
      <w:snapToGrid w:val="0"/>
      <w:spacing w:line="360" w:lineRule="auto"/>
    </w:pPr>
    <w:rPr>
      <w:rFonts w:ascii="宋体" w:hAnsi="宋体" w:cs="宋体"/>
    </w:rPr>
  </w:style>
  <w:style w:type="paragraph" w:customStyle="1" w:styleId="2475">
    <w:name w:val="封面标准文稿编辑信息12"/>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476">
    <w:name w:val="样式 表内小5 + 黑体 加粗 倾斜 下划线12"/>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2477">
    <w:name w:val="表内5中22"/>
    <w:basedOn w:val="1"/>
    <w:autoRedefine/>
    <w:qFormat/>
    <w:uiPriority w:val="0"/>
    <w:pPr>
      <w:adjustRightInd w:val="0"/>
      <w:snapToGrid w:val="0"/>
      <w:jc w:val="center"/>
    </w:pPr>
    <w:rPr>
      <w:rFonts w:ascii="宋体" w:hAnsi="宋体" w:cs="Arial"/>
      <w:snapToGrid w:val="0"/>
      <w:color w:val="000000"/>
      <w:szCs w:val="21"/>
    </w:rPr>
  </w:style>
  <w:style w:type="paragraph" w:customStyle="1" w:styleId="2478">
    <w:name w:val="表内54152"/>
    <w:basedOn w:val="1"/>
    <w:autoRedefine/>
    <w:qFormat/>
    <w:uiPriority w:val="0"/>
    <w:pPr>
      <w:adjustRightInd w:val="0"/>
      <w:snapToGrid w:val="0"/>
      <w:spacing w:line="300" w:lineRule="auto"/>
      <w:jc w:val="center"/>
    </w:pPr>
    <w:rPr>
      <w:rFonts w:ascii="宋体" w:hAnsi="宋体" w:cs="宋体"/>
    </w:rPr>
  </w:style>
  <w:style w:type="paragraph" w:customStyle="1" w:styleId="2479">
    <w:name w:val="表格112"/>
    <w:basedOn w:val="1"/>
    <w:autoRedefine/>
    <w:qFormat/>
    <w:uiPriority w:val="0"/>
    <w:pPr>
      <w:adjustRightInd w:val="0"/>
      <w:jc w:val="center"/>
      <w:textAlignment w:val="baseline"/>
    </w:pPr>
    <w:rPr>
      <w:rFonts w:ascii="宋体" w:hAnsi="宋体" w:cs="宋体"/>
      <w:kern w:val="0"/>
      <w:sz w:val="24"/>
    </w:rPr>
  </w:style>
  <w:style w:type="paragraph" w:customStyle="1" w:styleId="2480">
    <w:name w:val="c12"/>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481">
    <w:name w:val="表题912"/>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482">
    <w:name w:val="福建正文缩进12"/>
    <w:basedOn w:val="9"/>
    <w:autoRedefine/>
    <w:qFormat/>
    <w:uiPriority w:val="0"/>
    <w:pPr>
      <w:spacing w:line="360" w:lineRule="auto"/>
      <w:ind w:firstLine="567" w:firstLineChars="0"/>
    </w:pPr>
    <w:rPr>
      <w:rFonts w:ascii="宋体" w:hAnsi="Calibri" w:eastAsia="宋体" w:cs="宋体"/>
      <w:color w:val="auto"/>
      <w:kern w:val="0"/>
      <w:sz w:val="24"/>
    </w:rPr>
  </w:style>
  <w:style w:type="paragraph" w:customStyle="1" w:styleId="2483">
    <w:name w:val="表内文字小33"/>
    <w:basedOn w:val="1"/>
    <w:autoRedefine/>
    <w:qFormat/>
    <w:uiPriority w:val="0"/>
    <w:pPr>
      <w:adjustRightInd w:val="0"/>
      <w:snapToGrid w:val="0"/>
      <w:jc w:val="center"/>
    </w:pPr>
    <w:rPr>
      <w:rFonts w:ascii="宋体" w:hAnsi="Times" w:cs="宋体"/>
    </w:rPr>
  </w:style>
  <w:style w:type="paragraph" w:customStyle="1" w:styleId="2484">
    <w:name w:val="表内5912"/>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2485">
    <w:name w:val="表内小5中12"/>
    <w:basedOn w:val="1"/>
    <w:autoRedefine/>
    <w:qFormat/>
    <w:uiPriority w:val="0"/>
    <w:pPr>
      <w:adjustRightInd w:val="0"/>
      <w:snapToGrid w:val="0"/>
      <w:jc w:val="center"/>
    </w:pPr>
    <w:rPr>
      <w:rFonts w:ascii="宋体" w:hAnsi="宋体" w:cs="宋体"/>
      <w:sz w:val="18"/>
    </w:rPr>
  </w:style>
  <w:style w:type="paragraph" w:customStyle="1" w:styleId="2486">
    <w:name w:val="表内5中412"/>
    <w:basedOn w:val="1"/>
    <w:autoRedefine/>
    <w:qFormat/>
    <w:uiPriority w:val="0"/>
    <w:pPr>
      <w:adjustRightInd w:val="0"/>
      <w:snapToGrid w:val="0"/>
      <w:jc w:val="center"/>
    </w:pPr>
    <w:rPr>
      <w:rFonts w:ascii="宋体" w:hAnsi="宋体" w:cs="宋体"/>
      <w:bCs/>
    </w:rPr>
  </w:style>
  <w:style w:type="paragraph" w:customStyle="1" w:styleId="2487">
    <w:name w:val="表题4112"/>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488">
    <w:name w:val="表内文字小2142"/>
    <w:basedOn w:val="1"/>
    <w:autoRedefine/>
    <w:qFormat/>
    <w:uiPriority w:val="0"/>
    <w:pPr>
      <w:adjustRightInd w:val="0"/>
      <w:snapToGrid w:val="0"/>
      <w:jc w:val="center"/>
    </w:pPr>
    <w:rPr>
      <w:rFonts w:ascii="宋体" w:hAnsi="Times" w:cs="宋体"/>
      <w:bCs/>
      <w:color w:val="000000"/>
    </w:rPr>
  </w:style>
  <w:style w:type="paragraph" w:customStyle="1" w:styleId="2489">
    <w:name w:val="表题314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490">
    <w:name w:val="Char Char Char Char Char Char Char32"/>
    <w:basedOn w:val="1"/>
    <w:autoRedefine/>
    <w:qFormat/>
    <w:uiPriority w:val="0"/>
    <w:rPr>
      <w:rFonts w:ascii="宋体" w:hAnsi="宋体" w:cs="宋体"/>
    </w:rPr>
  </w:style>
  <w:style w:type="paragraph" w:customStyle="1" w:styleId="2491">
    <w:name w:val="表文字542"/>
    <w:basedOn w:val="1"/>
    <w:autoRedefine/>
    <w:qFormat/>
    <w:uiPriority w:val="0"/>
    <w:pPr>
      <w:adjustRightInd w:val="0"/>
      <w:jc w:val="left"/>
      <w:textAlignment w:val="baseline"/>
    </w:pPr>
    <w:rPr>
      <w:rFonts w:ascii="宋体" w:hAnsi="宋体" w:cs="宋体"/>
      <w:kern w:val="0"/>
    </w:rPr>
  </w:style>
  <w:style w:type="paragraph" w:customStyle="1" w:styleId="2492">
    <w:name w:val="表内文字小3142"/>
    <w:basedOn w:val="1"/>
    <w:autoRedefine/>
    <w:qFormat/>
    <w:uiPriority w:val="0"/>
    <w:pPr>
      <w:adjustRightInd w:val="0"/>
      <w:snapToGrid w:val="0"/>
      <w:jc w:val="center"/>
    </w:pPr>
    <w:rPr>
      <w:rFonts w:ascii="宋体" w:hAnsi="Times" w:cs="宋体"/>
      <w:bCs/>
      <w:color w:val="003366"/>
    </w:rPr>
  </w:style>
  <w:style w:type="paragraph" w:customStyle="1" w:styleId="2493">
    <w:name w:val="表内宋5112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494">
    <w:name w:val="文本框22"/>
    <w:basedOn w:val="1"/>
    <w:autoRedefine/>
    <w:qFormat/>
    <w:uiPriority w:val="0"/>
    <w:pPr>
      <w:adjustRightInd w:val="0"/>
      <w:snapToGrid w:val="0"/>
      <w:spacing w:after="6"/>
      <w:jc w:val="center"/>
    </w:pPr>
    <w:rPr>
      <w:rFonts w:ascii="宋体" w:hAnsi="宋体" w:eastAsia="仿宋_GB2312" w:cs="宋体"/>
    </w:rPr>
  </w:style>
  <w:style w:type="paragraph" w:customStyle="1" w:styleId="2495">
    <w:name w:val="正文.2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96">
    <w:name w:val="表42"/>
    <w:basedOn w:val="1"/>
    <w:autoRedefine/>
    <w:qFormat/>
    <w:uiPriority w:val="0"/>
    <w:pPr>
      <w:adjustRightInd w:val="0"/>
      <w:snapToGrid w:val="0"/>
      <w:jc w:val="center"/>
    </w:pPr>
    <w:rPr>
      <w:rFonts w:ascii="宋体" w:hAnsi="宋体" w:eastAsia="仿宋_GB2312" w:cs="宋体"/>
      <w:sz w:val="24"/>
    </w:rPr>
  </w:style>
  <w:style w:type="paragraph" w:customStyle="1" w:styleId="2497">
    <w:name w:val="黑体三号52"/>
    <w:basedOn w:val="316"/>
    <w:autoRedefine/>
    <w:qFormat/>
    <w:uiPriority w:val="0"/>
    <w:pPr>
      <w:jc w:val="center"/>
    </w:pPr>
    <w:rPr>
      <w:rFonts w:ascii="黑体" w:hAnsi="宋体" w:eastAsia="黑体"/>
      <w:bCs/>
      <w:spacing w:val="0"/>
      <w:sz w:val="32"/>
    </w:rPr>
  </w:style>
  <w:style w:type="paragraph" w:customStyle="1" w:styleId="2498">
    <w:name w:val="Char132"/>
    <w:basedOn w:val="1"/>
    <w:autoRedefine/>
    <w:qFormat/>
    <w:uiPriority w:val="0"/>
    <w:pPr>
      <w:ind w:left="-48"/>
    </w:pPr>
    <w:rPr>
      <w:rFonts w:ascii="宋体" w:hAnsi="宋体" w:cs="宋体"/>
    </w:rPr>
  </w:style>
  <w:style w:type="paragraph" w:customStyle="1" w:styleId="2499">
    <w:name w:val="样式132"/>
    <w:basedOn w:val="1228"/>
    <w:autoRedefine/>
    <w:qFormat/>
    <w:uiPriority w:val="0"/>
    <w:pPr>
      <w:spacing w:line="240" w:lineRule="auto"/>
      <w:ind w:firstLine="0"/>
      <w:jc w:val="center"/>
    </w:pPr>
    <w:rPr>
      <w:rFonts w:cs="Times New Roman"/>
      <w:b/>
      <w:color w:val="auto"/>
      <w:szCs w:val="20"/>
    </w:rPr>
  </w:style>
  <w:style w:type="paragraph" w:customStyle="1" w:styleId="2500">
    <w:name w:val="首行缩进:  0.99 厘米 + 首行缩进:  2 字符12"/>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501">
    <w:name w:val="图表名称12"/>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502">
    <w:name w:val="表内文字边12"/>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503">
    <w:name w:val="正文缩12"/>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504">
    <w:name w:val="样式212"/>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2505">
    <w:name w:val="默认段落字体 Para Char Char Char Char Char12"/>
    <w:basedOn w:val="1"/>
    <w:autoRedefine/>
    <w:qFormat/>
    <w:uiPriority w:val="0"/>
    <w:rPr>
      <w:rFonts w:ascii="宋体" w:hAnsi="宋体" w:cs="宋体"/>
    </w:rPr>
  </w:style>
  <w:style w:type="paragraph" w:customStyle="1" w:styleId="2506">
    <w:name w:val="表内宋5中32"/>
    <w:basedOn w:val="1"/>
    <w:autoRedefine/>
    <w:qFormat/>
    <w:uiPriority w:val="0"/>
    <w:pPr>
      <w:adjustRightInd w:val="0"/>
      <w:snapToGrid w:val="0"/>
      <w:textAlignment w:val="baseline"/>
    </w:pPr>
    <w:rPr>
      <w:rFonts w:ascii="宋体" w:hAnsi="宋体" w:cs="宋体"/>
      <w:color w:val="000000"/>
      <w:kern w:val="0"/>
    </w:rPr>
  </w:style>
  <w:style w:type="paragraph" w:customStyle="1" w:styleId="2507">
    <w:name w:val="样式 标题 3 + 段前: 12 磅12"/>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508">
    <w:name w:val="表内522"/>
    <w:basedOn w:val="1"/>
    <w:autoRedefine/>
    <w:qFormat/>
    <w:uiPriority w:val="0"/>
    <w:pPr>
      <w:adjustRightInd w:val="0"/>
      <w:snapToGrid w:val="0"/>
      <w:spacing w:line="300" w:lineRule="auto"/>
      <w:jc w:val="left"/>
    </w:pPr>
    <w:rPr>
      <w:rFonts w:ascii="宋体" w:hAnsi="宋体" w:cs="宋体"/>
      <w:sz w:val="18"/>
    </w:rPr>
  </w:style>
  <w:style w:type="paragraph" w:customStyle="1" w:styleId="2509">
    <w:name w:val="Char Char Char Char1 Char Char Char12"/>
    <w:basedOn w:val="1"/>
    <w:autoRedefine/>
    <w:qFormat/>
    <w:uiPriority w:val="0"/>
    <w:pPr>
      <w:widowControl/>
      <w:spacing w:after="160"/>
      <w:jc w:val="left"/>
    </w:pPr>
    <w:rPr>
      <w:rFonts w:ascii="Verdana" w:hAnsi="Verdana" w:cs="宋体"/>
      <w:kern w:val="0"/>
      <w:sz w:val="24"/>
      <w:lang w:eastAsia="en-US"/>
    </w:rPr>
  </w:style>
  <w:style w:type="paragraph" w:customStyle="1" w:styleId="2510">
    <w:name w:val="正文格式112"/>
    <w:basedOn w:val="1"/>
    <w:autoRedefine/>
    <w:qFormat/>
    <w:uiPriority w:val="0"/>
    <w:pPr>
      <w:spacing w:line="360" w:lineRule="auto"/>
      <w:ind w:firstLine="482"/>
    </w:pPr>
    <w:rPr>
      <w:rFonts w:ascii="宋体" w:hAnsi="宋体" w:cs="宋体"/>
      <w:sz w:val="24"/>
    </w:rPr>
  </w:style>
  <w:style w:type="paragraph" w:customStyle="1" w:styleId="2511">
    <w:name w:val="图题112"/>
    <w:basedOn w:val="316"/>
    <w:next w:val="316"/>
    <w:autoRedefine/>
    <w:qFormat/>
    <w:uiPriority w:val="0"/>
    <w:pPr>
      <w:ind w:firstLine="0"/>
      <w:jc w:val="center"/>
    </w:pPr>
    <w:rPr>
      <w:rFonts w:ascii="黑体" w:hAnsi="宋体" w:eastAsia="黑体"/>
      <w:bCs/>
      <w:spacing w:val="0"/>
    </w:rPr>
  </w:style>
  <w:style w:type="paragraph" w:customStyle="1" w:styleId="2512">
    <w:name w:val="表格内字体122"/>
    <w:basedOn w:val="316"/>
    <w:next w:val="316"/>
    <w:autoRedefine/>
    <w:qFormat/>
    <w:uiPriority w:val="0"/>
    <w:pPr>
      <w:spacing w:line="240" w:lineRule="auto"/>
      <w:ind w:firstLine="0"/>
      <w:jc w:val="center"/>
    </w:pPr>
    <w:rPr>
      <w:rFonts w:hAnsi="宋体"/>
      <w:b w:val="0"/>
      <w:spacing w:val="0"/>
      <w:sz w:val="21"/>
    </w:rPr>
  </w:style>
  <w:style w:type="paragraph" w:customStyle="1" w:styleId="2513">
    <w:name w:val="Char142"/>
    <w:basedOn w:val="1"/>
    <w:autoRedefine/>
    <w:qFormat/>
    <w:uiPriority w:val="0"/>
    <w:pPr>
      <w:ind w:left="-48"/>
    </w:pPr>
    <w:rPr>
      <w:rFonts w:ascii="宋体" w:hAnsi="宋体" w:cs="宋体"/>
    </w:rPr>
  </w:style>
  <w:style w:type="paragraph" w:customStyle="1" w:styleId="2514">
    <w:name w:val="正文格式222"/>
    <w:basedOn w:val="1"/>
    <w:autoRedefine/>
    <w:qFormat/>
    <w:uiPriority w:val="0"/>
    <w:pPr>
      <w:spacing w:line="360" w:lineRule="auto"/>
      <w:ind w:firstLine="482"/>
    </w:pPr>
    <w:rPr>
      <w:rFonts w:ascii="宋体" w:hAnsi="宋体" w:cs="宋体"/>
      <w:sz w:val="24"/>
    </w:rPr>
  </w:style>
  <w:style w:type="paragraph" w:customStyle="1" w:styleId="2515">
    <w:name w:val="Char15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516">
    <w:name w:val="题注 Char112"/>
    <w:autoRedefine/>
    <w:qFormat/>
    <w:uiPriority w:val="0"/>
    <w:rPr>
      <w:rFonts w:ascii="黑体" w:hAnsi="Arial" w:eastAsia="黑体" w:cs="Arial"/>
      <w:spacing w:val="10"/>
      <w:kern w:val="2"/>
      <w:sz w:val="24"/>
      <w:szCs w:val="24"/>
      <w:lang w:val="en-US" w:eastAsia="zh-CN" w:bidi="ar-SA"/>
    </w:rPr>
  </w:style>
  <w:style w:type="paragraph" w:customStyle="1" w:styleId="2517">
    <w:name w:val="图题222"/>
    <w:basedOn w:val="316"/>
    <w:next w:val="316"/>
    <w:autoRedefine/>
    <w:qFormat/>
    <w:uiPriority w:val="0"/>
    <w:pPr>
      <w:ind w:firstLine="0"/>
      <w:jc w:val="center"/>
    </w:pPr>
    <w:rPr>
      <w:rFonts w:ascii="黑体" w:hAnsi="宋体" w:eastAsia="黑体"/>
      <w:bCs/>
      <w:spacing w:val="0"/>
    </w:rPr>
  </w:style>
  <w:style w:type="paragraph" w:customStyle="1" w:styleId="2518">
    <w:name w:val="表格内字体222"/>
    <w:basedOn w:val="316"/>
    <w:next w:val="316"/>
    <w:autoRedefine/>
    <w:qFormat/>
    <w:uiPriority w:val="0"/>
    <w:pPr>
      <w:spacing w:line="240" w:lineRule="auto"/>
      <w:ind w:firstLine="0"/>
      <w:jc w:val="center"/>
    </w:pPr>
    <w:rPr>
      <w:rFonts w:hAnsi="宋体"/>
      <w:b w:val="0"/>
      <w:spacing w:val="0"/>
      <w:sz w:val="21"/>
    </w:rPr>
  </w:style>
  <w:style w:type="paragraph" w:customStyle="1" w:styleId="2519">
    <w:name w:val="表内541112"/>
    <w:basedOn w:val="1"/>
    <w:autoRedefine/>
    <w:qFormat/>
    <w:uiPriority w:val="0"/>
    <w:pPr>
      <w:adjustRightInd w:val="0"/>
      <w:snapToGrid w:val="0"/>
      <w:spacing w:line="300" w:lineRule="auto"/>
      <w:jc w:val="center"/>
    </w:pPr>
    <w:rPr>
      <w:rFonts w:ascii="宋体" w:hAnsi="宋体" w:cs="宋体"/>
    </w:rPr>
  </w:style>
  <w:style w:type="paragraph" w:customStyle="1" w:styleId="2520">
    <w:name w:val="表内文字小21112"/>
    <w:basedOn w:val="1"/>
    <w:autoRedefine/>
    <w:qFormat/>
    <w:uiPriority w:val="0"/>
    <w:pPr>
      <w:adjustRightInd w:val="0"/>
      <w:snapToGrid w:val="0"/>
      <w:jc w:val="center"/>
    </w:pPr>
    <w:rPr>
      <w:rFonts w:ascii="宋体" w:hAnsi="Times" w:cs="宋体"/>
      <w:bCs/>
      <w:color w:val="000000"/>
    </w:rPr>
  </w:style>
  <w:style w:type="paragraph" w:customStyle="1" w:styleId="2521">
    <w:name w:val="表题3111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22">
    <w:name w:val="Char Char Char Char Char Char Char112"/>
    <w:basedOn w:val="1"/>
    <w:autoRedefine/>
    <w:qFormat/>
    <w:uiPriority w:val="0"/>
    <w:rPr>
      <w:rFonts w:ascii="宋体" w:hAnsi="宋体" w:cs="宋体"/>
    </w:rPr>
  </w:style>
  <w:style w:type="paragraph" w:customStyle="1" w:styleId="2523">
    <w:name w:val="标题431112"/>
    <w:basedOn w:val="1"/>
    <w:autoRedefine/>
    <w:qFormat/>
    <w:uiPriority w:val="0"/>
    <w:pPr>
      <w:adjustRightInd w:val="0"/>
      <w:snapToGrid w:val="0"/>
      <w:spacing w:line="480" w:lineRule="exact"/>
      <w:jc w:val="center"/>
    </w:pPr>
    <w:rPr>
      <w:rFonts w:ascii="宋体" w:hAnsi="宋体" w:cs="宋体"/>
      <w:sz w:val="24"/>
    </w:rPr>
  </w:style>
  <w:style w:type="paragraph" w:customStyle="1" w:styleId="2524">
    <w:name w:val="燕山正文1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25">
    <w:name w:val="默认段落字体 Para Char Char Char Char112"/>
    <w:basedOn w:val="1"/>
    <w:autoRedefine/>
    <w:qFormat/>
    <w:uiPriority w:val="0"/>
    <w:rPr>
      <w:rFonts w:ascii="宋体" w:hAnsi="宋体" w:cs="宋体"/>
    </w:rPr>
  </w:style>
  <w:style w:type="paragraph" w:customStyle="1" w:styleId="2526">
    <w:name w:val="附件112"/>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527">
    <w:name w:val="黑体三号112"/>
    <w:basedOn w:val="316"/>
    <w:autoRedefine/>
    <w:qFormat/>
    <w:uiPriority w:val="0"/>
    <w:pPr>
      <w:jc w:val="center"/>
    </w:pPr>
    <w:rPr>
      <w:rFonts w:ascii="黑体" w:hAnsi="宋体" w:eastAsia="黑体"/>
      <w:bCs/>
      <w:spacing w:val="0"/>
      <w:sz w:val="32"/>
    </w:rPr>
  </w:style>
  <w:style w:type="paragraph" w:customStyle="1" w:styleId="2528">
    <w:name w:val="表112"/>
    <w:basedOn w:val="1"/>
    <w:autoRedefine/>
    <w:qFormat/>
    <w:uiPriority w:val="0"/>
    <w:pPr>
      <w:adjustRightInd w:val="0"/>
      <w:snapToGrid w:val="0"/>
      <w:jc w:val="center"/>
    </w:pPr>
    <w:rPr>
      <w:rFonts w:ascii="宋体" w:hAnsi="宋体" w:eastAsia="仿宋_GB2312" w:cs="宋体"/>
      <w:sz w:val="24"/>
    </w:rPr>
  </w:style>
  <w:style w:type="paragraph" w:customStyle="1" w:styleId="2529">
    <w:name w:val="表题1122"/>
    <w:basedOn w:val="22"/>
    <w:autoRedefine/>
    <w:qFormat/>
    <w:uiPriority w:val="0"/>
    <w:pPr>
      <w:widowControl w:val="0"/>
      <w:spacing w:line="360" w:lineRule="auto"/>
      <w:jc w:val="center"/>
    </w:pPr>
    <w:rPr>
      <w:rFonts w:ascii="黑体" w:hAnsi="Arial" w:cs="Arial"/>
      <w:kern w:val="2"/>
    </w:rPr>
  </w:style>
  <w:style w:type="paragraph" w:customStyle="1" w:styleId="2530">
    <w:name w:val="燕山正文12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531">
    <w:name w:val="正文修改112"/>
    <w:basedOn w:val="1181"/>
    <w:autoRedefine/>
    <w:qFormat/>
    <w:uiPriority w:val="0"/>
    <w:rPr>
      <w:rFonts w:hAnsi="宋体"/>
      <w:color w:val="000000"/>
    </w:rPr>
  </w:style>
  <w:style w:type="character" w:customStyle="1" w:styleId="2532">
    <w:name w:val="正文修改 Char1112"/>
    <w:autoRedefine/>
    <w:qFormat/>
    <w:uiPriority w:val="0"/>
    <w:rPr>
      <w:rFonts w:ascii="宋体" w:hAnsi="宋体" w:eastAsia="宋体" w:cs="宋体"/>
      <w:color w:val="000000"/>
      <w:kern w:val="2"/>
      <w:sz w:val="24"/>
      <w:szCs w:val="24"/>
      <w:lang w:val="en-US" w:eastAsia="zh-CN" w:bidi="ar-SA"/>
    </w:rPr>
  </w:style>
  <w:style w:type="paragraph" w:customStyle="1" w:styleId="2533">
    <w:name w:val="表中文字12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534">
    <w:name w:val="表文字5122"/>
    <w:basedOn w:val="1"/>
    <w:autoRedefine/>
    <w:qFormat/>
    <w:uiPriority w:val="0"/>
    <w:pPr>
      <w:adjustRightInd w:val="0"/>
      <w:jc w:val="left"/>
      <w:textAlignment w:val="baseline"/>
    </w:pPr>
    <w:rPr>
      <w:rFonts w:ascii="宋体" w:hAnsi="宋体" w:cs="宋体"/>
      <w:kern w:val="0"/>
    </w:rPr>
  </w:style>
  <w:style w:type="paragraph" w:customStyle="1" w:styleId="2535">
    <w:name w:val="表内文字小31112"/>
    <w:basedOn w:val="1"/>
    <w:autoRedefine/>
    <w:qFormat/>
    <w:uiPriority w:val="0"/>
    <w:pPr>
      <w:adjustRightInd w:val="0"/>
      <w:snapToGrid w:val="0"/>
      <w:jc w:val="center"/>
    </w:pPr>
    <w:rPr>
      <w:rFonts w:ascii="宋体" w:hAnsi="Times" w:cs="宋体"/>
      <w:bCs/>
      <w:color w:val="003366"/>
    </w:rPr>
  </w:style>
  <w:style w:type="paragraph" w:customStyle="1" w:styleId="2536">
    <w:name w:val="样式1112"/>
    <w:basedOn w:val="1228"/>
    <w:autoRedefine/>
    <w:qFormat/>
    <w:uiPriority w:val="0"/>
    <w:pPr>
      <w:spacing w:line="240" w:lineRule="auto"/>
      <w:ind w:firstLine="0"/>
      <w:jc w:val="center"/>
    </w:pPr>
    <w:rPr>
      <w:rFonts w:cs="Times New Roman"/>
      <w:b/>
      <w:color w:val="auto"/>
      <w:szCs w:val="20"/>
    </w:rPr>
  </w:style>
  <w:style w:type="paragraph" w:customStyle="1" w:styleId="2537">
    <w:name w:val="Char212"/>
    <w:basedOn w:val="1"/>
    <w:autoRedefine/>
    <w:qFormat/>
    <w:uiPriority w:val="0"/>
    <w:pPr>
      <w:ind w:left="-48"/>
    </w:pPr>
    <w:rPr>
      <w:rFonts w:ascii="宋体" w:hAnsi="宋体" w:cs="宋体"/>
    </w:rPr>
  </w:style>
  <w:style w:type="paragraph" w:customStyle="1" w:styleId="2538">
    <w:name w:val="表内文字小232"/>
    <w:basedOn w:val="1"/>
    <w:autoRedefine/>
    <w:qFormat/>
    <w:uiPriority w:val="0"/>
    <w:pPr>
      <w:adjustRightInd w:val="0"/>
      <w:snapToGrid w:val="0"/>
      <w:jc w:val="center"/>
    </w:pPr>
    <w:rPr>
      <w:rFonts w:ascii="宋体" w:hAnsi="Times" w:cs="宋体"/>
      <w:bCs/>
      <w:color w:val="000000"/>
    </w:rPr>
  </w:style>
  <w:style w:type="paragraph" w:customStyle="1" w:styleId="2539">
    <w:name w:val="表内5322"/>
    <w:basedOn w:val="1"/>
    <w:autoRedefine/>
    <w:qFormat/>
    <w:uiPriority w:val="0"/>
    <w:pPr>
      <w:adjustRightInd w:val="0"/>
      <w:snapToGrid w:val="0"/>
      <w:spacing w:line="300" w:lineRule="auto"/>
      <w:jc w:val="left"/>
    </w:pPr>
    <w:rPr>
      <w:rFonts w:ascii="宋体" w:hAnsi="宋体" w:cs="宋体"/>
    </w:rPr>
  </w:style>
  <w:style w:type="paragraph" w:customStyle="1" w:styleId="2540">
    <w:name w:val="正文格式312"/>
    <w:basedOn w:val="1"/>
    <w:autoRedefine/>
    <w:qFormat/>
    <w:uiPriority w:val="0"/>
    <w:pPr>
      <w:spacing w:line="360" w:lineRule="auto"/>
      <w:ind w:firstLine="482"/>
    </w:pPr>
    <w:rPr>
      <w:rFonts w:ascii="宋体" w:hAnsi="宋体" w:cs="宋体"/>
      <w:sz w:val="24"/>
    </w:rPr>
  </w:style>
  <w:style w:type="paragraph" w:customStyle="1" w:styleId="2541">
    <w:name w:val="Char22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542">
    <w:name w:val="题注 Char212"/>
    <w:autoRedefine/>
    <w:qFormat/>
    <w:uiPriority w:val="0"/>
    <w:rPr>
      <w:rFonts w:ascii="黑体" w:hAnsi="Arial" w:eastAsia="黑体" w:cs="Arial"/>
      <w:spacing w:val="10"/>
      <w:kern w:val="2"/>
      <w:sz w:val="24"/>
      <w:szCs w:val="24"/>
      <w:lang w:val="en-US" w:eastAsia="zh-CN" w:bidi="ar-SA"/>
    </w:rPr>
  </w:style>
  <w:style w:type="paragraph" w:customStyle="1" w:styleId="2543">
    <w:name w:val="图题312"/>
    <w:basedOn w:val="316"/>
    <w:next w:val="316"/>
    <w:autoRedefine/>
    <w:qFormat/>
    <w:uiPriority w:val="0"/>
    <w:pPr>
      <w:ind w:firstLine="0"/>
      <w:jc w:val="center"/>
    </w:pPr>
    <w:rPr>
      <w:rFonts w:ascii="黑体" w:hAnsi="宋体" w:eastAsia="黑体"/>
      <w:bCs/>
      <w:spacing w:val="0"/>
    </w:rPr>
  </w:style>
  <w:style w:type="paragraph" w:customStyle="1" w:styleId="2544">
    <w:name w:val="表格内字体312"/>
    <w:basedOn w:val="316"/>
    <w:next w:val="316"/>
    <w:autoRedefine/>
    <w:qFormat/>
    <w:uiPriority w:val="0"/>
    <w:pPr>
      <w:spacing w:line="240" w:lineRule="auto"/>
      <w:ind w:firstLine="0"/>
      <w:jc w:val="center"/>
    </w:pPr>
    <w:rPr>
      <w:rFonts w:hAnsi="宋体"/>
      <w:b w:val="0"/>
      <w:spacing w:val="0"/>
      <w:sz w:val="21"/>
    </w:rPr>
  </w:style>
  <w:style w:type="paragraph" w:customStyle="1" w:styleId="2545">
    <w:name w:val="表内541212"/>
    <w:basedOn w:val="1"/>
    <w:autoRedefine/>
    <w:qFormat/>
    <w:uiPriority w:val="0"/>
    <w:pPr>
      <w:adjustRightInd w:val="0"/>
      <w:snapToGrid w:val="0"/>
      <w:spacing w:line="300" w:lineRule="auto"/>
      <w:jc w:val="center"/>
    </w:pPr>
    <w:rPr>
      <w:rFonts w:ascii="宋体" w:hAnsi="宋体" w:cs="宋体"/>
    </w:rPr>
  </w:style>
  <w:style w:type="paragraph" w:customStyle="1" w:styleId="2546">
    <w:name w:val="表内文字小21212"/>
    <w:basedOn w:val="1"/>
    <w:autoRedefine/>
    <w:qFormat/>
    <w:uiPriority w:val="0"/>
    <w:pPr>
      <w:adjustRightInd w:val="0"/>
      <w:snapToGrid w:val="0"/>
      <w:jc w:val="center"/>
    </w:pPr>
    <w:rPr>
      <w:rFonts w:ascii="宋体" w:hAnsi="Times" w:cs="宋体"/>
      <w:bCs/>
      <w:color w:val="000000"/>
    </w:rPr>
  </w:style>
  <w:style w:type="paragraph" w:customStyle="1" w:styleId="2547">
    <w:name w:val="表题3121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48">
    <w:name w:val="Char Char Char Char Char Char Char42"/>
    <w:basedOn w:val="1"/>
    <w:autoRedefine/>
    <w:qFormat/>
    <w:uiPriority w:val="0"/>
    <w:rPr>
      <w:rFonts w:ascii="宋体" w:hAnsi="宋体" w:cs="宋体"/>
    </w:rPr>
  </w:style>
  <w:style w:type="paragraph" w:customStyle="1" w:styleId="2549">
    <w:name w:val="标题431212"/>
    <w:basedOn w:val="1"/>
    <w:autoRedefine/>
    <w:qFormat/>
    <w:uiPriority w:val="0"/>
    <w:pPr>
      <w:adjustRightInd w:val="0"/>
      <w:snapToGrid w:val="0"/>
      <w:spacing w:line="480" w:lineRule="exact"/>
      <w:jc w:val="center"/>
    </w:pPr>
    <w:rPr>
      <w:rFonts w:ascii="宋体" w:hAnsi="宋体" w:cs="宋体"/>
      <w:sz w:val="24"/>
    </w:rPr>
  </w:style>
  <w:style w:type="paragraph" w:customStyle="1" w:styleId="2550">
    <w:name w:val="燕山正文112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51">
    <w:name w:val="默认段落字体 Para Char Char Char Char212"/>
    <w:basedOn w:val="1"/>
    <w:autoRedefine/>
    <w:qFormat/>
    <w:uiPriority w:val="0"/>
    <w:rPr>
      <w:rFonts w:ascii="宋体" w:hAnsi="宋体" w:cs="宋体"/>
    </w:rPr>
  </w:style>
  <w:style w:type="paragraph" w:customStyle="1" w:styleId="2552">
    <w:name w:val="附件212"/>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553">
    <w:name w:val="黑体三号212"/>
    <w:basedOn w:val="316"/>
    <w:autoRedefine/>
    <w:qFormat/>
    <w:uiPriority w:val="0"/>
    <w:pPr>
      <w:jc w:val="center"/>
    </w:pPr>
    <w:rPr>
      <w:rFonts w:ascii="黑体" w:hAnsi="宋体" w:eastAsia="黑体"/>
      <w:bCs/>
      <w:spacing w:val="0"/>
      <w:sz w:val="32"/>
    </w:rPr>
  </w:style>
  <w:style w:type="paragraph" w:customStyle="1" w:styleId="2554">
    <w:name w:val="表212"/>
    <w:basedOn w:val="1"/>
    <w:autoRedefine/>
    <w:qFormat/>
    <w:uiPriority w:val="0"/>
    <w:pPr>
      <w:adjustRightInd w:val="0"/>
      <w:snapToGrid w:val="0"/>
      <w:jc w:val="center"/>
    </w:pPr>
    <w:rPr>
      <w:rFonts w:ascii="宋体" w:hAnsi="宋体" w:eastAsia="仿宋_GB2312" w:cs="宋体"/>
      <w:sz w:val="24"/>
    </w:rPr>
  </w:style>
  <w:style w:type="paragraph" w:customStyle="1" w:styleId="2555">
    <w:name w:val="表题1212"/>
    <w:basedOn w:val="22"/>
    <w:autoRedefine/>
    <w:qFormat/>
    <w:uiPriority w:val="0"/>
    <w:pPr>
      <w:widowControl w:val="0"/>
      <w:spacing w:line="360" w:lineRule="auto"/>
      <w:jc w:val="center"/>
    </w:pPr>
    <w:rPr>
      <w:rFonts w:ascii="黑体" w:hAnsi="Arial" w:cs="Arial"/>
      <w:kern w:val="2"/>
    </w:rPr>
  </w:style>
  <w:style w:type="paragraph" w:customStyle="1" w:styleId="2556">
    <w:name w:val="燕山正文2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557">
    <w:name w:val="正文修改212"/>
    <w:basedOn w:val="1181"/>
    <w:autoRedefine/>
    <w:qFormat/>
    <w:uiPriority w:val="0"/>
    <w:rPr>
      <w:rFonts w:hAnsi="宋体"/>
      <w:color w:val="000000"/>
    </w:rPr>
  </w:style>
  <w:style w:type="character" w:customStyle="1" w:styleId="2558">
    <w:name w:val="正文修改 Char1212"/>
    <w:autoRedefine/>
    <w:qFormat/>
    <w:uiPriority w:val="0"/>
    <w:rPr>
      <w:rFonts w:ascii="宋体" w:hAnsi="宋体" w:eastAsia="宋体" w:cs="宋体"/>
      <w:color w:val="000000"/>
      <w:kern w:val="2"/>
      <w:sz w:val="24"/>
      <w:szCs w:val="24"/>
      <w:lang w:val="en-US" w:eastAsia="zh-CN" w:bidi="ar-SA"/>
    </w:rPr>
  </w:style>
  <w:style w:type="paragraph" w:customStyle="1" w:styleId="2559">
    <w:name w:val="表中文字212"/>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560">
    <w:name w:val="表文字5212"/>
    <w:basedOn w:val="1"/>
    <w:autoRedefine/>
    <w:qFormat/>
    <w:uiPriority w:val="0"/>
    <w:pPr>
      <w:adjustRightInd w:val="0"/>
      <w:jc w:val="left"/>
      <w:textAlignment w:val="baseline"/>
    </w:pPr>
    <w:rPr>
      <w:rFonts w:ascii="宋体" w:hAnsi="宋体" w:cs="宋体"/>
      <w:kern w:val="0"/>
    </w:rPr>
  </w:style>
  <w:style w:type="paragraph" w:customStyle="1" w:styleId="2561">
    <w:name w:val="表内文字小31212"/>
    <w:basedOn w:val="1"/>
    <w:autoRedefine/>
    <w:qFormat/>
    <w:uiPriority w:val="0"/>
    <w:pPr>
      <w:adjustRightInd w:val="0"/>
      <w:snapToGrid w:val="0"/>
      <w:jc w:val="center"/>
    </w:pPr>
    <w:rPr>
      <w:rFonts w:ascii="宋体" w:hAnsi="Times" w:cs="宋体"/>
      <w:bCs/>
      <w:color w:val="003366"/>
    </w:rPr>
  </w:style>
  <w:style w:type="paragraph" w:customStyle="1" w:styleId="2562">
    <w:name w:val="样式1212"/>
    <w:basedOn w:val="1228"/>
    <w:autoRedefine/>
    <w:qFormat/>
    <w:uiPriority w:val="0"/>
    <w:pPr>
      <w:spacing w:line="240" w:lineRule="auto"/>
      <w:ind w:firstLine="0"/>
      <w:jc w:val="center"/>
    </w:pPr>
    <w:rPr>
      <w:rFonts w:cs="Times New Roman"/>
      <w:b/>
      <w:color w:val="auto"/>
      <w:szCs w:val="20"/>
    </w:rPr>
  </w:style>
  <w:style w:type="paragraph" w:customStyle="1" w:styleId="2563">
    <w:name w:val="Char312"/>
    <w:basedOn w:val="1"/>
    <w:autoRedefine/>
    <w:qFormat/>
    <w:uiPriority w:val="0"/>
    <w:pPr>
      <w:ind w:left="-48"/>
    </w:pPr>
    <w:rPr>
      <w:rFonts w:ascii="宋体" w:hAnsi="宋体" w:cs="宋体"/>
    </w:rPr>
  </w:style>
  <w:style w:type="paragraph" w:customStyle="1" w:styleId="2564">
    <w:name w:val="表内文字小2212"/>
    <w:basedOn w:val="1"/>
    <w:autoRedefine/>
    <w:qFormat/>
    <w:uiPriority w:val="0"/>
    <w:pPr>
      <w:adjustRightInd w:val="0"/>
      <w:snapToGrid w:val="0"/>
      <w:jc w:val="center"/>
    </w:pPr>
    <w:rPr>
      <w:rFonts w:ascii="宋体" w:hAnsi="Times" w:cs="宋体"/>
      <w:bCs/>
      <w:color w:val="000000"/>
    </w:rPr>
  </w:style>
  <w:style w:type="paragraph" w:customStyle="1" w:styleId="2565">
    <w:name w:val="表内53112"/>
    <w:basedOn w:val="1"/>
    <w:autoRedefine/>
    <w:qFormat/>
    <w:uiPriority w:val="0"/>
    <w:pPr>
      <w:adjustRightInd w:val="0"/>
      <w:snapToGrid w:val="0"/>
      <w:spacing w:line="300" w:lineRule="auto"/>
      <w:jc w:val="left"/>
    </w:pPr>
    <w:rPr>
      <w:rFonts w:ascii="宋体" w:hAnsi="宋体" w:cs="宋体"/>
    </w:rPr>
  </w:style>
  <w:style w:type="paragraph" w:customStyle="1" w:styleId="2566">
    <w:name w:val="正文格式2112"/>
    <w:basedOn w:val="1"/>
    <w:autoRedefine/>
    <w:qFormat/>
    <w:uiPriority w:val="0"/>
    <w:pPr>
      <w:spacing w:line="360" w:lineRule="auto"/>
      <w:ind w:firstLine="482"/>
    </w:pPr>
    <w:rPr>
      <w:rFonts w:ascii="宋体" w:hAnsi="宋体" w:cs="宋体"/>
      <w:sz w:val="24"/>
    </w:rPr>
  </w:style>
  <w:style w:type="paragraph" w:customStyle="1" w:styleId="2567">
    <w:name w:val="图题2112"/>
    <w:basedOn w:val="316"/>
    <w:next w:val="316"/>
    <w:autoRedefine/>
    <w:qFormat/>
    <w:uiPriority w:val="0"/>
    <w:pPr>
      <w:ind w:firstLine="0"/>
      <w:jc w:val="center"/>
    </w:pPr>
    <w:rPr>
      <w:rFonts w:ascii="黑体" w:hAnsi="宋体" w:eastAsia="黑体"/>
      <w:bCs/>
      <w:spacing w:val="0"/>
    </w:rPr>
  </w:style>
  <w:style w:type="paragraph" w:customStyle="1" w:styleId="2568">
    <w:name w:val="表格内字体2112"/>
    <w:basedOn w:val="316"/>
    <w:next w:val="316"/>
    <w:autoRedefine/>
    <w:qFormat/>
    <w:uiPriority w:val="0"/>
    <w:pPr>
      <w:spacing w:line="240" w:lineRule="auto"/>
      <w:ind w:firstLine="0"/>
      <w:jc w:val="center"/>
    </w:pPr>
    <w:rPr>
      <w:rFonts w:hAnsi="宋体"/>
      <w:b w:val="0"/>
      <w:spacing w:val="0"/>
      <w:sz w:val="21"/>
    </w:rPr>
  </w:style>
  <w:style w:type="paragraph" w:customStyle="1" w:styleId="2569">
    <w:name w:val="表题11112"/>
    <w:basedOn w:val="22"/>
    <w:autoRedefine/>
    <w:qFormat/>
    <w:uiPriority w:val="0"/>
    <w:pPr>
      <w:widowControl w:val="0"/>
      <w:spacing w:line="360" w:lineRule="auto"/>
      <w:ind w:firstLine="480" w:firstLineChars="200"/>
      <w:jc w:val="both"/>
    </w:pPr>
    <w:rPr>
      <w:rFonts w:ascii="宋体" w:hAnsi="宋体" w:eastAsia="宋体" w:cs="Arial"/>
      <w:kern w:val="2"/>
    </w:rPr>
  </w:style>
  <w:style w:type="paragraph" w:customStyle="1" w:styleId="2570">
    <w:name w:val="表中文字11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571">
    <w:name w:val="表文字51112"/>
    <w:basedOn w:val="1"/>
    <w:autoRedefine/>
    <w:qFormat/>
    <w:uiPriority w:val="0"/>
    <w:pPr>
      <w:adjustRightInd w:val="0"/>
      <w:jc w:val="left"/>
      <w:textAlignment w:val="baseline"/>
    </w:pPr>
    <w:rPr>
      <w:rFonts w:ascii="宋体" w:hAnsi="宋体" w:cs="宋体"/>
      <w:kern w:val="0"/>
    </w:rPr>
  </w:style>
  <w:style w:type="paragraph" w:customStyle="1" w:styleId="2572">
    <w:name w:val="正文格式412"/>
    <w:basedOn w:val="1"/>
    <w:autoRedefine/>
    <w:qFormat/>
    <w:uiPriority w:val="0"/>
    <w:pPr>
      <w:spacing w:line="360" w:lineRule="auto"/>
      <w:ind w:firstLine="482"/>
    </w:pPr>
    <w:rPr>
      <w:rFonts w:ascii="宋体" w:hAnsi="宋体" w:cs="宋体"/>
      <w:sz w:val="24"/>
    </w:rPr>
  </w:style>
  <w:style w:type="paragraph" w:customStyle="1" w:styleId="2573">
    <w:name w:val="图题412"/>
    <w:basedOn w:val="316"/>
    <w:next w:val="316"/>
    <w:autoRedefine/>
    <w:qFormat/>
    <w:uiPriority w:val="0"/>
    <w:pPr>
      <w:ind w:firstLine="0"/>
      <w:jc w:val="center"/>
    </w:pPr>
    <w:rPr>
      <w:rFonts w:ascii="黑体" w:hAnsi="宋体" w:eastAsia="黑体"/>
      <w:bCs/>
      <w:spacing w:val="0"/>
    </w:rPr>
  </w:style>
  <w:style w:type="paragraph" w:customStyle="1" w:styleId="2574">
    <w:name w:val="表格内字体412"/>
    <w:basedOn w:val="316"/>
    <w:next w:val="316"/>
    <w:autoRedefine/>
    <w:qFormat/>
    <w:uiPriority w:val="0"/>
    <w:pPr>
      <w:spacing w:line="240" w:lineRule="auto"/>
      <w:ind w:firstLine="0"/>
      <w:jc w:val="center"/>
    </w:pPr>
    <w:rPr>
      <w:rFonts w:hAnsi="宋体"/>
      <w:b w:val="0"/>
      <w:spacing w:val="0"/>
      <w:sz w:val="21"/>
    </w:rPr>
  </w:style>
  <w:style w:type="paragraph" w:customStyle="1" w:styleId="2575">
    <w:name w:val="Char412"/>
    <w:basedOn w:val="1"/>
    <w:autoRedefine/>
    <w:qFormat/>
    <w:uiPriority w:val="0"/>
    <w:pPr>
      <w:ind w:left="-48"/>
    </w:pPr>
    <w:rPr>
      <w:rFonts w:ascii="宋体" w:hAnsi="宋体" w:cs="宋体"/>
    </w:rPr>
  </w:style>
  <w:style w:type="paragraph" w:customStyle="1" w:styleId="2576">
    <w:name w:val="表题1312"/>
    <w:basedOn w:val="22"/>
    <w:autoRedefine/>
    <w:qFormat/>
    <w:uiPriority w:val="0"/>
    <w:pPr>
      <w:widowControl w:val="0"/>
      <w:spacing w:line="360" w:lineRule="auto"/>
      <w:jc w:val="center"/>
    </w:pPr>
    <w:rPr>
      <w:rFonts w:ascii="黑体" w:hAnsi="Arial" w:cs="Arial"/>
      <w:b/>
      <w:kern w:val="2"/>
    </w:rPr>
  </w:style>
  <w:style w:type="paragraph" w:customStyle="1" w:styleId="2577">
    <w:name w:val="默认段落字体 Para Char1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578">
    <w:name w:val="23-47表名12"/>
    <w:basedOn w:val="1"/>
    <w:autoRedefine/>
    <w:qFormat/>
    <w:uiPriority w:val="0"/>
    <w:pPr>
      <w:spacing w:afterLines="50" w:line="440" w:lineRule="exact"/>
      <w:jc w:val="center"/>
    </w:pPr>
    <w:rPr>
      <w:rFonts w:ascii="宋体" w:hAnsi="宋体" w:cs="宋体"/>
      <w:b/>
      <w:sz w:val="24"/>
    </w:rPr>
  </w:style>
  <w:style w:type="paragraph" w:customStyle="1" w:styleId="2579">
    <w:name w:val="xl241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80">
    <w:name w:val="Char Char Char Char Char Char Char122"/>
    <w:basedOn w:val="1"/>
    <w:autoRedefine/>
    <w:qFormat/>
    <w:uiPriority w:val="0"/>
    <w:rPr>
      <w:rFonts w:ascii="宋体" w:hAnsi="宋体" w:cs="宋体"/>
    </w:rPr>
  </w:style>
  <w:style w:type="paragraph" w:customStyle="1" w:styleId="2581">
    <w:name w:val="Char512"/>
    <w:basedOn w:val="1"/>
    <w:autoRedefine/>
    <w:qFormat/>
    <w:uiPriority w:val="0"/>
    <w:pPr>
      <w:adjustRightInd w:val="0"/>
      <w:snapToGrid w:val="0"/>
      <w:ind w:left="-45"/>
    </w:pPr>
    <w:rPr>
      <w:rFonts w:ascii="宋体" w:hAnsi="宋体" w:cs="宋体"/>
    </w:rPr>
  </w:style>
  <w:style w:type="paragraph" w:customStyle="1" w:styleId="2582">
    <w:name w:val="燕山正文1131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583">
    <w:name w:val="正文格式512"/>
    <w:basedOn w:val="1"/>
    <w:autoRedefine/>
    <w:qFormat/>
    <w:uiPriority w:val="0"/>
    <w:pPr>
      <w:spacing w:line="360" w:lineRule="auto"/>
      <w:ind w:firstLine="482"/>
    </w:pPr>
    <w:rPr>
      <w:rFonts w:ascii="宋体" w:hAnsi="宋体" w:cs="宋体"/>
      <w:sz w:val="24"/>
    </w:rPr>
  </w:style>
  <w:style w:type="paragraph" w:customStyle="1" w:styleId="2584">
    <w:name w:val="Char322"/>
    <w:basedOn w:val="1"/>
    <w:autoRedefine/>
    <w:qFormat/>
    <w:uiPriority w:val="0"/>
    <w:pPr>
      <w:ind w:left="-48"/>
    </w:pPr>
    <w:rPr>
      <w:rFonts w:ascii="宋体" w:hAnsi="宋体" w:cs="宋体"/>
    </w:rPr>
  </w:style>
  <w:style w:type="character" w:customStyle="1" w:styleId="2585">
    <w:name w:val="题注 Char312"/>
    <w:autoRedefine/>
    <w:qFormat/>
    <w:uiPriority w:val="0"/>
    <w:rPr>
      <w:rFonts w:ascii="黑体" w:hAnsi="Arial" w:eastAsia="黑体" w:cs="Arial"/>
      <w:spacing w:val="10"/>
      <w:kern w:val="2"/>
      <w:sz w:val="24"/>
      <w:szCs w:val="24"/>
      <w:lang w:val="en-US" w:eastAsia="zh-CN" w:bidi="ar-SA"/>
    </w:rPr>
  </w:style>
  <w:style w:type="paragraph" w:customStyle="1" w:styleId="2586">
    <w:name w:val="图题512"/>
    <w:basedOn w:val="316"/>
    <w:next w:val="316"/>
    <w:autoRedefine/>
    <w:qFormat/>
    <w:uiPriority w:val="0"/>
    <w:pPr>
      <w:ind w:firstLine="0"/>
      <w:jc w:val="center"/>
    </w:pPr>
    <w:rPr>
      <w:rFonts w:ascii="黑体" w:hAnsi="宋体" w:eastAsia="黑体"/>
      <w:bCs/>
      <w:spacing w:val="0"/>
    </w:rPr>
  </w:style>
  <w:style w:type="paragraph" w:customStyle="1" w:styleId="2587">
    <w:name w:val="表格内字体512"/>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2588">
    <w:name w:val="表312"/>
    <w:basedOn w:val="1"/>
    <w:autoRedefine/>
    <w:qFormat/>
    <w:uiPriority w:val="0"/>
    <w:pPr>
      <w:adjustRightInd w:val="0"/>
      <w:snapToGrid w:val="0"/>
      <w:jc w:val="center"/>
    </w:pPr>
    <w:rPr>
      <w:rFonts w:ascii="宋体" w:hAnsi="宋体" w:eastAsia="仿宋_GB2312" w:cs="宋体"/>
      <w:sz w:val="24"/>
    </w:rPr>
  </w:style>
  <w:style w:type="paragraph" w:customStyle="1" w:styleId="2589">
    <w:name w:val="正文.1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590">
    <w:name w:val="文本框112"/>
    <w:basedOn w:val="1"/>
    <w:autoRedefine/>
    <w:qFormat/>
    <w:uiPriority w:val="0"/>
    <w:pPr>
      <w:adjustRightInd w:val="0"/>
      <w:snapToGrid w:val="0"/>
      <w:spacing w:after="6"/>
      <w:jc w:val="center"/>
    </w:pPr>
    <w:rPr>
      <w:rFonts w:ascii="宋体" w:hAnsi="宋体" w:eastAsia="仿宋_GB2312" w:cs="宋体"/>
    </w:rPr>
  </w:style>
  <w:style w:type="paragraph" w:customStyle="1" w:styleId="2591">
    <w:name w:val="表内宋51111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592">
    <w:name w:val="表内文字小31312"/>
    <w:basedOn w:val="1"/>
    <w:autoRedefine/>
    <w:qFormat/>
    <w:uiPriority w:val="0"/>
    <w:pPr>
      <w:adjustRightInd w:val="0"/>
      <w:snapToGrid w:val="0"/>
      <w:jc w:val="center"/>
    </w:pPr>
    <w:rPr>
      <w:rFonts w:ascii="宋体" w:hAnsi="Times" w:cs="宋体"/>
      <w:bCs/>
      <w:color w:val="003366"/>
    </w:rPr>
  </w:style>
  <w:style w:type="paragraph" w:customStyle="1" w:styleId="2593">
    <w:name w:val="表文字5312"/>
    <w:basedOn w:val="1"/>
    <w:autoRedefine/>
    <w:qFormat/>
    <w:uiPriority w:val="0"/>
    <w:pPr>
      <w:adjustRightInd w:val="0"/>
      <w:jc w:val="left"/>
      <w:textAlignment w:val="baseline"/>
    </w:pPr>
    <w:rPr>
      <w:rFonts w:ascii="宋体" w:hAnsi="宋体" w:cs="宋体"/>
      <w:kern w:val="0"/>
    </w:rPr>
  </w:style>
  <w:style w:type="paragraph" w:customStyle="1" w:styleId="2594">
    <w:name w:val="Char Char Char Char Char Char Char212"/>
    <w:basedOn w:val="1"/>
    <w:autoRedefine/>
    <w:qFormat/>
    <w:uiPriority w:val="0"/>
    <w:rPr>
      <w:rFonts w:ascii="宋体" w:hAnsi="宋体" w:cs="宋体"/>
    </w:rPr>
  </w:style>
  <w:style w:type="paragraph" w:customStyle="1" w:styleId="2595">
    <w:name w:val="表题31312"/>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96">
    <w:name w:val="表内文字小21312"/>
    <w:basedOn w:val="1"/>
    <w:autoRedefine/>
    <w:qFormat/>
    <w:uiPriority w:val="0"/>
    <w:pPr>
      <w:adjustRightInd w:val="0"/>
      <w:snapToGrid w:val="0"/>
      <w:jc w:val="center"/>
      <w:textAlignment w:val="baseline"/>
    </w:pPr>
    <w:rPr>
      <w:rFonts w:ascii="宋体" w:hAnsi="Times" w:cs="宋体"/>
      <w:bCs/>
      <w:color w:val="000000"/>
    </w:rPr>
  </w:style>
  <w:style w:type="paragraph" w:customStyle="1" w:styleId="2597">
    <w:name w:val="燕山正文3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598">
    <w:name w:val="正文修改312"/>
    <w:basedOn w:val="1181"/>
    <w:autoRedefine/>
    <w:qFormat/>
    <w:uiPriority w:val="0"/>
    <w:rPr>
      <w:rFonts w:hAnsi="宋体"/>
      <w:color w:val="000000"/>
    </w:rPr>
  </w:style>
  <w:style w:type="character" w:customStyle="1" w:styleId="2599">
    <w:name w:val="正文修改 Char1312"/>
    <w:autoRedefine/>
    <w:qFormat/>
    <w:uiPriority w:val="0"/>
    <w:rPr>
      <w:rFonts w:ascii="宋体" w:hAnsi="宋体" w:eastAsia="宋体" w:cs="宋体"/>
      <w:color w:val="000000"/>
      <w:kern w:val="2"/>
      <w:sz w:val="24"/>
      <w:szCs w:val="24"/>
      <w:lang w:val="en-US" w:eastAsia="zh-CN" w:bidi="ar-SA"/>
    </w:rPr>
  </w:style>
  <w:style w:type="paragraph" w:customStyle="1" w:styleId="2600">
    <w:name w:val="表题1422"/>
    <w:basedOn w:val="22"/>
    <w:autoRedefine/>
    <w:qFormat/>
    <w:uiPriority w:val="0"/>
    <w:pPr>
      <w:widowControl w:val="0"/>
      <w:spacing w:line="360" w:lineRule="auto"/>
      <w:jc w:val="center"/>
    </w:pPr>
    <w:rPr>
      <w:rFonts w:ascii="黑体" w:hAnsi="Arial" w:cs="Arial"/>
      <w:b/>
      <w:kern w:val="2"/>
    </w:rPr>
  </w:style>
  <w:style w:type="character" w:customStyle="1" w:styleId="2601">
    <w:name w:val="表题1 Char412"/>
    <w:autoRedefine/>
    <w:qFormat/>
    <w:uiPriority w:val="0"/>
    <w:rPr>
      <w:rFonts w:ascii="黑体" w:hAnsi="Arial" w:eastAsia="黑体" w:cs="Arial"/>
      <w:b/>
      <w:kern w:val="2"/>
      <w:sz w:val="24"/>
      <w:szCs w:val="24"/>
      <w:lang w:val="en-US" w:eastAsia="zh-CN" w:bidi="ar-SA"/>
    </w:rPr>
  </w:style>
  <w:style w:type="paragraph" w:customStyle="1" w:styleId="2602">
    <w:name w:val="表中文字3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603">
    <w:name w:val="黑体三号312"/>
    <w:basedOn w:val="316"/>
    <w:autoRedefine/>
    <w:qFormat/>
    <w:uiPriority w:val="0"/>
    <w:pPr>
      <w:jc w:val="center"/>
    </w:pPr>
    <w:rPr>
      <w:rFonts w:ascii="黑体" w:hAnsi="宋体" w:eastAsia="黑体"/>
      <w:bCs/>
      <w:spacing w:val="0"/>
      <w:sz w:val="32"/>
    </w:rPr>
  </w:style>
  <w:style w:type="paragraph" w:customStyle="1" w:styleId="2604">
    <w:name w:val="默认段落字体 Para Char Char Char Char312"/>
    <w:basedOn w:val="1"/>
    <w:autoRedefine/>
    <w:qFormat/>
    <w:uiPriority w:val="0"/>
    <w:rPr>
      <w:rFonts w:ascii="宋体" w:hAnsi="宋体" w:cs="宋体"/>
    </w:rPr>
  </w:style>
  <w:style w:type="paragraph" w:customStyle="1" w:styleId="2605">
    <w:name w:val="表内541312"/>
    <w:basedOn w:val="1"/>
    <w:autoRedefine/>
    <w:qFormat/>
    <w:uiPriority w:val="0"/>
    <w:pPr>
      <w:adjustRightInd w:val="0"/>
      <w:snapToGrid w:val="0"/>
      <w:spacing w:line="300" w:lineRule="auto"/>
      <w:jc w:val="center"/>
    </w:pPr>
    <w:rPr>
      <w:rFonts w:ascii="宋体" w:hAnsi="宋体" w:cs="宋体"/>
    </w:rPr>
  </w:style>
  <w:style w:type="paragraph" w:customStyle="1" w:styleId="2606">
    <w:name w:val="标题42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607">
    <w:name w:val="Char612"/>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608">
    <w:name w:val="表题21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609">
    <w:name w:val="表内宋5中1112"/>
    <w:basedOn w:val="1"/>
    <w:autoRedefine/>
    <w:qFormat/>
    <w:uiPriority w:val="0"/>
    <w:pPr>
      <w:adjustRightInd w:val="0"/>
      <w:snapToGrid w:val="0"/>
      <w:jc w:val="center"/>
      <w:textAlignment w:val="baseline"/>
    </w:pPr>
    <w:rPr>
      <w:rFonts w:ascii="宋体" w:hAnsi="宋体" w:cs="宋体"/>
      <w:kern w:val="0"/>
    </w:rPr>
  </w:style>
  <w:style w:type="paragraph" w:customStyle="1" w:styleId="2610">
    <w:name w:val="表内宋5中122"/>
    <w:basedOn w:val="1"/>
    <w:autoRedefine/>
    <w:qFormat/>
    <w:uiPriority w:val="0"/>
    <w:pPr>
      <w:adjustRightInd w:val="0"/>
      <w:snapToGrid w:val="0"/>
      <w:jc w:val="center"/>
      <w:textAlignment w:val="baseline"/>
    </w:pPr>
    <w:rPr>
      <w:rFonts w:ascii="宋体" w:hAnsi="宋体" w:cs="宋体"/>
      <w:kern w:val="0"/>
    </w:rPr>
  </w:style>
  <w:style w:type="paragraph" w:customStyle="1" w:styleId="2611">
    <w:name w:val="表内文字小1112"/>
    <w:basedOn w:val="1"/>
    <w:autoRedefine/>
    <w:qFormat/>
    <w:uiPriority w:val="0"/>
    <w:pPr>
      <w:adjustRightInd w:val="0"/>
      <w:snapToGrid w:val="0"/>
    </w:pPr>
    <w:rPr>
      <w:rFonts w:ascii="宋体" w:hAnsi="Times" w:cs="宋体"/>
    </w:rPr>
  </w:style>
  <w:style w:type="paragraph" w:customStyle="1" w:styleId="2612">
    <w:name w:val="标题4111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613">
    <w:name w:val="表题14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614">
    <w:name w:val="表内文字小812"/>
    <w:basedOn w:val="1"/>
    <w:autoRedefine/>
    <w:qFormat/>
    <w:uiPriority w:val="0"/>
    <w:pPr>
      <w:adjustRightInd w:val="0"/>
      <w:snapToGrid w:val="0"/>
      <w:jc w:val="center"/>
    </w:pPr>
    <w:rPr>
      <w:rFonts w:ascii="宋体" w:hAnsi="Times" w:cs="宋体"/>
    </w:rPr>
  </w:style>
  <w:style w:type="paragraph" w:customStyle="1" w:styleId="2615">
    <w:name w:val="默认段落字体 Para Char2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16">
    <w:name w:val="Default12"/>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paragraph" w:customStyle="1" w:styleId="2617">
    <w:name w:val="正文格式612"/>
    <w:basedOn w:val="1"/>
    <w:autoRedefine/>
    <w:qFormat/>
    <w:uiPriority w:val="0"/>
    <w:pPr>
      <w:spacing w:line="360" w:lineRule="auto"/>
      <w:ind w:firstLine="482"/>
    </w:pPr>
    <w:rPr>
      <w:rFonts w:ascii="宋体" w:hAnsi="宋体" w:cs="宋体"/>
      <w:sz w:val="24"/>
    </w:rPr>
  </w:style>
  <w:style w:type="paragraph" w:customStyle="1" w:styleId="2618">
    <w:name w:val="附件312"/>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2619">
    <w:name w:val="图题612"/>
    <w:basedOn w:val="316"/>
    <w:next w:val="316"/>
    <w:autoRedefine/>
    <w:qFormat/>
    <w:uiPriority w:val="0"/>
    <w:pPr>
      <w:ind w:firstLine="0"/>
      <w:jc w:val="center"/>
    </w:pPr>
    <w:rPr>
      <w:rFonts w:ascii="黑体" w:hAnsi="宋体" w:eastAsia="黑体"/>
      <w:bCs/>
      <w:spacing w:val="0"/>
      <w:kern w:val="0"/>
    </w:rPr>
  </w:style>
  <w:style w:type="paragraph" w:customStyle="1" w:styleId="2620">
    <w:name w:val="表格内字体612"/>
    <w:basedOn w:val="316"/>
    <w:next w:val="316"/>
    <w:autoRedefine/>
    <w:qFormat/>
    <w:uiPriority w:val="0"/>
    <w:pPr>
      <w:spacing w:line="240" w:lineRule="auto"/>
      <w:ind w:firstLine="0"/>
      <w:jc w:val="center"/>
    </w:pPr>
    <w:rPr>
      <w:rFonts w:hAnsi="宋体"/>
      <w:b w:val="0"/>
      <w:spacing w:val="0"/>
      <w:sz w:val="21"/>
    </w:rPr>
  </w:style>
  <w:style w:type="paragraph" w:customStyle="1" w:styleId="2621">
    <w:name w:val="黑体三号412"/>
    <w:basedOn w:val="316"/>
    <w:autoRedefine/>
    <w:qFormat/>
    <w:uiPriority w:val="0"/>
    <w:pPr>
      <w:jc w:val="center"/>
    </w:pPr>
    <w:rPr>
      <w:rFonts w:ascii="黑体" w:hAnsi="宋体" w:eastAsia="黑体"/>
      <w:bCs/>
      <w:spacing w:val="0"/>
      <w:sz w:val="32"/>
    </w:rPr>
  </w:style>
  <w:style w:type="paragraph" w:customStyle="1" w:styleId="2622">
    <w:name w:val="默认段落字体 Para Char Char Char Char412"/>
    <w:basedOn w:val="1"/>
    <w:autoRedefine/>
    <w:qFormat/>
    <w:uiPriority w:val="0"/>
    <w:rPr>
      <w:rFonts w:ascii="宋体" w:hAnsi="宋体" w:cs="宋体"/>
    </w:rPr>
  </w:style>
  <w:style w:type="paragraph" w:customStyle="1" w:styleId="2623">
    <w:name w:val="图表题12"/>
    <w:basedOn w:val="316"/>
    <w:next w:val="316"/>
    <w:autoRedefine/>
    <w:qFormat/>
    <w:uiPriority w:val="0"/>
    <w:pPr>
      <w:ind w:firstLine="0"/>
      <w:jc w:val="center"/>
    </w:pPr>
    <w:rPr>
      <w:rFonts w:ascii="黑体" w:hAnsi="宋体" w:eastAsia="黑体"/>
      <w:bCs/>
      <w:spacing w:val="0"/>
    </w:rPr>
  </w:style>
  <w:style w:type="character" w:customStyle="1" w:styleId="2624">
    <w:name w:val="图表题 Char12"/>
    <w:autoRedefine/>
    <w:qFormat/>
    <w:uiPriority w:val="0"/>
    <w:rPr>
      <w:rFonts w:ascii="黑体" w:hAnsi="宋体" w:eastAsia="黑体" w:cs="宋体"/>
      <w:bCs/>
      <w:spacing w:val="10"/>
      <w:kern w:val="2"/>
      <w:sz w:val="24"/>
      <w:szCs w:val="24"/>
      <w:lang w:val="en-US" w:eastAsia="zh-CN" w:bidi="ar-SA"/>
    </w:rPr>
  </w:style>
  <w:style w:type="paragraph" w:customStyle="1" w:styleId="2625">
    <w:name w:val="样式 表格内字体 +12"/>
    <w:basedOn w:val="1178"/>
    <w:autoRedefine/>
    <w:qFormat/>
    <w:uiPriority w:val="0"/>
    <w:pPr>
      <w:spacing w:line="280" w:lineRule="exact"/>
      <w:ind w:firstLine="36"/>
      <w:jc w:val="both"/>
    </w:pPr>
    <w:rPr>
      <w:kern w:val="0"/>
    </w:rPr>
  </w:style>
  <w:style w:type="character" w:customStyle="1" w:styleId="2626">
    <w:name w:val="样式 表格内字体 + Char12"/>
    <w:autoRedefine/>
    <w:qFormat/>
    <w:uiPriority w:val="0"/>
    <w:rPr>
      <w:rFonts w:ascii="宋体" w:hAnsi="宋体" w:eastAsia="宋体" w:cs="Times New Roman"/>
      <w:kern w:val="2"/>
      <w:sz w:val="21"/>
      <w:szCs w:val="24"/>
      <w:lang w:val="en-US" w:eastAsia="zh-CN" w:bidi="ar-SA"/>
    </w:rPr>
  </w:style>
  <w:style w:type="paragraph" w:customStyle="1" w:styleId="2627">
    <w:name w:val="A正文1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paragraph" w:customStyle="1" w:styleId="2628">
    <w:name w:val="图题注12"/>
    <w:basedOn w:val="22"/>
    <w:autoRedefine/>
    <w:qFormat/>
    <w:uiPriority w:val="0"/>
    <w:pPr>
      <w:widowControl w:val="0"/>
      <w:jc w:val="center"/>
    </w:pPr>
    <w:rPr>
      <w:rFonts w:ascii="黑体" w:hAnsi="Arial"/>
      <w:b/>
      <w:bCs/>
      <w:kern w:val="2"/>
    </w:rPr>
  </w:style>
  <w:style w:type="paragraph" w:customStyle="1" w:styleId="2629">
    <w:name w:val="Char712"/>
    <w:basedOn w:val="1"/>
    <w:autoRedefine/>
    <w:qFormat/>
    <w:uiPriority w:val="0"/>
    <w:pPr>
      <w:ind w:left="-48"/>
    </w:pPr>
    <w:rPr>
      <w:rFonts w:ascii="宋体" w:hAnsi="宋体" w:cs="宋体"/>
    </w:rPr>
  </w:style>
  <w:style w:type="paragraph" w:customStyle="1" w:styleId="2630">
    <w:name w:val="表格内字体1112"/>
    <w:basedOn w:val="316"/>
    <w:autoRedefine/>
    <w:qFormat/>
    <w:uiPriority w:val="0"/>
    <w:pPr>
      <w:spacing w:line="240" w:lineRule="auto"/>
      <w:ind w:firstLine="0"/>
      <w:jc w:val="center"/>
    </w:pPr>
    <w:rPr>
      <w:rFonts w:hAnsi="Times New Roman"/>
      <w:b w:val="0"/>
      <w:spacing w:val="0"/>
      <w:sz w:val="21"/>
    </w:rPr>
  </w:style>
  <w:style w:type="paragraph" w:customStyle="1" w:styleId="2631">
    <w:name w:val="样式 正文缩进 + 宋体 黑色 首行缩进:  2 字符12"/>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632">
    <w:name w:val="环评正文12"/>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paragraph" w:customStyle="1" w:styleId="2633">
    <w:name w:val="注释12"/>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2634">
    <w:name w:val="样式412"/>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635">
    <w:name w:val="标题4122"/>
    <w:basedOn w:val="6"/>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2636">
    <w:name w:val="表中文字412"/>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paragraph" w:customStyle="1" w:styleId="2637">
    <w:name w:val="样式 正文缩进 + 宋体 黑色12"/>
    <w:basedOn w:val="9"/>
    <w:autoRedefine/>
    <w:qFormat/>
    <w:uiPriority w:val="0"/>
    <w:pPr>
      <w:adjustRightInd/>
      <w:snapToGrid/>
      <w:spacing w:line="360" w:lineRule="auto"/>
      <w:jc w:val="left"/>
    </w:pPr>
    <w:rPr>
      <w:rFonts w:ascii="宋体" w:hAnsi="宋体" w:eastAsia="宋体" w:cs="宋体"/>
      <w:sz w:val="24"/>
    </w:rPr>
  </w:style>
  <w:style w:type="paragraph" w:customStyle="1" w:styleId="2638">
    <w:name w:val="表内5112"/>
    <w:basedOn w:val="1"/>
    <w:autoRedefine/>
    <w:qFormat/>
    <w:uiPriority w:val="0"/>
    <w:pPr>
      <w:adjustRightInd w:val="0"/>
      <w:snapToGrid w:val="0"/>
      <w:jc w:val="center"/>
    </w:pPr>
    <w:rPr>
      <w:rFonts w:ascii="宋体" w:hAnsi="宋体" w:cs="宋体"/>
      <w:kern w:val="0"/>
      <w:sz w:val="24"/>
    </w:rPr>
  </w:style>
  <w:style w:type="paragraph" w:customStyle="1" w:styleId="2639">
    <w:name w:val="样式 样式 宋体 + 首行缩进:  2 字符112"/>
    <w:basedOn w:val="1"/>
    <w:autoRedefine/>
    <w:qFormat/>
    <w:uiPriority w:val="0"/>
    <w:pPr>
      <w:spacing w:line="360" w:lineRule="auto"/>
      <w:ind w:firstLine="480" w:firstLineChars="200"/>
      <w:jc w:val="left"/>
    </w:pPr>
    <w:rPr>
      <w:rFonts w:ascii="宋体" w:hAnsi="宋体" w:cs="宋体"/>
      <w:sz w:val="24"/>
    </w:rPr>
  </w:style>
  <w:style w:type="paragraph" w:customStyle="1" w:styleId="2640">
    <w:name w:val="表内宋5中212"/>
    <w:basedOn w:val="1"/>
    <w:autoRedefine/>
    <w:qFormat/>
    <w:uiPriority w:val="0"/>
    <w:pPr>
      <w:adjustRightInd w:val="0"/>
      <w:snapToGrid w:val="0"/>
      <w:jc w:val="center"/>
      <w:textAlignment w:val="baseline"/>
    </w:pPr>
    <w:rPr>
      <w:rFonts w:ascii="宋体" w:hAnsi="宋体" w:cs="宋体"/>
      <w:kern w:val="0"/>
    </w:rPr>
  </w:style>
  <w:style w:type="paragraph" w:customStyle="1" w:styleId="2641">
    <w:name w:val="xl6312"/>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642">
    <w:name w:val="标准12"/>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643">
    <w:name w:val="Fax Header12"/>
    <w:basedOn w:val="1"/>
    <w:autoRedefine/>
    <w:qFormat/>
    <w:uiPriority w:val="0"/>
    <w:pPr>
      <w:widowControl/>
      <w:spacing w:before="240" w:after="60"/>
      <w:jc w:val="left"/>
    </w:pPr>
    <w:rPr>
      <w:rFonts w:ascii="宋体" w:hAnsi="宋体" w:cs="宋体"/>
      <w:kern w:val="0"/>
      <w:sz w:val="24"/>
    </w:rPr>
  </w:style>
  <w:style w:type="paragraph" w:customStyle="1" w:styleId="2644">
    <w:name w:val="样式 表格内字体1 +12"/>
    <w:basedOn w:val="1265"/>
    <w:next w:val="1178"/>
    <w:autoRedefine/>
    <w:qFormat/>
    <w:uiPriority w:val="0"/>
    <w:rPr>
      <w:rFonts w:hAnsi="Times New Roman"/>
    </w:rPr>
  </w:style>
  <w:style w:type="paragraph" w:customStyle="1" w:styleId="2645">
    <w:name w:val="默认段落字体 Para Char312"/>
    <w:basedOn w:val="1"/>
    <w:autoRedefine/>
    <w:qFormat/>
    <w:uiPriority w:val="0"/>
    <w:pPr>
      <w:spacing w:line="360" w:lineRule="auto"/>
      <w:ind w:firstLine="200" w:firstLineChars="200"/>
    </w:pPr>
    <w:rPr>
      <w:rFonts w:ascii="宋体" w:hAnsi="宋体" w:cs="宋体"/>
      <w:sz w:val="24"/>
    </w:rPr>
  </w:style>
  <w:style w:type="paragraph" w:customStyle="1" w:styleId="2646">
    <w:name w:val="正文斜体12"/>
    <w:basedOn w:val="316"/>
    <w:next w:val="316"/>
    <w:autoRedefine/>
    <w:qFormat/>
    <w:uiPriority w:val="0"/>
    <w:rPr>
      <w:rFonts w:hAnsi="宋体"/>
      <w:b w:val="0"/>
      <w:i/>
      <w:iCs/>
      <w:spacing w:val="0"/>
    </w:rPr>
  </w:style>
  <w:style w:type="character" w:customStyle="1" w:styleId="2647">
    <w:name w:val="正文斜体 Char12"/>
    <w:autoRedefine/>
    <w:qFormat/>
    <w:uiPriority w:val="0"/>
    <w:rPr>
      <w:rFonts w:ascii="宋体" w:hAnsi="宋体" w:eastAsia="宋体" w:cs="Times New Roman"/>
      <w:b/>
      <w:i/>
      <w:iCs/>
      <w:spacing w:val="10"/>
      <w:kern w:val="2"/>
      <w:sz w:val="24"/>
      <w:szCs w:val="24"/>
      <w:lang w:val="en-US" w:eastAsia="zh-CN" w:bidi="ar-SA"/>
    </w:rPr>
  </w:style>
  <w:style w:type="paragraph" w:customStyle="1" w:styleId="2648">
    <w:name w:val="Char812"/>
    <w:basedOn w:val="1"/>
    <w:autoRedefine/>
    <w:qFormat/>
    <w:uiPriority w:val="0"/>
    <w:pPr>
      <w:ind w:left="-48"/>
    </w:pPr>
    <w:rPr>
      <w:rFonts w:ascii="宋体" w:hAnsi="宋体" w:cs="宋体"/>
    </w:rPr>
  </w:style>
  <w:style w:type="paragraph" w:customStyle="1" w:styleId="2649">
    <w:name w:val="正文格式712"/>
    <w:basedOn w:val="1"/>
    <w:autoRedefine/>
    <w:qFormat/>
    <w:uiPriority w:val="0"/>
    <w:pPr>
      <w:spacing w:line="360" w:lineRule="auto"/>
      <w:ind w:firstLine="482"/>
    </w:pPr>
    <w:rPr>
      <w:rFonts w:ascii="宋体" w:hAnsi="宋体" w:cs="宋体"/>
      <w:sz w:val="24"/>
    </w:rPr>
  </w:style>
  <w:style w:type="character" w:customStyle="1" w:styleId="2650">
    <w:name w:val="题注 Char512"/>
    <w:autoRedefine/>
    <w:qFormat/>
    <w:uiPriority w:val="0"/>
    <w:rPr>
      <w:rFonts w:ascii="黑体" w:hAnsi="Arial" w:eastAsia="黑体" w:cs="Arial"/>
      <w:spacing w:val="10"/>
      <w:kern w:val="2"/>
      <w:sz w:val="24"/>
      <w:szCs w:val="24"/>
      <w:lang w:val="en-US" w:eastAsia="zh-CN" w:bidi="ar-SA"/>
    </w:rPr>
  </w:style>
  <w:style w:type="paragraph" w:customStyle="1" w:styleId="2651">
    <w:name w:val="图题712"/>
    <w:basedOn w:val="316"/>
    <w:next w:val="316"/>
    <w:autoRedefine/>
    <w:qFormat/>
    <w:uiPriority w:val="0"/>
    <w:pPr>
      <w:ind w:firstLine="0"/>
      <w:jc w:val="center"/>
    </w:pPr>
    <w:rPr>
      <w:rFonts w:ascii="黑体" w:hAnsi="宋体" w:eastAsia="黑体"/>
      <w:bCs/>
      <w:spacing w:val="0"/>
    </w:rPr>
  </w:style>
  <w:style w:type="paragraph" w:customStyle="1" w:styleId="2652">
    <w:name w:val="表格内字体712"/>
    <w:basedOn w:val="316"/>
    <w:next w:val="316"/>
    <w:autoRedefine/>
    <w:qFormat/>
    <w:uiPriority w:val="0"/>
    <w:pPr>
      <w:spacing w:line="240" w:lineRule="auto"/>
      <w:ind w:firstLine="0"/>
      <w:jc w:val="center"/>
    </w:pPr>
    <w:rPr>
      <w:rFonts w:hAnsi="宋体"/>
      <w:b w:val="0"/>
      <w:spacing w:val="0"/>
      <w:sz w:val="21"/>
    </w:rPr>
  </w:style>
  <w:style w:type="paragraph" w:customStyle="1" w:styleId="2653">
    <w:name w:val="Char912"/>
    <w:basedOn w:val="1"/>
    <w:autoRedefine/>
    <w:qFormat/>
    <w:uiPriority w:val="0"/>
    <w:pPr>
      <w:ind w:left="-48"/>
    </w:pPr>
    <w:rPr>
      <w:rFonts w:ascii="宋体" w:hAnsi="宋体" w:cs="宋体"/>
    </w:rPr>
  </w:style>
  <w:style w:type="paragraph" w:customStyle="1" w:styleId="2654">
    <w:name w:val="表题1512"/>
    <w:basedOn w:val="22"/>
    <w:autoRedefine/>
    <w:qFormat/>
    <w:uiPriority w:val="0"/>
    <w:pPr>
      <w:widowControl w:val="0"/>
      <w:spacing w:line="360" w:lineRule="auto"/>
      <w:jc w:val="center"/>
    </w:pPr>
    <w:rPr>
      <w:rFonts w:ascii="黑体" w:hAnsi="Arial" w:cs="Arial"/>
      <w:b/>
      <w:kern w:val="2"/>
    </w:rPr>
  </w:style>
  <w:style w:type="character" w:customStyle="1" w:styleId="2655">
    <w:name w:val="表题1 Char612"/>
    <w:autoRedefine/>
    <w:qFormat/>
    <w:uiPriority w:val="0"/>
    <w:rPr>
      <w:rFonts w:ascii="黑体" w:hAnsi="Arial" w:eastAsia="黑体" w:cs="Arial"/>
      <w:b/>
      <w:kern w:val="2"/>
      <w:sz w:val="24"/>
      <w:szCs w:val="24"/>
      <w:lang w:val="en-US" w:eastAsia="zh-CN" w:bidi="ar-SA"/>
    </w:rPr>
  </w:style>
  <w:style w:type="paragraph" w:customStyle="1" w:styleId="2656">
    <w:name w:val="燕山正文4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657">
    <w:name w:val="正文修改412"/>
    <w:basedOn w:val="1181"/>
    <w:autoRedefine/>
    <w:qFormat/>
    <w:uiPriority w:val="0"/>
    <w:rPr>
      <w:rFonts w:hAnsi="宋体"/>
      <w:color w:val="000000"/>
    </w:rPr>
  </w:style>
  <w:style w:type="character" w:customStyle="1" w:styleId="2658">
    <w:name w:val="正文修改 Char1412"/>
    <w:autoRedefine/>
    <w:qFormat/>
    <w:uiPriority w:val="0"/>
    <w:rPr>
      <w:rFonts w:ascii="宋体" w:hAnsi="Times New Roman" w:eastAsia="宋体" w:cs="宋体"/>
      <w:kern w:val="2"/>
      <w:sz w:val="24"/>
      <w:szCs w:val="24"/>
      <w:lang w:val="en-US" w:eastAsia="zh-CN" w:bidi="ar-SA"/>
    </w:rPr>
  </w:style>
  <w:style w:type="paragraph" w:customStyle="1" w:styleId="2659">
    <w:name w:val="表中文字5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660">
    <w:name w:val="默认段落字体 Para Char Char Char Char512"/>
    <w:basedOn w:val="1"/>
    <w:autoRedefine/>
    <w:qFormat/>
    <w:uiPriority w:val="0"/>
    <w:rPr>
      <w:rFonts w:ascii="宋体" w:hAnsi="宋体" w:cs="宋体"/>
    </w:rPr>
  </w:style>
  <w:style w:type="paragraph" w:customStyle="1" w:styleId="2661">
    <w:name w:val="Char1012"/>
    <w:basedOn w:val="1"/>
    <w:autoRedefine/>
    <w:qFormat/>
    <w:uiPriority w:val="0"/>
    <w:pPr>
      <w:adjustRightInd w:val="0"/>
      <w:snapToGrid w:val="0"/>
      <w:spacing w:line="360" w:lineRule="auto"/>
    </w:pPr>
    <w:rPr>
      <w:rFonts w:ascii="宋体" w:hAnsi="宋体" w:cs="宋体"/>
    </w:rPr>
  </w:style>
  <w:style w:type="paragraph" w:customStyle="1" w:styleId="2662">
    <w:name w:val="表内5中112"/>
    <w:basedOn w:val="1"/>
    <w:autoRedefine/>
    <w:qFormat/>
    <w:uiPriority w:val="0"/>
    <w:pPr>
      <w:adjustRightInd w:val="0"/>
      <w:snapToGrid w:val="0"/>
      <w:jc w:val="center"/>
    </w:pPr>
    <w:rPr>
      <w:rFonts w:ascii="宋体" w:hAnsi="宋体" w:cs="Arial"/>
      <w:snapToGrid w:val="0"/>
      <w:color w:val="000000"/>
      <w:szCs w:val="21"/>
    </w:rPr>
  </w:style>
  <w:style w:type="paragraph" w:customStyle="1" w:styleId="2663">
    <w:name w:val="表内541412"/>
    <w:basedOn w:val="1"/>
    <w:autoRedefine/>
    <w:qFormat/>
    <w:uiPriority w:val="0"/>
    <w:pPr>
      <w:adjustRightInd w:val="0"/>
      <w:snapToGrid w:val="0"/>
      <w:spacing w:line="300" w:lineRule="auto"/>
      <w:jc w:val="center"/>
    </w:pPr>
    <w:rPr>
      <w:rFonts w:ascii="宋体" w:hAnsi="宋体" w:cs="宋体"/>
    </w:rPr>
  </w:style>
  <w:style w:type="paragraph" w:customStyle="1" w:styleId="2664">
    <w:name w:val="表内文字小122"/>
    <w:basedOn w:val="1"/>
    <w:autoRedefine/>
    <w:qFormat/>
    <w:uiPriority w:val="0"/>
    <w:pPr>
      <w:adjustRightInd w:val="0"/>
      <w:snapToGrid w:val="0"/>
      <w:jc w:val="center"/>
    </w:pPr>
    <w:rPr>
      <w:rFonts w:ascii="宋体" w:hAnsi="Times" w:cs="宋体"/>
    </w:rPr>
  </w:style>
  <w:style w:type="character" w:customStyle="1" w:styleId="2665">
    <w:name w:val="正文首行缩进 2 Char12"/>
    <w:autoRedefine/>
    <w:qFormat/>
    <w:uiPriority w:val="0"/>
    <w:rPr>
      <w:rFonts w:eastAsia="宋体"/>
      <w:kern w:val="2"/>
      <w:sz w:val="21"/>
      <w:szCs w:val="24"/>
      <w:lang w:val="en-US" w:eastAsia="zh-CN" w:bidi="ar-SA"/>
    </w:rPr>
  </w:style>
  <w:style w:type="paragraph" w:customStyle="1" w:styleId="2666">
    <w:name w:val="默认段落字体 Para Char4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67">
    <w:name w:val="正文格式812"/>
    <w:basedOn w:val="1"/>
    <w:autoRedefine/>
    <w:qFormat/>
    <w:uiPriority w:val="0"/>
    <w:pPr>
      <w:spacing w:line="360" w:lineRule="auto"/>
      <w:ind w:firstLine="482"/>
    </w:pPr>
    <w:rPr>
      <w:rFonts w:ascii="宋体" w:hAnsi="宋体" w:cs="宋体"/>
      <w:sz w:val="24"/>
    </w:rPr>
  </w:style>
  <w:style w:type="paragraph" w:customStyle="1" w:styleId="2668">
    <w:name w:val="正文格式912"/>
    <w:basedOn w:val="1"/>
    <w:autoRedefine/>
    <w:qFormat/>
    <w:uiPriority w:val="0"/>
    <w:pPr>
      <w:spacing w:line="360" w:lineRule="auto"/>
      <w:ind w:firstLine="482"/>
    </w:pPr>
    <w:rPr>
      <w:rFonts w:ascii="宋体" w:hAnsi="宋体" w:cs="宋体"/>
      <w:sz w:val="24"/>
    </w:rPr>
  </w:style>
  <w:style w:type="paragraph" w:customStyle="1" w:styleId="2669">
    <w:name w:val="Char422"/>
    <w:basedOn w:val="1"/>
    <w:autoRedefine/>
    <w:qFormat/>
    <w:uiPriority w:val="0"/>
    <w:pPr>
      <w:ind w:left="-48"/>
    </w:pPr>
    <w:rPr>
      <w:rFonts w:ascii="宋体" w:hAnsi="宋体" w:cs="宋体"/>
    </w:rPr>
  </w:style>
  <w:style w:type="paragraph" w:customStyle="1" w:styleId="2670">
    <w:name w:val="Char Char Char Char Char Char Char52"/>
    <w:basedOn w:val="1"/>
    <w:autoRedefine/>
    <w:qFormat/>
    <w:uiPriority w:val="0"/>
    <w:rPr>
      <w:rFonts w:ascii="宋体" w:hAnsi="宋体" w:cs="宋体"/>
    </w:rPr>
  </w:style>
  <w:style w:type="paragraph" w:customStyle="1" w:styleId="2671">
    <w:name w:val="Char162"/>
    <w:basedOn w:val="1"/>
    <w:autoRedefine/>
    <w:qFormat/>
    <w:uiPriority w:val="0"/>
    <w:pPr>
      <w:ind w:left="-48"/>
    </w:pPr>
    <w:rPr>
      <w:rFonts w:ascii="宋体" w:hAnsi="宋体" w:cs="宋体"/>
    </w:rPr>
  </w:style>
  <w:style w:type="paragraph" w:customStyle="1" w:styleId="2672">
    <w:name w:val="Char Char Char Char1 Char Char Char22"/>
    <w:basedOn w:val="1"/>
    <w:autoRedefine/>
    <w:qFormat/>
    <w:uiPriority w:val="0"/>
    <w:pPr>
      <w:widowControl/>
      <w:spacing w:after="160"/>
      <w:jc w:val="left"/>
    </w:pPr>
    <w:rPr>
      <w:rFonts w:ascii="Verdana" w:hAnsi="Verdana" w:cs="宋体"/>
      <w:kern w:val="0"/>
      <w:sz w:val="24"/>
      <w:lang w:eastAsia="en-US"/>
    </w:rPr>
  </w:style>
  <w:style w:type="paragraph" w:customStyle="1" w:styleId="2673">
    <w:name w:val="Char172"/>
    <w:basedOn w:val="1"/>
    <w:autoRedefine/>
    <w:qFormat/>
    <w:uiPriority w:val="0"/>
    <w:pPr>
      <w:ind w:left="-48"/>
    </w:pPr>
    <w:rPr>
      <w:rFonts w:ascii="宋体" w:hAnsi="宋体" w:cs="宋体"/>
    </w:rPr>
  </w:style>
  <w:style w:type="paragraph" w:customStyle="1" w:styleId="2674">
    <w:name w:val="Char Char Char Char Char Char Char132"/>
    <w:basedOn w:val="1"/>
    <w:autoRedefine/>
    <w:qFormat/>
    <w:uiPriority w:val="0"/>
    <w:rPr>
      <w:rFonts w:ascii="宋体" w:hAnsi="宋体" w:cs="宋体"/>
    </w:rPr>
  </w:style>
  <w:style w:type="paragraph" w:customStyle="1" w:styleId="2675">
    <w:name w:val="Char232"/>
    <w:basedOn w:val="1"/>
    <w:autoRedefine/>
    <w:qFormat/>
    <w:uiPriority w:val="0"/>
    <w:pPr>
      <w:ind w:left="-48"/>
    </w:pPr>
    <w:rPr>
      <w:rFonts w:ascii="宋体" w:hAnsi="宋体" w:cs="宋体"/>
    </w:rPr>
  </w:style>
  <w:style w:type="paragraph" w:customStyle="1" w:styleId="2676">
    <w:name w:val="Char332"/>
    <w:basedOn w:val="1"/>
    <w:autoRedefine/>
    <w:qFormat/>
    <w:uiPriority w:val="0"/>
    <w:pPr>
      <w:ind w:left="-48"/>
    </w:pPr>
    <w:rPr>
      <w:rFonts w:ascii="宋体" w:hAnsi="宋体" w:cs="宋体"/>
    </w:rPr>
  </w:style>
  <w:style w:type="paragraph" w:customStyle="1" w:styleId="2677">
    <w:name w:val="Char Char Char Char Char Char Char222"/>
    <w:basedOn w:val="1"/>
    <w:autoRedefine/>
    <w:qFormat/>
    <w:uiPriority w:val="0"/>
    <w:rPr>
      <w:rFonts w:ascii="宋体" w:hAnsi="宋体" w:cs="宋体"/>
    </w:rPr>
  </w:style>
  <w:style w:type="paragraph" w:customStyle="1" w:styleId="2678">
    <w:name w:val="Char432"/>
    <w:basedOn w:val="1"/>
    <w:autoRedefine/>
    <w:qFormat/>
    <w:uiPriority w:val="0"/>
    <w:pPr>
      <w:ind w:left="-48"/>
    </w:pPr>
    <w:rPr>
      <w:rFonts w:ascii="宋体" w:hAnsi="宋体" w:cs="宋体"/>
    </w:rPr>
  </w:style>
  <w:style w:type="paragraph" w:customStyle="1" w:styleId="2679">
    <w:name w:val="表格内容12"/>
    <w:autoRedefine/>
    <w:qFormat/>
    <w:uiPriority w:val="0"/>
    <w:pPr>
      <w:jc w:val="center"/>
    </w:pPr>
    <w:rPr>
      <w:rFonts w:ascii="Times New Roman" w:hAnsi="Times New Roman" w:cs="Times New Roman" w:eastAsiaTheme="minorEastAsia"/>
      <w:kern w:val="2"/>
      <w:sz w:val="21"/>
      <w:szCs w:val="21"/>
      <w:lang w:val="en-US" w:eastAsia="zh-CN" w:bidi="ar-SA"/>
    </w:rPr>
  </w:style>
  <w:style w:type="paragraph" w:customStyle="1" w:styleId="2680">
    <w:name w:val="正文格式822"/>
    <w:basedOn w:val="1"/>
    <w:autoRedefine/>
    <w:qFormat/>
    <w:uiPriority w:val="0"/>
    <w:pPr>
      <w:spacing w:line="360" w:lineRule="auto"/>
      <w:ind w:firstLine="482"/>
    </w:pPr>
    <w:rPr>
      <w:rFonts w:ascii="宋体" w:hAnsi="宋体" w:cs="宋体"/>
      <w:sz w:val="24"/>
    </w:rPr>
  </w:style>
  <w:style w:type="paragraph" w:customStyle="1" w:styleId="2681">
    <w:name w:val="正文格式16"/>
    <w:basedOn w:val="1"/>
    <w:autoRedefine/>
    <w:qFormat/>
    <w:uiPriority w:val="0"/>
    <w:pPr>
      <w:spacing w:line="360" w:lineRule="auto"/>
      <w:ind w:firstLine="482"/>
    </w:pPr>
    <w:rPr>
      <w:rFonts w:ascii="宋体" w:hAnsi="宋体" w:cs="宋体"/>
      <w:sz w:val="24"/>
    </w:rPr>
  </w:style>
  <w:style w:type="character" w:customStyle="1" w:styleId="2682">
    <w:name w:val="正文格式 Char13"/>
    <w:autoRedefine/>
    <w:qFormat/>
    <w:uiPriority w:val="0"/>
    <w:rPr>
      <w:rFonts w:ascii="宋体" w:hAnsi="宋体" w:eastAsia="宋体"/>
      <w:kern w:val="2"/>
      <w:sz w:val="24"/>
      <w:szCs w:val="24"/>
      <w:lang w:val="en-US" w:eastAsia="zh-CN" w:bidi="ar-SA"/>
    </w:rPr>
  </w:style>
  <w:style w:type="paragraph" w:customStyle="1" w:styleId="2683">
    <w:name w:val="Char39"/>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684">
    <w:name w:val="节 Char13"/>
    <w:autoRedefine/>
    <w:qFormat/>
    <w:uiPriority w:val="0"/>
    <w:rPr>
      <w:rFonts w:ascii="黑体" w:hAnsi="Arial" w:eastAsia="黑体"/>
      <w:bCs/>
      <w:kern w:val="2"/>
      <w:sz w:val="30"/>
      <w:szCs w:val="30"/>
      <w:lang w:val="en-US" w:eastAsia="zh-CN" w:bidi="ar-SA"/>
    </w:rPr>
  </w:style>
  <w:style w:type="character" w:customStyle="1" w:styleId="2685">
    <w:name w:val="三级标题 Char23"/>
    <w:autoRedefine/>
    <w:qFormat/>
    <w:uiPriority w:val="0"/>
    <w:rPr>
      <w:rFonts w:ascii="黑体" w:hAnsi="宋体" w:eastAsia="黑体"/>
      <w:bCs/>
      <w:kern w:val="2"/>
      <w:sz w:val="28"/>
      <w:szCs w:val="28"/>
      <w:lang w:val="en-US" w:eastAsia="zh-CN" w:bidi="ar-SA"/>
    </w:rPr>
  </w:style>
  <w:style w:type="character" w:customStyle="1" w:styleId="2686">
    <w:name w:val="表题 Char9"/>
    <w:autoRedefine/>
    <w:qFormat/>
    <w:uiPriority w:val="0"/>
    <w:rPr>
      <w:rFonts w:ascii="黑体" w:hAnsi="Arial" w:eastAsia="黑体" w:cs="Arial"/>
      <w:spacing w:val="10"/>
      <w:kern w:val="2"/>
      <w:sz w:val="24"/>
      <w:szCs w:val="24"/>
      <w:lang w:val="en-US" w:eastAsia="zh-CN" w:bidi="ar-SA"/>
    </w:rPr>
  </w:style>
  <w:style w:type="paragraph" w:customStyle="1" w:styleId="2687">
    <w:name w:val="图题14"/>
    <w:basedOn w:val="316"/>
    <w:next w:val="316"/>
    <w:autoRedefine/>
    <w:qFormat/>
    <w:uiPriority w:val="0"/>
    <w:pPr>
      <w:ind w:firstLine="0"/>
      <w:jc w:val="center"/>
    </w:pPr>
    <w:rPr>
      <w:rFonts w:ascii="黑体" w:hAnsi="宋体" w:eastAsia="黑体"/>
      <w:bCs/>
      <w:spacing w:val="0"/>
    </w:rPr>
  </w:style>
  <w:style w:type="paragraph" w:customStyle="1" w:styleId="2688">
    <w:name w:val="表格内字体15"/>
    <w:basedOn w:val="316"/>
    <w:next w:val="316"/>
    <w:autoRedefine/>
    <w:qFormat/>
    <w:uiPriority w:val="0"/>
    <w:pPr>
      <w:spacing w:line="240" w:lineRule="auto"/>
      <w:ind w:firstLine="0"/>
      <w:jc w:val="center"/>
    </w:pPr>
    <w:rPr>
      <w:rFonts w:hAnsi="宋体"/>
      <w:b w:val="0"/>
      <w:spacing w:val="0"/>
      <w:sz w:val="21"/>
    </w:rPr>
  </w:style>
  <w:style w:type="character" w:customStyle="1" w:styleId="2689">
    <w:name w:val="表格内字体 Char11"/>
    <w:autoRedefine/>
    <w:qFormat/>
    <w:uiPriority w:val="0"/>
    <w:rPr>
      <w:rFonts w:ascii="宋体" w:hAnsi="宋体" w:eastAsia="宋体"/>
      <w:kern w:val="2"/>
      <w:sz w:val="21"/>
      <w:szCs w:val="24"/>
      <w:lang w:val="en-US" w:eastAsia="zh-CN" w:bidi="ar-SA"/>
    </w:rPr>
  </w:style>
  <w:style w:type="character" w:customStyle="1" w:styleId="2690">
    <w:name w:val="标题2 Char12"/>
    <w:autoRedefine/>
    <w:qFormat/>
    <w:uiPriority w:val="0"/>
    <w:rPr>
      <w:rFonts w:ascii="宋体" w:hAnsi="宋体" w:eastAsia="宋体" w:cs="宋体"/>
      <w:color w:val="000000"/>
      <w:kern w:val="2"/>
      <w:sz w:val="24"/>
      <w:szCs w:val="24"/>
      <w:lang w:val="en-US" w:eastAsia="zh-CN" w:bidi="ar-SA"/>
    </w:rPr>
  </w:style>
  <w:style w:type="paragraph" w:customStyle="1" w:styleId="2691">
    <w:name w:val="表内5418"/>
    <w:basedOn w:val="1"/>
    <w:autoRedefine/>
    <w:qFormat/>
    <w:uiPriority w:val="0"/>
    <w:pPr>
      <w:adjustRightInd w:val="0"/>
      <w:snapToGrid w:val="0"/>
      <w:spacing w:line="300" w:lineRule="auto"/>
      <w:jc w:val="center"/>
    </w:pPr>
    <w:rPr>
      <w:rFonts w:ascii="宋体" w:hAnsi="宋体" w:cs="宋体"/>
    </w:rPr>
  </w:style>
  <w:style w:type="paragraph" w:customStyle="1" w:styleId="2692">
    <w:name w:val="表内文字小217"/>
    <w:basedOn w:val="1"/>
    <w:autoRedefine/>
    <w:qFormat/>
    <w:uiPriority w:val="0"/>
    <w:pPr>
      <w:adjustRightInd w:val="0"/>
      <w:snapToGrid w:val="0"/>
      <w:jc w:val="center"/>
    </w:pPr>
    <w:rPr>
      <w:rFonts w:ascii="宋体" w:hAnsi="Times" w:cs="宋体"/>
      <w:bCs/>
      <w:color w:val="000000"/>
    </w:rPr>
  </w:style>
  <w:style w:type="paragraph" w:customStyle="1" w:styleId="2693">
    <w:name w:val="表题317"/>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694">
    <w:name w:val="Char Char Char Char Char Char Char19"/>
    <w:basedOn w:val="1"/>
    <w:autoRedefine/>
    <w:qFormat/>
    <w:uiPriority w:val="0"/>
    <w:rPr>
      <w:rFonts w:ascii="宋体" w:hAnsi="宋体" w:cs="宋体"/>
    </w:rPr>
  </w:style>
  <w:style w:type="paragraph" w:customStyle="1" w:styleId="2695">
    <w:name w:val="标题4316"/>
    <w:basedOn w:val="1"/>
    <w:autoRedefine/>
    <w:qFormat/>
    <w:uiPriority w:val="0"/>
    <w:pPr>
      <w:adjustRightInd w:val="0"/>
      <w:snapToGrid w:val="0"/>
      <w:spacing w:line="480" w:lineRule="exact"/>
      <w:jc w:val="center"/>
    </w:pPr>
    <w:rPr>
      <w:rFonts w:ascii="宋体" w:hAnsi="宋体" w:cs="宋体"/>
      <w:sz w:val="24"/>
    </w:rPr>
  </w:style>
  <w:style w:type="paragraph" w:customStyle="1" w:styleId="2696">
    <w:name w:val="燕山正文117"/>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97">
    <w:name w:val="默认段落字体 Para Char Char Char Char9"/>
    <w:basedOn w:val="1"/>
    <w:autoRedefine/>
    <w:qFormat/>
    <w:uiPriority w:val="0"/>
    <w:rPr>
      <w:rFonts w:ascii="宋体" w:hAnsi="宋体" w:cs="宋体"/>
    </w:rPr>
  </w:style>
  <w:style w:type="paragraph" w:customStyle="1" w:styleId="2698">
    <w:name w:val="附件7"/>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699">
    <w:name w:val="黑体三号8"/>
    <w:basedOn w:val="316"/>
    <w:autoRedefine/>
    <w:qFormat/>
    <w:uiPriority w:val="0"/>
    <w:pPr>
      <w:jc w:val="center"/>
    </w:pPr>
    <w:rPr>
      <w:rFonts w:ascii="黑体" w:hAnsi="宋体" w:eastAsia="黑体"/>
      <w:bCs/>
      <w:spacing w:val="0"/>
      <w:sz w:val="32"/>
    </w:rPr>
  </w:style>
  <w:style w:type="paragraph" w:customStyle="1" w:styleId="2700">
    <w:name w:val="表7"/>
    <w:basedOn w:val="1"/>
    <w:autoRedefine/>
    <w:qFormat/>
    <w:uiPriority w:val="0"/>
    <w:pPr>
      <w:adjustRightInd w:val="0"/>
      <w:snapToGrid w:val="0"/>
      <w:jc w:val="center"/>
    </w:pPr>
    <w:rPr>
      <w:rFonts w:ascii="宋体" w:hAnsi="宋体" w:eastAsia="仿宋_GB2312" w:cs="宋体"/>
      <w:sz w:val="24"/>
    </w:rPr>
  </w:style>
  <w:style w:type="character" w:customStyle="1" w:styleId="2701">
    <w:name w:val="Char Char81"/>
    <w:autoRedefine/>
    <w:qFormat/>
    <w:uiPriority w:val="0"/>
    <w:rPr>
      <w:rFonts w:eastAsia="宋体"/>
      <w:kern w:val="2"/>
      <w:sz w:val="16"/>
      <w:szCs w:val="16"/>
      <w:lang w:val="en-US" w:eastAsia="zh-CN" w:bidi="ar-SA"/>
    </w:rPr>
  </w:style>
  <w:style w:type="character" w:customStyle="1" w:styleId="2702">
    <w:name w:val="Char Char13"/>
    <w:autoRedefine/>
    <w:qFormat/>
    <w:uiPriority w:val="0"/>
    <w:rPr>
      <w:rFonts w:ascii="黑体" w:hAnsi="Arial" w:eastAsia="黑体"/>
      <w:b/>
      <w:bCs/>
      <w:kern w:val="2"/>
      <w:sz w:val="30"/>
      <w:szCs w:val="30"/>
      <w:lang w:val="en-US" w:eastAsia="zh-CN" w:bidi="ar-SA"/>
    </w:rPr>
  </w:style>
  <w:style w:type="character" w:customStyle="1" w:styleId="2703">
    <w:name w:val="Char Char7"/>
    <w:autoRedefine/>
    <w:qFormat/>
    <w:uiPriority w:val="0"/>
    <w:rPr>
      <w:rFonts w:ascii="黑体" w:eastAsia="黑体"/>
      <w:b/>
      <w:bCs/>
      <w:kern w:val="2"/>
      <w:sz w:val="28"/>
      <w:szCs w:val="28"/>
      <w:lang w:val="en-US" w:eastAsia="zh-CN" w:bidi="ar-SA"/>
    </w:rPr>
  </w:style>
  <w:style w:type="paragraph" w:customStyle="1" w:styleId="2704">
    <w:name w:val="表题19"/>
    <w:basedOn w:val="22"/>
    <w:autoRedefine/>
    <w:qFormat/>
    <w:uiPriority w:val="0"/>
    <w:pPr>
      <w:widowControl w:val="0"/>
      <w:spacing w:line="360" w:lineRule="auto"/>
      <w:jc w:val="center"/>
    </w:pPr>
    <w:rPr>
      <w:rFonts w:ascii="黑体" w:hAnsi="Arial" w:cs="Arial"/>
      <w:kern w:val="2"/>
    </w:rPr>
  </w:style>
  <w:style w:type="character" w:customStyle="1" w:styleId="2705">
    <w:name w:val="表题1 Char10"/>
    <w:autoRedefine/>
    <w:qFormat/>
    <w:uiPriority w:val="0"/>
    <w:rPr>
      <w:rFonts w:hAnsi="Arial" w:eastAsia="宋体" w:cs="Arial"/>
      <w:kern w:val="2"/>
      <w:sz w:val="24"/>
      <w:szCs w:val="24"/>
      <w:lang w:val="en-US" w:eastAsia="zh-CN" w:bidi="ar-SA"/>
    </w:rPr>
  </w:style>
  <w:style w:type="paragraph" w:customStyle="1" w:styleId="2706">
    <w:name w:val="燕山正文8"/>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707">
    <w:name w:val="燕山正文 Char18"/>
    <w:autoRedefine/>
    <w:qFormat/>
    <w:uiPriority w:val="0"/>
    <w:rPr>
      <w:rFonts w:ascii="宋体" w:eastAsia="宋体" w:cs="宋体"/>
      <w:kern w:val="2"/>
      <w:sz w:val="24"/>
      <w:szCs w:val="24"/>
      <w:lang w:val="en-US" w:eastAsia="zh-CN" w:bidi="ar-SA"/>
    </w:rPr>
  </w:style>
  <w:style w:type="paragraph" w:customStyle="1" w:styleId="2708">
    <w:name w:val="正文修改8"/>
    <w:basedOn w:val="1181"/>
    <w:autoRedefine/>
    <w:qFormat/>
    <w:uiPriority w:val="0"/>
    <w:rPr>
      <w:rFonts w:hAnsi="宋体"/>
      <w:color w:val="000000"/>
    </w:rPr>
  </w:style>
  <w:style w:type="character" w:customStyle="1" w:styleId="2709">
    <w:name w:val="正文修改 Char18"/>
    <w:autoRedefine/>
    <w:qFormat/>
    <w:uiPriority w:val="0"/>
    <w:rPr>
      <w:rFonts w:ascii="宋体" w:hAnsi="宋体" w:eastAsia="宋体" w:cs="宋体"/>
      <w:color w:val="000000"/>
      <w:kern w:val="2"/>
      <w:sz w:val="24"/>
      <w:szCs w:val="24"/>
      <w:lang w:val="en-US" w:eastAsia="zh-CN" w:bidi="ar-SA"/>
    </w:rPr>
  </w:style>
  <w:style w:type="character" w:customStyle="1" w:styleId="2710">
    <w:name w:val="标题正文黑 Char2"/>
    <w:autoRedefine/>
    <w:qFormat/>
    <w:uiPriority w:val="0"/>
    <w:rPr>
      <w:rFonts w:ascii="黑体" w:eastAsia="黑体"/>
      <w:kern w:val="2"/>
      <w:sz w:val="28"/>
      <w:szCs w:val="28"/>
      <w:lang w:val="en-US" w:eastAsia="zh-CN" w:bidi="ar-SA"/>
    </w:rPr>
  </w:style>
  <w:style w:type="paragraph" w:customStyle="1" w:styleId="2711">
    <w:name w:val="表中文字9"/>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2712">
    <w:name w:val="表中文字 Char28"/>
    <w:autoRedefine/>
    <w:qFormat/>
    <w:uiPriority w:val="0"/>
    <w:rPr>
      <w:rFonts w:ascii="宋体" w:eastAsia="宋体"/>
      <w:kern w:val="2"/>
      <w:sz w:val="21"/>
      <w:szCs w:val="21"/>
      <w:lang w:val="en-US" w:eastAsia="zh-CN" w:bidi="ar-SA"/>
    </w:rPr>
  </w:style>
  <w:style w:type="paragraph" w:customStyle="1" w:styleId="2713">
    <w:name w:val="表文字57"/>
    <w:basedOn w:val="1"/>
    <w:autoRedefine/>
    <w:qFormat/>
    <w:uiPriority w:val="0"/>
    <w:pPr>
      <w:adjustRightInd w:val="0"/>
      <w:jc w:val="left"/>
      <w:textAlignment w:val="baseline"/>
    </w:pPr>
    <w:rPr>
      <w:rFonts w:ascii="宋体" w:hAnsi="宋体" w:cs="宋体"/>
      <w:kern w:val="0"/>
    </w:rPr>
  </w:style>
  <w:style w:type="paragraph" w:customStyle="1" w:styleId="2714">
    <w:name w:val="表内文字小317"/>
    <w:basedOn w:val="1"/>
    <w:autoRedefine/>
    <w:qFormat/>
    <w:uiPriority w:val="0"/>
    <w:pPr>
      <w:adjustRightInd w:val="0"/>
      <w:snapToGrid w:val="0"/>
      <w:jc w:val="center"/>
    </w:pPr>
    <w:rPr>
      <w:rFonts w:ascii="宋体" w:hAnsi="Times" w:cs="宋体"/>
      <w:bCs/>
      <w:color w:val="003366"/>
    </w:rPr>
  </w:style>
  <w:style w:type="paragraph" w:customStyle="1" w:styleId="2715">
    <w:name w:val="样式16"/>
    <w:basedOn w:val="1228"/>
    <w:autoRedefine/>
    <w:qFormat/>
    <w:uiPriority w:val="0"/>
    <w:pPr>
      <w:spacing w:line="240" w:lineRule="auto"/>
      <w:ind w:firstLine="0"/>
      <w:jc w:val="center"/>
    </w:pPr>
    <w:rPr>
      <w:rFonts w:cs="Times New Roman"/>
      <w:b/>
      <w:color w:val="auto"/>
      <w:szCs w:val="20"/>
    </w:rPr>
  </w:style>
  <w:style w:type="character" w:customStyle="1" w:styleId="2716">
    <w:name w:val="样式 表内小5 + 黑体 加粗 倾斜 下划线 Char52"/>
    <w:autoRedefine/>
    <w:qFormat/>
    <w:uiPriority w:val="0"/>
    <w:rPr>
      <w:rFonts w:ascii="黑体" w:hAnsi="黑体" w:eastAsia="黑体"/>
      <w:b/>
      <w:bCs/>
      <w:i/>
      <w:iCs/>
      <w:kern w:val="2"/>
      <w:sz w:val="18"/>
      <w:szCs w:val="24"/>
      <w:u w:val="single"/>
      <w:lang w:val="en-US" w:eastAsia="zh-CN" w:bidi="ar-SA"/>
    </w:rPr>
  </w:style>
  <w:style w:type="character" w:customStyle="1" w:styleId="2717">
    <w:name w:val="标题2 Char9"/>
    <w:autoRedefine/>
    <w:qFormat/>
    <w:uiPriority w:val="0"/>
    <w:rPr>
      <w:rFonts w:ascii="宋体" w:hAnsi="宋体" w:eastAsia="宋体" w:cs="宋体"/>
      <w:color w:val="000000"/>
      <w:kern w:val="2"/>
      <w:sz w:val="24"/>
      <w:szCs w:val="24"/>
      <w:lang w:val="en-US" w:eastAsia="zh-CN" w:bidi="ar-SA"/>
    </w:rPr>
  </w:style>
  <w:style w:type="paragraph" w:customStyle="1" w:styleId="2718">
    <w:name w:val="Char40"/>
    <w:basedOn w:val="1"/>
    <w:autoRedefine/>
    <w:qFormat/>
    <w:uiPriority w:val="0"/>
    <w:pPr>
      <w:ind w:left="-48"/>
    </w:pPr>
    <w:rPr>
      <w:rFonts w:ascii="宋体" w:hAnsi="宋体" w:cs="宋体"/>
    </w:rPr>
  </w:style>
  <w:style w:type="paragraph" w:customStyle="1" w:styleId="2719">
    <w:name w:val="表内文字小26"/>
    <w:basedOn w:val="1"/>
    <w:autoRedefine/>
    <w:qFormat/>
    <w:uiPriority w:val="0"/>
    <w:pPr>
      <w:adjustRightInd w:val="0"/>
      <w:snapToGrid w:val="0"/>
      <w:jc w:val="center"/>
    </w:pPr>
    <w:rPr>
      <w:rFonts w:ascii="宋体" w:hAnsi="Times" w:cs="宋体"/>
      <w:bCs/>
      <w:color w:val="000000"/>
    </w:rPr>
  </w:style>
  <w:style w:type="paragraph" w:customStyle="1" w:styleId="2720">
    <w:name w:val="表内535"/>
    <w:basedOn w:val="1"/>
    <w:autoRedefine/>
    <w:qFormat/>
    <w:uiPriority w:val="0"/>
    <w:pPr>
      <w:adjustRightInd w:val="0"/>
      <w:snapToGrid w:val="0"/>
      <w:spacing w:line="300" w:lineRule="auto"/>
      <w:jc w:val="left"/>
    </w:pPr>
    <w:rPr>
      <w:rFonts w:ascii="宋体" w:hAnsi="宋体" w:cs="宋体"/>
    </w:rPr>
  </w:style>
  <w:style w:type="paragraph" w:customStyle="1" w:styleId="2721">
    <w:name w:val="正文格式25"/>
    <w:basedOn w:val="1"/>
    <w:autoRedefine/>
    <w:qFormat/>
    <w:uiPriority w:val="0"/>
    <w:pPr>
      <w:spacing w:line="360" w:lineRule="auto"/>
      <w:ind w:firstLine="482"/>
    </w:pPr>
    <w:rPr>
      <w:rFonts w:ascii="宋体" w:hAnsi="宋体" w:cs="宋体"/>
      <w:sz w:val="24"/>
    </w:rPr>
  </w:style>
  <w:style w:type="paragraph" w:customStyle="1" w:styleId="2722">
    <w:name w:val="图题25"/>
    <w:basedOn w:val="316"/>
    <w:next w:val="316"/>
    <w:autoRedefine/>
    <w:qFormat/>
    <w:uiPriority w:val="0"/>
    <w:pPr>
      <w:ind w:firstLine="0"/>
      <w:jc w:val="center"/>
    </w:pPr>
    <w:rPr>
      <w:rFonts w:ascii="黑体" w:hAnsi="宋体" w:eastAsia="黑体"/>
      <w:bCs/>
      <w:spacing w:val="0"/>
    </w:rPr>
  </w:style>
  <w:style w:type="paragraph" w:customStyle="1" w:styleId="2723">
    <w:name w:val="表格内字体25"/>
    <w:basedOn w:val="316"/>
    <w:next w:val="316"/>
    <w:autoRedefine/>
    <w:qFormat/>
    <w:uiPriority w:val="0"/>
    <w:pPr>
      <w:spacing w:line="240" w:lineRule="auto"/>
      <w:ind w:firstLine="0"/>
      <w:jc w:val="center"/>
    </w:pPr>
    <w:rPr>
      <w:rFonts w:hAnsi="宋体"/>
      <w:b w:val="0"/>
      <w:spacing w:val="0"/>
      <w:sz w:val="21"/>
    </w:rPr>
  </w:style>
  <w:style w:type="character" w:customStyle="1" w:styleId="2724">
    <w:name w:val="Char Char67"/>
    <w:autoRedefine/>
    <w:qFormat/>
    <w:uiPriority w:val="0"/>
    <w:rPr>
      <w:rFonts w:eastAsia="宋体"/>
      <w:b/>
      <w:bCs/>
      <w:kern w:val="2"/>
      <w:sz w:val="28"/>
      <w:szCs w:val="28"/>
      <w:lang w:val="en-US" w:eastAsia="zh-CN" w:bidi="ar-SA"/>
    </w:rPr>
  </w:style>
  <w:style w:type="paragraph" w:customStyle="1" w:styleId="2725">
    <w:name w:val="表题115"/>
    <w:basedOn w:val="22"/>
    <w:autoRedefine/>
    <w:qFormat/>
    <w:uiPriority w:val="0"/>
    <w:pPr>
      <w:widowControl w:val="0"/>
      <w:spacing w:line="360" w:lineRule="auto"/>
      <w:jc w:val="center"/>
    </w:pPr>
    <w:rPr>
      <w:rFonts w:ascii="黑体" w:hAnsi="Arial" w:cs="Arial"/>
      <w:kern w:val="2"/>
    </w:rPr>
  </w:style>
  <w:style w:type="character" w:customStyle="1" w:styleId="2726">
    <w:name w:val="表题1 Char12"/>
    <w:autoRedefine/>
    <w:qFormat/>
    <w:uiPriority w:val="0"/>
    <w:rPr>
      <w:rFonts w:hAnsi="Arial" w:eastAsia="宋体" w:cs="Arial"/>
      <w:kern w:val="2"/>
      <w:sz w:val="24"/>
      <w:szCs w:val="24"/>
      <w:lang w:val="en-US" w:eastAsia="zh-CN" w:bidi="ar-SA"/>
    </w:rPr>
  </w:style>
  <w:style w:type="paragraph" w:customStyle="1" w:styleId="2727">
    <w:name w:val="表中文字15"/>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728">
    <w:name w:val="表文字515"/>
    <w:basedOn w:val="1"/>
    <w:autoRedefine/>
    <w:qFormat/>
    <w:uiPriority w:val="0"/>
    <w:pPr>
      <w:adjustRightInd w:val="0"/>
      <w:jc w:val="left"/>
      <w:textAlignment w:val="baseline"/>
    </w:pPr>
    <w:rPr>
      <w:rFonts w:ascii="宋体" w:hAnsi="宋体" w:cs="宋体"/>
      <w:kern w:val="0"/>
    </w:rPr>
  </w:style>
  <w:style w:type="paragraph" w:customStyle="1" w:styleId="2729">
    <w:name w:val="默认段落字体 Para Char8"/>
    <w:basedOn w:val="1"/>
    <w:autoRedefine/>
    <w:qFormat/>
    <w:uiPriority w:val="0"/>
    <w:pPr>
      <w:spacing w:line="360" w:lineRule="auto"/>
      <w:ind w:firstLine="200" w:firstLineChars="200"/>
    </w:pPr>
    <w:rPr>
      <w:rFonts w:ascii="宋体" w:hAnsi="宋体" w:cs="宋体"/>
      <w:sz w:val="24"/>
    </w:rPr>
  </w:style>
  <w:style w:type="paragraph" w:customStyle="1" w:styleId="2730">
    <w:name w:val="表题414"/>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731">
    <w:name w:val="Char Char Char Char Char Char Char20"/>
    <w:basedOn w:val="1"/>
    <w:autoRedefine/>
    <w:qFormat/>
    <w:uiPriority w:val="0"/>
    <w:rPr>
      <w:rFonts w:ascii="宋体" w:hAnsi="宋体" w:cs="宋体"/>
    </w:rPr>
  </w:style>
  <w:style w:type="character" w:customStyle="1" w:styleId="2732">
    <w:name w:val="表内5 Char21"/>
    <w:autoRedefine/>
    <w:qFormat/>
    <w:uiPriority w:val="0"/>
    <w:rPr>
      <w:rFonts w:ascii="宋体" w:hAnsi="宋体" w:eastAsia="宋体" w:cs="宋体"/>
      <w:kern w:val="2"/>
      <w:sz w:val="21"/>
      <w:szCs w:val="24"/>
      <w:lang w:val="en-US" w:eastAsia="zh-CN" w:bidi="ar-SA"/>
    </w:rPr>
  </w:style>
  <w:style w:type="paragraph" w:customStyle="1" w:styleId="2733">
    <w:name w:val="表内宋5115"/>
    <w:basedOn w:val="81"/>
    <w:autoRedefine/>
    <w:qFormat/>
    <w:uiPriority w:val="0"/>
    <w:pPr>
      <w:widowControl w:val="0"/>
      <w:spacing w:before="0" w:beforeAutospacing="0" w:after="0" w:afterAutospacing="0"/>
      <w:jc w:val="both"/>
    </w:pPr>
    <w:rPr>
      <w:rFonts w:ascii="Times New Roman" w:hAnsi="Times New Roman" w:cs="Times New Roman"/>
      <w:szCs w:val="24"/>
    </w:rPr>
  </w:style>
  <w:style w:type="character" w:customStyle="1" w:styleId="2734">
    <w:name w:val="正文文字 Char Char Char Char Char3"/>
    <w:autoRedefine/>
    <w:qFormat/>
    <w:uiPriority w:val="0"/>
    <w:rPr>
      <w:rFonts w:eastAsia="宋体"/>
      <w:kern w:val="2"/>
      <w:sz w:val="21"/>
      <w:szCs w:val="24"/>
      <w:lang w:val="en-US" w:eastAsia="zh-CN" w:bidi="ar-SA"/>
    </w:rPr>
  </w:style>
  <w:style w:type="paragraph" w:customStyle="1" w:styleId="2735">
    <w:name w:val="文本框5"/>
    <w:basedOn w:val="1"/>
    <w:autoRedefine/>
    <w:qFormat/>
    <w:uiPriority w:val="0"/>
    <w:pPr>
      <w:adjustRightInd w:val="0"/>
      <w:snapToGrid w:val="0"/>
      <w:spacing w:after="6"/>
      <w:jc w:val="center"/>
    </w:pPr>
    <w:rPr>
      <w:rFonts w:ascii="宋体" w:hAnsi="宋体" w:eastAsia="仿宋_GB2312" w:cs="宋体"/>
    </w:rPr>
  </w:style>
  <w:style w:type="paragraph" w:customStyle="1" w:styleId="2736">
    <w:name w:val="正文.5"/>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37">
    <w:name w:val="Char49"/>
    <w:basedOn w:val="1"/>
    <w:autoRedefine/>
    <w:qFormat/>
    <w:uiPriority w:val="0"/>
    <w:pPr>
      <w:ind w:left="-48"/>
    </w:pPr>
    <w:rPr>
      <w:rFonts w:ascii="宋体" w:hAnsi="宋体" w:cs="宋体"/>
    </w:rPr>
  </w:style>
  <w:style w:type="character" w:customStyle="1" w:styleId="2738">
    <w:name w:val="Char Char44"/>
    <w:autoRedefine/>
    <w:qFormat/>
    <w:uiPriority w:val="0"/>
    <w:rPr>
      <w:rFonts w:ascii="黑体" w:hAnsi="Arial" w:eastAsia="黑体"/>
      <w:b/>
      <w:bCs/>
      <w:kern w:val="2"/>
      <w:sz w:val="30"/>
      <w:szCs w:val="30"/>
      <w:lang w:val="en-US" w:eastAsia="zh-CN" w:bidi="ar-SA"/>
    </w:rPr>
  </w:style>
  <w:style w:type="character" w:customStyle="1" w:styleId="2739">
    <w:name w:val="Char Char33"/>
    <w:autoRedefine/>
    <w:qFormat/>
    <w:uiPriority w:val="0"/>
    <w:rPr>
      <w:rFonts w:ascii="黑体" w:hAnsi="宋体" w:eastAsia="黑体"/>
      <w:b/>
      <w:bCs/>
      <w:kern w:val="2"/>
      <w:sz w:val="28"/>
      <w:szCs w:val="28"/>
      <w:lang w:val="en-US" w:eastAsia="zh-CN" w:bidi="ar-SA"/>
    </w:rPr>
  </w:style>
  <w:style w:type="character" w:customStyle="1" w:styleId="2740">
    <w:name w:val="标题 2 Char Char2"/>
    <w:autoRedefine/>
    <w:qFormat/>
    <w:uiPriority w:val="0"/>
    <w:rPr>
      <w:rFonts w:ascii="黑体" w:hAnsi="Arial" w:eastAsia="黑体"/>
      <w:b/>
      <w:bCs/>
      <w:kern w:val="2"/>
      <w:sz w:val="30"/>
      <w:szCs w:val="30"/>
      <w:lang w:val="en-US" w:eastAsia="zh-CN" w:bidi="ar-SA"/>
    </w:rPr>
  </w:style>
  <w:style w:type="character" w:customStyle="1" w:styleId="2741">
    <w:name w:val="标题 3 Char Char12"/>
    <w:autoRedefine/>
    <w:qFormat/>
    <w:uiPriority w:val="0"/>
    <w:rPr>
      <w:rFonts w:ascii="黑体" w:hAnsi="宋体" w:eastAsia="黑体"/>
      <w:b/>
      <w:bCs/>
      <w:kern w:val="2"/>
      <w:sz w:val="28"/>
      <w:szCs w:val="28"/>
      <w:lang w:val="en-US" w:eastAsia="zh-CN" w:bidi="ar-SA"/>
    </w:rPr>
  </w:style>
  <w:style w:type="paragraph" w:customStyle="1" w:styleId="2742">
    <w:name w:val="首行缩进:  0.99 厘米 + 首行缩进:  2 字符4"/>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743">
    <w:name w:val="图表名称4"/>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744">
    <w:name w:val="表内文字边4"/>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745">
    <w:name w:val="正文缩4"/>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746">
    <w:name w:val="样式24"/>
    <w:basedOn w:val="1"/>
    <w:autoRedefine/>
    <w:qFormat/>
    <w:uiPriority w:val="0"/>
    <w:pPr>
      <w:adjustRightInd w:val="0"/>
      <w:spacing w:line="360" w:lineRule="auto"/>
      <w:jc w:val="center"/>
      <w:textAlignment w:val="baseline"/>
      <w:outlineLvl w:val="0"/>
    </w:pPr>
    <w:rPr>
      <w:rFonts w:ascii="宋体" w:hAnsi="宋体" w:cs="宋体"/>
      <w:kern w:val="0"/>
    </w:rPr>
  </w:style>
  <w:style w:type="character" w:customStyle="1" w:styleId="2747">
    <w:name w:val="样式 黑色1"/>
    <w:autoRedefine/>
    <w:qFormat/>
    <w:uiPriority w:val="0"/>
    <w:rPr>
      <w:rFonts w:eastAsia="宋体"/>
      <w:color w:val="auto"/>
      <w:kern w:val="2"/>
      <w:sz w:val="24"/>
      <w:szCs w:val="24"/>
      <w:lang w:val="en-US" w:eastAsia="zh-CN" w:bidi="ar-SA"/>
    </w:rPr>
  </w:style>
  <w:style w:type="paragraph" w:customStyle="1" w:styleId="2748">
    <w:name w:val="默认段落字体 Para Char Char Char Char Char4"/>
    <w:basedOn w:val="1"/>
    <w:autoRedefine/>
    <w:qFormat/>
    <w:uiPriority w:val="0"/>
    <w:rPr>
      <w:rFonts w:ascii="宋体" w:hAnsi="宋体" w:cs="宋体"/>
    </w:rPr>
  </w:style>
  <w:style w:type="paragraph" w:customStyle="1" w:styleId="2749">
    <w:name w:val="表内宋5中6"/>
    <w:basedOn w:val="1"/>
    <w:autoRedefine/>
    <w:qFormat/>
    <w:uiPriority w:val="0"/>
    <w:pPr>
      <w:adjustRightInd w:val="0"/>
      <w:snapToGrid w:val="0"/>
      <w:textAlignment w:val="baseline"/>
    </w:pPr>
    <w:rPr>
      <w:rFonts w:ascii="宋体" w:hAnsi="宋体" w:cs="宋体"/>
      <w:color w:val="000000"/>
      <w:kern w:val="0"/>
    </w:rPr>
  </w:style>
  <w:style w:type="paragraph" w:customStyle="1" w:styleId="2750">
    <w:name w:val="样式 标题 3 + 段前: 12 磅4"/>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751">
    <w:name w:val="表内文字小6"/>
    <w:basedOn w:val="1"/>
    <w:autoRedefine/>
    <w:qFormat/>
    <w:uiPriority w:val="0"/>
    <w:pPr>
      <w:adjustRightInd w:val="0"/>
      <w:snapToGrid w:val="0"/>
      <w:jc w:val="center"/>
    </w:pPr>
    <w:rPr>
      <w:rFonts w:ascii="宋体" w:hAnsi="Times" w:cs="宋体"/>
    </w:rPr>
  </w:style>
  <w:style w:type="paragraph" w:customStyle="1" w:styleId="2752">
    <w:name w:val="表内56"/>
    <w:basedOn w:val="1"/>
    <w:autoRedefine/>
    <w:qFormat/>
    <w:uiPriority w:val="0"/>
    <w:pPr>
      <w:adjustRightInd w:val="0"/>
      <w:snapToGrid w:val="0"/>
      <w:spacing w:line="300" w:lineRule="auto"/>
      <w:jc w:val="left"/>
    </w:pPr>
    <w:rPr>
      <w:rFonts w:ascii="宋体" w:hAnsi="宋体" w:cs="宋体"/>
      <w:sz w:val="18"/>
    </w:rPr>
  </w:style>
  <w:style w:type="paragraph" w:customStyle="1" w:styleId="2753">
    <w:name w:val="Char Char Char Char1 Char Char Char7"/>
    <w:basedOn w:val="1"/>
    <w:autoRedefine/>
    <w:qFormat/>
    <w:uiPriority w:val="0"/>
    <w:pPr>
      <w:widowControl/>
      <w:spacing w:after="160"/>
      <w:jc w:val="left"/>
    </w:pPr>
    <w:rPr>
      <w:rFonts w:ascii="Verdana" w:hAnsi="Verdana" w:cs="宋体"/>
      <w:kern w:val="0"/>
      <w:sz w:val="24"/>
      <w:lang w:eastAsia="en-US"/>
    </w:rPr>
  </w:style>
  <w:style w:type="paragraph" w:customStyle="1" w:styleId="2754">
    <w:name w:val="正文格式17"/>
    <w:basedOn w:val="1"/>
    <w:autoRedefine/>
    <w:qFormat/>
    <w:uiPriority w:val="0"/>
    <w:pPr>
      <w:spacing w:line="360" w:lineRule="auto"/>
      <w:ind w:firstLine="482"/>
    </w:pPr>
    <w:rPr>
      <w:rFonts w:ascii="宋体" w:hAnsi="宋体" w:cs="宋体"/>
      <w:sz w:val="24"/>
    </w:rPr>
  </w:style>
  <w:style w:type="paragraph" w:customStyle="1" w:styleId="2755">
    <w:name w:val="图题15"/>
    <w:basedOn w:val="316"/>
    <w:next w:val="316"/>
    <w:autoRedefine/>
    <w:qFormat/>
    <w:uiPriority w:val="0"/>
    <w:pPr>
      <w:ind w:firstLine="0"/>
      <w:jc w:val="center"/>
    </w:pPr>
    <w:rPr>
      <w:rFonts w:ascii="黑体" w:hAnsi="宋体" w:eastAsia="黑体"/>
      <w:bCs/>
      <w:spacing w:val="0"/>
    </w:rPr>
  </w:style>
  <w:style w:type="paragraph" w:customStyle="1" w:styleId="2756">
    <w:name w:val="表格内字体16"/>
    <w:basedOn w:val="316"/>
    <w:next w:val="316"/>
    <w:autoRedefine/>
    <w:qFormat/>
    <w:uiPriority w:val="0"/>
    <w:pPr>
      <w:spacing w:line="240" w:lineRule="auto"/>
      <w:ind w:firstLine="0"/>
      <w:jc w:val="center"/>
    </w:pPr>
    <w:rPr>
      <w:rFonts w:hAnsi="宋体"/>
      <w:b w:val="0"/>
      <w:spacing w:val="0"/>
      <w:sz w:val="21"/>
    </w:rPr>
  </w:style>
  <w:style w:type="character" w:customStyle="1" w:styleId="2757">
    <w:name w:val="表格内字体 Char12"/>
    <w:autoRedefine/>
    <w:qFormat/>
    <w:uiPriority w:val="0"/>
    <w:rPr>
      <w:rFonts w:ascii="宋体" w:hAnsi="宋体" w:eastAsia="宋体"/>
      <w:kern w:val="2"/>
      <w:sz w:val="21"/>
      <w:szCs w:val="24"/>
      <w:lang w:val="en-US" w:eastAsia="zh-CN" w:bidi="ar-SA"/>
    </w:rPr>
  </w:style>
  <w:style w:type="character" w:customStyle="1" w:styleId="2758">
    <w:name w:val="正文格式 Char14"/>
    <w:autoRedefine/>
    <w:qFormat/>
    <w:uiPriority w:val="0"/>
    <w:rPr>
      <w:rFonts w:ascii="宋体" w:hAnsi="宋体" w:eastAsia="宋体"/>
      <w:kern w:val="2"/>
      <w:sz w:val="24"/>
      <w:szCs w:val="24"/>
      <w:lang w:val="en-US" w:eastAsia="zh-CN" w:bidi="ar-SA"/>
    </w:rPr>
  </w:style>
  <w:style w:type="character" w:customStyle="1" w:styleId="2759">
    <w:name w:val="Char Char117"/>
    <w:autoRedefine/>
    <w:qFormat/>
    <w:uiPriority w:val="0"/>
    <w:rPr>
      <w:rFonts w:ascii="黑体" w:hAnsi="Arial" w:eastAsia="黑体"/>
      <w:bCs/>
      <w:kern w:val="2"/>
      <w:sz w:val="30"/>
      <w:szCs w:val="30"/>
      <w:lang w:val="en-US" w:eastAsia="zh-CN" w:bidi="ar-SA"/>
    </w:rPr>
  </w:style>
  <w:style w:type="character" w:customStyle="1" w:styleId="2760">
    <w:name w:val="Char Char53"/>
    <w:autoRedefine/>
    <w:qFormat/>
    <w:uiPriority w:val="0"/>
    <w:rPr>
      <w:rFonts w:ascii="黑体" w:hAnsi="宋体" w:eastAsia="黑体"/>
      <w:bCs/>
      <w:kern w:val="2"/>
      <w:sz w:val="28"/>
      <w:szCs w:val="28"/>
      <w:lang w:val="en-US" w:eastAsia="zh-CN" w:bidi="ar-SA"/>
    </w:rPr>
  </w:style>
  <w:style w:type="paragraph" w:customStyle="1" w:styleId="2761">
    <w:name w:val="Char117"/>
    <w:basedOn w:val="1"/>
    <w:autoRedefine/>
    <w:qFormat/>
    <w:uiPriority w:val="0"/>
    <w:pPr>
      <w:ind w:left="-48"/>
    </w:pPr>
    <w:rPr>
      <w:rFonts w:ascii="宋体" w:hAnsi="宋体" w:cs="宋体"/>
    </w:rPr>
  </w:style>
  <w:style w:type="character" w:customStyle="1" w:styleId="2762">
    <w:name w:val="正文缩进 Char14"/>
    <w:autoRedefine/>
    <w:qFormat/>
    <w:uiPriority w:val="0"/>
    <w:rPr>
      <w:rFonts w:ascii="宋体" w:hAnsi="宋体" w:eastAsia="宋体" w:cs="宋体"/>
      <w:color w:val="000000"/>
      <w:kern w:val="2"/>
      <w:sz w:val="24"/>
      <w:szCs w:val="24"/>
      <w:lang w:val="en-US" w:eastAsia="zh-CN" w:bidi="ar-SA"/>
    </w:rPr>
  </w:style>
  <w:style w:type="character" w:customStyle="1" w:styleId="2763">
    <w:name w:val="正文格式 Char21"/>
    <w:autoRedefine/>
    <w:qFormat/>
    <w:uiPriority w:val="0"/>
    <w:rPr>
      <w:rFonts w:ascii="宋体" w:hAnsi="宋体" w:eastAsia="宋体"/>
      <w:kern w:val="2"/>
      <w:sz w:val="24"/>
      <w:szCs w:val="24"/>
      <w:lang w:val="en-US" w:eastAsia="zh-CN" w:bidi="ar-SA"/>
    </w:rPr>
  </w:style>
  <w:style w:type="paragraph" w:customStyle="1" w:styleId="2764">
    <w:name w:val="Char118"/>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765">
    <w:name w:val="标题 2 Char Char11"/>
    <w:autoRedefine/>
    <w:qFormat/>
    <w:uiPriority w:val="0"/>
    <w:rPr>
      <w:rFonts w:ascii="黑体" w:hAnsi="Arial" w:eastAsia="黑体"/>
      <w:bCs/>
      <w:kern w:val="2"/>
      <w:sz w:val="30"/>
      <w:szCs w:val="30"/>
      <w:lang w:val="en-US" w:eastAsia="zh-CN" w:bidi="ar-SA"/>
    </w:rPr>
  </w:style>
  <w:style w:type="character" w:customStyle="1" w:styleId="2766">
    <w:name w:val="标题 3 Char Char111"/>
    <w:autoRedefine/>
    <w:qFormat/>
    <w:uiPriority w:val="0"/>
    <w:rPr>
      <w:rFonts w:ascii="黑体" w:hAnsi="宋体" w:eastAsia="黑体"/>
      <w:bCs/>
      <w:kern w:val="2"/>
      <w:sz w:val="28"/>
      <w:szCs w:val="28"/>
      <w:lang w:val="en-US" w:eastAsia="zh-CN" w:bidi="ar-SA"/>
    </w:rPr>
  </w:style>
  <w:style w:type="character" w:customStyle="1" w:styleId="2767">
    <w:name w:val="题注 Char14"/>
    <w:autoRedefine/>
    <w:qFormat/>
    <w:uiPriority w:val="0"/>
    <w:rPr>
      <w:rFonts w:ascii="黑体" w:hAnsi="Arial" w:eastAsia="黑体" w:cs="Arial"/>
      <w:spacing w:val="10"/>
      <w:kern w:val="2"/>
      <w:sz w:val="24"/>
      <w:szCs w:val="24"/>
      <w:lang w:val="en-US" w:eastAsia="zh-CN" w:bidi="ar-SA"/>
    </w:rPr>
  </w:style>
  <w:style w:type="character" w:customStyle="1" w:styleId="2768">
    <w:name w:val="表格内字体 Char21"/>
    <w:autoRedefine/>
    <w:qFormat/>
    <w:uiPriority w:val="0"/>
    <w:rPr>
      <w:rFonts w:ascii="宋体" w:hAnsi="宋体" w:eastAsia="宋体"/>
      <w:kern w:val="2"/>
      <w:sz w:val="21"/>
      <w:szCs w:val="24"/>
      <w:lang w:val="en-US" w:eastAsia="zh-CN" w:bidi="ar-SA"/>
    </w:rPr>
  </w:style>
  <w:style w:type="character" w:customStyle="1" w:styleId="2769">
    <w:name w:val="正文缩进 Char21"/>
    <w:autoRedefine/>
    <w:qFormat/>
    <w:uiPriority w:val="0"/>
    <w:rPr>
      <w:rFonts w:ascii="宋体" w:hAnsi="宋体" w:eastAsia="宋体" w:cs="宋体"/>
      <w:color w:val="000000"/>
      <w:kern w:val="2"/>
      <w:sz w:val="24"/>
      <w:szCs w:val="24"/>
      <w:lang w:val="en-US" w:eastAsia="zh-CN" w:bidi="ar-SA"/>
    </w:rPr>
  </w:style>
  <w:style w:type="paragraph" w:customStyle="1" w:styleId="2770">
    <w:name w:val="表内54114"/>
    <w:basedOn w:val="1"/>
    <w:autoRedefine/>
    <w:qFormat/>
    <w:uiPriority w:val="0"/>
    <w:pPr>
      <w:adjustRightInd w:val="0"/>
      <w:snapToGrid w:val="0"/>
      <w:spacing w:line="300" w:lineRule="auto"/>
      <w:jc w:val="center"/>
    </w:pPr>
    <w:rPr>
      <w:rFonts w:ascii="宋体" w:hAnsi="宋体" w:cs="宋体"/>
    </w:rPr>
  </w:style>
  <w:style w:type="paragraph" w:customStyle="1" w:styleId="2771">
    <w:name w:val="表内文字小2114"/>
    <w:basedOn w:val="1"/>
    <w:autoRedefine/>
    <w:qFormat/>
    <w:uiPriority w:val="0"/>
    <w:pPr>
      <w:adjustRightInd w:val="0"/>
      <w:snapToGrid w:val="0"/>
      <w:jc w:val="center"/>
    </w:pPr>
    <w:rPr>
      <w:rFonts w:ascii="宋体" w:hAnsi="Times" w:cs="宋体"/>
      <w:bCs/>
      <w:color w:val="000000"/>
    </w:rPr>
  </w:style>
  <w:style w:type="paragraph" w:customStyle="1" w:styleId="2772">
    <w:name w:val="表题3114"/>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773">
    <w:name w:val="Char Char Char Char Char Char Char110"/>
    <w:basedOn w:val="1"/>
    <w:autoRedefine/>
    <w:qFormat/>
    <w:uiPriority w:val="0"/>
    <w:rPr>
      <w:rFonts w:ascii="宋体" w:hAnsi="宋体" w:cs="宋体"/>
    </w:rPr>
  </w:style>
  <w:style w:type="paragraph" w:customStyle="1" w:styleId="2774">
    <w:name w:val="标题43114"/>
    <w:basedOn w:val="1"/>
    <w:autoRedefine/>
    <w:qFormat/>
    <w:uiPriority w:val="0"/>
    <w:pPr>
      <w:adjustRightInd w:val="0"/>
      <w:snapToGrid w:val="0"/>
      <w:spacing w:line="480" w:lineRule="exact"/>
      <w:jc w:val="center"/>
    </w:pPr>
    <w:rPr>
      <w:rFonts w:ascii="宋体" w:hAnsi="宋体" w:cs="宋体"/>
      <w:sz w:val="24"/>
    </w:rPr>
  </w:style>
  <w:style w:type="paragraph" w:customStyle="1" w:styleId="2775">
    <w:name w:val="燕山正文1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776">
    <w:name w:val="默认段落字体 Para Char Char Char Char14"/>
    <w:basedOn w:val="1"/>
    <w:autoRedefine/>
    <w:qFormat/>
    <w:uiPriority w:val="0"/>
    <w:rPr>
      <w:rFonts w:ascii="宋体" w:hAnsi="宋体" w:cs="宋体"/>
    </w:rPr>
  </w:style>
  <w:style w:type="paragraph" w:customStyle="1" w:styleId="2777">
    <w:name w:val="附件14"/>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778">
    <w:name w:val="黑体三号14"/>
    <w:basedOn w:val="316"/>
    <w:autoRedefine/>
    <w:qFormat/>
    <w:uiPriority w:val="0"/>
    <w:pPr>
      <w:jc w:val="center"/>
    </w:pPr>
    <w:rPr>
      <w:rFonts w:ascii="黑体" w:hAnsi="宋体" w:eastAsia="黑体"/>
      <w:bCs/>
      <w:spacing w:val="0"/>
      <w:sz w:val="32"/>
    </w:rPr>
  </w:style>
  <w:style w:type="paragraph" w:customStyle="1" w:styleId="2779">
    <w:name w:val="表14"/>
    <w:basedOn w:val="1"/>
    <w:autoRedefine/>
    <w:qFormat/>
    <w:uiPriority w:val="0"/>
    <w:pPr>
      <w:adjustRightInd w:val="0"/>
      <w:snapToGrid w:val="0"/>
      <w:jc w:val="center"/>
    </w:pPr>
    <w:rPr>
      <w:rFonts w:ascii="宋体" w:hAnsi="宋体" w:eastAsia="仿宋_GB2312" w:cs="宋体"/>
      <w:sz w:val="24"/>
    </w:rPr>
  </w:style>
  <w:style w:type="character" w:customStyle="1" w:styleId="2780">
    <w:name w:val="Char Char213"/>
    <w:autoRedefine/>
    <w:qFormat/>
    <w:uiPriority w:val="0"/>
    <w:rPr>
      <w:rFonts w:ascii="黑体" w:eastAsia="宋体"/>
      <w:kern w:val="2"/>
      <w:sz w:val="16"/>
      <w:szCs w:val="16"/>
      <w:lang w:val="en-US" w:eastAsia="zh-CN" w:bidi="ar-SA"/>
    </w:rPr>
  </w:style>
  <w:style w:type="character" w:customStyle="1" w:styleId="2781">
    <w:name w:val="Char Char123"/>
    <w:autoRedefine/>
    <w:qFormat/>
    <w:uiPriority w:val="0"/>
    <w:rPr>
      <w:rFonts w:ascii="黑体" w:hAnsi="Arial" w:eastAsia="黑体"/>
      <w:b/>
      <w:bCs/>
      <w:kern w:val="2"/>
      <w:sz w:val="30"/>
      <w:szCs w:val="30"/>
      <w:lang w:val="en-US" w:eastAsia="zh-CN" w:bidi="ar-SA"/>
    </w:rPr>
  </w:style>
  <w:style w:type="character" w:customStyle="1" w:styleId="2782">
    <w:name w:val="Char Char68"/>
    <w:autoRedefine/>
    <w:qFormat/>
    <w:uiPriority w:val="0"/>
    <w:rPr>
      <w:rFonts w:ascii="黑体" w:eastAsia="黑体"/>
      <w:b/>
      <w:bCs/>
      <w:kern w:val="2"/>
      <w:sz w:val="28"/>
      <w:szCs w:val="28"/>
      <w:lang w:val="en-US" w:eastAsia="zh-CN" w:bidi="ar-SA"/>
    </w:rPr>
  </w:style>
  <w:style w:type="paragraph" w:customStyle="1" w:styleId="2783">
    <w:name w:val="燕山正文16"/>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784">
    <w:name w:val="燕山正文 Char111"/>
    <w:autoRedefine/>
    <w:qFormat/>
    <w:uiPriority w:val="0"/>
    <w:rPr>
      <w:rFonts w:ascii="宋体" w:eastAsia="宋体" w:cs="宋体"/>
      <w:kern w:val="2"/>
      <w:sz w:val="24"/>
      <w:szCs w:val="24"/>
      <w:lang w:val="en-US" w:eastAsia="zh-CN" w:bidi="ar-SA"/>
    </w:rPr>
  </w:style>
  <w:style w:type="paragraph" w:customStyle="1" w:styleId="2785">
    <w:name w:val="正文修改14"/>
    <w:basedOn w:val="1181"/>
    <w:autoRedefine/>
    <w:qFormat/>
    <w:uiPriority w:val="0"/>
    <w:rPr>
      <w:rFonts w:hAnsi="宋体"/>
      <w:color w:val="000000"/>
    </w:rPr>
  </w:style>
  <w:style w:type="character" w:customStyle="1" w:styleId="2786">
    <w:name w:val="正文修改 Char114"/>
    <w:autoRedefine/>
    <w:qFormat/>
    <w:uiPriority w:val="0"/>
    <w:rPr>
      <w:rFonts w:ascii="宋体" w:hAnsi="宋体" w:eastAsia="宋体" w:cs="宋体"/>
      <w:color w:val="000000"/>
      <w:kern w:val="2"/>
      <w:sz w:val="24"/>
      <w:szCs w:val="24"/>
      <w:lang w:val="en-US" w:eastAsia="zh-CN" w:bidi="ar-SA"/>
    </w:rPr>
  </w:style>
  <w:style w:type="character" w:customStyle="1" w:styleId="2787">
    <w:name w:val="表中文字 Char211"/>
    <w:autoRedefine/>
    <w:qFormat/>
    <w:uiPriority w:val="0"/>
    <w:rPr>
      <w:rFonts w:ascii="宋体" w:eastAsia="宋体"/>
      <w:kern w:val="2"/>
      <w:sz w:val="21"/>
      <w:szCs w:val="21"/>
      <w:lang w:val="en-US" w:eastAsia="zh-CN" w:bidi="ar-SA"/>
    </w:rPr>
  </w:style>
  <w:style w:type="paragraph" w:customStyle="1" w:styleId="2788">
    <w:name w:val="表内文字小3114"/>
    <w:basedOn w:val="1"/>
    <w:autoRedefine/>
    <w:qFormat/>
    <w:uiPriority w:val="0"/>
    <w:pPr>
      <w:adjustRightInd w:val="0"/>
      <w:snapToGrid w:val="0"/>
      <w:jc w:val="center"/>
    </w:pPr>
    <w:rPr>
      <w:rFonts w:ascii="宋体" w:hAnsi="Times" w:cs="宋体"/>
      <w:bCs/>
      <w:color w:val="003366"/>
    </w:rPr>
  </w:style>
  <w:style w:type="paragraph" w:customStyle="1" w:styleId="2789">
    <w:name w:val="样式114"/>
    <w:basedOn w:val="1228"/>
    <w:autoRedefine/>
    <w:qFormat/>
    <w:uiPriority w:val="0"/>
    <w:pPr>
      <w:spacing w:line="240" w:lineRule="auto"/>
      <w:ind w:firstLine="0"/>
      <w:jc w:val="center"/>
    </w:pPr>
    <w:rPr>
      <w:rFonts w:cs="Times New Roman"/>
      <w:b/>
      <w:color w:val="auto"/>
      <w:szCs w:val="20"/>
    </w:rPr>
  </w:style>
  <w:style w:type="paragraph" w:customStyle="1" w:styleId="2790">
    <w:name w:val="Char213"/>
    <w:basedOn w:val="1"/>
    <w:autoRedefine/>
    <w:qFormat/>
    <w:uiPriority w:val="0"/>
    <w:pPr>
      <w:ind w:left="-48"/>
    </w:pPr>
    <w:rPr>
      <w:rFonts w:ascii="宋体" w:hAnsi="宋体" w:cs="宋体"/>
    </w:rPr>
  </w:style>
  <w:style w:type="paragraph" w:customStyle="1" w:styleId="2791">
    <w:name w:val="正文格式34"/>
    <w:basedOn w:val="1"/>
    <w:autoRedefine/>
    <w:qFormat/>
    <w:uiPriority w:val="0"/>
    <w:pPr>
      <w:spacing w:line="360" w:lineRule="auto"/>
      <w:ind w:firstLine="482"/>
    </w:pPr>
    <w:rPr>
      <w:rFonts w:ascii="宋体" w:hAnsi="宋体" w:cs="宋体"/>
      <w:sz w:val="24"/>
    </w:rPr>
  </w:style>
  <w:style w:type="character" w:customStyle="1" w:styleId="2792">
    <w:name w:val="正文格式 Char31"/>
    <w:autoRedefine/>
    <w:qFormat/>
    <w:uiPriority w:val="0"/>
    <w:rPr>
      <w:rFonts w:ascii="宋体" w:hAnsi="宋体" w:eastAsia="宋体"/>
      <w:kern w:val="2"/>
      <w:sz w:val="24"/>
      <w:szCs w:val="24"/>
      <w:lang w:val="en-US" w:eastAsia="zh-CN" w:bidi="ar-SA"/>
    </w:rPr>
  </w:style>
  <w:style w:type="paragraph" w:customStyle="1" w:styleId="2793">
    <w:name w:val="Char214"/>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794">
    <w:name w:val="标题 2 Char11"/>
    <w:autoRedefine/>
    <w:qFormat/>
    <w:uiPriority w:val="0"/>
    <w:rPr>
      <w:rFonts w:hAnsi="Arial" w:eastAsia="宋体"/>
      <w:bCs/>
      <w:kern w:val="2"/>
      <w:sz w:val="30"/>
      <w:szCs w:val="30"/>
      <w:lang w:val="en-US" w:eastAsia="zh-CN" w:bidi="ar-SA"/>
    </w:rPr>
  </w:style>
  <w:style w:type="character" w:customStyle="1" w:styleId="2795">
    <w:name w:val="标题 3 Char15"/>
    <w:autoRedefine/>
    <w:qFormat/>
    <w:uiPriority w:val="0"/>
    <w:rPr>
      <w:rFonts w:hAnsi="宋体" w:eastAsia="宋体"/>
      <w:bCs/>
      <w:kern w:val="2"/>
      <w:sz w:val="28"/>
      <w:szCs w:val="28"/>
      <w:lang w:val="en-US" w:eastAsia="zh-CN" w:bidi="ar-SA"/>
    </w:rPr>
  </w:style>
  <w:style w:type="character" w:customStyle="1" w:styleId="2796">
    <w:name w:val="题注 Char24"/>
    <w:autoRedefine/>
    <w:qFormat/>
    <w:uiPriority w:val="0"/>
    <w:rPr>
      <w:rFonts w:ascii="黑体" w:hAnsi="Arial" w:eastAsia="黑体" w:cs="Arial"/>
      <w:spacing w:val="10"/>
      <w:kern w:val="2"/>
      <w:sz w:val="24"/>
      <w:szCs w:val="24"/>
      <w:lang w:val="en-US" w:eastAsia="zh-CN" w:bidi="ar-SA"/>
    </w:rPr>
  </w:style>
  <w:style w:type="paragraph" w:customStyle="1" w:styleId="2797">
    <w:name w:val="图题34"/>
    <w:basedOn w:val="316"/>
    <w:next w:val="316"/>
    <w:autoRedefine/>
    <w:qFormat/>
    <w:uiPriority w:val="0"/>
    <w:pPr>
      <w:ind w:firstLine="0"/>
      <w:jc w:val="center"/>
    </w:pPr>
    <w:rPr>
      <w:rFonts w:ascii="黑体" w:hAnsi="宋体" w:eastAsia="黑体"/>
      <w:bCs/>
      <w:spacing w:val="0"/>
    </w:rPr>
  </w:style>
  <w:style w:type="paragraph" w:customStyle="1" w:styleId="2798">
    <w:name w:val="表格内字体34"/>
    <w:basedOn w:val="316"/>
    <w:next w:val="316"/>
    <w:autoRedefine/>
    <w:qFormat/>
    <w:uiPriority w:val="0"/>
    <w:pPr>
      <w:spacing w:line="240" w:lineRule="auto"/>
      <w:ind w:firstLine="0"/>
      <w:jc w:val="center"/>
    </w:pPr>
    <w:rPr>
      <w:rFonts w:hAnsi="宋体"/>
      <w:b w:val="0"/>
      <w:spacing w:val="0"/>
      <w:sz w:val="21"/>
    </w:rPr>
  </w:style>
  <w:style w:type="character" w:customStyle="1" w:styleId="2799">
    <w:name w:val="表格内字体 Char31"/>
    <w:autoRedefine/>
    <w:qFormat/>
    <w:uiPriority w:val="0"/>
    <w:rPr>
      <w:rFonts w:ascii="宋体" w:hAnsi="宋体" w:eastAsia="宋体"/>
      <w:kern w:val="2"/>
      <w:sz w:val="21"/>
      <w:szCs w:val="24"/>
      <w:lang w:val="en-US" w:eastAsia="zh-CN" w:bidi="ar-SA"/>
    </w:rPr>
  </w:style>
  <w:style w:type="character" w:customStyle="1" w:styleId="2800">
    <w:name w:val="正文缩进 Char41"/>
    <w:autoRedefine/>
    <w:qFormat/>
    <w:uiPriority w:val="0"/>
    <w:rPr>
      <w:rFonts w:ascii="宋体" w:hAnsi="宋体" w:eastAsia="宋体" w:cs="宋体"/>
      <w:color w:val="000000"/>
      <w:kern w:val="2"/>
      <w:sz w:val="24"/>
      <w:szCs w:val="24"/>
      <w:lang w:val="en-US" w:eastAsia="zh-CN" w:bidi="ar-SA"/>
    </w:rPr>
  </w:style>
  <w:style w:type="paragraph" w:customStyle="1" w:styleId="2801">
    <w:name w:val="表内54124"/>
    <w:basedOn w:val="1"/>
    <w:autoRedefine/>
    <w:qFormat/>
    <w:uiPriority w:val="0"/>
    <w:pPr>
      <w:adjustRightInd w:val="0"/>
      <w:snapToGrid w:val="0"/>
      <w:spacing w:line="300" w:lineRule="auto"/>
      <w:jc w:val="center"/>
    </w:pPr>
    <w:rPr>
      <w:rFonts w:ascii="宋体" w:hAnsi="宋体" w:cs="宋体"/>
    </w:rPr>
  </w:style>
  <w:style w:type="paragraph" w:customStyle="1" w:styleId="2802">
    <w:name w:val="表内文字小2124"/>
    <w:basedOn w:val="1"/>
    <w:autoRedefine/>
    <w:qFormat/>
    <w:uiPriority w:val="0"/>
    <w:pPr>
      <w:adjustRightInd w:val="0"/>
      <w:snapToGrid w:val="0"/>
      <w:jc w:val="center"/>
    </w:pPr>
    <w:rPr>
      <w:rFonts w:ascii="宋体" w:hAnsi="Times" w:cs="宋体"/>
      <w:bCs/>
      <w:color w:val="000000"/>
    </w:rPr>
  </w:style>
  <w:style w:type="paragraph" w:customStyle="1" w:styleId="2803">
    <w:name w:val="表题3124"/>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804">
    <w:name w:val="标题43124"/>
    <w:basedOn w:val="1"/>
    <w:autoRedefine/>
    <w:qFormat/>
    <w:uiPriority w:val="0"/>
    <w:pPr>
      <w:adjustRightInd w:val="0"/>
      <w:snapToGrid w:val="0"/>
      <w:spacing w:line="480" w:lineRule="exact"/>
      <w:jc w:val="center"/>
    </w:pPr>
    <w:rPr>
      <w:rFonts w:ascii="宋体" w:hAnsi="宋体" w:cs="宋体"/>
      <w:sz w:val="24"/>
    </w:rPr>
  </w:style>
  <w:style w:type="paragraph" w:customStyle="1" w:styleId="2805">
    <w:name w:val="燕山正文112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806">
    <w:name w:val="默认段落字体 Para Char Char Char Char24"/>
    <w:basedOn w:val="1"/>
    <w:autoRedefine/>
    <w:qFormat/>
    <w:uiPriority w:val="0"/>
    <w:rPr>
      <w:rFonts w:ascii="宋体" w:hAnsi="宋体" w:cs="宋体"/>
    </w:rPr>
  </w:style>
  <w:style w:type="paragraph" w:customStyle="1" w:styleId="2807">
    <w:name w:val="附件24"/>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808">
    <w:name w:val="黑体三号24"/>
    <w:basedOn w:val="316"/>
    <w:autoRedefine/>
    <w:qFormat/>
    <w:uiPriority w:val="0"/>
    <w:pPr>
      <w:jc w:val="center"/>
    </w:pPr>
    <w:rPr>
      <w:rFonts w:ascii="黑体" w:hAnsi="宋体" w:eastAsia="黑体"/>
      <w:bCs/>
      <w:spacing w:val="0"/>
      <w:sz w:val="32"/>
    </w:rPr>
  </w:style>
  <w:style w:type="paragraph" w:customStyle="1" w:styleId="2809">
    <w:name w:val="表24"/>
    <w:basedOn w:val="1"/>
    <w:autoRedefine/>
    <w:qFormat/>
    <w:uiPriority w:val="0"/>
    <w:pPr>
      <w:adjustRightInd w:val="0"/>
      <w:snapToGrid w:val="0"/>
      <w:jc w:val="center"/>
    </w:pPr>
    <w:rPr>
      <w:rFonts w:ascii="宋体" w:hAnsi="宋体" w:eastAsia="仿宋_GB2312" w:cs="宋体"/>
      <w:sz w:val="24"/>
    </w:rPr>
  </w:style>
  <w:style w:type="character" w:customStyle="1" w:styleId="2810">
    <w:name w:val="正文文本缩进 3 Char11"/>
    <w:autoRedefine/>
    <w:qFormat/>
    <w:uiPriority w:val="0"/>
    <w:rPr>
      <w:rFonts w:eastAsia="宋体"/>
      <w:kern w:val="2"/>
      <w:sz w:val="16"/>
      <w:szCs w:val="16"/>
      <w:lang w:val="en-US" w:eastAsia="zh-CN" w:bidi="ar-SA"/>
    </w:rPr>
  </w:style>
  <w:style w:type="paragraph" w:customStyle="1" w:styleId="2811">
    <w:name w:val="表题124"/>
    <w:basedOn w:val="22"/>
    <w:autoRedefine/>
    <w:qFormat/>
    <w:uiPriority w:val="0"/>
    <w:pPr>
      <w:widowControl w:val="0"/>
      <w:spacing w:line="360" w:lineRule="auto"/>
      <w:jc w:val="center"/>
    </w:pPr>
    <w:rPr>
      <w:rFonts w:ascii="黑体" w:hAnsi="Arial" w:cs="Arial"/>
      <w:kern w:val="2"/>
    </w:rPr>
  </w:style>
  <w:style w:type="character" w:customStyle="1" w:styleId="2812">
    <w:name w:val="表题1 Char21"/>
    <w:autoRedefine/>
    <w:qFormat/>
    <w:uiPriority w:val="0"/>
    <w:rPr>
      <w:rFonts w:hAnsi="Arial" w:eastAsia="宋体" w:cs="Arial"/>
      <w:kern w:val="2"/>
      <w:sz w:val="24"/>
      <w:szCs w:val="24"/>
      <w:lang w:val="en-US" w:eastAsia="zh-CN" w:bidi="ar-SA"/>
    </w:rPr>
  </w:style>
  <w:style w:type="paragraph" w:customStyle="1" w:styleId="2813">
    <w:name w:val="燕山正文2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814">
    <w:name w:val="燕山正文 Char121"/>
    <w:autoRedefine/>
    <w:qFormat/>
    <w:uiPriority w:val="0"/>
    <w:rPr>
      <w:rFonts w:ascii="宋体" w:eastAsia="宋体" w:cs="宋体"/>
      <w:kern w:val="2"/>
      <w:sz w:val="24"/>
      <w:szCs w:val="24"/>
      <w:lang w:val="en-US" w:eastAsia="zh-CN" w:bidi="ar-SA"/>
    </w:rPr>
  </w:style>
  <w:style w:type="paragraph" w:customStyle="1" w:styleId="2815">
    <w:name w:val="正文修改24"/>
    <w:basedOn w:val="1181"/>
    <w:autoRedefine/>
    <w:qFormat/>
    <w:uiPriority w:val="0"/>
    <w:rPr>
      <w:rFonts w:hAnsi="宋体"/>
      <w:color w:val="000000"/>
    </w:rPr>
  </w:style>
  <w:style w:type="character" w:customStyle="1" w:styleId="2816">
    <w:name w:val="正文修改 Char124"/>
    <w:autoRedefine/>
    <w:qFormat/>
    <w:uiPriority w:val="0"/>
    <w:rPr>
      <w:rFonts w:ascii="宋体" w:hAnsi="宋体" w:eastAsia="宋体" w:cs="宋体"/>
      <w:color w:val="000000"/>
      <w:kern w:val="2"/>
      <w:sz w:val="24"/>
      <w:szCs w:val="24"/>
      <w:lang w:val="en-US" w:eastAsia="zh-CN" w:bidi="ar-SA"/>
    </w:rPr>
  </w:style>
  <w:style w:type="character" w:customStyle="1" w:styleId="2817">
    <w:name w:val="标题正文黑 Char11"/>
    <w:autoRedefine/>
    <w:qFormat/>
    <w:uiPriority w:val="0"/>
    <w:rPr>
      <w:rFonts w:ascii="黑体" w:eastAsia="黑体"/>
      <w:kern w:val="2"/>
      <w:sz w:val="28"/>
      <w:szCs w:val="28"/>
      <w:lang w:val="en-US" w:eastAsia="zh-CN" w:bidi="ar-SA"/>
    </w:rPr>
  </w:style>
  <w:style w:type="paragraph" w:customStyle="1" w:styleId="2818">
    <w:name w:val="表中文字24"/>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2819">
    <w:name w:val="表中文字 Char221"/>
    <w:autoRedefine/>
    <w:qFormat/>
    <w:uiPriority w:val="0"/>
    <w:rPr>
      <w:rFonts w:ascii="宋体" w:eastAsia="宋体"/>
      <w:kern w:val="2"/>
      <w:sz w:val="21"/>
      <w:szCs w:val="21"/>
      <w:lang w:val="en-US" w:eastAsia="zh-CN" w:bidi="ar-SA"/>
    </w:rPr>
  </w:style>
  <w:style w:type="paragraph" w:customStyle="1" w:styleId="2820">
    <w:name w:val="表文字524"/>
    <w:basedOn w:val="1"/>
    <w:autoRedefine/>
    <w:qFormat/>
    <w:uiPriority w:val="0"/>
    <w:pPr>
      <w:adjustRightInd w:val="0"/>
      <w:jc w:val="left"/>
      <w:textAlignment w:val="baseline"/>
    </w:pPr>
    <w:rPr>
      <w:rFonts w:ascii="宋体" w:hAnsi="宋体" w:cs="宋体"/>
      <w:kern w:val="0"/>
    </w:rPr>
  </w:style>
  <w:style w:type="paragraph" w:customStyle="1" w:styleId="2821">
    <w:name w:val="表内文字小3124"/>
    <w:basedOn w:val="1"/>
    <w:autoRedefine/>
    <w:qFormat/>
    <w:uiPriority w:val="0"/>
    <w:pPr>
      <w:adjustRightInd w:val="0"/>
      <w:snapToGrid w:val="0"/>
      <w:jc w:val="center"/>
    </w:pPr>
    <w:rPr>
      <w:rFonts w:ascii="宋体" w:hAnsi="Times" w:cs="宋体"/>
      <w:bCs/>
      <w:color w:val="003366"/>
    </w:rPr>
  </w:style>
  <w:style w:type="paragraph" w:customStyle="1" w:styleId="2822">
    <w:name w:val="样式124"/>
    <w:basedOn w:val="1228"/>
    <w:autoRedefine/>
    <w:qFormat/>
    <w:uiPriority w:val="0"/>
    <w:pPr>
      <w:spacing w:line="240" w:lineRule="auto"/>
      <w:ind w:firstLine="0"/>
      <w:jc w:val="center"/>
    </w:pPr>
    <w:rPr>
      <w:rFonts w:cs="Times New Roman"/>
      <w:b/>
      <w:color w:val="auto"/>
      <w:szCs w:val="20"/>
    </w:rPr>
  </w:style>
  <w:style w:type="character" w:customStyle="1" w:styleId="2823">
    <w:name w:val="样式 表内小5 + 黑体 加粗 倾斜 下划线 Char511"/>
    <w:autoRedefine/>
    <w:qFormat/>
    <w:uiPriority w:val="0"/>
    <w:rPr>
      <w:rFonts w:ascii="黑体" w:hAnsi="黑体" w:eastAsia="黑体"/>
      <w:b/>
      <w:bCs/>
      <w:i/>
      <w:iCs/>
      <w:kern w:val="2"/>
      <w:sz w:val="18"/>
      <w:szCs w:val="24"/>
      <w:u w:val="single"/>
      <w:lang w:val="en-US" w:eastAsia="zh-CN" w:bidi="ar-SA"/>
    </w:rPr>
  </w:style>
  <w:style w:type="character" w:customStyle="1" w:styleId="2824">
    <w:name w:val="标题2 Char21"/>
    <w:autoRedefine/>
    <w:qFormat/>
    <w:uiPriority w:val="0"/>
    <w:rPr>
      <w:rFonts w:ascii="宋体" w:hAnsi="宋体" w:eastAsia="宋体" w:cs="宋体"/>
      <w:color w:val="000000"/>
      <w:kern w:val="2"/>
      <w:sz w:val="24"/>
      <w:szCs w:val="24"/>
      <w:lang w:val="en-US" w:eastAsia="zh-CN" w:bidi="ar-SA"/>
    </w:rPr>
  </w:style>
  <w:style w:type="paragraph" w:customStyle="1" w:styleId="2825">
    <w:name w:val="Char310"/>
    <w:basedOn w:val="1"/>
    <w:autoRedefine/>
    <w:qFormat/>
    <w:uiPriority w:val="0"/>
    <w:pPr>
      <w:ind w:left="-48"/>
    </w:pPr>
    <w:rPr>
      <w:rFonts w:ascii="宋体" w:hAnsi="宋体" w:cs="宋体"/>
    </w:rPr>
  </w:style>
  <w:style w:type="paragraph" w:customStyle="1" w:styleId="2826">
    <w:name w:val="表内文字小224"/>
    <w:basedOn w:val="1"/>
    <w:autoRedefine/>
    <w:qFormat/>
    <w:uiPriority w:val="0"/>
    <w:pPr>
      <w:adjustRightInd w:val="0"/>
      <w:snapToGrid w:val="0"/>
      <w:jc w:val="center"/>
    </w:pPr>
    <w:rPr>
      <w:rFonts w:ascii="宋体" w:hAnsi="Times" w:cs="宋体"/>
      <w:bCs/>
      <w:color w:val="000000"/>
    </w:rPr>
  </w:style>
  <w:style w:type="paragraph" w:customStyle="1" w:styleId="2827">
    <w:name w:val="表内5314"/>
    <w:basedOn w:val="1"/>
    <w:autoRedefine/>
    <w:qFormat/>
    <w:uiPriority w:val="0"/>
    <w:pPr>
      <w:adjustRightInd w:val="0"/>
      <w:snapToGrid w:val="0"/>
      <w:spacing w:line="300" w:lineRule="auto"/>
      <w:jc w:val="left"/>
    </w:pPr>
    <w:rPr>
      <w:rFonts w:ascii="宋体" w:hAnsi="宋体" w:cs="宋体"/>
    </w:rPr>
  </w:style>
  <w:style w:type="paragraph" w:customStyle="1" w:styleId="2828">
    <w:name w:val="正文格式214"/>
    <w:basedOn w:val="1"/>
    <w:autoRedefine/>
    <w:qFormat/>
    <w:uiPriority w:val="0"/>
    <w:pPr>
      <w:spacing w:line="360" w:lineRule="auto"/>
      <w:ind w:firstLine="482"/>
    </w:pPr>
    <w:rPr>
      <w:rFonts w:ascii="宋体" w:hAnsi="宋体" w:cs="宋体"/>
      <w:sz w:val="24"/>
    </w:rPr>
  </w:style>
  <w:style w:type="paragraph" w:customStyle="1" w:styleId="2829">
    <w:name w:val="图题214"/>
    <w:basedOn w:val="316"/>
    <w:next w:val="316"/>
    <w:autoRedefine/>
    <w:qFormat/>
    <w:uiPriority w:val="0"/>
    <w:pPr>
      <w:ind w:firstLine="0"/>
      <w:jc w:val="center"/>
    </w:pPr>
    <w:rPr>
      <w:rFonts w:ascii="黑体" w:hAnsi="宋体" w:eastAsia="黑体"/>
      <w:bCs/>
      <w:spacing w:val="0"/>
    </w:rPr>
  </w:style>
  <w:style w:type="paragraph" w:customStyle="1" w:styleId="2830">
    <w:name w:val="表格内字体214"/>
    <w:basedOn w:val="316"/>
    <w:next w:val="316"/>
    <w:autoRedefine/>
    <w:qFormat/>
    <w:uiPriority w:val="0"/>
    <w:pPr>
      <w:spacing w:line="240" w:lineRule="auto"/>
      <w:ind w:firstLine="0"/>
      <w:jc w:val="center"/>
    </w:pPr>
    <w:rPr>
      <w:rFonts w:hAnsi="宋体"/>
      <w:b w:val="0"/>
      <w:spacing w:val="0"/>
      <w:sz w:val="21"/>
    </w:rPr>
  </w:style>
  <w:style w:type="paragraph" w:customStyle="1" w:styleId="2831">
    <w:name w:val="表题1114"/>
    <w:basedOn w:val="22"/>
    <w:autoRedefine/>
    <w:qFormat/>
    <w:uiPriority w:val="0"/>
    <w:pPr>
      <w:widowControl w:val="0"/>
      <w:spacing w:line="360" w:lineRule="auto"/>
      <w:jc w:val="center"/>
    </w:pPr>
    <w:rPr>
      <w:rFonts w:ascii="黑体" w:hAnsi="Arial" w:cs="Arial"/>
      <w:kern w:val="2"/>
    </w:rPr>
  </w:style>
  <w:style w:type="character" w:customStyle="1" w:styleId="2832">
    <w:name w:val="表题1 Char111"/>
    <w:autoRedefine/>
    <w:qFormat/>
    <w:uiPriority w:val="0"/>
    <w:rPr>
      <w:rFonts w:hAnsi="Arial" w:eastAsia="宋体" w:cs="Arial"/>
      <w:kern w:val="2"/>
      <w:sz w:val="24"/>
      <w:szCs w:val="24"/>
      <w:lang w:val="en-US" w:eastAsia="zh-CN" w:bidi="ar-SA"/>
    </w:rPr>
  </w:style>
  <w:style w:type="paragraph" w:customStyle="1" w:styleId="2833">
    <w:name w:val="表中文字114"/>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834">
    <w:name w:val="表文字5114"/>
    <w:basedOn w:val="1"/>
    <w:autoRedefine/>
    <w:qFormat/>
    <w:uiPriority w:val="0"/>
    <w:pPr>
      <w:adjustRightInd w:val="0"/>
      <w:jc w:val="left"/>
      <w:textAlignment w:val="baseline"/>
    </w:pPr>
    <w:rPr>
      <w:rFonts w:ascii="宋体" w:hAnsi="宋体" w:cs="宋体"/>
      <w:kern w:val="0"/>
    </w:rPr>
  </w:style>
  <w:style w:type="character" w:customStyle="1" w:styleId="2835">
    <w:name w:val="批注框文本 Char11"/>
    <w:autoRedefine/>
    <w:qFormat/>
    <w:uiPriority w:val="0"/>
    <w:rPr>
      <w:rFonts w:eastAsia="宋体"/>
      <w:kern w:val="2"/>
      <w:sz w:val="18"/>
      <w:szCs w:val="18"/>
      <w:lang w:val="en-US" w:eastAsia="zh-CN" w:bidi="ar-SA"/>
    </w:rPr>
  </w:style>
  <w:style w:type="paragraph" w:customStyle="1" w:styleId="2836">
    <w:name w:val="正文格式44"/>
    <w:basedOn w:val="1"/>
    <w:autoRedefine/>
    <w:qFormat/>
    <w:uiPriority w:val="0"/>
    <w:pPr>
      <w:spacing w:line="360" w:lineRule="auto"/>
      <w:ind w:firstLine="482"/>
    </w:pPr>
    <w:rPr>
      <w:rFonts w:ascii="宋体" w:hAnsi="宋体" w:cs="宋体"/>
      <w:sz w:val="24"/>
    </w:rPr>
  </w:style>
  <w:style w:type="paragraph" w:customStyle="1" w:styleId="2837">
    <w:name w:val="图题44"/>
    <w:basedOn w:val="316"/>
    <w:next w:val="316"/>
    <w:autoRedefine/>
    <w:qFormat/>
    <w:uiPriority w:val="0"/>
    <w:pPr>
      <w:ind w:firstLine="0"/>
      <w:jc w:val="center"/>
    </w:pPr>
    <w:rPr>
      <w:rFonts w:ascii="黑体" w:hAnsi="宋体" w:eastAsia="黑体"/>
      <w:bCs/>
      <w:spacing w:val="0"/>
    </w:rPr>
  </w:style>
  <w:style w:type="paragraph" w:customStyle="1" w:styleId="2838">
    <w:name w:val="表格内字体44"/>
    <w:basedOn w:val="316"/>
    <w:next w:val="316"/>
    <w:autoRedefine/>
    <w:qFormat/>
    <w:uiPriority w:val="0"/>
    <w:pPr>
      <w:spacing w:line="240" w:lineRule="auto"/>
      <w:ind w:firstLine="0"/>
      <w:jc w:val="center"/>
    </w:pPr>
    <w:rPr>
      <w:rFonts w:hAnsi="宋体"/>
      <w:b w:val="0"/>
      <w:spacing w:val="0"/>
      <w:sz w:val="21"/>
    </w:rPr>
  </w:style>
  <w:style w:type="character" w:customStyle="1" w:styleId="2839">
    <w:name w:val="表格内字体 Char41"/>
    <w:autoRedefine/>
    <w:qFormat/>
    <w:uiPriority w:val="0"/>
    <w:rPr>
      <w:rFonts w:ascii="宋体" w:hAnsi="宋体" w:eastAsia="宋体"/>
      <w:kern w:val="2"/>
      <w:sz w:val="21"/>
      <w:szCs w:val="24"/>
      <w:lang w:val="en-US" w:eastAsia="zh-CN" w:bidi="ar-SA"/>
    </w:rPr>
  </w:style>
  <w:style w:type="character" w:customStyle="1" w:styleId="2840">
    <w:name w:val="正文格式 Char41"/>
    <w:autoRedefine/>
    <w:qFormat/>
    <w:uiPriority w:val="0"/>
    <w:rPr>
      <w:rFonts w:ascii="宋体" w:hAnsi="宋体" w:eastAsia="宋体"/>
      <w:kern w:val="2"/>
      <w:sz w:val="24"/>
      <w:szCs w:val="24"/>
      <w:lang w:val="en-US" w:eastAsia="zh-CN" w:bidi="ar-SA"/>
    </w:rPr>
  </w:style>
  <w:style w:type="character" w:customStyle="1" w:styleId="2841">
    <w:name w:val="标题 2 Char21"/>
    <w:autoRedefine/>
    <w:qFormat/>
    <w:uiPriority w:val="0"/>
    <w:rPr>
      <w:rFonts w:ascii="黑体" w:hAnsi="Arial" w:eastAsia="黑体"/>
      <w:b/>
      <w:bCs/>
      <w:kern w:val="2"/>
      <w:sz w:val="30"/>
      <w:szCs w:val="30"/>
      <w:lang w:val="en-US" w:eastAsia="zh-CN" w:bidi="ar-SA"/>
    </w:rPr>
  </w:style>
  <w:style w:type="character" w:customStyle="1" w:styleId="2842">
    <w:name w:val="标题 3 Char21"/>
    <w:autoRedefine/>
    <w:qFormat/>
    <w:uiPriority w:val="0"/>
    <w:rPr>
      <w:rFonts w:ascii="黑体" w:hAnsi="宋体" w:eastAsia="黑体"/>
      <w:b/>
      <w:bCs/>
      <w:kern w:val="2"/>
      <w:sz w:val="28"/>
      <w:szCs w:val="28"/>
      <w:lang w:val="en-US" w:eastAsia="zh-CN" w:bidi="ar-SA"/>
    </w:rPr>
  </w:style>
  <w:style w:type="paragraph" w:customStyle="1" w:styleId="2843">
    <w:name w:val="Char410"/>
    <w:basedOn w:val="1"/>
    <w:autoRedefine/>
    <w:qFormat/>
    <w:uiPriority w:val="0"/>
    <w:pPr>
      <w:ind w:left="-48"/>
    </w:pPr>
    <w:rPr>
      <w:rFonts w:ascii="宋体" w:hAnsi="宋体" w:cs="宋体"/>
    </w:rPr>
  </w:style>
  <w:style w:type="character" w:customStyle="1" w:styleId="2844">
    <w:name w:val="Char Char118"/>
    <w:autoRedefine/>
    <w:qFormat/>
    <w:uiPriority w:val="0"/>
    <w:rPr>
      <w:rFonts w:ascii="黑体" w:hAnsi="Arial" w:eastAsia="黑体"/>
      <w:b/>
      <w:bCs/>
      <w:kern w:val="2"/>
      <w:sz w:val="30"/>
      <w:szCs w:val="30"/>
      <w:lang w:val="en-US" w:eastAsia="zh-CN" w:bidi="ar-SA"/>
    </w:rPr>
  </w:style>
  <w:style w:type="character" w:customStyle="1" w:styleId="2845">
    <w:name w:val="Char Char22"/>
    <w:autoRedefine/>
    <w:qFormat/>
    <w:uiPriority w:val="0"/>
    <w:rPr>
      <w:rFonts w:ascii="黑体" w:eastAsia="黑体"/>
      <w:b/>
      <w:bCs/>
      <w:kern w:val="2"/>
      <w:sz w:val="28"/>
      <w:szCs w:val="28"/>
      <w:lang w:val="en-US" w:eastAsia="zh-CN" w:bidi="ar-SA"/>
    </w:rPr>
  </w:style>
  <w:style w:type="paragraph" w:customStyle="1" w:styleId="2846">
    <w:name w:val="表题134"/>
    <w:basedOn w:val="22"/>
    <w:autoRedefine/>
    <w:qFormat/>
    <w:uiPriority w:val="0"/>
    <w:pPr>
      <w:widowControl w:val="0"/>
      <w:spacing w:line="360" w:lineRule="auto"/>
      <w:jc w:val="center"/>
    </w:pPr>
    <w:rPr>
      <w:rFonts w:ascii="黑体" w:hAnsi="Arial" w:cs="Arial"/>
      <w:b/>
      <w:kern w:val="2"/>
    </w:rPr>
  </w:style>
  <w:style w:type="character" w:customStyle="1" w:styleId="2847">
    <w:name w:val="表题1 Char31"/>
    <w:autoRedefine/>
    <w:qFormat/>
    <w:uiPriority w:val="0"/>
    <w:rPr>
      <w:rFonts w:ascii="黑体" w:hAnsi="Arial" w:eastAsia="黑体" w:cs="Arial"/>
      <w:b/>
      <w:kern w:val="2"/>
      <w:sz w:val="24"/>
      <w:szCs w:val="24"/>
      <w:lang w:val="en-US" w:eastAsia="zh-CN" w:bidi="ar-SA"/>
    </w:rPr>
  </w:style>
  <w:style w:type="paragraph" w:customStyle="1" w:styleId="2848">
    <w:name w:val="默认段落字体 Para Char1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849">
    <w:name w:val="23-47表名4"/>
    <w:basedOn w:val="1"/>
    <w:autoRedefine/>
    <w:qFormat/>
    <w:uiPriority w:val="0"/>
    <w:pPr>
      <w:spacing w:afterLines="50" w:line="440" w:lineRule="exact"/>
      <w:jc w:val="center"/>
    </w:pPr>
    <w:rPr>
      <w:rFonts w:ascii="宋体" w:hAnsi="宋体" w:cs="宋体"/>
      <w:b/>
      <w:sz w:val="24"/>
    </w:rPr>
  </w:style>
  <w:style w:type="paragraph" w:customStyle="1" w:styleId="2850">
    <w:name w:val="xl24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851">
    <w:name w:val="Char Char Char Char Char Char Char113"/>
    <w:basedOn w:val="1"/>
    <w:autoRedefine/>
    <w:qFormat/>
    <w:uiPriority w:val="0"/>
    <w:rPr>
      <w:rFonts w:ascii="宋体" w:hAnsi="宋体" w:cs="宋体"/>
    </w:rPr>
  </w:style>
  <w:style w:type="character" w:customStyle="1" w:styleId="2852">
    <w:name w:val="普通文字 Char34"/>
    <w:autoRedefine/>
    <w:qFormat/>
    <w:uiPriority w:val="0"/>
    <w:rPr>
      <w:rFonts w:ascii="宋体" w:hAnsi="Courier New" w:eastAsia="宋体" w:cs="Courier New"/>
      <w:kern w:val="2"/>
      <w:sz w:val="21"/>
      <w:szCs w:val="21"/>
      <w:lang w:val="en-US" w:eastAsia="zh-CN" w:bidi="ar-SA"/>
    </w:rPr>
  </w:style>
  <w:style w:type="paragraph" w:customStyle="1" w:styleId="2853">
    <w:name w:val="Char54"/>
    <w:basedOn w:val="1"/>
    <w:autoRedefine/>
    <w:qFormat/>
    <w:uiPriority w:val="0"/>
    <w:pPr>
      <w:adjustRightInd w:val="0"/>
      <w:snapToGrid w:val="0"/>
      <w:ind w:left="-45"/>
    </w:pPr>
    <w:rPr>
      <w:rFonts w:ascii="宋体" w:hAnsi="宋体" w:cs="宋体"/>
    </w:rPr>
  </w:style>
  <w:style w:type="paragraph" w:customStyle="1" w:styleId="2854">
    <w:name w:val="燕山正文1134"/>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855">
    <w:name w:val="批注框文本 Char21"/>
    <w:autoRedefine/>
    <w:qFormat/>
    <w:uiPriority w:val="0"/>
    <w:rPr>
      <w:rFonts w:eastAsia="宋体"/>
      <w:kern w:val="2"/>
      <w:sz w:val="18"/>
      <w:szCs w:val="18"/>
      <w:lang w:val="en-US" w:eastAsia="zh-CN" w:bidi="ar-SA"/>
    </w:rPr>
  </w:style>
  <w:style w:type="paragraph" w:customStyle="1" w:styleId="2856">
    <w:name w:val="正文格式54"/>
    <w:basedOn w:val="1"/>
    <w:autoRedefine/>
    <w:qFormat/>
    <w:uiPriority w:val="0"/>
    <w:pPr>
      <w:spacing w:line="360" w:lineRule="auto"/>
      <w:ind w:firstLine="482"/>
    </w:pPr>
    <w:rPr>
      <w:rFonts w:ascii="宋体" w:hAnsi="宋体" w:cs="宋体"/>
      <w:sz w:val="24"/>
    </w:rPr>
  </w:style>
  <w:style w:type="character" w:customStyle="1" w:styleId="2857">
    <w:name w:val="正文格式 Char51"/>
    <w:autoRedefine/>
    <w:qFormat/>
    <w:uiPriority w:val="0"/>
    <w:rPr>
      <w:rFonts w:ascii="宋体" w:hAnsi="宋体" w:eastAsia="宋体"/>
      <w:kern w:val="2"/>
      <w:sz w:val="24"/>
      <w:szCs w:val="24"/>
      <w:lang w:val="en-US" w:eastAsia="zh-CN" w:bidi="ar-SA"/>
    </w:rPr>
  </w:style>
  <w:style w:type="character" w:customStyle="1" w:styleId="2858">
    <w:name w:val="标题 2 Char31"/>
    <w:autoRedefine/>
    <w:qFormat/>
    <w:uiPriority w:val="0"/>
    <w:rPr>
      <w:rFonts w:ascii="黑体" w:hAnsi="Arial" w:eastAsia="黑体"/>
      <w:bCs/>
      <w:kern w:val="2"/>
      <w:sz w:val="30"/>
      <w:szCs w:val="30"/>
      <w:lang w:val="en-US" w:eastAsia="zh-CN" w:bidi="ar-SA"/>
    </w:rPr>
  </w:style>
  <w:style w:type="character" w:customStyle="1" w:styleId="2859">
    <w:name w:val="标题 3 Char31"/>
    <w:autoRedefine/>
    <w:qFormat/>
    <w:uiPriority w:val="0"/>
    <w:rPr>
      <w:rFonts w:ascii="黑体" w:hAnsi="宋体" w:eastAsia="黑体"/>
      <w:b/>
      <w:bCs/>
      <w:kern w:val="2"/>
      <w:sz w:val="28"/>
      <w:szCs w:val="28"/>
      <w:lang w:val="en-US" w:eastAsia="zh-CN" w:bidi="ar-SA"/>
    </w:rPr>
  </w:style>
  <w:style w:type="paragraph" w:customStyle="1" w:styleId="2860">
    <w:name w:val="Char313"/>
    <w:basedOn w:val="1"/>
    <w:autoRedefine/>
    <w:qFormat/>
    <w:uiPriority w:val="0"/>
    <w:pPr>
      <w:ind w:left="-48"/>
    </w:pPr>
    <w:rPr>
      <w:rFonts w:ascii="宋体" w:hAnsi="宋体" w:cs="宋体"/>
    </w:rPr>
  </w:style>
  <w:style w:type="character" w:customStyle="1" w:styleId="2861">
    <w:name w:val="题注 Char34"/>
    <w:autoRedefine/>
    <w:qFormat/>
    <w:uiPriority w:val="0"/>
    <w:rPr>
      <w:rFonts w:ascii="黑体" w:hAnsi="Arial" w:eastAsia="黑体" w:cs="Arial"/>
      <w:spacing w:val="10"/>
      <w:kern w:val="2"/>
      <w:sz w:val="24"/>
      <w:szCs w:val="24"/>
      <w:lang w:val="en-US" w:eastAsia="zh-CN" w:bidi="ar-SA"/>
    </w:rPr>
  </w:style>
  <w:style w:type="paragraph" w:customStyle="1" w:styleId="2862">
    <w:name w:val="图题54"/>
    <w:basedOn w:val="316"/>
    <w:next w:val="316"/>
    <w:autoRedefine/>
    <w:qFormat/>
    <w:uiPriority w:val="0"/>
    <w:pPr>
      <w:ind w:firstLine="0"/>
      <w:jc w:val="center"/>
    </w:pPr>
    <w:rPr>
      <w:rFonts w:ascii="黑体" w:hAnsi="宋体" w:eastAsia="黑体"/>
      <w:bCs/>
      <w:spacing w:val="0"/>
    </w:rPr>
  </w:style>
  <w:style w:type="paragraph" w:customStyle="1" w:styleId="2863">
    <w:name w:val="表格内字体54"/>
    <w:basedOn w:val="316"/>
    <w:next w:val="316"/>
    <w:autoRedefine/>
    <w:qFormat/>
    <w:uiPriority w:val="0"/>
    <w:pPr>
      <w:adjustRightInd w:val="0"/>
      <w:snapToGrid w:val="0"/>
      <w:spacing w:line="240" w:lineRule="auto"/>
      <w:ind w:firstLine="0"/>
    </w:pPr>
    <w:rPr>
      <w:rFonts w:hAnsi="宋体"/>
      <w:b w:val="0"/>
      <w:spacing w:val="0"/>
      <w:sz w:val="21"/>
    </w:rPr>
  </w:style>
  <w:style w:type="character" w:customStyle="1" w:styleId="2864">
    <w:name w:val="表格内字体 Char51"/>
    <w:autoRedefine/>
    <w:qFormat/>
    <w:uiPriority w:val="0"/>
    <w:rPr>
      <w:rFonts w:ascii="宋体" w:hAnsi="宋体" w:eastAsia="宋体"/>
      <w:kern w:val="2"/>
      <w:sz w:val="21"/>
      <w:szCs w:val="24"/>
      <w:lang w:val="en-US" w:eastAsia="zh-CN" w:bidi="ar-SA"/>
    </w:rPr>
  </w:style>
  <w:style w:type="character" w:customStyle="1" w:styleId="2865">
    <w:name w:val="正文缩进 Char111"/>
    <w:autoRedefine/>
    <w:qFormat/>
    <w:uiPriority w:val="0"/>
    <w:rPr>
      <w:rFonts w:ascii="宋体" w:hAnsi="宋体" w:eastAsia="宋体" w:cs="宋体"/>
      <w:color w:val="000000"/>
      <w:kern w:val="2"/>
      <w:sz w:val="24"/>
      <w:szCs w:val="24"/>
      <w:lang w:val="en-US" w:eastAsia="zh-CN" w:bidi="ar-SA"/>
    </w:rPr>
  </w:style>
  <w:style w:type="paragraph" w:customStyle="1" w:styleId="2866">
    <w:name w:val="表34"/>
    <w:basedOn w:val="1"/>
    <w:autoRedefine/>
    <w:qFormat/>
    <w:uiPriority w:val="0"/>
    <w:pPr>
      <w:adjustRightInd w:val="0"/>
      <w:snapToGrid w:val="0"/>
      <w:jc w:val="center"/>
    </w:pPr>
    <w:rPr>
      <w:rFonts w:ascii="宋体" w:hAnsi="宋体" w:eastAsia="仿宋_GB2312" w:cs="宋体"/>
      <w:sz w:val="24"/>
    </w:rPr>
  </w:style>
  <w:style w:type="paragraph" w:customStyle="1" w:styleId="2867">
    <w:name w:val="正文.1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868">
    <w:name w:val="文本框14"/>
    <w:basedOn w:val="1"/>
    <w:autoRedefine/>
    <w:qFormat/>
    <w:uiPriority w:val="0"/>
    <w:pPr>
      <w:adjustRightInd w:val="0"/>
      <w:snapToGrid w:val="0"/>
      <w:spacing w:after="6"/>
      <w:jc w:val="center"/>
    </w:pPr>
    <w:rPr>
      <w:rFonts w:ascii="宋体" w:hAnsi="宋体" w:eastAsia="仿宋_GB2312" w:cs="宋体"/>
    </w:rPr>
  </w:style>
  <w:style w:type="paragraph" w:customStyle="1" w:styleId="2869">
    <w:name w:val="表内宋51114"/>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870">
    <w:name w:val="表内文字小3134"/>
    <w:basedOn w:val="1"/>
    <w:autoRedefine/>
    <w:qFormat/>
    <w:uiPriority w:val="0"/>
    <w:pPr>
      <w:adjustRightInd w:val="0"/>
      <w:snapToGrid w:val="0"/>
      <w:jc w:val="center"/>
    </w:pPr>
    <w:rPr>
      <w:rFonts w:ascii="宋体" w:hAnsi="Times" w:cs="宋体"/>
      <w:bCs/>
      <w:color w:val="003366"/>
    </w:rPr>
  </w:style>
  <w:style w:type="paragraph" w:customStyle="1" w:styleId="2871">
    <w:name w:val="表文字534"/>
    <w:basedOn w:val="1"/>
    <w:autoRedefine/>
    <w:qFormat/>
    <w:uiPriority w:val="0"/>
    <w:pPr>
      <w:adjustRightInd w:val="0"/>
      <w:jc w:val="left"/>
      <w:textAlignment w:val="baseline"/>
    </w:pPr>
    <w:rPr>
      <w:rFonts w:ascii="宋体" w:hAnsi="宋体" w:cs="宋体"/>
      <w:kern w:val="0"/>
    </w:rPr>
  </w:style>
  <w:style w:type="paragraph" w:customStyle="1" w:styleId="2872">
    <w:name w:val="Char Char Char Char Char Char Char27"/>
    <w:basedOn w:val="1"/>
    <w:autoRedefine/>
    <w:qFormat/>
    <w:uiPriority w:val="0"/>
    <w:rPr>
      <w:rFonts w:ascii="宋体" w:hAnsi="宋体" w:cs="宋体"/>
    </w:rPr>
  </w:style>
  <w:style w:type="paragraph" w:customStyle="1" w:styleId="2873">
    <w:name w:val="表题3134"/>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874">
    <w:name w:val="表内文字小2134"/>
    <w:basedOn w:val="1"/>
    <w:autoRedefine/>
    <w:qFormat/>
    <w:uiPriority w:val="0"/>
    <w:pPr>
      <w:adjustRightInd w:val="0"/>
      <w:snapToGrid w:val="0"/>
      <w:jc w:val="center"/>
      <w:textAlignment w:val="baseline"/>
    </w:pPr>
    <w:rPr>
      <w:rFonts w:ascii="宋体" w:hAnsi="Times" w:cs="宋体"/>
      <w:bCs/>
      <w:color w:val="000000"/>
    </w:rPr>
  </w:style>
  <w:style w:type="character" w:customStyle="1" w:styleId="2875">
    <w:name w:val="Char Char91"/>
    <w:autoRedefine/>
    <w:qFormat/>
    <w:uiPriority w:val="0"/>
    <w:rPr>
      <w:rFonts w:eastAsia="宋体"/>
      <w:kern w:val="2"/>
      <w:sz w:val="21"/>
      <w:szCs w:val="24"/>
      <w:shd w:val="clear" w:color="auto" w:fill="000080"/>
      <w:lang w:val="en-US" w:eastAsia="zh-CN" w:bidi="ar-SA"/>
    </w:rPr>
  </w:style>
  <w:style w:type="paragraph" w:customStyle="1" w:styleId="2876">
    <w:name w:val="燕山正文3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877">
    <w:name w:val="燕山正文 Char131"/>
    <w:autoRedefine/>
    <w:qFormat/>
    <w:uiPriority w:val="0"/>
    <w:rPr>
      <w:rFonts w:ascii="宋体" w:eastAsia="宋体" w:cs="宋体"/>
      <w:kern w:val="2"/>
      <w:sz w:val="24"/>
      <w:szCs w:val="24"/>
      <w:lang w:val="en-US" w:eastAsia="zh-CN" w:bidi="ar-SA"/>
    </w:rPr>
  </w:style>
  <w:style w:type="paragraph" w:customStyle="1" w:styleId="2878">
    <w:name w:val="正文修改34"/>
    <w:basedOn w:val="1181"/>
    <w:autoRedefine/>
    <w:qFormat/>
    <w:uiPriority w:val="0"/>
    <w:rPr>
      <w:rFonts w:hAnsi="宋体"/>
      <w:color w:val="000000"/>
    </w:rPr>
  </w:style>
  <w:style w:type="character" w:customStyle="1" w:styleId="2879">
    <w:name w:val="正文修改 Char134"/>
    <w:autoRedefine/>
    <w:qFormat/>
    <w:uiPriority w:val="0"/>
    <w:rPr>
      <w:rFonts w:ascii="宋体" w:hAnsi="宋体" w:eastAsia="宋体" w:cs="宋体"/>
      <w:color w:val="000000"/>
      <w:kern w:val="2"/>
      <w:sz w:val="24"/>
      <w:szCs w:val="24"/>
      <w:lang w:val="en-US" w:eastAsia="zh-CN" w:bidi="ar-SA"/>
    </w:rPr>
  </w:style>
  <w:style w:type="paragraph" w:customStyle="1" w:styleId="2880">
    <w:name w:val="表题145"/>
    <w:basedOn w:val="22"/>
    <w:autoRedefine/>
    <w:qFormat/>
    <w:uiPriority w:val="0"/>
    <w:pPr>
      <w:widowControl w:val="0"/>
      <w:spacing w:line="360" w:lineRule="auto"/>
      <w:jc w:val="center"/>
    </w:pPr>
    <w:rPr>
      <w:rFonts w:ascii="黑体" w:hAnsi="Arial" w:cs="Arial"/>
      <w:b/>
      <w:kern w:val="2"/>
    </w:rPr>
  </w:style>
  <w:style w:type="character" w:customStyle="1" w:styleId="2881">
    <w:name w:val="表题1 Char44"/>
    <w:autoRedefine/>
    <w:qFormat/>
    <w:uiPriority w:val="0"/>
    <w:rPr>
      <w:rFonts w:ascii="黑体" w:hAnsi="Arial" w:eastAsia="黑体" w:cs="Arial"/>
      <w:b/>
      <w:kern w:val="2"/>
      <w:sz w:val="24"/>
      <w:szCs w:val="24"/>
      <w:lang w:val="en-US" w:eastAsia="zh-CN" w:bidi="ar-SA"/>
    </w:rPr>
  </w:style>
  <w:style w:type="paragraph" w:customStyle="1" w:styleId="2882">
    <w:name w:val="表中文字34"/>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2883">
    <w:name w:val="表中文字 Char231"/>
    <w:autoRedefine/>
    <w:qFormat/>
    <w:uiPriority w:val="0"/>
    <w:rPr>
      <w:rFonts w:ascii="宋体" w:eastAsia="宋体"/>
      <w:kern w:val="2"/>
      <w:sz w:val="21"/>
      <w:szCs w:val="21"/>
      <w:lang w:val="en-US" w:eastAsia="zh-CN" w:bidi="ar-SA"/>
    </w:rPr>
  </w:style>
  <w:style w:type="paragraph" w:customStyle="1" w:styleId="2884">
    <w:name w:val="黑体三号34"/>
    <w:basedOn w:val="316"/>
    <w:autoRedefine/>
    <w:qFormat/>
    <w:uiPriority w:val="0"/>
    <w:pPr>
      <w:jc w:val="center"/>
    </w:pPr>
    <w:rPr>
      <w:rFonts w:ascii="黑体" w:hAnsi="宋体" w:eastAsia="黑体"/>
      <w:bCs/>
      <w:spacing w:val="0"/>
      <w:sz w:val="32"/>
    </w:rPr>
  </w:style>
  <w:style w:type="paragraph" w:customStyle="1" w:styleId="2885">
    <w:name w:val="默认段落字体 Para Char Char Char Char34"/>
    <w:basedOn w:val="1"/>
    <w:autoRedefine/>
    <w:qFormat/>
    <w:uiPriority w:val="0"/>
    <w:rPr>
      <w:rFonts w:ascii="宋体" w:hAnsi="宋体" w:cs="宋体"/>
    </w:rPr>
  </w:style>
  <w:style w:type="paragraph" w:customStyle="1" w:styleId="2886">
    <w:name w:val="表内54134"/>
    <w:basedOn w:val="1"/>
    <w:autoRedefine/>
    <w:qFormat/>
    <w:uiPriority w:val="0"/>
    <w:pPr>
      <w:adjustRightInd w:val="0"/>
      <w:snapToGrid w:val="0"/>
      <w:spacing w:line="300" w:lineRule="auto"/>
      <w:jc w:val="center"/>
    </w:pPr>
    <w:rPr>
      <w:rFonts w:ascii="宋体" w:hAnsi="宋体" w:cs="宋体"/>
    </w:rPr>
  </w:style>
  <w:style w:type="paragraph" w:customStyle="1" w:styleId="2887">
    <w:name w:val="标题45"/>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888">
    <w:name w:val="Char64"/>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889">
    <w:name w:val="表题21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890">
    <w:name w:val="表内宋5中114"/>
    <w:basedOn w:val="1"/>
    <w:autoRedefine/>
    <w:qFormat/>
    <w:uiPriority w:val="0"/>
    <w:pPr>
      <w:adjustRightInd w:val="0"/>
      <w:snapToGrid w:val="0"/>
      <w:jc w:val="center"/>
      <w:textAlignment w:val="baseline"/>
    </w:pPr>
    <w:rPr>
      <w:rFonts w:ascii="宋体" w:hAnsi="宋体" w:cs="宋体"/>
      <w:kern w:val="0"/>
    </w:rPr>
  </w:style>
  <w:style w:type="paragraph" w:customStyle="1" w:styleId="2891">
    <w:name w:val="表内宋5中15"/>
    <w:basedOn w:val="1"/>
    <w:autoRedefine/>
    <w:qFormat/>
    <w:uiPriority w:val="0"/>
    <w:pPr>
      <w:adjustRightInd w:val="0"/>
      <w:snapToGrid w:val="0"/>
      <w:jc w:val="center"/>
      <w:textAlignment w:val="baseline"/>
    </w:pPr>
    <w:rPr>
      <w:rFonts w:ascii="宋体" w:hAnsi="宋体" w:cs="宋体"/>
      <w:kern w:val="0"/>
    </w:rPr>
  </w:style>
  <w:style w:type="paragraph" w:customStyle="1" w:styleId="2892">
    <w:name w:val="表内文字小114"/>
    <w:basedOn w:val="1"/>
    <w:autoRedefine/>
    <w:qFormat/>
    <w:uiPriority w:val="0"/>
    <w:pPr>
      <w:adjustRightInd w:val="0"/>
      <w:snapToGrid w:val="0"/>
    </w:pPr>
    <w:rPr>
      <w:rFonts w:ascii="宋体" w:hAnsi="Times" w:cs="宋体"/>
    </w:rPr>
  </w:style>
  <w:style w:type="paragraph" w:customStyle="1" w:styleId="2893">
    <w:name w:val="标题4114"/>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894">
    <w:name w:val="表题14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895">
    <w:name w:val="表内文字小84"/>
    <w:basedOn w:val="1"/>
    <w:autoRedefine/>
    <w:qFormat/>
    <w:uiPriority w:val="0"/>
    <w:pPr>
      <w:adjustRightInd w:val="0"/>
      <w:snapToGrid w:val="0"/>
      <w:jc w:val="center"/>
    </w:pPr>
    <w:rPr>
      <w:rFonts w:ascii="宋体" w:hAnsi="Times" w:cs="宋体"/>
    </w:rPr>
  </w:style>
  <w:style w:type="paragraph" w:customStyle="1" w:styleId="2896">
    <w:name w:val="默认段落字体 Para Char2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897">
    <w:name w:val="表内5中6"/>
    <w:basedOn w:val="1"/>
    <w:autoRedefine/>
    <w:qFormat/>
    <w:uiPriority w:val="0"/>
    <w:pPr>
      <w:adjustRightInd w:val="0"/>
      <w:snapToGrid w:val="0"/>
      <w:jc w:val="center"/>
    </w:pPr>
    <w:rPr>
      <w:rFonts w:ascii="宋体" w:hAnsi="宋体" w:cs="Arial"/>
      <w:snapToGrid w:val="0"/>
      <w:color w:val="000000"/>
      <w:szCs w:val="21"/>
    </w:rPr>
  </w:style>
  <w:style w:type="paragraph" w:customStyle="1" w:styleId="2898">
    <w:name w:val="Default4"/>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2899">
    <w:name w:val="河石1 Char14"/>
    <w:autoRedefine/>
    <w:qFormat/>
    <w:uiPriority w:val="0"/>
    <w:rPr>
      <w:rFonts w:ascii="黑体" w:hAnsi="宋体" w:eastAsia="黑体"/>
      <w:bCs/>
      <w:kern w:val="44"/>
      <w:sz w:val="32"/>
      <w:szCs w:val="32"/>
      <w:lang w:val="en-US" w:eastAsia="zh-CN" w:bidi="ar-SA"/>
    </w:rPr>
  </w:style>
  <w:style w:type="character" w:customStyle="1" w:styleId="2900">
    <w:name w:val="标题 2 Char41"/>
    <w:autoRedefine/>
    <w:qFormat/>
    <w:uiPriority w:val="0"/>
    <w:rPr>
      <w:rFonts w:ascii="黑体" w:hAnsi="Arial" w:eastAsia="黑体" w:cs="Times New Roman"/>
      <w:bCs/>
      <w:kern w:val="2"/>
      <w:sz w:val="30"/>
      <w:szCs w:val="30"/>
      <w:lang w:val="en-US" w:eastAsia="zh-CN" w:bidi="ar-SA"/>
    </w:rPr>
  </w:style>
  <w:style w:type="character" w:customStyle="1" w:styleId="2901">
    <w:name w:val="标题 3 Char91"/>
    <w:autoRedefine/>
    <w:qFormat/>
    <w:uiPriority w:val="0"/>
    <w:rPr>
      <w:rFonts w:ascii="黑体" w:hAnsi="宋体" w:eastAsia="黑体" w:cs="Times New Roman"/>
      <w:b/>
      <w:bCs/>
      <w:kern w:val="2"/>
      <w:sz w:val="28"/>
      <w:szCs w:val="28"/>
      <w:lang w:val="en-US" w:eastAsia="zh-CN" w:bidi="ar-SA"/>
    </w:rPr>
  </w:style>
  <w:style w:type="character" w:customStyle="1" w:styleId="2902">
    <w:name w:val="河石管道4 Char4"/>
    <w:autoRedefine/>
    <w:qFormat/>
    <w:uiPriority w:val="0"/>
    <w:rPr>
      <w:rFonts w:ascii="黑体" w:hAnsi="Arial" w:eastAsia="黑体"/>
      <w:bCs/>
      <w:kern w:val="2"/>
      <w:sz w:val="24"/>
      <w:szCs w:val="24"/>
      <w:lang w:val="en-US" w:eastAsia="zh-CN" w:bidi="ar-SA"/>
    </w:rPr>
  </w:style>
  <w:style w:type="character" w:customStyle="1" w:styleId="2903">
    <w:name w:val="一级项 Char2"/>
    <w:autoRedefine/>
    <w:qFormat/>
    <w:uiPriority w:val="0"/>
    <w:rPr>
      <w:rFonts w:eastAsia="宋体"/>
      <w:b/>
      <w:bCs/>
      <w:kern w:val="2"/>
      <w:sz w:val="28"/>
      <w:szCs w:val="28"/>
      <w:lang w:val="en-US" w:eastAsia="zh-CN" w:bidi="ar-SA"/>
    </w:rPr>
  </w:style>
  <w:style w:type="character" w:customStyle="1" w:styleId="2904">
    <w:name w:val="二级项 Char3"/>
    <w:autoRedefine/>
    <w:qFormat/>
    <w:uiPriority w:val="0"/>
    <w:rPr>
      <w:rFonts w:ascii="Arial" w:hAnsi="Arial" w:eastAsia="黑体"/>
      <w:b/>
      <w:bCs/>
      <w:kern w:val="2"/>
      <w:sz w:val="24"/>
      <w:szCs w:val="24"/>
      <w:lang w:val="en-US" w:eastAsia="zh-CN" w:bidi="ar-SA"/>
    </w:rPr>
  </w:style>
  <w:style w:type="character" w:customStyle="1" w:styleId="2905">
    <w:name w:val="无级项 Char3"/>
    <w:autoRedefine/>
    <w:qFormat/>
    <w:uiPriority w:val="0"/>
    <w:rPr>
      <w:rFonts w:eastAsia="宋体"/>
      <w:b/>
      <w:bCs/>
      <w:kern w:val="2"/>
      <w:sz w:val="24"/>
      <w:szCs w:val="24"/>
      <w:lang w:val="en-US" w:eastAsia="zh-CN" w:bidi="ar-SA"/>
    </w:rPr>
  </w:style>
  <w:style w:type="character" w:customStyle="1" w:styleId="2906">
    <w:name w:val="注 Char3"/>
    <w:autoRedefine/>
    <w:qFormat/>
    <w:uiPriority w:val="0"/>
    <w:rPr>
      <w:rFonts w:ascii="Arial" w:hAnsi="Arial" w:eastAsia="黑体"/>
      <w:kern w:val="2"/>
      <w:sz w:val="24"/>
      <w:szCs w:val="24"/>
      <w:lang w:val="en-US" w:eastAsia="zh-CN" w:bidi="ar-SA"/>
    </w:rPr>
  </w:style>
  <w:style w:type="character" w:customStyle="1" w:styleId="2907">
    <w:name w:val="干标题(a) Char3"/>
    <w:autoRedefine/>
    <w:qFormat/>
    <w:uiPriority w:val="0"/>
    <w:rPr>
      <w:rFonts w:ascii="Arial" w:hAnsi="Arial" w:eastAsia="黑体"/>
      <w:kern w:val="2"/>
      <w:sz w:val="21"/>
      <w:szCs w:val="21"/>
      <w:lang w:val="en-US" w:eastAsia="zh-CN" w:bidi="ar-SA"/>
    </w:rPr>
  </w:style>
  <w:style w:type="paragraph" w:customStyle="1" w:styleId="2908">
    <w:name w:val="正文格式64"/>
    <w:basedOn w:val="1"/>
    <w:autoRedefine/>
    <w:qFormat/>
    <w:uiPriority w:val="0"/>
    <w:pPr>
      <w:spacing w:line="360" w:lineRule="auto"/>
      <w:ind w:firstLine="482"/>
    </w:pPr>
    <w:rPr>
      <w:rFonts w:ascii="宋体" w:hAnsi="宋体" w:cs="宋体"/>
      <w:sz w:val="24"/>
    </w:rPr>
  </w:style>
  <w:style w:type="character" w:customStyle="1" w:styleId="2909">
    <w:name w:val="正文格式 Char61"/>
    <w:autoRedefine/>
    <w:qFormat/>
    <w:uiPriority w:val="0"/>
    <w:rPr>
      <w:rFonts w:ascii="宋体" w:hAnsi="宋体" w:eastAsia="宋体" w:cs="Times New Roman"/>
      <w:kern w:val="2"/>
      <w:sz w:val="24"/>
      <w:szCs w:val="24"/>
      <w:lang w:val="en-US" w:eastAsia="zh-CN" w:bidi="ar-SA"/>
    </w:rPr>
  </w:style>
  <w:style w:type="paragraph" w:customStyle="1" w:styleId="2910">
    <w:name w:val="附件34"/>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2911">
    <w:name w:val="题注 Char41"/>
    <w:autoRedefine/>
    <w:qFormat/>
    <w:uiPriority w:val="0"/>
    <w:rPr>
      <w:rFonts w:ascii="黑体" w:hAnsi="Arial" w:eastAsia="黑体" w:cs="Arial"/>
      <w:b/>
      <w:kern w:val="2"/>
      <w:sz w:val="24"/>
      <w:szCs w:val="24"/>
      <w:lang w:val="en-US" w:eastAsia="zh-CN" w:bidi="ar-SA"/>
    </w:rPr>
  </w:style>
  <w:style w:type="paragraph" w:customStyle="1" w:styleId="2912">
    <w:name w:val="图题64"/>
    <w:basedOn w:val="316"/>
    <w:next w:val="316"/>
    <w:autoRedefine/>
    <w:qFormat/>
    <w:uiPriority w:val="0"/>
    <w:pPr>
      <w:ind w:firstLine="0"/>
      <w:jc w:val="center"/>
    </w:pPr>
    <w:rPr>
      <w:rFonts w:ascii="黑体" w:hAnsi="宋体" w:eastAsia="黑体"/>
      <w:bCs/>
      <w:spacing w:val="0"/>
      <w:kern w:val="0"/>
    </w:rPr>
  </w:style>
  <w:style w:type="character" w:customStyle="1" w:styleId="2913">
    <w:name w:val="图题 Char4"/>
    <w:autoRedefine/>
    <w:qFormat/>
    <w:uiPriority w:val="0"/>
    <w:rPr>
      <w:rFonts w:ascii="黑体" w:hAnsi="宋体" w:eastAsia="黑体" w:cs="宋体"/>
      <w:b/>
      <w:bCs/>
      <w:kern w:val="2"/>
      <w:sz w:val="24"/>
      <w:szCs w:val="24"/>
      <w:lang w:val="en-US" w:eastAsia="zh-CN" w:bidi="ar-SA"/>
    </w:rPr>
  </w:style>
  <w:style w:type="paragraph" w:customStyle="1" w:styleId="2914">
    <w:name w:val="表格内字体64"/>
    <w:basedOn w:val="316"/>
    <w:next w:val="316"/>
    <w:autoRedefine/>
    <w:qFormat/>
    <w:uiPriority w:val="0"/>
    <w:pPr>
      <w:spacing w:line="240" w:lineRule="auto"/>
      <w:ind w:firstLine="0"/>
      <w:jc w:val="center"/>
    </w:pPr>
    <w:rPr>
      <w:rFonts w:hAnsi="宋体"/>
      <w:b w:val="0"/>
      <w:spacing w:val="0"/>
      <w:sz w:val="21"/>
    </w:rPr>
  </w:style>
  <w:style w:type="character" w:customStyle="1" w:styleId="2915">
    <w:name w:val="表格内字体 Char61"/>
    <w:autoRedefine/>
    <w:qFormat/>
    <w:uiPriority w:val="0"/>
    <w:rPr>
      <w:rFonts w:ascii="宋体" w:hAnsi="宋体" w:eastAsia="宋体" w:cs="Times New Roman"/>
      <w:kern w:val="2"/>
      <w:sz w:val="24"/>
      <w:szCs w:val="24"/>
      <w:lang w:val="en-US" w:eastAsia="zh-CN" w:bidi="ar-SA"/>
    </w:rPr>
  </w:style>
  <w:style w:type="paragraph" w:customStyle="1" w:styleId="2916">
    <w:name w:val="黑体三号44"/>
    <w:basedOn w:val="316"/>
    <w:autoRedefine/>
    <w:qFormat/>
    <w:uiPriority w:val="0"/>
    <w:pPr>
      <w:jc w:val="center"/>
    </w:pPr>
    <w:rPr>
      <w:rFonts w:ascii="黑体" w:hAnsi="宋体" w:eastAsia="黑体"/>
      <w:bCs/>
      <w:spacing w:val="0"/>
      <w:sz w:val="32"/>
    </w:rPr>
  </w:style>
  <w:style w:type="paragraph" w:customStyle="1" w:styleId="2917">
    <w:name w:val="默认段落字体 Para Char Char Char Char44"/>
    <w:basedOn w:val="1"/>
    <w:autoRedefine/>
    <w:qFormat/>
    <w:uiPriority w:val="0"/>
    <w:rPr>
      <w:rFonts w:ascii="宋体" w:hAnsi="宋体" w:cs="宋体"/>
    </w:rPr>
  </w:style>
  <w:style w:type="paragraph" w:customStyle="1" w:styleId="2918">
    <w:name w:val="图表题4"/>
    <w:basedOn w:val="316"/>
    <w:next w:val="316"/>
    <w:autoRedefine/>
    <w:qFormat/>
    <w:uiPriority w:val="0"/>
    <w:pPr>
      <w:ind w:firstLine="0"/>
      <w:jc w:val="center"/>
    </w:pPr>
    <w:rPr>
      <w:rFonts w:ascii="黑体" w:hAnsi="宋体" w:eastAsia="黑体"/>
      <w:bCs/>
      <w:spacing w:val="0"/>
    </w:rPr>
  </w:style>
  <w:style w:type="character" w:customStyle="1" w:styleId="2919">
    <w:name w:val="图表题 Char4"/>
    <w:autoRedefine/>
    <w:qFormat/>
    <w:uiPriority w:val="0"/>
    <w:rPr>
      <w:rFonts w:ascii="黑体" w:hAnsi="宋体" w:eastAsia="黑体" w:cs="宋体"/>
      <w:bCs/>
      <w:spacing w:val="10"/>
      <w:kern w:val="2"/>
      <w:sz w:val="24"/>
      <w:szCs w:val="24"/>
      <w:lang w:val="en-US" w:eastAsia="zh-CN" w:bidi="ar-SA"/>
    </w:rPr>
  </w:style>
  <w:style w:type="character" w:customStyle="1" w:styleId="2920">
    <w:name w:val="表题 Char41"/>
    <w:autoRedefine/>
    <w:qFormat/>
    <w:uiPriority w:val="0"/>
    <w:rPr>
      <w:rFonts w:ascii="黑体" w:hAnsi="Arial" w:eastAsia="黑体" w:cs="Arial"/>
      <w:b/>
      <w:kern w:val="2"/>
      <w:sz w:val="24"/>
      <w:szCs w:val="24"/>
      <w:lang w:val="en-US" w:eastAsia="zh-CN" w:bidi="ar-SA"/>
    </w:rPr>
  </w:style>
  <w:style w:type="paragraph" w:customStyle="1" w:styleId="2921">
    <w:name w:val="样式 表格内字体 +4"/>
    <w:basedOn w:val="1178"/>
    <w:autoRedefine/>
    <w:qFormat/>
    <w:uiPriority w:val="0"/>
    <w:pPr>
      <w:spacing w:line="280" w:lineRule="exact"/>
      <w:ind w:firstLine="36"/>
      <w:jc w:val="both"/>
    </w:pPr>
    <w:rPr>
      <w:kern w:val="0"/>
    </w:rPr>
  </w:style>
  <w:style w:type="character" w:customStyle="1" w:styleId="2922">
    <w:name w:val="样式 表格内字体 + Char4"/>
    <w:basedOn w:val="1179"/>
    <w:autoRedefine/>
    <w:qFormat/>
    <w:uiPriority w:val="0"/>
    <w:rPr>
      <w:rFonts w:ascii="宋体" w:hAnsi="宋体"/>
      <w:kern w:val="2"/>
      <w:sz w:val="21"/>
    </w:rPr>
  </w:style>
  <w:style w:type="paragraph" w:customStyle="1" w:styleId="2923">
    <w:name w:val="A正文4"/>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2924">
    <w:name w:val="A正文 Char4"/>
    <w:autoRedefine/>
    <w:qFormat/>
    <w:uiPriority w:val="0"/>
    <w:rPr>
      <w:rFonts w:eastAsia="仿宋_GB2312"/>
      <w:kern w:val="2"/>
      <w:sz w:val="24"/>
      <w:szCs w:val="24"/>
      <w:lang w:val="en-US" w:eastAsia="zh-CN" w:bidi="ar-SA"/>
    </w:rPr>
  </w:style>
  <w:style w:type="paragraph" w:customStyle="1" w:styleId="2925">
    <w:name w:val="图题注4"/>
    <w:basedOn w:val="22"/>
    <w:autoRedefine/>
    <w:qFormat/>
    <w:uiPriority w:val="0"/>
    <w:pPr>
      <w:widowControl w:val="0"/>
      <w:jc w:val="center"/>
    </w:pPr>
    <w:rPr>
      <w:rFonts w:ascii="黑体" w:hAnsi="Arial"/>
      <w:b/>
      <w:bCs/>
      <w:kern w:val="2"/>
    </w:rPr>
  </w:style>
  <w:style w:type="character" w:customStyle="1" w:styleId="2926">
    <w:name w:val="图题注 Char4"/>
    <w:autoRedefine/>
    <w:qFormat/>
    <w:uiPriority w:val="0"/>
    <w:rPr>
      <w:rFonts w:ascii="黑体" w:hAnsi="Arial" w:eastAsia="黑体" w:cs="宋体"/>
      <w:b/>
      <w:bCs/>
      <w:kern w:val="2"/>
      <w:sz w:val="24"/>
      <w:szCs w:val="24"/>
      <w:lang w:val="en-US" w:eastAsia="zh-CN" w:bidi="ar-SA"/>
    </w:rPr>
  </w:style>
  <w:style w:type="paragraph" w:customStyle="1" w:styleId="2927">
    <w:name w:val="Char74"/>
    <w:basedOn w:val="1"/>
    <w:autoRedefine/>
    <w:qFormat/>
    <w:uiPriority w:val="0"/>
    <w:pPr>
      <w:ind w:left="-48"/>
    </w:pPr>
    <w:rPr>
      <w:rFonts w:ascii="宋体" w:hAnsi="宋体" w:cs="宋体"/>
    </w:rPr>
  </w:style>
  <w:style w:type="paragraph" w:customStyle="1" w:styleId="2928">
    <w:name w:val="表格内字体114"/>
    <w:basedOn w:val="316"/>
    <w:autoRedefine/>
    <w:qFormat/>
    <w:uiPriority w:val="0"/>
    <w:pPr>
      <w:spacing w:line="240" w:lineRule="auto"/>
      <w:ind w:firstLine="0"/>
      <w:jc w:val="center"/>
    </w:pPr>
    <w:rPr>
      <w:rFonts w:hAnsi="Times New Roman"/>
      <w:b w:val="0"/>
      <w:spacing w:val="0"/>
      <w:sz w:val="21"/>
    </w:rPr>
  </w:style>
  <w:style w:type="paragraph" w:customStyle="1" w:styleId="2929">
    <w:name w:val="样式 正文缩进 + 宋体 黑色 首行缩进:  2 字符4"/>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930">
    <w:name w:val="环评正文4"/>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2931">
    <w:name w:val="环评正文 Char4"/>
    <w:autoRedefine/>
    <w:qFormat/>
    <w:uiPriority w:val="0"/>
    <w:rPr>
      <w:rFonts w:eastAsia="宋体"/>
      <w:bCs/>
      <w:kern w:val="2"/>
      <w:sz w:val="24"/>
      <w:szCs w:val="24"/>
      <w:lang w:val="en-US" w:eastAsia="zh-CN" w:bidi="ar-SA"/>
    </w:rPr>
  </w:style>
  <w:style w:type="paragraph" w:customStyle="1" w:styleId="2932">
    <w:name w:val="注释4"/>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2933">
    <w:name w:val="样式44"/>
    <w:basedOn w:val="34"/>
    <w:autoRedefine/>
    <w:qFormat/>
    <w:uiPriority w:val="0"/>
    <w:rPr>
      <w:rFonts w:ascii="Calibri" w:hAnsi="Calibri" w:cs="宋体"/>
    </w:rPr>
  </w:style>
  <w:style w:type="paragraph" w:customStyle="1" w:styleId="2934">
    <w:name w:val="标题415"/>
    <w:basedOn w:val="6"/>
    <w:next w:val="1"/>
    <w:autoRedefine/>
    <w:qFormat/>
    <w:uiPriority w:val="0"/>
    <w:pPr>
      <w:widowControl w:val="0"/>
      <w:tabs>
        <w:tab w:val="clear" w:pos="1276"/>
      </w:tabs>
      <w:spacing w:before="160" w:after="170"/>
      <w:ind w:left="0" w:firstLine="0"/>
      <w:jc w:val="both"/>
    </w:pPr>
    <w:rPr>
      <w:rFonts w:ascii="黑体" w:eastAsia="黑体"/>
    </w:rPr>
  </w:style>
  <w:style w:type="character" w:customStyle="1" w:styleId="2935">
    <w:name w:val="标题4 Char4"/>
    <w:autoRedefine/>
    <w:qFormat/>
    <w:uiPriority w:val="0"/>
    <w:rPr>
      <w:rFonts w:ascii="黑体" w:hAnsi="Arial" w:eastAsia="黑体" w:cs="Times New Roman"/>
      <w:b/>
      <w:bCs/>
      <w:kern w:val="2"/>
      <w:sz w:val="24"/>
      <w:szCs w:val="28"/>
      <w:lang w:val="en-US" w:eastAsia="zh-CN" w:bidi="ar-SA"/>
    </w:rPr>
  </w:style>
  <w:style w:type="paragraph" w:customStyle="1" w:styleId="2936">
    <w:name w:val="表中文字44"/>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2937">
    <w:name w:val="表中文字 Char5"/>
    <w:autoRedefine/>
    <w:qFormat/>
    <w:uiPriority w:val="0"/>
    <w:rPr>
      <w:rFonts w:ascii="Arial" w:hAnsi="Arial" w:eastAsia="宋体"/>
      <w:kern w:val="2"/>
      <w:sz w:val="24"/>
      <w:szCs w:val="24"/>
      <w:lang w:val="en-US" w:eastAsia="zh-TW" w:bidi="ar-SA"/>
    </w:rPr>
  </w:style>
  <w:style w:type="paragraph" w:customStyle="1" w:styleId="2938">
    <w:name w:val="样式 正文缩进 + 宋体 黑色4"/>
    <w:basedOn w:val="9"/>
    <w:autoRedefine/>
    <w:qFormat/>
    <w:uiPriority w:val="0"/>
    <w:pPr>
      <w:adjustRightInd/>
      <w:snapToGrid/>
      <w:spacing w:line="360" w:lineRule="auto"/>
      <w:jc w:val="left"/>
    </w:pPr>
    <w:rPr>
      <w:rFonts w:ascii="宋体" w:hAnsi="宋体" w:eastAsia="宋体" w:cs="宋体"/>
      <w:sz w:val="24"/>
    </w:rPr>
  </w:style>
  <w:style w:type="character" w:customStyle="1" w:styleId="2939">
    <w:name w:val="样式 正文缩进 + 宋体 黑色 Char4"/>
    <w:autoRedefine/>
    <w:qFormat/>
    <w:uiPriority w:val="0"/>
    <w:rPr>
      <w:rFonts w:ascii="宋体" w:hAnsi="宋体" w:eastAsia="宋体"/>
      <w:color w:val="000000"/>
      <w:kern w:val="2"/>
      <w:sz w:val="24"/>
      <w:szCs w:val="24"/>
      <w:lang w:val="en-US" w:eastAsia="zh-CN" w:bidi="ar-SA"/>
    </w:rPr>
  </w:style>
  <w:style w:type="paragraph" w:customStyle="1" w:styleId="2940">
    <w:name w:val="表内514"/>
    <w:basedOn w:val="1"/>
    <w:autoRedefine/>
    <w:qFormat/>
    <w:uiPriority w:val="0"/>
    <w:pPr>
      <w:adjustRightInd w:val="0"/>
      <w:snapToGrid w:val="0"/>
      <w:jc w:val="center"/>
    </w:pPr>
    <w:rPr>
      <w:rFonts w:ascii="宋体" w:hAnsi="宋体" w:cs="宋体"/>
      <w:kern w:val="0"/>
      <w:sz w:val="24"/>
    </w:rPr>
  </w:style>
  <w:style w:type="character" w:customStyle="1" w:styleId="2941">
    <w:name w:val="表内5 Char5"/>
    <w:autoRedefine/>
    <w:qFormat/>
    <w:uiPriority w:val="0"/>
    <w:rPr>
      <w:rFonts w:ascii="宋体" w:hAnsi="宋体" w:eastAsia="宋体" w:cs="Times New Roman"/>
      <w:kern w:val="2"/>
      <w:sz w:val="24"/>
      <w:szCs w:val="24"/>
      <w:lang w:val="en-US" w:eastAsia="zh-CN" w:bidi="ar-SA"/>
    </w:rPr>
  </w:style>
  <w:style w:type="paragraph" w:customStyle="1" w:styleId="2942">
    <w:name w:val="样式 样式 宋体 + 首行缩进:  2 字符14"/>
    <w:basedOn w:val="1"/>
    <w:autoRedefine/>
    <w:qFormat/>
    <w:uiPriority w:val="0"/>
    <w:pPr>
      <w:spacing w:line="360" w:lineRule="auto"/>
      <w:ind w:firstLine="480" w:firstLineChars="200"/>
      <w:jc w:val="left"/>
    </w:pPr>
    <w:rPr>
      <w:rFonts w:ascii="宋体" w:hAnsi="宋体" w:cs="宋体"/>
      <w:sz w:val="24"/>
    </w:rPr>
  </w:style>
  <w:style w:type="paragraph" w:customStyle="1" w:styleId="2943">
    <w:name w:val="表内宋5中24"/>
    <w:basedOn w:val="1"/>
    <w:autoRedefine/>
    <w:qFormat/>
    <w:uiPriority w:val="0"/>
    <w:pPr>
      <w:adjustRightInd w:val="0"/>
      <w:snapToGrid w:val="0"/>
      <w:jc w:val="center"/>
      <w:textAlignment w:val="baseline"/>
    </w:pPr>
    <w:rPr>
      <w:rFonts w:ascii="宋体" w:hAnsi="宋体" w:cs="宋体"/>
      <w:kern w:val="0"/>
    </w:rPr>
  </w:style>
  <w:style w:type="character" w:customStyle="1" w:styleId="2944">
    <w:name w:val="标题 5 Char11"/>
    <w:autoRedefine/>
    <w:qFormat/>
    <w:uiPriority w:val="0"/>
    <w:rPr>
      <w:rFonts w:ascii="宋体" w:hAnsi="宋体" w:eastAsia="宋体" w:cs="宋体"/>
      <w:b/>
      <w:bCs/>
      <w:kern w:val="2"/>
      <w:sz w:val="28"/>
      <w:szCs w:val="28"/>
      <w:lang w:val="en-US" w:eastAsia="zh-CN" w:bidi="ar-SA"/>
    </w:rPr>
  </w:style>
  <w:style w:type="paragraph" w:customStyle="1" w:styleId="2945">
    <w:name w:val="xl634"/>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946">
    <w:name w:val="标准4"/>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947">
    <w:name w:val="Fax Header4"/>
    <w:basedOn w:val="1"/>
    <w:autoRedefine/>
    <w:qFormat/>
    <w:uiPriority w:val="0"/>
    <w:pPr>
      <w:widowControl/>
      <w:spacing w:before="240" w:after="60"/>
      <w:jc w:val="left"/>
    </w:pPr>
    <w:rPr>
      <w:rFonts w:ascii="宋体" w:hAnsi="宋体" w:cs="宋体"/>
      <w:kern w:val="0"/>
      <w:sz w:val="24"/>
    </w:rPr>
  </w:style>
  <w:style w:type="paragraph" w:customStyle="1" w:styleId="2948">
    <w:name w:val="样式 表格内字体1 +4"/>
    <w:basedOn w:val="1265"/>
    <w:next w:val="1178"/>
    <w:autoRedefine/>
    <w:qFormat/>
    <w:uiPriority w:val="0"/>
    <w:rPr>
      <w:rFonts w:hAnsi="Times New Roman"/>
    </w:rPr>
  </w:style>
  <w:style w:type="paragraph" w:customStyle="1" w:styleId="2949">
    <w:name w:val="默认段落字体 Para Char34"/>
    <w:basedOn w:val="1"/>
    <w:autoRedefine/>
    <w:qFormat/>
    <w:uiPriority w:val="0"/>
    <w:pPr>
      <w:spacing w:line="360" w:lineRule="auto"/>
      <w:ind w:firstLine="200" w:firstLineChars="200"/>
    </w:pPr>
    <w:rPr>
      <w:rFonts w:ascii="宋体" w:hAnsi="宋体" w:cs="宋体"/>
      <w:sz w:val="24"/>
    </w:rPr>
  </w:style>
  <w:style w:type="paragraph" w:customStyle="1" w:styleId="2950">
    <w:name w:val="正文斜体4"/>
    <w:basedOn w:val="316"/>
    <w:next w:val="316"/>
    <w:autoRedefine/>
    <w:qFormat/>
    <w:uiPriority w:val="0"/>
    <w:rPr>
      <w:rFonts w:hAnsi="宋体"/>
      <w:b w:val="0"/>
      <w:i/>
      <w:iCs/>
      <w:spacing w:val="0"/>
    </w:rPr>
  </w:style>
  <w:style w:type="character" w:customStyle="1" w:styleId="2951">
    <w:name w:val="正文斜体 Char4"/>
    <w:autoRedefine/>
    <w:qFormat/>
    <w:uiPriority w:val="0"/>
    <w:rPr>
      <w:rFonts w:ascii="宋体" w:hAnsi="宋体" w:eastAsia="宋体" w:cs="宋体"/>
      <w:b/>
      <w:i/>
      <w:iCs/>
      <w:spacing w:val="10"/>
      <w:kern w:val="2"/>
      <w:sz w:val="24"/>
      <w:szCs w:val="24"/>
      <w:lang w:val="en-US" w:eastAsia="zh-CN" w:bidi="ar-SA"/>
    </w:rPr>
  </w:style>
  <w:style w:type="paragraph" w:customStyle="1" w:styleId="2952">
    <w:name w:val="Char84"/>
    <w:basedOn w:val="1"/>
    <w:autoRedefine/>
    <w:qFormat/>
    <w:uiPriority w:val="0"/>
    <w:pPr>
      <w:ind w:left="-48"/>
    </w:pPr>
    <w:rPr>
      <w:rFonts w:ascii="宋体" w:hAnsi="宋体" w:cs="宋体"/>
    </w:rPr>
  </w:style>
  <w:style w:type="paragraph" w:customStyle="1" w:styleId="2953">
    <w:name w:val="正文格式74"/>
    <w:basedOn w:val="1"/>
    <w:autoRedefine/>
    <w:qFormat/>
    <w:uiPriority w:val="0"/>
    <w:pPr>
      <w:spacing w:line="360" w:lineRule="auto"/>
      <w:ind w:firstLine="482"/>
    </w:pPr>
    <w:rPr>
      <w:rFonts w:ascii="宋体" w:hAnsi="宋体" w:cs="宋体"/>
      <w:sz w:val="24"/>
    </w:rPr>
  </w:style>
  <w:style w:type="character" w:customStyle="1" w:styleId="2954">
    <w:name w:val="正文格式 Char71"/>
    <w:autoRedefine/>
    <w:qFormat/>
    <w:uiPriority w:val="0"/>
    <w:rPr>
      <w:rFonts w:ascii="宋体" w:hAnsi="宋体" w:eastAsia="宋体"/>
      <w:kern w:val="2"/>
      <w:sz w:val="24"/>
      <w:szCs w:val="24"/>
      <w:lang w:val="en-US" w:eastAsia="zh-CN" w:bidi="ar-SA"/>
    </w:rPr>
  </w:style>
  <w:style w:type="character" w:customStyle="1" w:styleId="2955">
    <w:name w:val="标题 2 Char51"/>
    <w:autoRedefine/>
    <w:qFormat/>
    <w:uiPriority w:val="0"/>
    <w:rPr>
      <w:rFonts w:ascii="黑体" w:hAnsi="Arial" w:eastAsia="黑体"/>
      <w:bCs/>
      <w:kern w:val="2"/>
      <w:sz w:val="30"/>
      <w:szCs w:val="30"/>
      <w:lang w:val="en-US" w:eastAsia="zh-CN" w:bidi="ar-SA"/>
    </w:rPr>
  </w:style>
  <w:style w:type="character" w:customStyle="1" w:styleId="2956">
    <w:name w:val="标题 3 Char101"/>
    <w:autoRedefine/>
    <w:qFormat/>
    <w:uiPriority w:val="0"/>
    <w:rPr>
      <w:rFonts w:ascii="黑体" w:hAnsi="宋体" w:eastAsia="黑体"/>
      <w:b/>
      <w:bCs/>
      <w:kern w:val="2"/>
      <w:sz w:val="28"/>
      <w:szCs w:val="28"/>
      <w:lang w:val="en-US" w:eastAsia="zh-CN" w:bidi="ar-SA"/>
    </w:rPr>
  </w:style>
  <w:style w:type="character" w:customStyle="1" w:styleId="2957">
    <w:name w:val="题注 Char54"/>
    <w:autoRedefine/>
    <w:qFormat/>
    <w:uiPriority w:val="0"/>
    <w:rPr>
      <w:rFonts w:ascii="黑体" w:hAnsi="Arial" w:eastAsia="黑体" w:cs="Arial"/>
      <w:spacing w:val="10"/>
      <w:kern w:val="2"/>
      <w:sz w:val="24"/>
      <w:szCs w:val="24"/>
      <w:lang w:val="en-US" w:eastAsia="zh-CN" w:bidi="ar-SA"/>
    </w:rPr>
  </w:style>
  <w:style w:type="paragraph" w:customStyle="1" w:styleId="2958">
    <w:name w:val="图题74"/>
    <w:basedOn w:val="316"/>
    <w:next w:val="316"/>
    <w:autoRedefine/>
    <w:qFormat/>
    <w:uiPriority w:val="0"/>
    <w:pPr>
      <w:ind w:firstLine="0"/>
      <w:jc w:val="center"/>
    </w:pPr>
    <w:rPr>
      <w:rFonts w:ascii="黑体" w:hAnsi="宋体" w:eastAsia="黑体"/>
      <w:bCs/>
      <w:spacing w:val="0"/>
    </w:rPr>
  </w:style>
  <w:style w:type="paragraph" w:customStyle="1" w:styleId="2959">
    <w:name w:val="表格内字体74"/>
    <w:basedOn w:val="316"/>
    <w:next w:val="316"/>
    <w:autoRedefine/>
    <w:qFormat/>
    <w:uiPriority w:val="0"/>
    <w:pPr>
      <w:spacing w:line="240" w:lineRule="auto"/>
      <w:ind w:firstLine="0"/>
      <w:jc w:val="center"/>
    </w:pPr>
    <w:rPr>
      <w:rFonts w:hAnsi="宋体"/>
      <w:b w:val="0"/>
      <w:spacing w:val="0"/>
      <w:sz w:val="21"/>
    </w:rPr>
  </w:style>
  <w:style w:type="character" w:customStyle="1" w:styleId="2960">
    <w:name w:val="表格内字体 Char71"/>
    <w:autoRedefine/>
    <w:qFormat/>
    <w:uiPriority w:val="0"/>
    <w:rPr>
      <w:rFonts w:ascii="宋体" w:hAnsi="宋体" w:eastAsia="宋体"/>
      <w:kern w:val="2"/>
      <w:sz w:val="21"/>
      <w:szCs w:val="24"/>
      <w:lang w:val="en-US" w:eastAsia="zh-CN" w:bidi="ar-SA"/>
    </w:rPr>
  </w:style>
  <w:style w:type="paragraph" w:customStyle="1" w:styleId="2961">
    <w:name w:val="Char94"/>
    <w:basedOn w:val="1"/>
    <w:autoRedefine/>
    <w:qFormat/>
    <w:uiPriority w:val="0"/>
    <w:pPr>
      <w:ind w:left="-48"/>
    </w:pPr>
    <w:rPr>
      <w:rFonts w:ascii="宋体" w:hAnsi="宋体" w:cs="宋体"/>
    </w:rPr>
  </w:style>
  <w:style w:type="character" w:customStyle="1" w:styleId="2962">
    <w:name w:val="正文缩进 Char121"/>
    <w:autoRedefine/>
    <w:qFormat/>
    <w:uiPriority w:val="0"/>
    <w:rPr>
      <w:rFonts w:ascii="宋体" w:hAnsi="宋体" w:eastAsia="宋体" w:cs="宋体"/>
      <w:color w:val="000000"/>
      <w:kern w:val="2"/>
      <w:sz w:val="24"/>
      <w:szCs w:val="24"/>
      <w:lang w:val="en-US" w:eastAsia="zh-CN" w:bidi="ar-SA"/>
    </w:rPr>
  </w:style>
  <w:style w:type="character" w:customStyle="1" w:styleId="2963">
    <w:name w:val="正文文本缩进 3 Char21"/>
    <w:autoRedefine/>
    <w:qFormat/>
    <w:uiPriority w:val="0"/>
    <w:rPr>
      <w:rFonts w:eastAsia="宋体"/>
      <w:kern w:val="2"/>
      <w:sz w:val="16"/>
      <w:szCs w:val="16"/>
      <w:lang w:val="en-US" w:eastAsia="zh-CN" w:bidi="ar-SA"/>
    </w:rPr>
  </w:style>
  <w:style w:type="paragraph" w:customStyle="1" w:styleId="2964">
    <w:name w:val="表题154"/>
    <w:basedOn w:val="22"/>
    <w:autoRedefine/>
    <w:qFormat/>
    <w:uiPriority w:val="0"/>
    <w:pPr>
      <w:widowControl w:val="0"/>
      <w:spacing w:line="360" w:lineRule="auto"/>
      <w:jc w:val="center"/>
    </w:pPr>
    <w:rPr>
      <w:rFonts w:ascii="黑体" w:hAnsi="Arial" w:cs="Arial"/>
      <w:b/>
      <w:kern w:val="2"/>
    </w:rPr>
  </w:style>
  <w:style w:type="character" w:customStyle="1" w:styleId="2965">
    <w:name w:val="表题1 Char64"/>
    <w:autoRedefine/>
    <w:qFormat/>
    <w:uiPriority w:val="0"/>
    <w:rPr>
      <w:rFonts w:ascii="黑体" w:hAnsi="Arial" w:eastAsia="黑体" w:cs="Arial"/>
      <w:b/>
      <w:kern w:val="2"/>
      <w:sz w:val="24"/>
      <w:szCs w:val="24"/>
      <w:lang w:val="en-US" w:eastAsia="zh-CN" w:bidi="ar-SA"/>
    </w:rPr>
  </w:style>
  <w:style w:type="character" w:customStyle="1" w:styleId="2966">
    <w:name w:val="Char Char45"/>
    <w:autoRedefine/>
    <w:qFormat/>
    <w:uiPriority w:val="0"/>
    <w:rPr>
      <w:rFonts w:ascii="黑体" w:hAnsi="Arial" w:eastAsia="黑体"/>
      <w:b/>
      <w:bCs/>
      <w:kern w:val="2"/>
      <w:sz w:val="30"/>
      <w:szCs w:val="30"/>
      <w:lang w:val="en-US" w:eastAsia="zh-CN" w:bidi="ar-SA"/>
    </w:rPr>
  </w:style>
  <w:style w:type="paragraph" w:customStyle="1" w:styleId="2967">
    <w:name w:val="燕山正文4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968">
    <w:name w:val="燕山正文 Char141"/>
    <w:autoRedefine/>
    <w:qFormat/>
    <w:uiPriority w:val="0"/>
    <w:rPr>
      <w:rFonts w:ascii="宋体" w:eastAsia="宋体" w:cs="宋体"/>
      <w:kern w:val="2"/>
      <w:sz w:val="24"/>
      <w:szCs w:val="24"/>
      <w:lang w:val="en-US" w:eastAsia="zh-CN" w:bidi="ar-SA"/>
    </w:rPr>
  </w:style>
  <w:style w:type="paragraph" w:customStyle="1" w:styleId="2969">
    <w:name w:val="正文修改44"/>
    <w:basedOn w:val="1181"/>
    <w:autoRedefine/>
    <w:qFormat/>
    <w:uiPriority w:val="0"/>
    <w:rPr>
      <w:rFonts w:hAnsi="宋体"/>
      <w:color w:val="000000"/>
    </w:rPr>
  </w:style>
  <w:style w:type="character" w:customStyle="1" w:styleId="2970">
    <w:name w:val="正文修改 Char144"/>
    <w:basedOn w:val="1182"/>
    <w:autoRedefine/>
    <w:qFormat/>
    <w:uiPriority w:val="0"/>
    <w:rPr>
      <w:rFonts w:ascii="宋体" w:hAnsi="Calibri" w:cs="宋体"/>
      <w:kern w:val="2"/>
      <w:sz w:val="24"/>
      <w:szCs w:val="24"/>
    </w:rPr>
  </w:style>
  <w:style w:type="paragraph" w:customStyle="1" w:styleId="2971">
    <w:name w:val="表中文字54"/>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2972">
    <w:name w:val="表中文字 Char241"/>
    <w:autoRedefine/>
    <w:qFormat/>
    <w:uiPriority w:val="0"/>
    <w:rPr>
      <w:rFonts w:ascii="宋体" w:eastAsia="宋体"/>
      <w:kern w:val="2"/>
      <w:sz w:val="21"/>
      <w:szCs w:val="21"/>
      <w:lang w:val="en-US" w:eastAsia="zh-CN" w:bidi="ar-SA"/>
    </w:rPr>
  </w:style>
  <w:style w:type="paragraph" w:customStyle="1" w:styleId="2973">
    <w:name w:val="默认段落字体 Para Char Char Char Char54"/>
    <w:basedOn w:val="1"/>
    <w:autoRedefine/>
    <w:qFormat/>
    <w:uiPriority w:val="0"/>
    <w:rPr>
      <w:rFonts w:ascii="宋体" w:hAnsi="宋体" w:cs="宋体"/>
    </w:rPr>
  </w:style>
  <w:style w:type="paragraph" w:customStyle="1" w:styleId="2974">
    <w:name w:val="Char104"/>
    <w:basedOn w:val="1"/>
    <w:autoRedefine/>
    <w:qFormat/>
    <w:uiPriority w:val="0"/>
    <w:pPr>
      <w:adjustRightInd w:val="0"/>
      <w:snapToGrid w:val="0"/>
      <w:spacing w:line="360" w:lineRule="auto"/>
    </w:pPr>
    <w:rPr>
      <w:rFonts w:ascii="宋体" w:hAnsi="宋体" w:cs="宋体"/>
    </w:rPr>
  </w:style>
  <w:style w:type="paragraph" w:customStyle="1" w:styleId="2975">
    <w:name w:val="封面标准文稿编辑信息4"/>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976">
    <w:name w:val="样式 表内小5 + 黑体 加粗 倾斜 下划线4"/>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2977">
    <w:name w:val="样式 表内小5 + 黑体 加粗 倾斜 下划线 Char4"/>
    <w:autoRedefine/>
    <w:qFormat/>
    <w:uiPriority w:val="0"/>
    <w:rPr>
      <w:rFonts w:ascii="黑体" w:hAnsi="黑体" w:eastAsia="黑体"/>
      <w:b/>
      <w:bCs/>
      <w:i/>
      <w:iCs/>
      <w:kern w:val="2"/>
      <w:sz w:val="18"/>
      <w:szCs w:val="24"/>
      <w:u w:val="single"/>
      <w:lang w:val="en-US" w:eastAsia="zh-CN" w:bidi="ar-SA"/>
    </w:rPr>
  </w:style>
  <w:style w:type="paragraph" w:customStyle="1" w:styleId="2978">
    <w:name w:val="表内5中14"/>
    <w:basedOn w:val="1"/>
    <w:autoRedefine/>
    <w:qFormat/>
    <w:uiPriority w:val="0"/>
    <w:pPr>
      <w:adjustRightInd w:val="0"/>
      <w:snapToGrid w:val="0"/>
      <w:jc w:val="center"/>
    </w:pPr>
    <w:rPr>
      <w:rFonts w:ascii="宋体" w:hAnsi="宋体" w:cs="Arial"/>
      <w:snapToGrid w:val="0"/>
      <w:color w:val="000000"/>
      <w:szCs w:val="21"/>
    </w:rPr>
  </w:style>
  <w:style w:type="paragraph" w:customStyle="1" w:styleId="2979">
    <w:name w:val="表内54144"/>
    <w:basedOn w:val="1"/>
    <w:autoRedefine/>
    <w:qFormat/>
    <w:uiPriority w:val="0"/>
    <w:pPr>
      <w:adjustRightInd w:val="0"/>
      <w:snapToGrid w:val="0"/>
      <w:spacing w:line="300" w:lineRule="auto"/>
      <w:jc w:val="center"/>
    </w:pPr>
    <w:rPr>
      <w:rFonts w:ascii="宋体" w:hAnsi="宋体" w:cs="宋体"/>
    </w:rPr>
  </w:style>
  <w:style w:type="paragraph" w:customStyle="1" w:styleId="2980">
    <w:name w:val="表格14"/>
    <w:basedOn w:val="1"/>
    <w:autoRedefine/>
    <w:qFormat/>
    <w:uiPriority w:val="0"/>
    <w:pPr>
      <w:adjustRightInd w:val="0"/>
      <w:jc w:val="center"/>
      <w:textAlignment w:val="baseline"/>
    </w:pPr>
    <w:rPr>
      <w:rFonts w:ascii="宋体" w:hAnsi="宋体" w:cs="宋体"/>
      <w:kern w:val="0"/>
      <w:sz w:val="24"/>
    </w:rPr>
  </w:style>
  <w:style w:type="paragraph" w:customStyle="1" w:styleId="2981">
    <w:name w:val="c4"/>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982">
    <w:name w:val="表题94"/>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2983">
    <w:name w:val="正文缩进 Char61"/>
    <w:autoRedefine/>
    <w:qFormat/>
    <w:uiPriority w:val="0"/>
    <w:rPr>
      <w:rFonts w:ascii="宋体" w:hAnsi="宋体" w:eastAsia="宋体"/>
      <w:kern w:val="2"/>
      <w:sz w:val="24"/>
      <w:szCs w:val="24"/>
      <w:lang w:val="en-US" w:eastAsia="zh-CN" w:bidi="ar-SA"/>
    </w:rPr>
  </w:style>
  <w:style w:type="paragraph" w:customStyle="1" w:styleId="2984">
    <w:name w:val="福建正文缩进4"/>
    <w:basedOn w:val="9"/>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2985">
    <w:name w:val="福建正文缩进 Char4"/>
    <w:autoRedefine/>
    <w:qFormat/>
    <w:uiPriority w:val="0"/>
    <w:rPr>
      <w:rFonts w:ascii="宋体" w:hAnsi="宋体" w:eastAsia="宋体" w:cs="宋体"/>
      <w:color w:val="000000"/>
      <w:kern w:val="2"/>
      <w:sz w:val="24"/>
      <w:szCs w:val="24"/>
      <w:lang w:val="en-US" w:eastAsia="zh-CN" w:bidi="ar-SA"/>
    </w:rPr>
  </w:style>
  <w:style w:type="paragraph" w:customStyle="1" w:styleId="2986">
    <w:name w:val="表内文字小15"/>
    <w:basedOn w:val="1"/>
    <w:autoRedefine/>
    <w:qFormat/>
    <w:uiPriority w:val="0"/>
    <w:pPr>
      <w:adjustRightInd w:val="0"/>
      <w:snapToGrid w:val="0"/>
      <w:jc w:val="center"/>
    </w:pPr>
    <w:rPr>
      <w:rFonts w:ascii="宋体" w:hAnsi="Times" w:cs="宋体"/>
    </w:rPr>
  </w:style>
  <w:style w:type="paragraph" w:customStyle="1" w:styleId="2987">
    <w:name w:val="表内594"/>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2988">
    <w:name w:val="Char Char102"/>
    <w:autoRedefine/>
    <w:qFormat/>
    <w:uiPriority w:val="0"/>
    <w:rPr>
      <w:rFonts w:ascii="宋体" w:hAnsi="宋体" w:eastAsia="宋体" w:cs="宋体"/>
      <w:color w:val="000000"/>
      <w:kern w:val="2"/>
      <w:sz w:val="24"/>
      <w:szCs w:val="24"/>
      <w:lang w:val="en-US" w:eastAsia="zh-CN" w:bidi="ar-SA"/>
    </w:rPr>
  </w:style>
  <w:style w:type="paragraph" w:customStyle="1" w:styleId="2989">
    <w:name w:val="表内小5中4"/>
    <w:basedOn w:val="1"/>
    <w:autoRedefine/>
    <w:qFormat/>
    <w:uiPriority w:val="0"/>
    <w:pPr>
      <w:adjustRightInd w:val="0"/>
      <w:snapToGrid w:val="0"/>
      <w:jc w:val="center"/>
    </w:pPr>
    <w:rPr>
      <w:rFonts w:ascii="宋体" w:hAnsi="宋体" w:cs="宋体"/>
      <w:sz w:val="18"/>
    </w:rPr>
  </w:style>
  <w:style w:type="paragraph" w:customStyle="1" w:styleId="2990">
    <w:name w:val="表内5中44"/>
    <w:basedOn w:val="1"/>
    <w:autoRedefine/>
    <w:qFormat/>
    <w:uiPriority w:val="0"/>
    <w:pPr>
      <w:adjustRightInd w:val="0"/>
      <w:snapToGrid w:val="0"/>
      <w:jc w:val="center"/>
    </w:pPr>
    <w:rPr>
      <w:rFonts w:ascii="宋体" w:hAnsi="宋体" w:cs="宋体"/>
      <w:bCs/>
    </w:rPr>
  </w:style>
  <w:style w:type="paragraph" w:customStyle="1" w:styleId="2991">
    <w:name w:val="默认段落字体 Para Char4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992">
    <w:name w:val="燕山正文134"/>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2993">
    <w:name w:val="批注框文本 Char41"/>
    <w:autoRedefine/>
    <w:qFormat/>
    <w:uiPriority w:val="0"/>
    <w:rPr>
      <w:rFonts w:eastAsia="宋体"/>
      <w:kern w:val="2"/>
      <w:sz w:val="18"/>
      <w:szCs w:val="18"/>
      <w:lang w:val="en-US" w:eastAsia="zh-CN" w:bidi="ar-SA"/>
    </w:rPr>
  </w:style>
  <w:style w:type="paragraph" w:customStyle="1" w:styleId="2994">
    <w:name w:val="样式 标题 4无效格式无效格式1河石管道4H4H41小小节河石管道41H42H411小小节1河石管道42...5"/>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995">
    <w:name w:val="样式 标题 4无效格式无效格式1河石管道4H4H41小小节河石管道41H42H411小小节1河石管道42...14"/>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996">
    <w:name w:val="正文格式85"/>
    <w:basedOn w:val="1"/>
    <w:autoRedefine/>
    <w:qFormat/>
    <w:uiPriority w:val="0"/>
    <w:pPr>
      <w:spacing w:line="360" w:lineRule="auto"/>
      <w:ind w:firstLine="482"/>
    </w:pPr>
    <w:rPr>
      <w:rFonts w:ascii="宋体" w:hAnsi="宋体" w:cs="宋体"/>
      <w:sz w:val="24"/>
    </w:rPr>
  </w:style>
  <w:style w:type="character" w:customStyle="1" w:styleId="2997">
    <w:name w:val="正文格式 Char81"/>
    <w:autoRedefine/>
    <w:qFormat/>
    <w:uiPriority w:val="0"/>
    <w:rPr>
      <w:rFonts w:ascii="宋体" w:hAnsi="宋体" w:eastAsia="宋体"/>
      <w:kern w:val="2"/>
      <w:sz w:val="24"/>
      <w:szCs w:val="24"/>
      <w:lang w:val="en-US" w:eastAsia="zh-CN" w:bidi="ar-SA"/>
    </w:rPr>
  </w:style>
  <w:style w:type="paragraph" w:customStyle="1" w:styleId="2998">
    <w:name w:val="正文格式94"/>
    <w:basedOn w:val="1"/>
    <w:autoRedefine/>
    <w:qFormat/>
    <w:uiPriority w:val="0"/>
    <w:pPr>
      <w:spacing w:line="360" w:lineRule="auto"/>
      <w:ind w:firstLine="482"/>
    </w:pPr>
    <w:rPr>
      <w:rFonts w:ascii="宋体" w:hAnsi="宋体" w:cs="宋体"/>
      <w:sz w:val="24"/>
    </w:rPr>
  </w:style>
  <w:style w:type="character" w:customStyle="1" w:styleId="2999">
    <w:name w:val="正文格式 Char91"/>
    <w:autoRedefine/>
    <w:qFormat/>
    <w:uiPriority w:val="0"/>
    <w:rPr>
      <w:rFonts w:ascii="宋体" w:hAnsi="宋体" w:eastAsia="宋体"/>
      <w:kern w:val="2"/>
      <w:sz w:val="24"/>
      <w:szCs w:val="24"/>
      <w:lang w:val="en-US" w:eastAsia="zh-CN" w:bidi="ar-SA"/>
    </w:rPr>
  </w:style>
  <w:style w:type="character" w:customStyle="1" w:styleId="3000">
    <w:name w:val="标题 3 Char111"/>
    <w:autoRedefine/>
    <w:qFormat/>
    <w:uiPriority w:val="0"/>
    <w:rPr>
      <w:rFonts w:ascii="黑体" w:hAnsi="宋体" w:eastAsia="黑体"/>
      <w:b/>
      <w:bCs/>
      <w:kern w:val="2"/>
      <w:sz w:val="28"/>
      <w:szCs w:val="28"/>
      <w:lang w:val="en-US" w:eastAsia="zh-CN" w:bidi="ar-SA"/>
    </w:rPr>
  </w:style>
  <w:style w:type="paragraph" w:customStyle="1" w:styleId="3001">
    <w:name w:val="Char413"/>
    <w:basedOn w:val="1"/>
    <w:autoRedefine/>
    <w:qFormat/>
    <w:uiPriority w:val="0"/>
    <w:pPr>
      <w:ind w:left="-48"/>
    </w:pPr>
    <w:rPr>
      <w:rFonts w:ascii="宋体" w:hAnsi="宋体" w:cs="宋体"/>
    </w:rPr>
  </w:style>
  <w:style w:type="paragraph" w:customStyle="1" w:styleId="3002">
    <w:name w:val="Char Char Char Char Char Char Char28"/>
    <w:basedOn w:val="1"/>
    <w:autoRedefine/>
    <w:qFormat/>
    <w:uiPriority w:val="0"/>
    <w:rPr>
      <w:rFonts w:ascii="宋体" w:hAnsi="宋体" w:cs="宋体"/>
    </w:rPr>
  </w:style>
  <w:style w:type="paragraph" w:customStyle="1" w:styleId="3003">
    <w:name w:val="Char50"/>
    <w:basedOn w:val="1"/>
    <w:autoRedefine/>
    <w:qFormat/>
    <w:uiPriority w:val="0"/>
    <w:pPr>
      <w:ind w:left="-48"/>
    </w:pPr>
    <w:rPr>
      <w:rFonts w:ascii="宋体" w:hAnsi="宋体" w:cs="宋体"/>
    </w:rPr>
  </w:style>
  <w:style w:type="character" w:customStyle="1" w:styleId="3004">
    <w:name w:val="Char Char46"/>
    <w:autoRedefine/>
    <w:qFormat/>
    <w:uiPriority w:val="0"/>
    <w:rPr>
      <w:rFonts w:ascii="黑体" w:hAnsi="Arial" w:eastAsia="黑体"/>
      <w:b/>
      <w:bCs/>
      <w:kern w:val="2"/>
      <w:sz w:val="30"/>
      <w:szCs w:val="30"/>
      <w:lang w:val="en-US" w:eastAsia="zh-CN" w:bidi="ar-SA"/>
    </w:rPr>
  </w:style>
  <w:style w:type="character" w:customStyle="1" w:styleId="3005">
    <w:name w:val="Char Char34"/>
    <w:autoRedefine/>
    <w:qFormat/>
    <w:uiPriority w:val="0"/>
    <w:rPr>
      <w:rFonts w:ascii="黑体" w:hAnsi="宋体" w:eastAsia="黑体"/>
      <w:b/>
      <w:bCs/>
      <w:kern w:val="2"/>
      <w:sz w:val="28"/>
      <w:szCs w:val="28"/>
      <w:lang w:val="en-US" w:eastAsia="zh-CN" w:bidi="ar-SA"/>
    </w:rPr>
  </w:style>
  <w:style w:type="paragraph" w:customStyle="1" w:styleId="3006">
    <w:name w:val="Char Char Char Char1 Char Char Char8"/>
    <w:basedOn w:val="1"/>
    <w:autoRedefine/>
    <w:qFormat/>
    <w:uiPriority w:val="0"/>
    <w:pPr>
      <w:widowControl/>
      <w:spacing w:after="160"/>
      <w:jc w:val="left"/>
    </w:pPr>
    <w:rPr>
      <w:rFonts w:ascii="Verdana" w:hAnsi="Verdana" w:cs="宋体"/>
      <w:kern w:val="0"/>
      <w:sz w:val="24"/>
      <w:lang w:eastAsia="en-US"/>
    </w:rPr>
  </w:style>
  <w:style w:type="character" w:customStyle="1" w:styleId="3007">
    <w:name w:val="Char Char119"/>
    <w:autoRedefine/>
    <w:qFormat/>
    <w:uiPriority w:val="0"/>
    <w:rPr>
      <w:rFonts w:ascii="黑体" w:hAnsi="Arial" w:eastAsia="黑体"/>
      <w:bCs/>
      <w:kern w:val="2"/>
      <w:sz w:val="30"/>
      <w:szCs w:val="30"/>
      <w:lang w:val="en-US" w:eastAsia="zh-CN" w:bidi="ar-SA"/>
    </w:rPr>
  </w:style>
  <w:style w:type="character" w:customStyle="1" w:styleId="3008">
    <w:name w:val="Char Char54"/>
    <w:autoRedefine/>
    <w:qFormat/>
    <w:uiPriority w:val="0"/>
    <w:rPr>
      <w:rFonts w:ascii="黑体" w:hAnsi="宋体" w:eastAsia="黑体"/>
      <w:bCs/>
      <w:kern w:val="2"/>
      <w:sz w:val="28"/>
      <w:szCs w:val="28"/>
      <w:lang w:val="en-US" w:eastAsia="zh-CN" w:bidi="ar-SA"/>
    </w:rPr>
  </w:style>
  <w:style w:type="paragraph" w:customStyle="1" w:styleId="3009">
    <w:name w:val="Char119"/>
    <w:basedOn w:val="1"/>
    <w:autoRedefine/>
    <w:qFormat/>
    <w:uiPriority w:val="0"/>
    <w:pPr>
      <w:ind w:left="-48"/>
    </w:pPr>
    <w:rPr>
      <w:rFonts w:ascii="宋体" w:hAnsi="宋体" w:cs="宋体"/>
    </w:rPr>
  </w:style>
  <w:style w:type="paragraph" w:customStyle="1" w:styleId="3010">
    <w:name w:val="Char Char Char Char Char Char Char114"/>
    <w:basedOn w:val="1"/>
    <w:autoRedefine/>
    <w:qFormat/>
    <w:uiPriority w:val="0"/>
    <w:rPr>
      <w:rFonts w:ascii="宋体" w:hAnsi="宋体" w:cs="宋体"/>
    </w:rPr>
  </w:style>
  <w:style w:type="character" w:customStyle="1" w:styleId="3011">
    <w:name w:val="Char Char214"/>
    <w:autoRedefine/>
    <w:qFormat/>
    <w:uiPriority w:val="0"/>
    <w:rPr>
      <w:rFonts w:ascii="黑体" w:eastAsia="宋体"/>
      <w:kern w:val="2"/>
      <w:sz w:val="16"/>
      <w:szCs w:val="16"/>
      <w:lang w:val="en-US" w:eastAsia="zh-CN" w:bidi="ar-SA"/>
    </w:rPr>
  </w:style>
  <w:style w:type="character" w:customStyle="1" w:styleId="3012">
    <w:name w:val="Char Char124"/>
    <w:autoRedefine/>
    <w:qFormat/>
    <w:uiPriority w:val="0"/>
    <w:rPr>
      <w:rFonts w:ascii="黑体" w:hAnsi="Arial" w:eastAsia="黑体"/>
      <w:b/>
      <w:bCs/>
      <w:kern w:val="2"/>
      <w:sz w:val="30"/>
      <w:szCs w:val="30"/>
      <w:lang w:val="en-US" w:eastAsia="zh-CN" w:bidi="ar-SA"/>
    </w:rPr>
  </w:style>
  <w:style w:type="character" w:customStyle="1" w:styleId="3013">
    <w:name w:val="Char Char69"/>
    <w:autoRedefine/>
    <w:qFormat/>
    <w:uiPriority w:val="0"/>
    <w:rPr>
      <w:rFonts w:ascii="黑体" w:eastAsia="黑体"/>
      <w:b/>
      <w:bCs/>
      <w:kern w:val="2"/>
      <w:sz w:val="28"/>
      <w:szCs w:val="28"/>
      <w:lang w:val="en-US" w:eastAsia="zh-CN" w:bidi="ar-SA"/>
    </w:rPr>
  </w:style>
  <w:style w:type="paragraph" w:customStyle="1" w:styleId="3014">
    <w:name w:val="Char215"/>
    <w:basedOn w:val="1"/>
    <w:autoRedefine/>
    <w:qFormat/>
    <w:uiPriority w:val="0"/>
    <w:pPr>
      <w:ind w:left="-48"/>
    </w:pPr>
    <w:rPr>
      <w:rFonts w:ascii="宋体" w:hAnsi="宋体" w:cs="宋体"/>
    </w:rPr>
  </w:style>
  <w:style w:type="paragraph" w:customStyle="1" w:styleId="3015">
    <w:name w:val="Char314"/>
    <w:basedOn w:val="1"/>
    <w:autoRedefine/>
    <w:qFormat/>
    <w:uiPriority w:val="0"/>
    <w:pPr>
      <w:ind w:left="-48"/>
    </w:pPr>
    <w:rPr>
      <w:rFonts w:ascii="宋体" w:hAnsi="宋体" w:cs="宋体"/>
    </w:rPr>
  </w:style>
  <w:style w:type="paragraph" w:customStyle="1" w:styleId="3016">
    <w:name w:val="Char Char Char Char Char Char Char29"/>
    <w:basedOn w:val="1"/>
    <w:autoRedefine/>
    <w:qFormat/>
    <w:uiPriority w:val="0"/>
    <w:rPr>
      <w:rFonts w:ascii="宋体" w:hAnsi="宋体" w:cs="宋体"/>
    </w:rPr>
  </w:style>
  <w:style w:type="paragraph" w:customStyle="1" w:styleId="3017">
    <w:name w:val="Char414"/>
    <w:basedOn w:val="1"/>
    <w:autoRedefine/>
    <w:qFormat/>
    <w:uiPriority w:val="0"/>
    <w:pPr>
      <w:ind w:left="-48"/>
    </w:pPr>
    <w:rPr>
      <w:rFonts w:ascii="宋体" w:hAnsi="宋体" w:cs="宋体"/>
    </w:rPr>
  </w:style>
  <w:style w:type="paragraph" w:customStyle="1" w:styleId="3018">
    <w:name w:val="Char Char Char Char Char Char Char30"/>
    <w:basedOn w:val="1"/>
    <w:autoRedefine/>
    <w:qFormat/>
    <w:uiPriority w:val="0"/>
    <w:rPr>
      <w:rFonts w:ascii="宋体" w:hAnsi="宋体" w:cs="宋体"/>
    </w:rPr>
  </w:style>
  <w:style w:type="paragraph" w:customStyle="1" w:styleId="3019">
    <w:name w:val="Char55"/>
    <w:basedOn w:val="1"/>
    <w:autoRedefine/>
    <w:qFormat/>
    <w:uiPriority w:val="0"/>
    <w:pPr>
      <w:ind w:left="-48"/>
    </w:pPr>
    <w:rPr>
      <w:rFonts w:ascii="宋体" w:hAnsi="宋体" w:cs="宋体"/>
    </w:rPr>
  </w:style>
  <w:style w:type="character" w:customStyle="1" w:styleId="3020">
    <w:name w:val="Char Char47"/>
    <w:autoRedefine/>
    <w:qFormat/>
    <w:uiPriority w:val="0"/>
    <w:rPr>
      <w:rFonts w:ascii="黑体" w:hAnsi="Arial" w:eastAsia="黑体"/>
      <w:b/>
      <w:bCs/>
      <w:kern w:val="2"/>
      <w:sz w:val="30"/>
      <w:szCs w:val="30"/>
      <w:lang w:val="en-US" w:eastAsia="zh-CN" w:bidi="ar-SA"/>
    </w:rPr>
  </w:style>
  <w:style w:type="character" w:customStyle="1" w:styleId="3021">
    <w:name w:val="Char Char35"/>
    <w:autoRedefine/>
    <w:qFormat/>
    <w:uiPriority w:val="0"/>
    <w:rPr>
      <w:rFonts w:ascii="黑体" w:hAnsi="宋体" w:eastAsia="黑体"/>
      <w:b/>
      <w:bCs/>
      <w:kern w:val="2"/>
      <w:sz w:val="28"/>
      <w:szCs w:val="28"/>
      <w:lang w:val="en-US" w:eastAsia="zh-CN" w:bidi="ar-SA"/>
    </w:rPr>
  </w:style>
  <w:style w:type="paragraph" w:customStyle="1" w:styleId="3022">
    <w:name w:val="Char Char Char Char1 Char Char Char9"/>
    <w:basedOn w:val="1"/>
    <w:autoRedefine/>
    <w:qFormat/>
    <w:uiPriority w:val="0"/>
    <w:pPr>
      <w:widowControl/>
      <w:spacing w:after="160"/>
      <w:jc w:val="left"/>
    </w:pPr>
    <w:rPr>
      <w:rFonts w:ascii="Verdana" w:hAnsi="Verdana" w:cs="宋体"/>
      <w:kern w:val="0"/>
      <w:sz w:val="24"/>
      <w:lang w:eastAsia="en-US"/>
    </w:rPr>
  </w:style>
  <w:style w:type="character" w:customStyle="1" w:styleId="3023">
    <w:name w:val="Char Char1110"/>
    <w:autoRedefine/>
    <w:qFormat/>
    <w:uiPriority w:val="0"/>
    <w:rPr>
      <w:rFonts w:ascii="黑体" w:hAnsi="Arial" w:eastAsia="黑体"/>
      <w:bCs/>
      <w:kern w:val="2"/>
      <w:sz w:val="30"/>
      <w:szCs w:val="30"/>
      <w:lang w:val="en-US" w:eastAsia="zh-CN" w:bidi="ar-SA"/>
    </w:rPr>
  </w:style>
  <w:style w:type="character" w:customStyle="1" w:styleId="3024">
    <w:name w:val="Char Char55"/>
    <w:autoRedefine/>
    <w:qFormat/>
    <w:uiPriority w:val="0"/>
    <w:rPr>
      <w:rFonts w:ascii="黑体" w:hAnsi="宋体" w:eastAsia="黑体"/>
      <w:bCs/>
      <w:kern w:val="2"/>
      <w:sz w:val="28"/>
      <w:szCs w:val="28"/>
      <w:lang w:val="en-US" w:eastAsia="zh-CN" w:bidi="ar-SA"/>
    </w:rPr>
  </w:style>
  <w:style w:type="paragraph" w:customStyle="1" w:styleId="3025">
    <w:name w:val="Char120"/>
    <w:basedOn w:val="1"/>
    <w:autoRedefine/>
    <w:qFormat/>
    <w:uiPriority w:val="0"/>
    <w:pPr>
      <w:ind w:left="-48"/>
    </w:pPr>
    <w:rPr>
      <w:rFonts w:ascii="宋体" w:hAnsi="宋体" w:cs="宋体"/>
    </w:rPr>
  </w:style>
  <w:style w:type="paragraph" w:customStyle="1" w:styleId="3026">
    <w:name w:val="Char Char Char Char Char Char Char115"/>
    <w:basedOn w:val="1"/>
    <w:autoRedefine/>
    <w:qFormat/>
    <w:uiPriority w:val="0"/>
    <w:rPr>
      <w:rFonts w:ascii="宋体" w:hAnsi="宋体" w:cs="宋体"/>
    </w:rPr>
  </w:style>
  <w:style w:type="character" w:customStyle="1" w:styleId="3027">
    <w:name w:val="Char Char215"/>
    <w:autoRedefine/>
    <w:qFormat/>
    <w:uiPriority w:val="0"/>
    <w:rPr>
      <w:rFonts w:ascii="黑体" w:eastAsia="宋体"/>
      <w:kern w:val="2"/>
      <w:sz w:val="16"/>
      <w:szCs w:val="16"/>
      <w:lang w:val="en-US" w:eastAsia="zh-CN" w:bidi="ar-SA"/>
    </w:rPr>
  </w:style>
  <w:style w:type="character" w:customStyle="1" w:styleId="3028">
    <w:name w:val="Char Char125"/>
    <w:autoRedefine/>
    <w:qFormat/>
    <w:uiPriority w:val="0"/>
    <w:rPr>
      <w:rFonts w:ascii="黑体" w:hAnsi="Arial" w:eastAsia="黑体"/>
      <w:b/>
      <w:bCs/>
      <w:kern w:val="2"/>
      <w:sz w:val="30"/>
      <w:szCs w:val="30"/>
      <w:lang w:val="en-US" w:eastAsia="zh-CN" w:bidi="ar-SA"/>
    </w:rPr>
  </w:style>
  <w:style w:type="character" w:customStyle="1" w:styleId="3029">
    <w:name w:val="Char Char610"/>
    <w:autoRedefine/>
    <w:qFormat/>
    <w:uiPriority w:val="0"/>
    <w:rPr>
      <w:rFonts w:ascii="黑体" w:eastAsia="黑体"/>
      <w:b/>
      <w:bCs/>
      <w:kern w:val="2"/>
      <w:sz w:val="28"/>
      <w:szCs w:val="28"/>
      <w:lang w:val="en-US" w:eastAsia="zh-CN" w:bidi="ar-SA"/>
    </w:rPr>
  </w:style>
  <w:style w:type="paragraph" w:customStyle="1" w:styleId="3030">
    <w:name w:val="Char216"/>
    <w:basedOn w:val="1"/>
    <w:autoRedefine/>
    <w:qFormat/>
    <w:uiPriority w:val="0"/>
    <w:pPr>
      <w:ind w:left="-48"/>
    </w:pPr>
    <w:rPr>
      <w:rFonts w:ascii="宋体" w:hAnsi="宋体" w:cs="宋体"/>
    </w:rPr>
  </w:style>
  <w:style w:type="paragraph" w:customStyle="1" w:styleId="3031">
    <w:name w:val="Char315"/>
    <w:basedOn w:val="1"/>
    <w:autoRedefine/>
    <w:qFormat/>
    <w:uiPriority w:val="0"/>
    <w:pPr>
      <w:ind w:left="-48"/>
    </w:pPr>
    <w:rPr>
      <w:rFonts w:ascii="宋体" w:hAnsi="宋体" w:cs="宋体"/>
    </w:rPr>
  </w:style>
  <w:style w:type="paragraph" w:customStyle="1" w:styleId="3032">
    <w:name w:val="Char Char Char Char Char Char Char210"/>
    <w:basedOn w:val="1"/>
    <w:autoRedefine/>
    <w:qFormat/>
    <w:uiPriority w:val="0"/>
    <w:rPr>
      <w:rFonts w:ascii="宋体" w:hAnsi="宋体" w:cs="宋体"/>
    </w:rPr>
  </w:style>
  <w:style w:type="paragraph" w:customStyle="1" w:styleId="3033">
    <w:name w:val="Char415"/>
    <w:basedOn w:val="1"/>
    <w:autoRedefine/>
    <w:qFormat/>
    <w:uiPriority w:val="0"/>
    <w:pPr>
      <w:ind w:left="-48"/>
    </w:pPr>
    <w:rPr>
      <w:rFonts w:ascii="宋体" w:hAnsi="宋体" w:cs="宋体"/>
    </w:rPr>
  </w:style>
  <w:style w:type="paragraph" w:customStyle="1" w:styleId="3034">
    <w:name w:val="Char Char Char Char Char Char Char33"/>
    <w:basedOn w:val="1"/>
    <w:autoRedefine/>
    <w:qFormat/>
    <w:uiPriority w:val="0"/>
    <w:rPr>
      <w:rFonts w:ascii="宋体" w:hAnsi="宋体" w:cs="宋体"/>
    </w:rPr>
  </w:style>
  <w:style w:type="paragraph" w:customStyle="1" w:styleId="3035">
    <w:name w:val="Char56"/>
    <w:basedOn w:val="1"/>
    <w:autoRedefine/>
    <w:qFormat/>
    <w:uiPriority w:val="0"/>
    <w:pPr>
      <w:ind w:left="-48"/>
    </w:pPr>
    <w:rPr>
      <w:rFonts w:ascii="宋体" w:hAnsi="宋体" w:cs="宋体"/>
    </w:rPr>
  </w:style>
  <w:style w:type="character" w:customStyle="1" w:styleId="3036">
    <w:name w:val="Char Char48"/>
    <w:autoRedefine/>
    <w:qFormat/>
    <w:uiPriority w:val="0"/>
    <w:rPr>
      <w:rFonts w:ascii="黑体" w:hAnsi="Arial" w:eastAsia="黑体"/>
      <w:b/>
      <w:bCs/>
      <w:kern w:val="2"/>
      <w:sz w:val="30"/>
      <w:szCs w:val="30"/>
      <w:lang w:val="en-US" w:eastAsia="zh-CN" w:bidi="ar-SA"/>
    </w:rPr>
  </w:style>
  <w:style w:type="character" w:customStyle="1" w:styleId="3037">
    <w:name w:val="Char Char36"/>
    <w:autoRedefine/>
    <w:qFormat/>
    <w:uiPriority w:val="0"/>
    <w:rPr>
      <w:rFonts w:ascii="黑体" w:hAnsi="宋体" w:eastAsia="黑体"/>
      <w:b/>
      <w:bCs/>
      <w:kern w:val="2"/>
      <w:sz w:val="28"/>
      <w:szCs w:val="28"/>
      <w:lang w:val="en-US" w:eastAsia="zh-CN" w:bidi="ar-SA"/>
    </w:rPr>
  </w:style>
  <w:style w:type="paragraph" w:customStyle="1" w:styleId="3038">
    <w:name w:val="Char Char Char Char1 Char Char Char10"/>
    <w:basedOn w:val="1"/>
    <w:autoRedefine/>
    <w:qFormat/>
    <w:uiPriority w:val="0"/>
    <w:pPr>
      <w:widowControl/>
      <w:spacing w:after="160"/>
      <w:jc w:val="left"/>
    </w:pPr>
    <w:rPr>
      <w:rFonts w:ascii="Verdana" w:hAnsi="Verdana" w:cs="宋体"/>
      <w:kern w:val="0"/>
      <w:sz w:val="24"/>
      <w:lang w:eastAsia="en-US"/>
    </w:rPr>
  </w:style>
  <w:style w:type="character" w:customStyle="1" w:styleId="3039">
    <w:name w:val="Char Char1112"/>
    <w:autoRedefine/>
    <w:qFormat/>
    <w:uiPriority w:val="0"/>
    <w:rPr>
      <w:rFonts w:ascii="黑体" w:hAnsi="Arial" w:eastAsia="黑体"/>
      <w:bCs/>
      <w:kern w:val="2"/>
      <w:sz w:val="30"/>
      <w:szCs w:val="30"/>
      <w:lang w:val="en-US" w:eastAsia="zh-CN" w:bidi="ar-SA"/>
    </w:rPr>
  </w:style>
  <w:style w:type="character" w:customStyle="1" w:styleId="3040">
    <w:name w:val="Char Char56"/>
    <w:autoRedefine/>
    <w:qFormat/>
    <w:uiPriority w:val="0"/>
    <w:rPr>
      <w:rFonts w:ascii="黑体" w:hAnsi="宋体" w:eastAsia="黑体"/>
      <w:bCs/>
      <w:kern w:val="2"/>
      <w:sz w:val="28"/>
      <w:szCs w:val="28"/>
      <w:lang w:val="en-US" w:eastAsia="zh-CN" w:bidi="ar-SA"/>
    </w:rPr>
  </w:style>
  <w:style w:type="paragraph" w:customStyle="1" w:styleId="3041">
    <w:name w:val="Char123"/>
    <w:basedOn w:val="1"/>
    <w:autoRedefine/>
    <w:qFormat/>
    <w:uiPriority w:val="0"/>
    <w:pPr>
      <w:ind w:left="-48"/>
    </w:pPr>
    <w:rPr>
      <w:rFonts w:ascii="宋体" w:hAnsi="宋体" w:cs="宋体"/>
    </w:rPr>
  </w:style>
  <w:style w:type="paragraph" w:customStyle="1" w:styleId="3042">
    <w:name w:val="Char Char Char Char Char Char Char116"/>
    <w:basedOn w:val="1"/>
    <w:autoRedefine/>
    <w:qFormat/>
    <w:uiPriority w:val="0"/>
    <w:rPr>
      <w:rFonts w:ascii="宋体" w:hAnsi="宋体" w:cs="宋体"/>
    </w:rPr>
  </w:style>
  <w:style w:type="character" w:customStyle="1" w:styleId="3043">
    <w:name w:val="Char Char216"/>
    <w:autoRedefine/>
    <w:qFormat/>
    <w:uiPriority w:val="0"/>
    <w:rPr>
      <w:rFonts w:ascii="黑体" w:eastAsia="宋体"/>
      <w:kern w:val="2"/>
      <w:sz w:val="16"/>
      <w:szCs w:val="16"/>
      <w:lang w:val="en-US" w:eastAsia="zh-CN" w:bidi="ar-SA"/>
    </w:rPr>
  </w:style>
  <w:style w:type="character" w:customStyle="1" w:styleId="3044">
    <w:name w:val="Char Char126"/>
    <w:autoRedefine/>
    <w:qFormat/>
    <w:uiPriority w:val="0"/>
    <w:rPr>
      <w:rFonts w:ascii="黑体" w:hAnsi="Arial" w:eastAsia="黑体"/>
      <w:b/>
      <w:bCs/>
      <w:kern w:val="2"/>
      <w:sz w:val="30"/>
      <w:szCs w:val="30"/>
      <w:lang w:val="en-US" w:eastAsia="zh-CN" w:bidi="ar-SA"/>
    </w:rPr>
  </w:style>
  <w:style w:type="character" w:customStyle="1" w:styleId="3045">
    <w:name w:val="Char Char612"/>
    <w:autoRedefine/>
    <w:qFormat/>
    <w:uiPriority w:val="0"/>
    <w:rPr>
      <w:rFonts w:ascii="黑体" w:eastAsia="黑体"/>
      <w:b/>
      <w:bCs/>
      <w:kern w:val="2"/>
      <w:sz w:val="28"/>
      <w:szCs w:val="28"/>
      <w:lang w:val="en-US" w:eastAsia="zh-CN" w:bidi="ar-SA"/>
    </w:rPr>
  </w:style>
  <w:style w:type="paragraph" w:customStyle="1" w:styleId="3046">
    <w:name w:val="Char217"/>
    <w:basedOn w:val="1"/>
    <w:autoRedefine/>
    <w:qFormat/>
    <w:uiPriority w:val="0"/>
    <w:pPr>
      <w:ind w:left="-48"/>
    </w:pPr>
    <w:rPr>
      <w:rFonts w:ascii="宋体" w:hAnsi="宋体" w:cs="宋体"/>
    </w:rPr>
  </w:style>
  <w:style w:type="paragraph" w:customStyle="1" w:styleId="3047">
    <w:name w:val="Char316"/>
    <w:basedOn w:val="1"/>
    <w:autoRedefine/>
    <w:qFormat/>
    <w:uiPriority w:val="0"/>
    <w:pPr>
      <w:ind w:left="-48"/>
    </w:pPr>
    <w:rPr>
      <w:rFonts w:ascii="宋体" w:hAnsi="宋体" w:cs="宋体"/>
    </w:rPr>
  </w:style>
  <w:style w:type="paragraph" w:customStyle="1" w:styleId="3048">
    <w:name w:val="Char Char Char Char Char Char Char213"/>
    <w:basedOn w:val="1"/>
    <w:autoRedefine/>
    <w:qFormat/>
    <w:uiPriority w:val="0"/>
    <w:rPr>
      <w:rFonts w:ascii="宋体" w:hAnsi="宋体" w:cs="宋体"/>
    </w:rPr>
  </w:style>
  <w:style w:type="paragraph" w:customStyle="1" w:styleId="3049">
    <w:name w:val="Char416"/>
    <w:basedOn w:val="1"/>
    <w:autoRedefine/>
    <w:qFormat/>
    <w:uiPriority w:val="0"/>
    <w:pPr>
      <w:ind w:left="-48"/>
    </w:pPr>
    <w:rPr>
      <w:rFonts w:ascii="宋体" w:hAnsi="宋体" w:cs="宋体"/>
    </w:rPr>
  </w:style>
  <w:style w:type="paragraph" w:customStyle="1" w:styleId="3050">
    <w:name w:val="Char Char Char Char Char Char Char34"/>
    <w:basedOn w:val="1"/>
    <w:autoRedefine/>
    <w:qFormat/>
    <w:uiPriority w:val="0"/>
    <w:rPr>
      <w:rFonts w:ascii="宋体" w:hAnsi="宋体" w:cs="宋体"/>
    </w:rPr>
  </w:style>
  <w:style w:type="paragraph" w:customStyle="1" w:styleId="3051">
    <w:name w:val="Char57"/>
    <w:basedOn w:val="1"/>
    <w:autoRedefine/>
    <w:qFormat/>
    <w:uiPriority w:val="0"/>
    <w:pPr>
      <w:ind w:left="-48"/>
    </w:pPr>
    <w:rPr>
      <w:rFonts w:ascii="宋体" w:hAnsi="宋体" w:cs="宋体"/>
    </w:rPr>
  </w:style>
  <w:style w:type="character" w:customStyle="1" w:styleId="3052">
    <w:name w:val="Char Char49"/>
    <w:autoRedefine/>
    <w:qFormat/>
    <w:uiPriority w:val="0"/>
    <w:rPr>
      <w:rFonts w:ascii="黑体" w:hAnsi="Arial" w:eastAsia="黑体"/>
      <w:b/>
      <w:bCs/>
      <w:kern w:val="2"/>
      <w:sz w:val="30"/>
      <w:szCs w:val="30"/>
      <w:lang w:val="en-US" w:eastAsia="zh-CN" w:bidi="ar-SA"/>
    </w:rPr>
  </w:style>
  <w:style w:type="character" w:customStyle="1" w:styleId="3053">
    <w:name w:val="Char Char37"/>
    <w:autoRedefine/>
    <w:qFormat/>
    <w:uiPriority w:val="0"/>
    <w:rPr>
      <w:rFonts w:ascii="黑体" w:hAnsi="宋体" w:eastAsia="黑体"/>
      <w:b/>
      <w:bCs/>
      <w:kern w:val="2"/>
      <w:sz w:val="28"/>
      <w:szCs w:val="28"/>
      <w:lang w:val="en-US" w:eastAsia="zh-CN" w:bidi="ar-SA"/>
    </w:rPr>
  </w:style>
  <w:style w:type="paragraph" w:customStyle="1" w:styleId="3054">
    <w:name w:val="Char Char Char Char1 Char Char Char13"/>
    <w:basedOn w:val="1"/>
    <w:autoRedefine/>
    <w:qFormat/>
    <w:uiPriority w:val="0"/>
    <w:pPr>
      <w:widowControl/>
      <w:spacing w:after="160"/>
      <w:jc w:val="left"/>
    </w:pPr>
    <w:rPr>
      <w:rFonts w:ascii="Verdana" w:hAnsi="Verdana" w:cs="宋体"/>
      <w:kern w:val="0"/>
      <w:sz w:val="24"/>
      <w:lang w:eastAsia="en-US"/>
    </w:rPr>
  </w:style>
  <w:style w:type="character" w:customStyle="1" w:styleId="3055">
    <w:name w:val="Char Char1113"/>
    <w:autoRedefine/>
    <w:qFormat/>
    <w:uiPriority w:val="0"/>
    <w:rPr>
      <w:rFonts w:ascii="黑体" w:hAnsi="Arial" w:eastAsia="黑体"/>
      <w:bCs/>
      <w:kern w:val="2"/>
      <w:sz w:val="30"/>
      <w:szCs w:val="30"/>
      <w:lang w:val="en-US" w:eastAsia="zh-CN" w:bidi="ar-SA"/>
    </w:rPr>
  </w:style>
  <w:style w:type="character" w:customStyle="1" w:styleId="3056">
    <w:name w:val="Char Char57"/>
    <w:autoRedefine/>
    <w:qFormat/>
    <w:uiPriority w:val="0"/>
    <w:rPr>
      <w:rFonts w:ascii="黑体" w:hAnsi="宋体" w:eastAsia="黑体"/>
      <w:bCs/>
      <w:kern w:val="2"/>
      <w:sz w:val="28"/>
      <w:szCs w:val="28"/>
      <w:lang w:val="en-US" w:eastAsia="zh-CN" w:bidi="ar-SA"/>
    </w:rPr>
  </w:style>
  <w:style w:type="paragraph" w:customStyle="1" w:styleId="3057">
    <w:name w:val="Char124"/>
    <w:basedOn w:val="1"/>
    <w:autoRedefine/>
    <w:qFormat/>
    <w:uiPriority w:val="0"/>
    <w:pPr>
      <w:ind w:left="-48"/>
    </w:pPr>
    <w:rPr>
      <w:rFonts w:ascii="宋体" w:hAnsi="宋体" w:cs="宋体"/>
    </w:rPr>
  </w:style>
  <w:style w:type="paragraph" w:customStyle="1" w:styleId="3058">
    <w:name w:val="Char Char Char Char Char Char Char117"/>
    <w:basedOn w:val="1"/>
    <w:autoRedefine/>
    <w:qFormat/>
    <w:uiPriority w:val="0"/>
    <w:rPr>
      <w:rFonts w:ascii="宋体" w:hAnsi="宋体" w:cs="宋体"/>
    </w:rPr>
  </w:style>
  <w:style w:type="character" w:customStyle="1" w:styleId="3059">
    <w:name w:val="Char Char217"/>
    <w:autoRedefine/>
    <w:qFormat/>
    <w:uiPriority w:val="0"/>
    <w:rPr>
      <w:rFonts w:ascii="黑体" w:eastAsia="宋体"/>
      <w:kern w:val="2"/>
      <w:sz w:val="16"/>
      <w:szCs w:val="16"/>
      <w:lang w:val="en-US" w:eastAsia="zh-CN" w:bidi="ar-SA"/>
    </w:rPr>
  </w:style>
  <w:style w:type="character" w:customStyle="1" w:styleId="3060">
    <w:name w:val="Char Char127"/>
    <w:autoRedefine/>
    <w:qFormat/>
    <w:uiPriority w:val="0"/>
    <w:rPr>
      <w:rFonts w:ascii="黑体" w:hAnsi="Arial" w:eastAsia="黑体"/>
      <w:b/>
      <w:bCs/>
      <w:kern w:val="2"/>
      <w:sz w:val="30"/>
      <w:szCs w:val="30"/>
      <w:lang w:val="en-US" w:eastAsia="zh-CN" w:bidi="ar-SA"/>
    </w:rPr>
  </w:style>
  <w:style w:type="character" w:customStyle="1" w:styleId="3061">
    <w:name w:val="Char Char613"/>
    <w:autoRedefine/>
    <w:qFormat/>
    <w:uiPriority w:val="0"/>
    <w:rPr>
      <w:rFonts w:ascii="黑体" w:eastAsia="黑体"/>
      <w:b/>
      <w:bCs/>
      <w:kern w:val="2"/>
      <w:sz w:val="28"/>
      <w:szCs w:val="28"/>
      <w:lang w:val="en-US" w:eastAsia="zh-CN" w:bidi="ar-SA"/>
    </w:rPr>
  </w:style>
  <w:style w:type="paragraph" w:customStyle="1" w:styleId="3062">
    <w:name w:val="Char218"/>
    <w:basedOn w:val="1"/>
    <w:autoRedefine/>
    <w:qFormat/>
    <w:uiPriority w:val="0"/>
    <w:pPr>
      <w:ind w:left="-48"/>
    </w:pPr>
    <w:rPr>
      <w:rFonts w:ascii="宋体" w:hAnsi="宋体" w:cs="宋体"/>
    </w:rPr>
  </w:style>
  <w:style w:type="paragraph" w:customStyle="1" w:styleId="3063">
    <w:name w:val="Char317"/>
    <w:basedOn w:val="1"/>
    <w:autoRedefine/>
    <w:qFormat/>
    <w:uiPriority w:val="0"/>
    <w:pPr>
      <w:ind w:left="-48"/>
    </w:pPr>
    <w:rPr>
      <w:rFonts w:ascii="宋体" w:hAnsi="宋体" w:cs="宋体"/>
    </w:rPr>
  </w:style>
  <w:style w:type="paragraph" w:customStyle="1" w:styleId="3064">
    <w:name w:val="Char Char Char Char Char Char Char214"/>
    <w:basedOn w:val="1"/>
    <w:autoRedefine/>
    <w:qFormat/>
    <w:uiPriority w:val="0"/>
    <w:rPr>
      <w:rFonts w:ascii="宋体" w:hAnsi="宋体" w:cs="宋体"/>
    </w:rPr>
  </w:style>
  <w:style w:type="paragraph" w:customStyle="1" w:styleId="3065">
    <w:name w:val="Char417"/>
    <w:basedOn w:val="1"/>
    <w:autoRedefine/>
    <w:qFormat/>
    <w:uiPriority w:val="0"/>
    <w:pPr>
      <w:ind w:left="-48"/>
    </w:pPr>
    <w:rPr>
      <w:rFonts w:ascii="宋体" w:hAnsi="宋体" w:cs="宋体"/>
    </w:rPr>
  </w:style>
  <w:style w:type="paragraph" w:customStyle="1" w:styleId="3066">
    <w:name w:val="Char Char Char Char Char Char Char35"/>
    <w:basedOn w:val="1"/>
    <w:autoRedefine/>
    <w:qFormat/>
    <w:uiPriority w:val="0"/>
    <w:rPr>
      <w:rFonts w:ascii="宋体" w:hAnsi="宋体" w:cs="宋体"/>
    </w:rPr>
  </w:style>
  <w:style w:type="paragraph" w:customStyle="1" w:styleId="3067">
    <w:name w:val="Char58"/>
    <w:basedOn w:val="1"/>
    <w:autoRedefine/>
    <w:qFormat/>
    <w:uiPriority w:val="0"/>
    <w:pPr>
      <w:ind w:left="-48"/>
    </w:pPr>
    <w:rPr>
      <w:rFonts w:ascii="宋体" w:hAnsi="宋体" w:cs="宋体"/>
    </w:rPr>
  </w:style>
  <w:style w:type="character" w:customStyle="1" w:styleId="3068">
    <w:name w:val="Char Char410"/>
    <w:autoRedefine/>
    <w:qFormat/>
    <w:uiPriority w:val="0"/>
    <w:rPr>
      <w:rFonts w:ascii="黑体" w:hAnsi="Arial" w:eastAsia="黑体"/>
      <w:b/>
      <w:bCs/>
      <w:kern w:val="2"/>
      <w:sz w:val="30"/>
      <w:szCs w:val="30"/>
      <w:lang w:val="en-US" w:eastAsia="zh-CN" w:bidi="ar-SA"/>
    </w:rPr>
  </w:style>
  <w:style w:type="character" w:customStyle="1" w:styleId="3069">
    <w:name w:val="Char Char38"/>
    <w:autoRedefine/>
    <w:qFormat/>
    <w:uiPriority w:val="0"/>
    <w:rPr>
      <w:rFonts w:ascii="黑体" w:hAnsi="宋体" w:eastAsia="黑体"/>
      <w:b/>
      <w:bCs/>
      <w:kern w:val="2"/>
      <w:sz w:val="28"/>
      <w:szCs w:val="28"/>
      <w:lang w:val="en-US" w:eastAsia="zh-CN" w:bidi="ar-SA"/>
    </w:rPr>
  </w:style>
  <w:style w:type="paragraph" w:customStyle="1" w:styleId="3070">
    <w:name w:val="Char Char Char Char1 Char Char Char14"/>
    <w:basedOn w:val="1"/>
    <w:autoRedefine/>
    <w:qFormat/>
    <w:uiPriority w:val="0"/>
    <w:pPr>
      <w:widowControl/>
      <w:spacing w:after="160"/>
      <w:jc w:val="left"/>
    </w:pPr>
    <w:rPr>
      <w:rFonts w:ascii="Verdana" w:hAnsi="Verdana" w:cs="宋体"/>
      <w:kern w:val="0"/>
      <w:sz w:val="24"/>
      <w:lang w:eastAsia="en-US"/>
    </w:rPr>
  </w:style>
  <w:style w:type="character" w:customStyle="1" w:styleId="3071">
    <w:name w:val="Char Char1114"/>
    <w:autoRedefine/>
    <w:qFormat/>
    <w:uiPriority w:val="0"/>
    <w:rPr>
      <w:rFonts w:ascii="黑体" w:hAnsi="Arial" w:eastAsia="黑体"/>
      <w:bCs/>
      <w:kern w:val="2"/>
      <w:sz w:val="30"/>
      <w:szCs w:val="30"/>
      <w:lang w:val="en-US" w:eastAsia="zh-CN" w:bidi="ar-SA"/>
    </w:rPr>
  </w:style>
  <w:style w:type="character" w:customStyle="1" w:styleId="3072">
    <w:name w:val="Char Char58"/>
    <w:autoRedefine/>
    <w:qFormat/>
    <w:uiPriority w:val="0"/>
    <w:rPr>
      <w:rFonts w:ascii="黑体" w:hAnsi="宋体" w:eastAsia="黑体"/>
      <w:bCs/>
      <w:kern w:val="2"/>
      <w:sz w:val="28"/>
      <w:szCs w:val="28"/>
      <w:lang w:val="en-US" w:eastAsia="zh-CN" w:bidi="ar-SA"/>
    </w:rPr>
  </w:style>
  <w:style w:type="paragraph" w:customStyle="1" w:styleId="3073">
    <w:name w:val="Char125"/>
    <w:basedOn w:val="1"/>
    <w:autoRedefine/>
    <w:qFormat/>
    <w:uiPriority w:val="0"/>
    <w:pPr>
      <w:ind w:left="-48"/>
    </w:pPr>
    <w:rPr>
      <w:rFonts w:ascii="宋体" w:hAnsi="宋体" w:cs="宋体"/>
    </w:rPr>
  </w:style>
  <w:style w:type="paragraph" w:customStyle="1" w:styleId="3074">
    <w:name w:val="Char Char Char Char Char Char Char118"/>
    <w:basedOn w:val="1"/>
    <w:autoRedefine/>
    <w:qFormat/>
    <w:uiPriority w:val="0"/>
    <w:rPr>
      <w:rFonts w:ascii="宋体" w:hAnsi="宋体" w:cs="宋体"/>
    </w:rPr>
  </w:style>
  <w:style w:type="character" w:customStyle="1" w:styleId="3075">
    <w:name w:val="Char Char218"/>
    <w:autoRedefine/>
    <w:qFormat/>
    <w:uiPriority w:val="0"/>
    <w:rPr>
      <w:rFonts w:ascii="黑体" w:eastAsia="宋体"/>
      <w:kern w:val="2"/>
      <w:sz w:val="16"/>
      <w:szCs w:val="16"/>
      <w:lang w:val="en-US" w:eastAsia="zh-CN" w:bidi="ar-SA"/>
    </w:rPr>
  </w:style>
  <w:style w:type="character" w:customStyle="1" w:styleId="3076">
    <w:name w:val="Char Char128"/>
    <w:autoRedefine/>
    <w:qFormat/>
    <w:uiPriority w:val="0"/>
    <w:rPr>
      <w:rFonts w:ascii="黑体" w:hAnsi="Arial" w:eastAsia="黑体"/>
      <w:b/>
      <w:bCs/>
      <w:kern w:val="2"/>
      <w:sz w:val="30"/>
      <w:szCs w:val="30"/>
      <w:lang w:val="en-US" w:eastAsia="zh-CN" w:bidi="ar-SA"/>
    </w:rPr>
  </w:style>
  <w:style w:type="character" w:customStyle="1" w:styleId="3077">
    <w:name w:val="Char Char614"/>
    <w:autoRedefine/>
    <w:qFormat/>
    <w:uiPriority w:val="0"/>
    <w:rPr>
      <w:rFonts w:ascii="黑体" w:eastAsia="黑体"/>
      <w:b/>
      <w:bCs/>
      <w:kern w:val="2"/>
      <w:sz w:val="28"/>
      <w:szCs w:val="28"/>
      <w:lang w:val="en-US" w:eastAsia="zh-CN" w:bidi="ar-SA"/>
    </w:rPr>
  </w:style>
  <w:style w:type="paragraph" w:customStyle="1" w:styleId="3078">
    <w:name w:val="Char219"/>
    <w:basedOn w:val="1"/>
    <w:autoRedefine/>
    <w:qFormat/>
    <w:uiPriority w:val="0"/>
    <w:pPr>
      <w:ind w:left="-48"/>
    </w:pPr>
    <w:rPr>
      <w:rFonts w:ascii="宋体" w:hAnsi="宋体" w:cs="宋体"/>
    </w:rPr>
  </w:style>
  <w:style w:type="paragraph" w:customStyle="1" w:styleId="3079">
    <w:name w:val="Char318"/>
    <w:basedOn w:val="1"/>
    <w:autoRedefine/>
    <w:qFormat/>
    <w:uiPriority w:val="0"/>
    <w:pPr>
      <w:ind w:left="-48"/>
    </w:pPr>
    <w:rPr>
      <w:rFonts w:ascii="宋体" w:hAnsi="宋体" w:cs="宋体"/>
    </w:rPr>
  </w:style>
  <w:style w:type="paragraph" w:customStyle="1" w:styleId="3080">
    <w:name w:val="Char Char Char Char Char Char Char215"/>
    <w:basedOn w:val="1"/>
    <w:autoRedefine/>
    <w:qFormat/>
    <w:uiPriority w:val="0"/>
    <w:rPr>
      <w:rFonts w:ascii="宋体" w:hAnsi="宋体" w:cs="宋体"/>
    </w:rPr>
  </w:style>
  <w:style w:type="paragraph" w:customStyle="1" w:styleId="3081">
    <w:name w:val="Char418"/>
    <w:basedOn w:val="1"/>
    <w:autoRedefine/>
    <w:qFormat/>
    <w:uiPriority w:val="0"/>
    <w:pPr>
      <w:ind w:left="-48"/>
    </w:pPr>
    <w:rPr>
      <w:rFonts w:ascii="宋体" w:hAnsi="宋体" w:cs="宋体"/>
    </w:rPr>
  </w:style>
  <w:style w:type="paragraph" w:customStyle="1" w:styleId="3082">
    <w:name w:val="Char Char Char Char Char Char Char36"/>
    <w:basedOn w:val="1"/>
    <w:autoRedefine/>
    <w:qFormat/>
    <w:uiPriority w:val="0"/>
    <w:rPr>
      <w:rFonts w:ascii="宋体" w:hAnsi="宋体" w:cs="宋体"/>
    </w:rPr>
  </w:style>
  <w:style w:type="paragraph" w:customStyle="1" w:styleId="3083">
    <w:name w:val="Char59"/>
    <w:basedOn w:val="1"/>
    <w:autoRedefine/>
    <w:qFormat/>
    <w:uiPriority w:val="0"/>
    <w:pPr>
      <w:ind w:left="-48"/>
    </w:pPr>
    <w:rPr>
      <w:rFonts w:ascii="宋体" w:hAnsi="宋体" w:cs="宋体"/>
    </w:rPr>
  </w:style>
  <w:style w:type="character" w:customStyle="1" w:styleId="3084">
    <w:name w:val="Char Char411"/>
    <w:autoRedefine/>
    <w:qFormat/>
    <w:uiPriority w:val="0"/>
    <w:rPr>
      <w:rFonts w:ascii="黑体" w:hAnsi="Arial" w:eastAsia="黑体"/>
      <w:b/>
      <w:bCs/>
      <w:kern w:val="2"/>
      <w:sz w:val="30"/>
      <w:szCs w:val="30"/>
      <w:lang w:val="en-US" w:eastAsia="zh-CN" w:bidi="ar-SA"/>
    </w:rPr>
  </w:style>
  <w:style w:type="character" w:customStyle="1" w:styleId="3085">
    <w:name w:val="Char Char39"/>
    <w:autoRedefine/>
    <w:qFormat/>
    <w:uiPriority w:val="0"/>
    <w:rPr>
      <w:rFonts w:ascii="黑体" w:hAnsi="宋体" w:eastAsia="黑体"/>
      <w:b/>
      <w:bCs/>
      <w:kern w:val="2"/>
      <w:sz w:val="28"/>
      <w:szCs w:val="28"/>
      <w:lang w:val="en-US" w:eastAsia="zh-CN" w:bidi="ar-SA"/>
    </w:rPr>
  </w:style>
  <w:style w:type="paragraph" w:customStyle="1" w:styleId="3086">
    <w:name w:val="Char Char Char Char1 Char Char Char15"/>
    <w:basedOn w:val="1"/>
    <w:autoRedefine/>
    <w:qFormat/>
    <w:uiPriority w:val="0"/>
    <w:pPr>
      <w:widowControl/>
      <w:spacing w:after="160"/>
      <w:jc w:val="left"/>
    </w:pPr>
    <w:rPr>
      <w:rFonts w:ascii="Verdana" w:hAnsi="Verdana" w:cs="宋体"/>
      <w:kern w:val="0"/>
      <w:sz w:val="24"/>
      <w:lang w:eastAsia="en-US"/>
    </w:rPr>
  </w:style>
  <w:style w:type="character" w:customStyle="1" w:styleId="3087">
    <w:name w:val="Char Char1115"/>
    <w:autoRedefine/>
    <w:qFormat/>
    <w:uiPriority w:val="0"/>
    <w:rPr>
      <w:rFonts w:ascii="黑体" w:hAnsi="Arial" w:eastAsia="黑体"/>
      <w:bCs/>
      <w:kern w:val="2"/>
      <w:sz w:val="30"/>
      <w:szCs w:val="30"/>
      <w:lang w:val="en-US" w:eastAsia="zh-CN" w:bidi="ar-SA"/>
    </w:rPr>
  </w:style>
  <w:style w:type="character" w:customStyle="1" w:styleId="3088">
    <w:name w:val="Char Char59"/>
    <w:autoRedefine/>
    <w:qFormat/>
    <w:uiPriority w:val="0"/>
    <w:rPr>
      <w:rFonts w:ascii="黑体" w:hAnsi="宋体" w:eastAsia="黑体"/>
      <w:bCs/>
      <w:kern w:val="2"/>
      <w:sz w:val="28"/>
      <w:szCs w:val="28"/>
      <w:lang w:val="en-US" w:eastAsia="zh-CN" w:bidi="ar-SA"/>
    </w:rPr>
  </w:style>
  <w:style w:type="paragraph" w:customStyle="1" w:styleId="3089">
    <w:name w:val="Char126"/>
    <w:basedOn w:val="1"/>
    <w:autoRedefine/>
    <w:qFormat/>
    <w:uiPriority w:val="0"/>
    <w:pPr>
      <w:ind w:left="-48"/>
    </w:pPr>
    <w:rPr>
      <w:rFonts w:ascii="宋体" w:hAnsi="宋体" w:cs="宋体"/>
    </w:rPr>
  </w:style>
  <w:style w:type="paragraph" w:customStyle="1" w:styleId="3090">
    <w:name w:val="Char Char Char Char Char Char Char119"/>
    <w:basedOn w:val="1"/>
    <w:autoRedefine/>
    <w:qFormat/>
    <w:uiPriority w:val="0"/>
    <w:rPr>
      <w:rFonts w:ascii="宋体" w:hAnsi="宋体" w:cs="宋体"/>
    </w:rPr>
  </w:style>
  <w:style w:type="character" w:customStyle="1" w:styleId="3091">
    <w:name w:val="Char Char219"/>
    <w:autoRedefine/>
    <w:qFormat/>
    <w:uiPriority w:val="0"/>
    <w:rPr>
      <w:rFonts w:ascii="黑体" w:eastAsia="宋体"/>
      <w:kern w:val="2"/>
      <w:sz w:val="16"/>
      <w:szCs w:val="16"/>
      <w:lang w:val="en-US" w:eastAsia="zh-CN" w:bidi="ar-SA"/>
    </w:rPr>
  </w:style>
  <w:style w:type="character" w:customStyle="1" w:styleId="3092">
    <w:name w:val="Char Char129"/>
    <w:autoRedefine/>
    <w:qFormat/>
    <w:uiPriority w:val="0"/>
    <w:rPr>
      <w:rFonts w:ascii="黑体" w:hAnsi="Arial" w:eastAsia="黑体"/>
      <w:b/>
      <w:bCs/>
      <w:kern w:val="2"/>
      <w:sz w:val="30"/>
      <w:szCs w:val="30"/>
      <w:lang w:val="en-US" w:eastAsia="zh-CN" w:bidi="ar-SA"/>
    </w:rPr>
  </w:style>
  <w:style w:type="character" w:customStyle="1" w:styleId="3093">
    <w:name w:val="Char Char615"/>
    <w:autoRedefine/>
    <w:qFormat/>
    <w:uiPriority w:val="0"/>
    <w:rPr>
      <w:rFonts w:ascii="黑体" w:eastAsia="黑体"/>
      <w:b/>
      <w:bCs/>
      <w:kern w:val="2"/>
      <w:sz w:val="28"/>
      <w:szCs w:val="28"/>
      <w:lang w:val="en-US" w:eastAsia="zh-CN" w:bidi="ar-SA"/>
    </w:rPr>
  </w:style>
  <w:style w:type="paragraph" w:customStyle="1" w:styleId="3094">
    <w:name w:val="Char220"/>
    <w:basedOn w:val="1"/>
    <w:autoRedefine/>
    <w:qFormat/>
    <w:uiPriority w:val="0"/>
    <w:pPr>
      <w:ind w:left="-48"/>
    </w:pPr>
    <w:rPr>
      <w:rFonts w:ascii="宋体" w:hAnsi="宋体" w:cs="宋体"/>
    </w:rPr>
  </w:style>
  <w:style w:type="paragraph" w:customStyle="1" w:styleId="3095">
    <w:name w:val="Char319"/>
    <w:basedOn w:val="1"/>
    <w:autoRedefine/>
    <w:qFormat/>
    <w:uiPriority w:val="0"/>
    <w:pPr>
      <w:ind w:left="-48"/>
    </w:pPr>
    <w:rPr>
      <w:rFonts w:ascii="宋体" w:hAnsi="宋体" w:cs="宋体"/>
    </w:rPr>
  </w:style>
  <w:style w:type="paragraph" w:customStyle="1" w:styleId="3096">
    <w:name w:val="Char Char Char Char Char Char Char216"/>
    <w:basedOn w:val="1"/>
    <w:autoRedefine/>
    <w:qFormat/>
    <w:uiPriority w:val="0"/>
    <w:rPr>
      <w:rFonts w:ascii="宋体" w:hAnsi="宋体" w:cs="宋体"/>
    </w:rPr>
  </w:style>
  <w:style w:type="paragraph" w:customStyle="1" w:styleId="3097">
    <w:name w:val="Char419"/>
    <w:basedOn w:val="1"/>
    <w:autoRedefine/>
    <w:qFormat/>
    <w:uiPriority w:val="0"/>
    <w:pPr>
      <w:ind w:left="-48"/>
    </w:pPr>
    <w:rPr>
      <w:rFonts w:ascii="宋体" w:hAnsi="宋体" w:cs="宋体"/>
    </w:rPr>
  </w:style>
  <w:style w:type="paragraph" w:customStyle="1" w:styleId="3098">
    <w:name w:val="Char Char Char Char Char Char Char37"/>
    <w:basedOn w:val="1"/>
    <w:autoRedefine/>
    <w:qFormat/>
    <w:uiPriority w:val="0"/>
    <w:rPr>
      <w:rFonts w:ascii="宋体" w:hAnsi="宋体" w:cs="宋体"/>
    </w:rPr>
  </w:style>
  <w:style w:type="paragraph" w:customStyle="1" w:styleId="3099">
    <w:name w:val="Char60"/>
    <w:basedOn w:val="1"/>
    <w:autoRedefine/>
    <w:qFormat/>
    <w:uiPriority w:val="0"/>
    <w:pPr>
      <w:ind w:left="-48"/>
    </w:pPr>
    <w:rPr>
      <w:rFonts w:ascii="宋体" w:hAnsi="宋体" w:cs="宋体"/>
    </w:rPr>
  </w:style>
  <w:style w:type="character" w:customStyle="1" w:styleId="3100">
    <w:name w:val="Char Char412"/>
    <w:autoRedefine/>
    <w:qFormat/>
    <w:uiPriority w:val="0"/>
    <w:rPr>
      <w:rFonts w:ascii="黑体" w:hAnsi="Arial" w:eastAsia="黑体"/>
      <w:b/>
      <w:bCs/>
      <w:kern w:val="2"/>
      <w:sz w:val="30"/>
      <w:szCs w:val="30"/>
      <w:lang w:val="en-US" w:eastAsia="zh-CN" w:bidi="ar-SA"/>
    </w:rPr>
  </w:style>
  <w:style w:type="character" w:customStyle="1" w:styleId="3101">
    <w:name w:val="Char Char310"/>
    <w:autoRedefine/>
    <w:qFormat/>
    <w:uiPriority w:val="0"/>
    <w:rPr>
      <w:rFonts w:ascii="黑体" w:hAnsi="宋体" w:eastAsia="黑体"/>
      <w:b/>
      <w:bCs/>
      <w:kern w:val="2"/>
      <w:sz w:val="28"/>
      <w:szCs w:val="28"/>
      <w:lang w:val="en-US" w:eastAsia="zh-CN" w:bidi="ar-SA"/>
    </w:rPr>
  </w:style>
  <w:style w:type="paragraph" w:customStyle="1" w:styleId="3102">
    <w:name w:val="Char Char Char Char1 Char Char Char16"/>
    <w:basedOn w:val="1"/>
    <w:autoRedefine/>
    <w:qFormat/>
    <w:uiPriority w:val="0"/>
    <w:pPr>
      <w:widowControl/>
      <w:spacing w:after="160"/>
      <w:jc w:val="left"/>
    </w:pPr>
    <w:rPr>
      <w:rFonts w:ascii="Verdana" w:hAnsi="Verdana" w:cs="宋体"/>
      <w:kern w:val="0"/>
      <w:sz w:val="24"/>
      <w:lang w:eastAsia="en-US"/>
    </w:rPr>
  </w:style>
  <w:style w:type="character" w:customStyle="1" w:styleId="3103">
    <w:name w:val="Char Char1116"/>
    <w:autoRedefine/>
    <w:qFormat/>
    <w:uiPriority w:val="0"/>
    <w:rPr>
      <w:rFonts w:ascii="黑体" w:hAnsi="Arial" w:eastAsia="黑体"/>
      <w:bCs/>
      <w:kern w:val="2"/>
      <w:sz w:val="30"/>
      <w:szCs w:val="30"/>
      <w:lang w:val="en-US" w:eastAsia="zh-CN" w:bidi="ar-SA"/>
    </w:rPr>
  </w:style>
  <w:style w:type="character" w:customStyle="1" w:styleId="3104">
    <w:name w:val="Char Char510"/>
    <w:autoRedefine/>
    <w:qFormat/>
    <w:uiPriority w:val="0"/>
    <w:rPr>
      <w:rFonts w:ascii="黑体" w:hAnsi="宋体" w:eastAsia="黑体"/>
      <w:bCs/>
      <w:kern w:val="2"/>
      <w:sz w:val="28"/>
      <w:szCs w:val="28"/>
      <w:lang w:val="en-US" w:eastAsia="zh-CN" w:bidi="ar-SA"/>
    </w:rPr>
  </w:style>
  <w:style w:type="paragraph" w:customStyle="1" w:styleId="3105">
    <w:name w:val="Char127"/>
    <w:basedOn w:val="1"/>
    <w:autoRedefine/>
    <w:qFormat/>
    <w:uiPriority w:val="0"/>
    <w:pPr>
      <w:ind w:left="-48"/>
    </w:pPr>
    <w:rPr>
      <w:rFonts w:ascii="宋体" w:hAnsi="宋体" w:cs="宋体"/>
    </w:rPr>
  </w:style>
  <w:style w:type="paragraph" w:customStyle="1" w:styleId="3106">
    <w:name w:val="Char Char Char Char Char Char Char120"/>
    <w:basedOn w:val="1"/>
    <w:autoRedefine/>
    <w:qFormat/>
    <w:uiPriority w:val="0"/>
    <w:rPr>
      <w:rFonts w:ascii="宋体" w:hAnsi="宋体" w:cs="宋体"/>
    </w:rPr>
  </w:style>
  <w:style w:type="character" w:customStyle="1" w:styleId="3107">
    <w:name w:val="Char Char2110"/>
    <w:autoRedefine/>
    <w:qFormat/>
    <w:uiPriority w:val="0"/>
    <w:rPr>
      <w:rFonts w:ascii="黑体" w:eastAsia="宋体"/>
      <w:kern w:val="2"/>
      <w:sz w:val="16"/>
      <w:szCs w:val="16"/>
      <w:lang w:val="en-US" w:eastAsia="zh-CN" w:bidi="ar-SA"/>
    </w:rPr>
  </w:style>
  <w:style w:type="character" w:customStyle="1" w:styleId="3108">
    <w:name w:val="Char Char1210"/>
    <w:autoRedefine/>
    <w:qFormat/>
    <w:uiPriority w:val="0"/>
    <w:rPr>
      <w:rFonts w:ascii="黑体" w:hAnsi="Arial" w:eastAsia="黑体"/>
      <w:b/>
      <w:bCs/>
      <w:kern w:val="2"/>
      <w:sz w:val="30"/>
      <w:szCs w:val="30"/>
      <w:lang w:val="en-US" w:eastAsia="zh-CN" w:bidi="ar-SA"/>
    </w:rPr>
  </w:style>
  <w:style w:type="character" w:customStyle="1" w:styleId="3109">
    <w:name w:val="Char Char616"/>
    <w:autoRedefine/>
    <w:qFormat/>
    <w:uiPriority w:val="0"/>
    <w:rPr>
      <w:rFonts w:ascii="黑体" w:eastAsia="黑体"/>
      <w:b/>
      <w:bCs/>
      <w:kern w:val="2"/>
      <w:sz w:val="28"/>
      <w:szCs w:val="28"/>
      <w:lang w:val="en-US" w:eastAsia="zh-CN" w:bidi="ar-SA"/>
    </w:rPr>
  </w:style>
  <w:style w:type="paragraph" w:customStyle="1" w:styleId="3110">
    <w:name w:val="Char223"/>
    <w:basedOn w:val="1"/>
    <w:autoRedefine/>
    <w:qFormat/>
    <w:uiPriority w:val="0"/>
    <w:pPr>
      <w:ind w:left="-48"/>
    </w:pPr>
    <w:rPr>
      <w:rFonts w:ascii="宋体" w:hAnsi="宋体" w:cs="宋体"/>
    </w:rPr>
  </w:style>
  <w:style w:type="paragraph" w:customStyle="1" w:styleId="3111">
    <w:name w:val="Char320"/>
    <w:basedOn w:val="1"/>
    <w:autoRedefine/>
    <w:qFormat/>
    <w:uiPriority w:val="0"/>
    <w:pPr>
      <w:ind w:left="-48"/>
    </w:pPr>
    <w:rPr>
      <w:rFonts w:ascii="宋体" w:hAnsi="宋体" w:cs="宋体"/>
    </w:rPr>
  </w:style>
  <w:style w:type="paragraph" w:customStyle="1" w:styleId="3112">
    <w:name w:val="Char Char Char Char Char Char Char217"/>
    <w:basedOn w:val="1"/>
    <w:autoRedefine/>
    <w:qFormat/>
    <w:uiPriority w:val="0"/>
    <w:rPr>
      <w:rFonts w:ascii="宋体" w:hAnsi="宋体" w:cs="宋体"/>
    </w:rPr>
  </w:style>
  <w:style w:type="paragraph" w:customStyle="1" w:styleId="3113">
    <w:name w:val="Char420"/>
    <w:basedOn w:val="1"/>
    <w:autoRedefine/>
    <w:qFormat/>
    <w:uiPriority w:val="0"/>
    <w:pPr>
      <w:ind w:left="-48"/>
    </w:pPr>
    <w:rPr>
      <w:rFonts w:ascii="宋体" w:hAnsi="宋体" w:cs="宋体"/>
    </w:rPr>
  </w:style>
  <w:style w:type="paragraph" w:customStyle="1" w:styleId="3114">
    <w:name w:val="Char Char Char Char Char Char Char38"/>
    <w:basedOn w:val="1"/>
    <w:autoRedefine/>
    <w:qFormat/>
    <w:uiPriority w:val="0"/>
    <w:rPr>
      <w:rFonts w:ascii="宋体" w:hAnsi="宋体" w:cs="宋体"/>
    </w:rPr>
  </w:style>
  <w:style w:type="paragraph" w:customStyle="1" w:styleId="3115">
    <w:name w:val="Char65"/>
    <w:basedOn w:val="1"/>
    <w:autoRedefine/>
    <w:qFormat/>
    <w:uiPriority w:val="0"/>
    <w:pPr>
      <w:ind w:left="-48"/>
    </w:pPr>
    <w:rPr>
      <w:rFonts w:ascii="宋体" w:hAnsi="宋体" w:cs="宋体"/>
    </w:rPr>
  </w:style>
  <w:style w:type="character" w:customStyle="1" w:styleId="3116">
    <w:name w:val="Char Char413"/>
    <w:autoRedefine/>
    <w:qFormat/>
    <w:uiPriority w:val="0"/>
    <w:rPr>
      <w:rFonts w:ascii="黑体" w:hAnsi="Arial" w:eastAsia="黑体"/>
      <w:b/>
      <w:bCs/>
      <w:kern w:val="2"/>
      <w:sz w:val="30"/>
      <w:szCs w:val="30"/>
      <w:lang w:val="en-US" w:eastAsia="zh-CN" w:bidi="ar-SA"/>
    </w:rPr>
  </w:style>
  <w:style w:type="character" w:customStyle="1" w:styleId="3117">
    <w:name w:val="Char Char311"/>
    <w:autoRedefine/>
    <w:qFormat/>
    <w:uiPriority w:val="0"/>
    <w:rPr>
      <w:rFonts w:ascii="黑体" w:hAnsi="宋体" w:eastAsia="黑体"/>
      <w:b/>
      <w:bCs/>
      <w:kern w:val="2"/>
      <w:sz w:val="28"/>
      <w:szCs w:val="28"/>
      <w:lang w:val="en-US" w:eastAsia="zh-CN" w:bidi="ar-SA"/>
    </w:rPr>
  </w:style>
  <w:style w:type="paragraph" w:customStyle="1" w:styleId="3118">
    <w:name w:val="Char Char Char Char1 Char Char Char17"/>
    <w:basedOn w:val="1"/>
    <w:autoRedefine/>
    <w:qFormat/>
    <w:uiPriority w:val="0"/>
    <w:pPr>
      <w:widowControl/>
      <w:spacing w:after="160"/>
      <w:jc w:val="left"/>
    </w:pPr>
    <w:rPr>
      <w:rFonts w:ascii="Verdana" w:hAnsi="Verdana" w:cs="宋体"/>
      <w:kern w:val="0"/>
      <w:sz w:val="24"/>
      <w:lang w:eastAsia="en-US"/>
    </w:rPr>
  </w:style>
  <w:style w:type="character" w:customStyle="1" w:styleId="3119">
    <w:name w:val="Char Char1117"/>
    <w:autoRedefine/>
    <w:qFormat/>
    <w:uiPriority w:val="0"/>
    <w:rPr>
      <w:rFonts w:ascii="黑体" w:hAnsi="Arial" w:eastAsia="黑体"/>
      <w:bCs/>
      <w:kern w:val="2"/>
      <w:sz w:val="30"/>
      <w:szCs w:val="30"/>
      <w:lang w:val="en-US" w:eastAsia="zh-CN" w:bidi="ar-SA"/>
    </w:rPr>
  </w:style>
  <w:style w:type="character" w:customStyle="1" w:styleId="3120">
    <w:name w:val="Char Char511"/>
    <w:autoRedefine/>
    <w:qFormat/>
    <w:uiPriority w:val="0"/>
    <w:rPr>
      <w:rFonts w:ascii="黑体" w:hAnsi="宋体" w:eastAsia="黑体"/>
      <w:bCs/>
      <w:kern w:val="2"/>
      <w:sz w:val="28"/>
      <w:szCs w:val="28"/>
      <w:lang w:val="en-US" w:eastAsia="zh-CN" w:bidi="ar-SA"/>
    </w:rPr>
  </w:style>
  <w:style w:type="paragraph" w:customStyle="1" w:styleId="3121">
    <w:name w:val="Char128"/>
    <w:basedOn w:val="1"/>
    <w:autoRedefine/>
    <w:qFormat/>
    <w:uiPriority w:val="0"/>
    <w:pPr>
      <w:ind w:left="-48"/>
    </w:pPr>
    <w:rPr>
      <w:rFonts w:ascii="宋体" w:hAnsi="宋体" w:cs="宋体"/>
    </w:rPr>
  </w:style>
  <w:style w:type="paragraph" w:customStyle="1" w:styleId="3122">
    <w:name w:val="Char Char Char Char Char Char Char123"/>
    <w:basedOn w:val="1"/>
    <w:autoRedefine/>
    <w:qFormat/>
    <w:uiPriority w:val="0"/>
    <w:rPr>
      <w:rFonts w:ascii="宋体" w:hAnsi="宋体" w:cs="宋体"/>
    </w:rPr>
  </w:style>
  <w:style w:type="character" w:customStyle="1" w:styleId="3123">
    <w:name w:val="Char Char2111"/>
    <w:autoRedefine/>
    <w:qFormat/>
    <w:uiPriority w:val="0"/>
    <w:rPr>
      <w:rFonts w:ascii="黑体" w:eastAsia="宋体"/>
      <w:kern w:val="2"/>
      <w:sz w:val="16"/>
      <w:szCs w:val="16"/>
      <w:lang w:val="en-US" w:eastAsia="zh-CN" w:bidi="ar-SA"/>
    </w:rPr>
  </w:style>
  <w:style w:type="character" w:customStyle="1" w:styleId="3124">
    <w:name w:val="Char Char1211"/>
    <w:autoRedefine/>
    <w:qFormat/>
    <w:uiPriority w:val="0"/>
    <w:rPr>
      <w:rFonts w:ascii="黑体" w:hAnsi="Arial" w:eastAsia="黑体"/>
      <w:b/>
      <w:bCs/>
      <w:kern w:val="2"/>
      <w:sz w:val="30"/>
      <w:szCs w:val="30"/>
      <w:lang w:val="en-US" w:eastAsia="zh-CN" w:bidi="ar-SA"/>
    </w:rPr>
  </w:style>
  <w:style w:type="character" w:customStyle="1" w:styleId="3125">
    <w:name w:val="Char Char617"/>
    <w:autoRedefine/>
    <w:qFormat/>
    <w:uiPriority w:val="0"/>
    <w:rPr>
      <w:rFonts w:ascii="黑体" w:eastAsia="黑体"/>
      <w:b/>
      <w:bCs/>
      <w:kern w:val="2"/>
      <w:sz w:val="28"/>
      <w:szCs w:val="28"/>
      <w:lang w:val="en-US" w:eastAsia="zh-CN" w:bidi="ar-SA"/>
    </w:rPr>
  </w:style>
  <w:style w:type="paragraph" w:customStyle="1" w:styleId="3126">
    <w:name w:val="Char224"/>
    <w:basedOn w:val="1"/>
    <w:autoRedefine/>
    <w:qFormat/>
    <w:uiPriority w:val="0"/>
    <w:pPr>
      <w:ind w:left="-48"/>
    </w:pPr>
    <w:rPr>
      <w:rFonts w:ascii="宋体" w:hAnsi="宋体" w:cs="宋体"/>
    </w:rPr>
  </w:style>
  <w:style w:type="paragraph" w:customStyle="1" w:styleId="3127">
    <w:name w:val="Char323"/>
    <w:basedOn w:val="1"/>
    <w:autoRedefine/>
    <w:qFormat/>
    <w:uiPriority w:val="0"/>
    <w:pPr>
      <w:ind w:left="-48"/>
    </w:pPr>
    <w:rPr>
      <w:rFonts w:ascii="宋体" w:hAnsi="宋体" w:cs="宋体"/>
    </w:rPr>
  </w:style>
  <w:style w:type="paragraph" w:customStyle="1" w:styleId="3128">
    <w:name w:val="Char Char Char Char Char Char Char218"/>
    <w:basedOn w:val="1"/>
    <w:autoRedefine/>
    <w:qFormat/>
    <w:uiPriority w:val="0"/>
    <w:rPr>
      <w:rFonts w:ascii="宋体" w:hAnsi="宋体" w:cs="宋体"/>
    </w:rPr>
  </w:style>
  <w:style w:type="paragraph" w:customStyle="1" w:styleId="3129">
    <w:name w:val="Char423"/>
    <w:basedOn w:val="1"/>
    <w:autoRedefine/>
    <w:qFormat/>
    <w:uiPriority w:val="0"/>
    <w:pPr>
      <w:ind w:left="-48"/>
    </w:pPr>
    <w:rPr>
      <w:rFonts w:ascii="宋体" w:hAnsi="宋体" w:cs="宋体"/>
    </w:rPr>
  </w:style>
  <w:style w:type="paragraph" w:customStyle="1" w:styleId="3130">
    <w:name w:val="Char Char Char Char Char Char Char39"/>
    <w:basedOn w:val="1"/>
    <w:autoRedefine/>
    <w:qFormat/>
    <w:uiPriority w:val="0"/>
    <w:rPr>
      <w:rFonts w:ascii="宋体" w:hAnsi="宋体" w:cs="宋体"/>
    </w:rPr>
  </w:style>
  <w:style w:type="paragraph" w:customStyle="1" w:styleId="3131">
    <w:name w:val="Char66"/>
    <w:basedOn w:val="1"/>
    <w:autoRedefine/>
    <w:qFormat/>
    <w:uiPriority w:val="0"/>
    <w:pPr>
      <w:ind w:left="-48"/>
    </w:pPr>
    <w:rPr>
      <w:rFonts w:ascii="宋体" w:hAnsi="宋体" w:cs="宋体"/>
    </w:rPr>
  </w:style>
  <w:style w:type="character" w:customStyle="1" w:styleId="3132">
    <w:name w:val="Char Char414"/>
    <w:autoRedefine/>
    <w:qFormat/>
    <w:uiPriority w:val="0"/>
    <w:rPr>
      <w:rFonts w:ascii="黑体" w:hAnsi="Arial" w:eastAsia="黑体"/>
      <w:b/>
      <w:bCs/>
      <w:kern w:val="2"/>
      <w:sz w:val="30"/>
      <w:szCs w:val="30"/>
      <w:lang w:val="en-US" w:eastAsia="zh-CN" w:bidi="ar-SA"/>
    </w:rPr>
  </w:style>
  <w:style w:type="character" w:customStyle="1" w:styleId="3133">
    <w:name w:val="Char Char312"/>
    <w:autoRedefine/>
    <w:qFormat/>
    <w:uiPriority w:val="0"/>
    <w:rPr>
      <w:rFonts w:ascii="黑体" w:hAnsi="宋体" w:eastAsia="黑体"/>
      <w:b/>
      <w:bCs/>
      <w:kern w:val="2"/>
      <w:sz w:val="28"/>
      <w:szCs w:val="28"/>
      <w:lang w:val="en-US" w:eastAsia="zh-CN" w:bidi="ar-SA"/>
    </w:rPr>
  </w:style>
  <w:style w:type="paragraph" w:customStyle="1" w:styleId="3134">
    <w:name w:val="Char Char Char Char1 Char Char Char18"/>
    <w:basedOn w:val="1"/>
    <w:autoRedefine/>
    <w:qFormat/>
    <w:uiPriority w:val="0"/>
    <w:pPr>
      <w:widowControl/>
      <w:spacing w:after="160"/>
      <w:jc w:val="left"/>
    </w:pPr>
    <w:rPr>
      <w:rFonts w:ascii="Verdana" w:hAnsi="Verdana" w:cs="宋体"/>
      <w:kern w:val="0"/>
      <w:sz w:val="24"/>
      <w:lang w:eastAsia="en-US"/>
    </w:rPr>
  </w:style>
  <w:style w:type="character" w:customStyle="1" w:styleId="3135">
    <w:name w:val="Char Char1118"/>
    <w:autoRedefine/>
    <w:qFormat/>
    <w:uiPriority w:val="0"/>
    <w:rPr>
      <w:rFonts w:ascii="黑体" w:hAnsi="Arial" w:eastAsia="黑体"/>
      <w:bCs/>
      <w:kern w:val="2"/>
      <w:sz w:val="30"/>
      <w:szCs w:val="30"/>
      <w:lang w:val="en-US" w:eastAsia="zh-CN" w:bidi="ar-SA"/>
    </w:rPr>
  </w:style>
  <w:style w:type="character" w:customStyle="1" w:styleId="3136">
    <w:name w:val="Char Char512"/>
    <w:autoRedefine/>
    <w:qFormat/>
    <w:uiPriority w:val="0"/>
    <w:rPr>
      <w:rFonts w:ascii="黑体" w:hAnsi="宋体" w:eastAsia="黑体"/>
      <w:bCs/>
      <w:kern w:val="2"/>
      <w:sz w:val="28"/>
      <w:szCs w:val="28"/>
      <w:lang w:val="en-US" w:eastAsia="zh-CN" w:bidi="ar-SA"/>
    </w:rPr>
  </w:style>
  <w:style w:type="paragraph" w:customStyle="1" w:styleId="3137">
    <w:name w:val="Char129"/>
    <w:basedOn w:val="1"/>
    <w:autoRedefine/>
    <w:qFormat/>
    <w:uiPriority w:val="0"/>
    <w:pPr>
      <w:ind w:left="-48"/>
    </w:pPr>
    <w:rPr>
      <w:rFonts w:ascii="宋体" w:hAnsi="宋体" w:cs="宋体"/>
    </w:rPr>
  </w:style>
  <w:style w:type="paragraph" w:customStyle="1" w:styleId="3138">
    <w:name w:val="Char Char Char Char Char Char Char124"/>
    <w:basedOn w:val="1"/>
    <w:autoRedefine/>
    <w:qFormat/>
    <w:uiPriority w:val="0"/>
    <w:rPr>
      <w:rFonts w:ascii="宋体" w:hAnsi="宋体" w:cs="宋体"/>
    </w:rPr>
  </w:style>
  <w:style w:type="character" w:customStyle="1" w:styleId="3139">
    <w:name w:val="Char Char2112"/>
    <w:autoRedefine/>
    <w:qFormat/>
    <w:uiPriority w:val="0"/>
    <w:rPr>
      <w:rFonts w:ascii="黑体" w:eastAsia="宋体"/>
      <w:kern w:val="2"/>
      <w:sz w:val="16"/>
      <w:szCs w:val="16"/>
      <w:lang w:val="en-US" w:eastAsia="zh-CN" w:bidi="ar-SA"/>
    </w:rPr>
  </w:style>
  <w:style w:type="character" w:customStyle="1" w:styleId="3140">
    <w:name w:val="Char Char1212"/>
    <w:autoRedefine/>
    <w:qFormat/>
    <w:uiPriority w:val="0"/>
    <w:rPr>
      <w:rFonts w:ascii="黑体" w:hAnsi="Arial" w:eastAsia="黑体"/>
      <w:b/>
      <w:bCs/>
      <w:kern w:val="2"/>
      <w:sz w:val="30"/>
      <w:szCs w:val="30"/>
      <w:lang w:val="en-US" w:eastAsia="zh-CN" w:bidi="ar-SA"/>
    </w:rPr>
  </w:style>
  <w:style w:type="character" w:customStyle="1" w:styleId="3141">
    <w:name w:val="Char Char618"/>
    <w:autoRedefine/>
    <w:qFormat/>
    <w:uiPriority w:val="0"/>
    <w:rPr>
      <w:rFonts w:ascii="黑体" w:eastAsia="黑体"/>
      <w:b/>
      <w:bCs/>
      <w:kern w:val="2"/>
      <w:sz w:val="28"/>
      <w:szCs w:val="28"/>
      <w:lang w:val="en-US" w:eastAsia="zh-CN" w:bidi="ar-SA"/>
    </w:rPr>
  </w:style>
  <w:style w:type="paragraph" w:customStyle="1" w:styleId="3142">
    <w:name w:val="Char225"/>
    <w:basedOn w:val="1"/>
    <w:autoRedefine/>
    <w:qFormat/>
    <w:uiPriority w:val="0"/>
    <w:pPr>
      <w:ind w:left="-48"/>
    </w:pPr>
    <w:rPr>
      <w:rFonts w:ascii="宋体" w:hAnsi="宋体" w:cs="宋体"/>
    </w:rPr>
  </w:style>
  <w:style w:type="paragraph" w:customStyle="1" w:styleId="3143">
    <w:name w:val="Char324"/>
    <w:basedOn w:val="1"/>
    <w:autoRedefine/>
    <w:qFormat/>
    <w:uiPriority w:val="0"/>
    <w:pPr>
      <w:ind w:left="-48"/>
    </w:pPr>
    <w:rPr>
      <w:rFonts w:ascii="宋体" w:hAnsi="宋体" w:cs="宋体"/>
    </w:rPr>
  </w:style>
  <w:style w:type="paragraph" w:customStyle="1" w:styleId="3144">
    <w:name w:val="Char Char Char Char Char Char Char219"/>
    <w:basedOn w:val="1"/>
    <w:autoRedefine/>
    <w:qFormat/>
    <w:uiPriority w:val="0"/>
    <w:rPr>
      <w:rFonts w:ascii="宋体" w:hAnsi="宋体" w:cs="宋体"/>
    </w:rPr>
  </w:style>
  <w:style w:type="paragraph" w:customStyle="1" w:styleId="3145">
    <w:name w:val="Char424"/>
    <w:basedOn w:val="1"/>
    <w:autoRedefine/>
    <w:qFormat/>
    <w:uiPriority w:val="0"/>
    <w:pPr>
      <w:ind w:left="-48"/>
    </w:pPr>
    <w:rPr>
      <w:rFonts w:ascii="宋体" w:hAnsi="宋体" w:cs="宋体"/>
    </w:rPr>
  </w:style>
  <w:style w:type="paragraph" w:customStyle="1" w:styleId="3146">
    <w:name w:val="Char Char Char Char Char Char Char40"/>
    <w:basedOn w:val="1"/>
    <w:autoRedefine/>
    <w:qFormat/>
    <w:uiPriority w:val="0"/>
    <w:rPr>
      <w:rFonts w:ascii="宋体" w:hAnsi="宋体" w:cs="宋体"/>
    </w:rPr>
  </w:style>
  <w:style w:type="paragraph" w:customStyle="1" w:styleId="3147">
    <w:name w:val="Char67"/>
    <w:basedOn w:val="1"/>
    <w:autoRedefine/>
    <w:qFormat/>
    <w:uiPriority w:val="0"/>
    <w:pPr>
      <w:ind w:left="-48"/>
    </w:pPr>
    <w:rPr>
      <w:rFonts w:ascii="宋体" w:hAnsi="宋体" w:cs="宋体"/>
    </w:rPr>
  </w:style>
  <w:style w:type="character" w:customStyle="1" w:styleId="3148">
    <w:name w:val="Char Char415"/>
    <w:autoRedefine/>
    <w:qFormat/>
    <w:uiPriority w:val="0"/>
    <w:rPr>
      <w:rFonts w:ascii="黑体" w:hAnsi="Arial" w:eastAsia="黑体"/>
      <w:b/>
      <w:bCs/>
      <w:kern w:val="2"/>
      <w:sz w:val="30"/>
      <w:szCs w:val="30"/>
      <w:lang w:val="en-US" w:eastAsia="zh-CN" w:bidi="ar-SA"/>
    </w:rPr>
  </w:style>
  <w:style w:type="character" w:customStyle="1" w:styleId="3149">
    <w:name w:val="Char Char313"/>
    <w:autoRedefine/>
    <w:qFormat/>
    <w:uiPriority w:val="0"/>
    <w:rPr>
      <w:rFonts w:ascii="黑体" w:hAnsi="宋体" w:eastAsia="黑体"/>
      <w:b/>
      <w:bCs/>
      <w:kern w:val="2"/>
      <w:sz w:val="28"/>
      <w:szCs w:val="28"/>
      <w:lang w:val="en-US" w:eastAsia="zh-CN" w:bidi="ar-SA"/>
    </w:rPr>
  </w:style>
  <w:style w:type="paragraph" w:customStyle="1" w:styleId="3150">
    <w:name w:val="Char Char Char Char1 Char Char Char19"/>
    <w:basedOn w:val="1"/>
    <w:autoRedefine/>
    <w:qFormat/>
    <w:uiPriority w:val="0"/>
    <w:pPr>
      <w:widowControl/>
      <w:spacing w:after="160"/>
      <w:jc w:val="left"/>
    </w:pPr>
    <w:rPr>
      <w:rFonts w:ascii="Verdana" w:hAnsi="Verdana" w:cs="宋体"/>
      <w:kern w:val="0"/>
      <w:sz w:val="24"/>
      <w:lang w:eastAsia="en-US"/>
    </w:rPr>
  </w:style>
  <w:style w:type="character" w:customStyle="1" w:styleId="3151">
    <w:name w:val="Char Char1119"/>
    <w:autoRedefine/>
    <w:qFormat/>
    <w:uiPriority w:val="0"/>
    <w:rPr>
      <w:rFonts w:ascii="黑体" w:hAnsi="Arial" w:eastAsia="黑体"/>
      <w:bCs/>
      <w:kern w:val="2"/>
      <w:sz w:val="30"/>
      <w:szCs w:val="30"/>
      <w:lang w:val="en-US" w:eastAsia="zh-CN" w:bidi="ar-SA"/>
    </w:rPr>
  </w:style>
  <w:style w:type="character" w:customStyle="1" w:styleId="3152">
    <w:name w:val="Char Char513"/>
    <w:autoRedefine/>
    <w:qFormat/>
    <w:uiPriority w:val="0"/>
    <w:rPr>
      <w:rFonts w:ascii="黑体" w:hAnsi="宋体" w:eastAsia="黑体"/>
      <w:bCs/>
      <w:kern w:val="2"/>
      <w:sz w:val="28"/>
      <w:szCs w:val="28"/>
      <w:lang w:val="en-US" w:eastAsia="zh-CN" w:bidi="ar-SA"/>
    </w:rPr>
  </w:style>
  <w:style w:type="paragraph" w:customStyle="1" w:styleId="3153">
    <w:name w:val="Char130"/>
    <w:basedOn w:val="1"/>
    <w:autoRedefine/>
    <w:qFormat/>
    <w:uiPriority w:val="0"/>
    <w:pPr>
      <w:ind w:left="-48"/>
    </w:pPr>
    <w:rPr>
      <w:rFonts w:ascii="宋体" w:hAnsi="宋体" w:cs="宋体"/>
    </w:rPr>
  </w:style>
  <w:style w:type="paragraph" w:customStyle="1" w:styleId="3154">
    <w:name w:val="Char Char Char Char Char Char Char125"/>
    <w:basedOn w:val="1"/>
    <w:autoRedefine/>
    <w:qFormat/>
    <w:uiPriority w:val="0"/>
    <w:rPr>
      <w:rFonts w:ascii="宋体" w:hAnsi="宋体" w:cs="宋体"/>
    </w:rPr>
  </w:style>
  <w:style w:type="character" w:customStyle="1" w:styleId="3155">
    <w:name w:val="Char Char2113"/>
    <w:autoRedefine/>
    <w:qFormat/>
    <w:uiPriority w:val="0"/>
    <w:rPr>
      <w:rFonts w:ascii="黑体" w:eastAsia="宋体"/>
      <w:kern w:val="2"/>
      <w:sz w:val="16"/>
      <w:szCs w:val="16"/>
      <w:lang w:val="en-US" w:eastAsia="zh-CN" w:bidi="ar-SA"/>
    </w:rPr>
  </w:style>
  <w:style w:type="character" w:customStyle="1" w:styleId="3156">
    <w:name w:val="Char Char1213"/>
    <w:autoRedefine/>
    <w:qFormat/>
    <w:uiPriority w:val="0"/>
    <w:rPr>
      <w:rFonts w:ascii="黑体" w:hAnsi="Arial" w:eastAsia="黑体"/>
      <w:b/>
      <w:bCs/>
      <w:kern w:val="2"/>
      <w:sz w:val="30"/>
      <w:szCs w:val="30"/>
      <w:lang w:val="en-US" w:eastAsia="zh-CN" w:bidi="ar-SA"/>
    </w:rPr>
  </w:style>
  <w:style w:type="character" w:customStyle="1" w:styleId="3157">
    <w:name w:val="Char Char619"/>
    <w:autoRedefine/>
    <w:qFormat/>
    <w:uiPriority w:val="0"/>
    <w:rPr>
      <w:rFonts w:ascii="黑体" w:eastAsia="黑体"/>
      <w:b/>
      <w:bCs/>
      <w:kern w:val="2"/>
      <w:sz w:val="28"/>
      <w:szCs w:val="28"/>
      <w:lang w:val="en-US" w:eastAsia="zh-CN" w:bidi="ar-SA"/>
    </w:rPr>
  </w:style>
  <w:style w:type="paragraph" w:customStyle="1" w:styleId="3158">
    <w:name w:val="Char226"/>
    <w:basedOn w:val="1"/>
    <w:autoRedefine/>
    <w:qFormat/>
    <w:uiPriority w:val="0"/>
    <w:pPr>
      <w:ind w:left="-48"/>
    </w:pPr>
    <w:rPr>
      <w:rFonts w:ascii="宋体" w:hAnsi="宋体" w:cs="宋体"/>
    </w:rPr>
  </w:style>
  <w:style w:type="paragraph" w:customStyle="1" w:styleId="3159">
    <w:name w:val="Char325"/>
    <w:basedOn w:val="1"/>
    <w:autoRedefine/>
    <w:qFormat/>
    <w:uiPriority w:val="0"/>
    <w:pPr>
      <w:ind w:left="-48"/>
    </w:pPr>
    <w:rPr>
      <w:rFonts w:ascii="宋体" w:hAnsi="宋体" w:cs="宋体"/>
    </w:rPr>
  </w:style>
  <w:style w:type="paragraph" w:customStyle="1" w:styleId="3160">
    <w:name w:val="Char Char Char Char Char Char Char220"/>
    <w:basedOn w:val="1"/>
    <w:autoRedefine/>
    <w:qFormat/>
    <w:uiPriority w:val="0"/>
    <w:rPr>
      <w:rFonts w:ascii="宋体" w:hAnsi="宋体" w:cs="宋体"/>
    </w:rPr>
  </w:style>
  <w:style w:type="paragraph" w:customStyle="1" w:styleId="3161">
    <w:name w:val="Char425"/>
    <w:basedOn w:val="1"/>
    <w:autoRedefine/>
    <w:qFormat/>
    <w:uiPriority w:val="0"/>
    <w:pPr>
      <w:ind w:left="-48"/>
    </w:pPr>
    <w:rPr>
      <w:rFonts w:ascii="宋体" w:hAnsi="宋体" w:cs="宋体"/>
    </w:rPr>
  </w:style>
  <w:style w:type="paragraph" w:customStyle="1" w:styleId="3162">
    <w:name w:val="Char Char Char Char Char Char Char43"/>
    <w:basedOn w:val="1"/>
    <w:autoRedefine/>
    <w:qFormat/>
    <w:uiPriority w:val="0"/>
    <w:rPr>
      <w:rFonts w:ascii="宋体" w:hAnsi="宋体" w:cs="宋体"/>
    </w:rPr>
  </w:style>
  <w:style w:type="paragraph" w:customStyle="1" w:styleId="3163">
    <w:name w:val="Char68"/>
    <w:basedOn w:val="1"/>
    <w:autoRedefine/>
    <w:qFormat/>
    <w:uiPriority w:val="0"/>
    <w:pPr>
      <w:ind w:left="-48"/>
    </w:pPr>
    <w:rPr>
      <w:rFonts w:ascii="宋体" w:hAnsi="宋体" w:cs="宋体"/>
    </w:rPr>
  </w:style>
  <w:style w:type="character" w:customStyle="1" w:styleId="3164">
    <w:name w:val="Char Char416"/>
    <w:autoRedefine/>
    <w:qFormat/>
    <w:uiPriority w:val="0"/>
    <w:rPr>
      <w:rFonts w:ascii="黑体" w:hAnsi="Arial" w:eastAsia="黑体"/>
      <w:b/>
      <w:bCs/>
      <w:kern w:val="2"/>
      <w:sz w:val="30"/>
      <w:szCs w:val="30"/>
      <w:lang w:val="en-US" w:eastAsia="zh-CN" w:bidi="ar-SA"/>
    </w:rPr>
  </w:style>
  <w:style w:type="character" w:customStyle="1" w:styleId="3165">
    <w:name w:val="Char Char314"/>
    <w:autoRedefine/>
    <w:qFormat/>
    <w:uiPriority w:val="0"/>
    <w:rPr>
      <w:rFonts w:ascii="黑体" w:hAnsi="宋体" w:eastAsia="黑体"/>
      <w:b/>
      <w:bCs/>
      <w:kern w:val="2"/>
      <w:sz w:val="28"/>
      <w:szCs w:val="28"/>
      <w:lang w:val="en-US" w:eastAsia="zh-CN" w:bidi="ar-SA"/>
    </w:rPr>
  </w:style>
  <w:style w:type="paragraph" w:customStyle="1" w:styleId="3166">
    <w:name w:val="Char Char Char Char1 Char Char Char20"/>
    <w:basedOn w:val="1"/>
    <w:autoRedefine/>
    <w:qFormat/>
    <w:uiPriority w:val="0"/>
    <w:pPr>
      <w:widowControl/>
      <w:spacing w:after="160"/>
      <w:jc w:val="left"/>
    </w:pPr>
    <w:rPr>
      <w:rFonts w:ascii="Verdana" w:hAnsi="Verdana" w:cs="宋体"/>
      <w:kern w:val="0"/>
      <w:sz w:val="24"/>
      <w:lang w:eastAsia="en-US"/>
    </w:rPr>
  </w:style>
  <w:style w:type="character" w:customStyle="1" w:styleId="3167">
    <w:name w:val="Char Char1120"/>
    <w:autoRedefine/>
    <w:qFormat/>
    <w:uiPriority w:val="0"/>
    <w:rPr>
      <w:rFonts w:ascii="黑体" w:hAnsi="Arial" w:eastAsia="黑体"/>
      <w:bCs/>
      <w:kern w:val="2"/>
      <w:sz w:val="30"/>
      <w:szCs w:val="30"/>
      <w:lang w:val="en-US" w:eastAsia="zh-CN" w:bidi="ar-SA"/>
    </w:rPr>
  </w:style>
  <w:style w:type="character" w:customStyle="1" w:styleId="3168">
    <w:name w:val="Char Char514"/>
    <w:autoRedefine/>
    <w:qFormat/>
    <w:uiPriority w:val="0"/>
    <w:rPr>
      <w:rFonts w:ascii="黑体" w:hAnsi="宋体" w:eastAsia="黑体"/>
      <w:bCs/>
      <w:kern w:val="2"/>
      <w:sz w:val="28"/>
      <w:szCs w:val="28"/>
      <w:lang w:val="en-US" w:eastAsia="zh-CN" w:bidi="ar-SA"/>
    </w:rPr>
  </w:style>
  <w:style w:type="paragraph" w:customStyle="1" w:styleId="3169">
    <w:name w:val="Char133"/>
    <w:basedOn w:val="1"/>
    <w:autoRedefine/>
    <w:qFormat/>
    <w:uiPriority w:val="0"/>
    <w:pPr>
      <w:ind w:left="-48"/>
    </w:pPr>
    <w:rPr>
      <w:rFonts w:ascii="宋体" w:hAnsi="宋体" w:cs="宋体"/>
    </w:rPr>
  </w:style>
  <w:style w:type="paragraph" w:customStyle="1" w:styleId="3170">
    <w:name w:val="Char Char Char Char Char Char Char126"/>
    <w:basedOn w:val="1"/>
    <w:autoRedefine/>
    <w:qFormat/>
    <w:uiPriority w:val="0"/>
    <w:rPr>
      <w:rFonts w:ascii="宋体" w:hAnsi="宋体" w:cs="宋体"/>
    </w:rPr>
  </w:style>
  <w:style w:type="character" w:customStyle="1" w:styleId="3171">
    <w:name w:val="Char Char2114"/>
    <w:autoRedefine/>
    <w:qFormat/>
    <w:uiPriority w:val="0"/>
    <w:rPr>
      <w:rFonts w:ascii="黑体" w:eastAsia="宋体"/>
      <w:kern w:val="2"/>
      <w:sz w:val="16"/>
      <w:szCs w:val="16"/>
      <w:lang w:val="en-US" w:eastAsia="zh-CN" w:bidi="ar-SA"/>
    </w:rPr>
  </w:style>
  <w:style w:type="character" w:customStyle="1" w:styleId="3172">
    <w:name w:val="Char Char1214"/>
    <w:autoRedefine/>
    <w:qFormat/>
    <w:uiPriority w:val="0"/>
    <w:rPr>
      <w:rFonts w:ascii="黑体" w:hAnsi="Arial" w:eastAsia="黑体"/>
      <w:b/>
      <w:bCs/>
      <w:kern w:val="2"/>
      <w:sz w:val="30"/>
      <w:szCs w:val="30"/>
      <w:lang w:val="en-US" w:eastAsia="zh-CN" w:bidi="ar-SA"/>
    </w:rPr>
  </w:style>
  <w:style w:type="character" w:customStyle="1" w:styleId="3173">
    <w:name w:val="Char Char620"/>
    <w:autoRedefine/>
    <w:qFormat/>
    <w:uiPriority w:val="0"/>
    <w:rPr>
      <w:rFonts w:ascii="黑体" w:eastAsia="黑体"/>
      <w:b/>
      <w:bCs/>
      <w:kern w:val="2"/>
      <w:sz w:val="28"/>
      <w:szCs w:val="28"/>
      <w:lang w:val="en-US" w:eastAsia="zh-CN" w:bidi="ar-SA"/>
    </w:rPr>
  </w:style>
  <w:style w:type="paragraph" w:customStyle="1" w:styleId="3174">
    <w:name w:val="Char227"/>
    <w:basedOn w:val="1"/>
    <w:autoRedefine/>
    <w:qFormat/>
    <w:uiPriority w:val="0"/>
    <w:pPr>
      <w:ind w:left="-48"/>
    </w:pPr>
    <w:rPr>
      <w:rFonts w:ascii="宋体" w:hAnsi="宋体" w:cs="宋体"/>
    </w:rPr>
  </w:style>
  <w:style w:type="paragraph" w:customStyle="1" w:styleId="3175">
    <w:name w:val="Char326"/>
    <w:basedOn w:val="1"/>
    <w:autoRedefine/>
    <w:qFormat/>
    <w:uiPriority w:val="0"/>
    <w:pPr>
      <w:ind w:left="-48"/>
    </w:pPr>
    <w:rPr>
      <w:rFonts w:ascii="宋体" w:hAnsi="宋体" w:cs="宋体"/>
    </w:rPr>
  </w:style>
  <w:style w:type="paragraph" w:customStyle="1" w:styleId="3176">
    <w:name w:val="Char Char Char Char Char Char Char223"/>
    <w:basedOn w:val="1"/>
    <w:autoRedefine/>
    <w:qFormat/>
    <w:uiPriority w:val="0"/>
    <w:rPr>
      <w:rFonts w:ascii="宋体" w:hAnsi="宋体" w:cs="宋体"/>
    </w:rPr>
  </w:style>
  <w:style w:type="paragraph" w:customStyle="1" w:styleId="3177">
    <w:name w:val="Char426"/>
    <w:basedOn w:val="1"/>
    <w:autoRedefine/>
    <w:qFormat/>
    <w:uiPriority w:val="0"/>
    <w:pPr>
      <w:ind w:left="-48"/>
    </w:pPr>
    <w:rPr>
      <w:rFonts w:ascii="宋体" w:hAnsi="宋体" w:cs="宋体"/>
    </w:rPr>
  </w:style>
  <w:style w:type="paragraph" w:customStyle="1" w:styleId="3178">
    <w:name w:val="Char Char Char Char Char Char Char44"/>
    <w:basedOn w:val="1"/>
    <w:autoRedefine/>
    <w:qFormat/>
    <w:uiPriority w:val="0"/>
    <w:rPr>
      <w:rFonts w:ascii="宋体" w:hAnsi="宋体" w:cs="宋体"/>
    </w:rPr>
  </w:style>
  <w:style w:type="paragraph" w:customStyle="1" w:styleId="3179">
    <w:name w:val="Char69"/>
    <w:basedOn w:val="1"/>
    <w:autoRedefine/>
    <w:qFormat/>
    <w:uiPriority w:val="0"/>
    <w:pPr>
      <w:ind w:left="-48"/>
    </w:pPr>
    <w:rPr>
      <w:rFonts w:ascii="宋体" w:hAnsi="宋体" w:cs="宋体"/>
    </w:rPr>
  </w:style>
  <w:style w:type="character" w:customStyle="1" w:styleId="3180">
    <w:name w:val="Char Char417"/>
    <w:autoRedefine/>
    <w:qFormat/>
    <w:uiPriority w:val="0"/>
    <w:rPr>
      <w:rFonts w:ascii="黑体" w:hAnsi="Arial" w:eastAsia="黑体"/>
      <w:b/>
      <w:bCs/>
      <w:kern w:val="2"/>
      <w:sz w:val="30"/>
      <w:szCs w:val="30"/>
      <w:lang w:val="en-US" w:eastAsia="zh-CN" w:bidi="ar-SA"/>
    </w:rPr>
  </w:style>
  <w:style w:type="character" w:customStyle="1" w:styleId="3181">
    <w:name w:val="Char Char315"/>
    <w:autoRedefine/>
    <w:qFormat/>
    <w:uiPriority w:val="0"/>
    <w:rPr>
      <w:rFonts w:ascii="黑体" w:hAnsi="宋体" w:eastAsia="黑体"/>
      <w:b/>
      <w:bCs/>
      <w:kern w:val="2"/>
      <w:sz w:val="28"/>
      <w:szCs w:val="28"/>
      <w:lang w:val="en-US" w:eastAsia="zh-CN" w:bidi="ar-SA"/>
    </w:rPr>
  </w:style>
  <w:style w:type="paragraph" w:customStyle="1" w:styleId="3182">
    <w:name w:val="Char Char Char Char1 Char Char Char23"/>
    <w:basedOn w:val="1"/>
    <w:autoRedefine/>
    <w:qFormat/>
    <w:uiPriority w:val="0"/>
    <w:pPr>
      <w:widowControl/>
      <w:spacing w:after="160"/>
      <w:jc w:val="left"/>
    </w:pPr>
    <w:rPr>
      <w:rFonts w:ascii="Verdana" w:hAnsi="Verdana" w:cs="宋体"/>
      <w:kern w:val="0"/>
      <w:sz w:val="24"/>
      <w:lang w:eastAsia="en-US"/>
    </w:rPr>
  </w:style>
  <w:style w:type="character" w:customStyle="1" w:styleId="3183">
    <w:name w:val="Char Char1122"/>
    <w:autoRedefine/>
    <w:qFormat/>
    <w:uiPriority w:val="0"/>
    <w:rPr>
      <w:rFonts w:ascii="黑体" w:hAnsi="Arial" w:eastAsia="黑体"/>
      <w:bCs/>
      <w:kern w:val="2"/>
      <w:sz w:val="30"/>
      <w:szCs w:val="30"/>
      <w:lang w:val="en-US" w:eastAsia="zh-CN" w:bidi="ar-SA"/>
    </w:rPr>
  </w:style>
  <w:style w:type="character" w:customStyle="1" w:styleId="3184">
    <w:name w:val="Char Char515"/>
    <w:autoRedefine/>
    <w:qFormat/>
    <w:uiPriority w:val="0"/>
    <w:rPr>
      <w:rFonts w:ascii="黑体" w:hAnsi="宋体" w:eastAsia="黑体"/>
      <w:bCs/>
      <w:kern w:val="2"/>
      <w:sz w:val="28"/>
      <w:szCs w:val="28"/>
      <w:lang w:val="en-US" w:eastAsia="zh-CN" w:bidi="ar-SA"/>
    </w:rPr>
  </w:style>
  <w:style w:type="paragraph" w:customStyle="1" w:styleId="3185">
    <w:name w:val="Char134"/>
    <w:basedOn w:val="1"/>
    <w:autoRedefine/>
    <w:qFormat/>
    <w:uiPriority w:val="0"/>
    <w:pPr>
      <w:ind w:left="-48"/>
    </w:pPr>
    <w:rPr>
      <w:rFonts w:ascii="宋体" w:hAnsi="宋体" w:cs="宋体"/>
    </w:rPr>
  </w:style>
  <w:style w:type="paragraph" w:customStyle="1" w:styleId="3186">
    <w:name w:val="Char Char Char Char Char Char Char127"/>
    <w:basedOn w:val="1"/>
    <w:autoRedefine/>
    <w:qFormat/>
    <w:uiPriority w:val="0"/>
    <w:rPr>
      <w:rFonts w:ascii="宋体" w:hAnsi="宋体" w:cs="宋体"/>
    </w:rPr>
  </w:style>
  <w:style w:type="character" w:customStyle="1" w:styleId="3187">
    <w:name w:val="Char Char2115"/>
    <w:autoRedefine/>
    <w:qFormat/>
    <w:uiPriority w:val="0"/>
    <w:rPr>
      <w:rFonts w:ascii="黑体" w:eastAsia="宋体"/>
      <w:kern w:val="2"/>
      <w:sz w:val="16"/>
      <w:szCs w:val="16"/>
      <w:lang w:val="en-US" w:eastAsia="zh-CN" w:bidi="ar-SA"/>
    </w:rPr>
  </w:style>
  <w:style w:type="character" w:customStyle="1" w:styleId="3188">
    <w:name w:val="Char Char1215"/>
    <w:autoRedefine/>
    <w:qFormat/>
    <w:uiPriority w:val="0"/>
    <w:rPr>
      <w:rFonts w:ascii="黑体" w:hAnsi="Arial" w:eastAsia="黑体"/>
      <w:b/>
      <w:bCs/>
      <w:kern w:val="2"/>
      <w:sz w:val="30"/>
      <w:szCs w:val="30"/>
      <w:lang w:val="en-US" w:eastAsia="zh-CN" w:bidi="ar-SA"/>
    </w:rPr>
  </w:style>
  <w:style w:type="character" w:customStyle="1" w:styleId="3189">
    <w:name w:val="Char Char622"/>
    <w:autoRedefine/>
    <w:qFormat/>
    <w:uiPriority w:val="0"/>
    <w:rPr>
      <w:rFonts w:ascii="黑体" w:eastAsia="黑体"/>
      <w:b/>
      <w:bCs/>
      <w:kern w:val="2"/>
      <w:sz w:val="28"/>
      <w:szCs w:val="28"/>
      <w:lang w:val="en-US" w:eastAsia="zh-CN" w:bidi="ar-SA"/>
    </w:rPr>
  </w:style>
  <w:style w:type="paragraph" w:customStyle="1" w:styleId="3190">
    <w:name w:val="Char228"/>
    <w:basedOn w:val="1"/>
    <w:autoRedefine/>
    <w:qFormat/>
    <w:uiPriority w:val="0"/>
    <w:pPr>
      <w:ind w:left="-48"/>
    </w:pPr>
    <w:rPr>
      <w:rFonts w:ascii="宋体" w:hAnsi="宋体" w:cs="宋体"/>
    </w:rPr>
  </w:style>
  <w:style w:type="paragraph" w:customStyle="1" w:styleId="3191">
    <w:name w:val="Char327"/>
    <w:basedOn w:val="1"/>
    <w:autoRedefine/>
    <w:qFormat/>
    <w:uiPriority w:val="0"/>
    <w:pPr>
      <w:ind w:left="-48"/>
    </w:pPr>
    <w:rPr>
      <w:rFonts w:ascii="宋体" w:hAnsi="宋体" w:cs="宋体"/>
    </w:rPr>
  </w:style>
  <w:style w:type="paragraph" w:customStyle="1" w:styleId="3192">
    <w:name w:val="Char Char Char Char Char Char Char224"/>
    <w:basedOn w:val="1"/>
    <w:autoRedefine/>
    <w:qFormat/>
    <w:uiPriority w:val="0"/>
    <w:rPr>
      <w:rFonts w:ascii="宋体" w:hAnsi="宋体" w:cs="宋体"/>
    </w:rPr>
  </w:style>
  <w:style w:type="paragraph" w:customStyle="1" w:styleId="3193">
    <w:name w:val="Char427"/>
    <w:basedOn w:val="1"/>
    <w:autoRedefine/>
    <w:qFormat/>
    <w:uiPriority w:val="0"/>
    <w:pPr>
      <w:ind w:left="-48"/>
    </w:pPr>
    <w:rPr>
      <w:rFonts w:ascii="宋体" w:hAnsi="宋体" w:cs="宋体"/>
    </w:rPr>
  </w:style>
  <w:style w:type="paragraph" w:customStyle="1" w:styleId="3194">
    <w:name w:val="Char Char Char Char Char Char Char45"/>
    <w:basedOn w:val="1"/>
    <w:autoRedefine/>
    <w:qFormat/>
    <w:uiPriority w:val="0"/>
    <w:rPr>
      <w:rFonts w:ascii="宋体" w:hAnsi="宋体" w:cs="宋体"/>
    </w:rPr>
  </w:style>
  <w:style w:type="paragraph" w:customStyle="1" w:styleId="3195">
    <w:name w:val="Char70"/>
    <w:basedOn w:val="1"/>
    <w:autoRedefine/>
    <w:qFormat/>
    <w:uiPriority w:val="0"/>
    <w:pPr>
      <w:ind w:left="-48"/>
    </w:pPr>
    <w:rPr>
      <w:rFonts w:ascii="宋体" w:hAnsi="宋体" w:cs="宋体"/>
    </w:rPr>
  </w:style>
  <w:style w:type="character" w:customStyle="1" w:styleId="3196">
    <w:name w:val="Char Char418"/>
    <w:autoRedefine/>
    <w:qFormat/>
    <w:uiPriority w:val="0"/>
    <w:rPr>
      <w:rFonts w:ascii="黑体" w:hAnsi="Arial" w:eastAsia="黑体"/>
      <w:b/>
      <w:bCs/>
      <w:kern w:val="2"/>
      <w:sz w:val="30"/>
      <w:szCs w:val="30"/>
      <w:lang w:val="en-US" w:eastAsia="zh-CN" w:bidi="ar-SA"/>
    </w:rPr>
  </w:style>
  <w:style w:type="character" w:customStyle="1" w:styleId="3197">
    <w:name w:val="Char Char316"/>
    <w:autoRedefine/>
    <w:qFormat/>
    <w:uiPriority w:val="0"/>
    <w:rPr>
      <w:rFonts w:ascii="黑体" w:hAnsi="宋体" w:eastAsia="黑体"/>
      <w:b/>
      <w:bCs/>
      <w:kern w:val="2"/>
      <w:sz w:val="28"/>
      <w:szCs w:val="28"/>
      <w:lang w:val="en-US" w:eastAsia="zh-CN" w:bidi="ar-SA"/>
    </w:rPr>
  </w:style>
  <w:style w:type="paragraph" w:customStyle="1" w:styleId="3198">
    <w:name w:val="Char Char Char Char1 Char Char Char24"/>
    <w:basedOn w:val="1"/>
    <w:autoRedefine/>
    <w:qFormat/>
    <w:uiPriority w:val="0"/>
    <w:pPr>
      <w:widowControl/>
      <w:spacing w:after="160"/>
      <w:jc w:val="left"/>
    </w:pPr>
    <w:rPr>
      <w:rFonts w:ascii="Verdana" w:hAnsi="Verdana" w:cs="宋体"/>
      <w:kern w:val="0"/>
      <w:sz w:val="24"/>
      <w:lang w:eastAsia="en-US"/>
    </w:rPr>
  </w:style>
  <w:style w:type="character" w:customStyle="1" w:styleId="3199">
    <w:name w:val="Char Char1123"/>
    <w:autoRedefine/>
    <w:qFormat/>
    <w:uiPriority w:val="0"/>
    <w:rPr>
      <w:rFonts w:ascii="黑体" w:hAnsi="Arial" w:eastAsia="黑体"/>
      <w:bCs/>
      <w:kern w:val="2"/>
      <w:sz w:val="30"/>
      <w:szCs w:val="30"/>
      <w:lang w:val="en-US" w:eastAsia="zh-CN" w:bidi="ar-SA"/>
    </w:rPr>
  </w:style>
  <w:style w:type="character" w:customStyle="1" w:styleId="3200">
    <w:name w:val="Char Char516"/>
    <w:autoRedefine/>
    <w:qFormat/>
    <w:uiPriority w:val="0"/>
    <w:rPr>
      <w:rFonts w:ascii="黑体" w:hAnsi="宋体" w:eastAsia="黑体"/>
      <w:bCs/>
      <w:kern w:val="2"/>
      <w:sz w:val="28"/>
      <w:szCs w:val="28"/>
      <w:lang w:val="en-US" w:eastAsia="zh-CN" w:bidi="ar-SA"/>
    </w:rPr>
  </w:style>
  <w:style w:type="paragraph" w:customStyle="1" w:styleId="3201">
    <w:name w:val="Char135"/>
    <w:basedOn w:val="1"/>
    <w:autoRedefine/>
    <w:qFormat/>
    <w:uiPriority w:val="0"/>
    <w:pPr>
      <w:ind w:left="-48"/>
    </w:pPr>
    <w:rPr>
      <w:rFonts w:ascii="宋体" w:hAnsi="宋体" w:cs="宋体"/>
    </w:rPr>
  </w:style>
  <w:style w:type="paragraph" w:customStyle="1" w:styleId="3202">
    <w:name w:val="Char Char Char Char Char Char Char128"/>
    <w:basedOn w:val="1"/>
    <w:autoRedefine/>
    <w:qFormat/>
    <w:uiPriority w:val="0"/>
    <w:rPr>
      <w:rFonts w:ascii="宋体" w:hAnsi="宋体" w:cs="宋体"/>
    </w:rPr>
  </w:style>
  <w:style w:type="character" w:customStyle="1" w:styleId="3203">
    <w:name w:val="Char Char2116"/>
    <w:autoRedefine/>
    <w:qFormat/>
    <w:uiPriority w:val="0"/>
    <w:rPr>
      <w:rFonts w:ascii="黑体" w:eastAsia="宋体"/>
      <w:kern w:val="2"/>
      <w:sz w:val="16"/>
      <w:szCs w:val="16"/>
      <w:lang w:val="en-US" w:eastAsia="zh-CN" w:bidi="ar-SA"/>
    </w:rPr>
  </w:style>
  <w:style w:type="character" w:customStyle="1" w:styleId="3204">
    <w:name w:val="Char Char1216"/>
    <w:autoRedefine/>
    <w:qFormat/>
    <w:uiPriority w:val="0"/>
    <w:rPr>
      <w:rFonts w:ascii="黑体" w:hAnsi="Arial" w:eastAsia="黑体"/>
      <w:b/>
      <w:bCs/>
      <w:kern w:val="2"/>
      <w:sz w:val="30"/>
      <w:szCs w:val="30"/>
      <w:lang w:val="en-US" w:eastAsia="zh-CN" w:bidi="ar-SA"/>
    </w:rPr>
  </w:style>
  <w:style w:type="character" w:customStyle="1" w:styleId="3205">
    <w:name w:val="Char Char623"/>
    <w:autoRedefine/>
    <w:qFormat/>
    <w:uiPriority w:val="0"/>
    <w:rPr>
      <w:rFonts w:ascii="黑体" w:eastAsia="黑体"/>
      <w:b/>
      <w:bCs/>
      <w:kern w:val="2"/>
      <w:sz w:val="28"/>
      <w:szCs w:val="28"/>
      <w:lang w:val="en-US" w:eastAsia="zh-CN" w:bidi="ar-SA"/>
    </w:rPr>
  </w:style>
  <w:style w:type="paragraph" w:customStyle="1" w:styleId="3206">
    <w:name w:val="Char229"/>
    <w:basedOn w:val="1"/>
    <w:autoRedefine/>
    <w:qFormat/>
    <w:uiPriority w:val="0"/>
    <w:pPr>
      <w:ind w:left="-48"/>
    </w:pPr>
    <w:rPr>
      <w:rFonts w:ascii="宋体" w:hAnsi="宋体" w:cs="宋体"/>
    </w:rPr>
  </w:style>
  <w:style w:type="paragraph" w:customStyle="1" w:styleId="3207">
    <w:name w:val="Char328"/>
    <w:basedOn w:val="1"/>
    <w:autoRedefine/>
    <w:qFormat/>
    <w:uiPriority w:val="0"/>
    <w:pPr>
      <w:ind w:left="-48"/>
    </w:pPr>
    <w:rPr>
      <w:rFonts w:ascii="宋体" w:hAnsi="宋体" w:cs="宋体"/>
    </w:rPr>
  </w:style>
  <w:style w:type="paragraph" w:customStyle="1" w:styleId="3208">
    <w:name w:val="Char Char Char Char Char Char Char225"/>
    <w:basedOn w:val="1"/>
    <w:autoRedefine/>
    <w:qFormat/>
    <w:uiPriority w:val="0"/>
    <w:rPr>
      <w:rFonts w:ascii="宋体" w:hAnsi="宋体" w:cs="宋体"/>
    </w:rPr>
  </w:style>
  <w:style w:type="paragraph" w:customStyle="1" w:styleId="3209">
    <w:name w:val="Char428"/>
    <w:basedOn w:val="1"/>
    <w:autoRedefine/>
    <w:qFormat/>
    <w:uiPriority w:val="0"/>
    <w:pPr>
      <w:ind w:left="-48"/>
    </w:pPr>
    <w:rPr>
      <w:rFonts w:ascii="宋体" w:hAnsi="宋体" w:cs="宋体"/>
    </w:rPr>
  </w:style>
  <w:style w:type="paragraph" w:customStyle="1" w:styleId="3210">
    <w:name w:val="Char Char Char Char Char Char Char46"/>
    <w:basedOn w:val="1"/>
    <w:autoRedefine/>
    <w:qFormat/>
    <w:uiPriority w:val="0"/>
    <w:rPr>
      <w:rFonts w:ascii="宋体" w:hAnsi="宋体" w:cs="宋体"/>
    </w:rPr>
  </w:style>
  <w:style w:type="paragraph" w:customStyle="1" w:styleId="3211">
    <w:name w:val="Char75"/>
    <w:basedOn w:val="1"/>
    <w:autoRedefine/>
    <w:qFormat/>
    <w:uiPriority w:val="0"/>
    <w:pPr>
      <w:ind w:left="-48"/>
    </w:pPr>
    <w:rPr>
      <w:rFonts w:ascii="宋体" w:hAnsi="宋体" w:cs="宋体"/>
    </w:rPr>
  </w:style>
  <w:style w:type="character" w:customStyle="1" w:styleId="3212">
    <w:name w:val="Char Char419"/>
    <w:autoRedefine/>
    <w:qFormat/>
    <w:uiPriority w:val="0"/>
    <w:rPr>
      <w:rFonts w:ascii="黑体" w:hAnsi="Arial" w:eastAsia="黑体"/>
      <w:b/>
      <w:bCs/>
      <w:kern w:val="2"/>
      <w:sz w:val="30"/>
      <w:szCs w:val="30"/>
      <w:lang w:val="en-US" w:eastAsia="zh-CN" w:bidi="ar-SA"/>
    </w:rPr>
  </w:style>
  <w:style w:type="character" w:customStyle="1" w:styleId="3213">
    <w:name w:val="Char Char317"/>
    <w:autoRedefine/>
    <w:qFormat/>
    <w:uiPriority w:val="0"/>
    <w:rPr>
      <w:rFonts w:ascii="黑体" w:hAnsi="宋体" w:eastAsia="黑体"/>
      <w:b/>
      <w:bCs/>
      <w:kern w:val="2"/>
      <w:sz w:val="28"/>
      <w:szCs w:val="28"/>
      <w:lang w:val="en-US" w:eastAsia="zh-CN" w:bidi="ar-SA"/>
    </w:rPr>
  </w:style>
  <w:style w:type="paragraph" w:customStyle="1" w:styleId="3214">
    <w:name w:val="Char Char Char Char1 Char Char Char25"/>
    <w:basedOn w:val="1"/>
    <w:autoRedefine/>
    <w:qFormat/>
    <w:uiPriority w:val="0"/>
    <w:pPr>
      <w:widowControl/>
      <w:spacing w:after="160"/>
      <w:jc w:val="left"/>
    </w:pPr>
    <w:rPr>
      <w:rFonts w:ascii="Verdana" w:hAnsi="Verdana" w:cs="宋体"/>
      <w:kern w:val="0"/>
      <w:sz w:val="24"/>
      <w:lang w:eastAsia="en-US"/>
    </w:rPr>
  </w:style>
  <w:style w:type="character" w:customStyle="1" w:styleId="3215">
    <w:name w:val="Char Char1124"/>
    <w:autoRedefine/>
    <w:qFormat/>
    <w:uiPriority w:val="0"/>
    <w:rPr>
      <w:rFonts w:ascii="黑体" w:hAnsi="Arial" w:eastAsia="黑体"/>
      <w:bCs/>
      <w:kern w:val="2"/>
      <w:sz w:val="30"/>
      <w:szCs w:val="30"/>
      <w:lang w:val="en-US" w:eastAsia="zh-CN" w:bidi="ar-SA"/>
    </w:rPr>
  </w:style>
  <w:style w:type="character" w:customStyle="1" w:styleId="3216">
    <w:name w:val="Char Char517"/>
    <w:autoRedefine/>
    <w:qFormat/>
    <w:uiPriority w:val="0"/>
    <w:rPr>
      <w:rFonts w:ascii="黑体" w:hAnsi="宋体" w:eastAsia="黑体"/>
      <w:bCs/>
      <w:kern w:val="2"/>
      <w:sz w:val="28"/>
      <w:szCs w:val="28"/>
      <w:lang w:val="en-US" w:eastAsia="zh-CN" w:bidi="ar-SA"/>
    </w:rPr>
  </w:style>
  <w:style w:type="paragraph" w:customStyle="1" w:styleId="3217">
    <w:name w:val="Char136"/>
    <w:basedOn w:val="1"/>
    <w:autoRedefine/>
    <w:qFormat/>
    <w:uiPriority w:val="0"/>
    <w:pPr>
      <w:ind w:left="-48"/>
    </w:pPr>
    <w:rPr>
      <w:rFonts w:ascii="宋体" w:hAnsi="宋体" w:cs="宋体"/>
    </w:rPr>
  </w:style>
  <w:style w:type="paragraph" w:customStyle="1" w:styleId="3218">
    <w:name w:val="Char Char Char Char Char Char Char129"/>
    <w:basedOn w:val="1"/>
    <w:autoRedefine/>
    <w:qFormat/>
    <w:uiPriority w:val="0"/>
    <w:rPr>
      <w:rFonts w:ascii="宋体" w:hAnsi="宋体" w:cs="宋体"/>
    </w:rPr>
  </w:style>
  <w:style w:type="character" w:customStyle="1" w:styleId="3219">
    <w:name w:val="Char Char2117"/>
    <w:autoRedefine/>
    <w:qFormat/>
    <w:uiPriority w:val="0"/>
    <w:rPr>
      <w:rFonts w:ascii="黑体" w:eastAsia="宋体"/>
      <w:kern w:val="2"/>
      <w:sz w:val="16"/>
      <w:szCs w:val="16"/>
      <w:lang w:val="en-US" w:eastAsia="zh-CN" w:bidi="ar-SA"/>
    </w:rPr>
  </w:style>
  <w:style w:type="character" w:customStyle="1" w:styleId="3220">
    <w:name w:val="Char Char1217"/>
    <w:autoRedefine/>
    <w:qFormat/>
    <w:uiPriority w:val="0"/>
    <w:rPr>
      <w:rFonts w:ascii="黑体" w:hAnsi="Arial" w:eastAsia="黑体"/>
      <w:b/>
      <w:bCs/>
      <w:kern w:val="2"/>
      <w:sz w:val="30"/>
      <w:szCs w:val="30"/>
      <w:lang w:val="en-US" w:eastAsia="zh-CN" w:bidi="ar-SA"/>
    </w:rPr>
  </w:style>
  <w:style w:type="character" w:customStyle="1" w:styleId="3221">
    <w:name w:val="Char Char624"/>
    <w:autoRedefine/>
    <w:qFormat/>
    <w:uiPriority w:val="0"/>
    <w:rPr>
      <w:rFonts w:ascii="黑体" w:eastAsia="黑体"/>
      <w:b/>
      <w:bCs/>
      <w:kern w:val="2"/>
      <w:sz w:val="28"/>
      <w:szCs w:val="28"/>
      <w:lang w:val="en-US" w:eastAsia="zh-CN" w:bidi="ar-SA"/>
    </w:rPr>
  </w:style>
  <w:style w:type="paragraph" w:customStyle="1" w:styleId="3222">
    <w:name w:val="Char230"/>
    <w:basedOn w:val="1"/>
    <w:autoRedefine/>
    <w:qFormat/>
    <w:uiPriority w:val="0"/>
    <w:pPr>
      <w:ind w:left="-48"/>
    </w:pPr>
    <w:rPr>
      <w:rFonts w:ascii="宋体" w:hAnsi="宋体" w:cs="宋体"/>
    </w:rPr>
  </w:style>
  <w:style w:type="paragraph" w:customStyle="1" w:styleId="3223">
    <w:name w:val="Char329"/>
    <w:basedOn w:val="1"/>
    <w:autoRedefine/>
    <w:qFormat/>
    <w:uiPriority w:val="0"/>
    <w:pPr>
      <w:ind w:left="-48"/>
    </w:pPr>
    <w:rPr>
      <w:rFonts w:ascii="宋体" w:hAnsi="宋体" w:cs="宋体"/>
    </w:rPr>
  </w:style>
  <w:style w:type="paragraph" w:customStyle="1" w:styleId="3224">
    <w:name w:val="Char Char Char Char Char Char Char226"/>
    <w:basedOn w:val="1"/>
    <w:autoRedefine/>
    <w:qFormat/>
    <w:uiPriority w:val="0"/>
    <w:rPr>
      <w:rFonts w:ascii="宋体" w:hAnsi="宋体" w:cs="宋体"/>
    </w:rPr>
  </w:style>
  <w:style w:type="paragraph" w:customStyle="1" w:styleId="3225">
    <w:name w:val="Char429"/>
    <w:basedOn w:val="1"/>
    <w:autoRedefine/>
    <w:qFormat/>
    <w:uiPriority w:val="0"/>
    <w:pPr>
      <w:ind w:left="-48"/>
    </w:pPr>
    <w:rPr>
      <w:rFonts w:ascii="宋体" w:hAnsi="宋体" w:cs="宋体"/>
    </w:rPr>
  </w:style>
  <w:style w:type="paragraph" w:customStyle="1" w:styleId="3226">
    <w:name w:val="Char Char Char Char Char Char Char47"/>
    <w:basedOn w:val="1"/>
    <w:autoRedefine/>
    <w:qFormat/>
    <w:uiPriority w:val="0"/>
    <w:rPr>
      <w:rFonts w:ascii="宋体" w:hAnsi="宋体" w:cs="宋体"/>
    </w:rPr>
  </w:style>
  <w:style w:type="paragraph" w:customStyle="1" w:styleId="3227">
    <w:name w:val="Char76"/>
    <w:basedOn w:val="1"/>
    <w:autoRedefine/>
    <w:qFormat/>
    <w:uiPriority w:val="0"/>
    <w:pPr>
      <w:ind w:left="-48"/>
    </w:pPr>
    <w:rPr>
      <w:rFonts w:ascii="宋体" w:hAnsi="宋体" w:cs="宋体"/>
    </w:rPr>
  </w:style>
  <w:style w:type="character" w:customStyle="1" w:styleId="3228">
    <w:name w:val="Char Char420"/>
    <w:autoRedefine/>
    <w:qFormat/>
    <w:uiPriority w:val="0"/>
    <w:rPr>
      <w:rFonts w:ascii="黑体" w:hAnsi="Arial" w:eastAsia="黑体"/>
      <w:b/>
      <w:bCs/>
      <w:kern w:val="2"/>
      <w:sz w:val="30"/>
      <w:szCs w:val="30"/>
      <w:lang w:val="en-US" w:eastAsia="zh-CN" w:bidi="ar-SA"/>
    </w:rPr>
  </w:style>
  <w:style w:type="character" w:customStyle="1" w:styleId="3229">
    <w:name w:val="Char Char318"/>
    <w:autoRedefine/>
    <w:qFormat/>
    <w:uiPriority w:val="0"/>
    <w:rPr>
      <w:rFonts w:ascii="黑体" w:hAnsi="宋体" w:eastAsia="黑体"/>
      <w:b/>
      <w:bCs/>
      <w:kern w:val="2"/>
      <w:sz w:val="28"/>
      <w:szCs w:val="28"/>
      <w:lang w:val="en-US" w:eastAsia="zh-CN" w:bidi="ar-SA"/>
    </w:rPr>
  </w:style>
  <w:style w:type="paragraph" w:customStyle="1" w:styleId="3230">
    <w:name w:val="Char Char Char Char1 Char Char Char26"/>
    <w:basedOn w:val="1"/>
    <w:autoRedefine/>
    <w:qFormat/>
    <w:uiPriority w:val="0"/>
    <w:pPr>
      <w:widowControl/>
      <w:spacing w:after="160"/>
      <w:jc w:val="left"/>
    </w:pPr>
    <w:rPr>
      <w:rFonts w:ascii="Verdana" w:hAnsi="Verdana" w:cs="宋体"/>
      <w:kern w:val="0"/>
      <w:sz w:val="24"/>
      <w:lang w:eastAsia="en-US"/>
    </w:rPr>
  </w:style>
  <w:style w:type="character" w:customStyle="1" w:styleId="3231">
    <w:name w:val="Char Char1125"/>
    <w:autoRedefine/>
    <w:qFormat/>
    <w:uiPriority w:val="0"/>
    <w:rPr>
      <w:rFonts w:ascii="黑体" w:hAnsi="Arial" w:eastAsia="黑体"/>
      <w:bCs/>
      <w:kern w:val="2"/>
      <w:sz w:val="30"/>
      <w:szCs w:val="30"/>
      <w:lang w:val="en-US" w:eastAsia="zh-CN" w:bidi="ar-SA"/>
    </w:rPr>
  </w:style>
  <w:style w:type="character" w:customStyle="1" w:styleId="3232">
    <w:name w:val="Char Char518"/>
    <w:autoRedefine/>
    <w:qFormat/>
    <w:uiPriority w:val="0"/>
    <w:rPr>
      <w:rFonts w:ascii="黑体" w:hAnsi="宋体" w:eastAsia="黑体"/>
      <w:bCs/>
      <w:kern w:val="2"/>
      <w:sz w:val="28"/>
      <w:szCs w:val="28"/>
      <w:lang w:val="en-US" w:eastAsia="zh-CN" w:bidi="ar-SA"/>
    </w:rPr>
  </w:style>
  <w:style w:type="paragraph" w:customStyle="1" w:styleId="3233">
    <w:name w:val="Char137"/>
    <w:basedOn w:val="1"/>
    <w:autoRedefine/>
    <w:qFormat/>
    <w:uiPriority w:val="0"/>
    <w:pPr>
      <w:ind w:left="-48"/>
    </w:pPr>
    <w:rPr>
      <w:rFonts w:ascii="宋体" w:hAnsi="宋体" w:cs="宋体"/>
    </w:rPr>
  </w:style>
  <w:style w:type="paragraph" w:customStyle="1" w:styleId="3234">
    <w:name w:val="Char Char Char Char Char Char Char130"/>
    <w:basedOn w:val="1"/>
    <w:autoRedefine/>
    <w:qFormat/>
    <w:uiPriority w:val="0"/>
    <w:rPr>
      <w:rFonts w:ascii="宋体" w:hAnsi="宋体" w:cs="宋体"/>
    </w:rPr>
  </w:style>
  <w:style w:type="character" w:customStyle="1" w:styleId="3235">
    <w:name w:val="Char Char2118"/>
    <w:autoRedefine/>
    <w:qFormat/>
    <w:uiPriority w:val="0"/>
    <w:rPr>
      <w:rFonts w:ascii="黑体" w:eastAsia="宋体"/>
      <w:kern w:val="2"/>
      <w:sz w:val="16"/>
      <w:szCs w:val="16"/>
      <w:lang w:val="en-US" w:eastAsia="zh-CN" w:bidi="ar-SA"/>
    </w:rPr>
  </w:style>
  <w:style w:type="character" w:customStyle="1" w:styleId="3236">
    <w:name w:val="Char Char1218"/>
    <w:autoRedefine/>
    <w:qFormat/>
    <w:uiPriority w:val="0"/>
    <w:rPr>
      <w:rFonts w:ascii="黑体" w:hAnsi="Arial" w:eastAsia="黑体"/>
      <w:b/>
      <w:bCs/>
      <w:kern w:val="2"/>
      <w:sz w:val="30"/>
      <w:szCs w:val="30"/>
      <w:lang w:val="en-US" w:eastAsia="zh-CN" w:bidi="ar-SA"/>
    </w:rPr>
  </w:style>
  <w:style w:type="character" w:customStyle="1" w:styleId="3237">
    <w:name w:val="Char Char625"/>
    <w:autoRedefine/>
    <w:qFormat/>
    <w:uiPriority w:val="0"/>
    <w:rPr>
      <w:rFonts w:ascii="黑体" w:eastAsia="黑体"/>
      <w:b/>
      <w:bCs/>
      <w:kern w:val="2"/>
      <w:sz w:val="28"/>
      <w:szCs w:val="28"/>
      <w:lang w:val="en-US" w:eastAsia="zh-CN" w:bidi="ar-SA"/>
    </w:rPr>
  </w:style>
  <w:style w:type="paragraph" w:customStyle="1" w:styleId="3238">
    <w:name w:val="Char233"/>
    <w:basedOn w:val="1"/>
    <w:autoRedefine/>
    <w:qFormat/>
    <w:uiPriority w:val="0"/>
    <w:pPr>
      <w:ind w:left="-48"/>
    </w:pPr>
    <w:rPr>
      <w:rFonts w:ascii="宋体" w:hAnsi="宋体" w:cs="宋体"/>
    </w:rPr>
  </w:style>
  <w:style w:type="paragraph" w:customStyle="1" w:styleId="3239">
    <w:name w:val="Char330"/>
    <w:basedOn w:val="1"/>
    <w:autoRedefine/>
    <w:qFormat/>
    <w:uiPriority w:val="0"/>
    <w:pPr>
      <w:ind w:left="-48"/>
    </w:pPr>
    <w:rPr>
      <w:rFonts w:ascii="宋体" w:hAnsi="宋体" w:cs="宋体"/>
    </w:rPr>
  </w:style>
  <w:style w:type="paragraph" w:customStyle="1" w:styleId="3240">
    <w:name w:val="Char Char Char Char Char Char Char227"/>
    <w:basedOn w:val="1"/>
    <w:autoRedefine/>
    <w:qFormat/>
    <w:uiPriority w:val="0"/>
    <w:rPr>
      <w:rFonts w:ascii="宋体" w:hAnsi="宋体" w:cs="宋体"/>
    </w:rPr>
  </w:style>
  <w:style w:type="paragraph" w:customStyle="1" w:styleId="3241">
    <w:name w:val="Char430"/>
    <w:basedOn w:val="1"/>
    <w:autoRedefine/>
    <w:qFormat/>
    <w:uiPriority w:val="0"/>
    <w:pPr>
      <w:ind w:left="-48"/>
    </w:pPr>
    <w:rPr>
      <w:rFonts w:ascii="宋体" w:hAnsi="宋体" w:cs="宋体"/>
    </w:rPr>
  </w:style>
  <w:style w:type="character" w:customStyle="1" w:styleId="3242">
    <w:name w:val="Char Char71"/>
    <w:autoRedefine/>
    <w:qFormat/>
    <w:uiPriority w:val="0"/>
    <w:rPr>
      <w:rFonts w:eastAsia="宋体"/>
      <w:kern w:val="2"/>
      <w:sz w:val="21"/>
      <w:szCs w:val="24"/>
      <w:lang w:val="en-US" w:eastAsia="zh-CN" w:bidi="ar-SA"/>
    </w:rPr>
  </w:style>
  <w:style w:type="paragraph" w:customStyle="1" w:styleId="3243">
    <w:name w:val="表格内容4"/>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3244">
    <w:name w:val="表格内容 Char4"/>
    <w:autoRedefine/>
    <w:qFormat/>
    <w:uiPriority w:val="0"/>
    <w:rPr>
      <w:rFonts w:eastAsia="宋体"/>
      <w:kern w:val="2"/>
      <w:sz w:val="21"/>
      <w:szCs w:val="21"/>
      <w:lang w:val="en-US" w:eastAsia="zh-CN" w:bidi="ar-SA"/>
    </w:rPr>
  </w:style>
  <w:style w:type="paragraph" w:customStyle="1" w:styleId="3245">
    <w:name w:val="正文格式103"/>
    <w:basedOn w:val="1"/>
    <w:autoRedefine/>
    <w:qFormat/>
    <w:uiPriority w:val="0"/>
    <w:pPr>
      <w:spacing w:line="360" w:lineRule="auto"/>
      <w:ind w:firstLine="482"/>
    </w:pPr>
    <w:rPr>
      <w:rFonts w:ascii="宋体" w:hAnsi="宋体" w:cs="宋体"/>
      <w:sz w:val="24"/>
    </w:rPr>
  </w:style>
  <w:style w:type="character" w:customStyle="1" w:styleId="3246">
    <w:name w:val="正文格式 Char101"/>
    <w:autoRedefine/>
    <w:qFormat/>
    <w:uiPriority w:val="0"/>
    <w:rPr>
      <w:rFonts w:ascii="宋体" w:hAnsi="宋体" w:eastAsia="宋体"/>
      <w:kern w:val="2"/>
      <w:sz w:val="24"/>
      <w:szCs w:val="24"/>
      <w:lang w:val="en-US" w:eastAsia="zh-CN" w:bidi="ar-SA"/>
    </w:rPr>
  </w:style>
  <w:style w:type="character" w:customStyle="1" w:styleId="3247">
    <w:name w:val="标题 3 Char121"/>
    <w:autoRedefine/>
    <w:qFormat/>
    <w:uiPriority w:val="0"/>
    <w:rPr>
      <w:rFonts w:ascii="黑体" w:hAnsi="宋体" w:eastAsia="黑体"/>
      <w:b/>
      <w:bCs/>
      <w:kern w:val="2"/>
      <w:sz w:val="28"/>
      <w:szCs w:val="28"/>
      <w:lang w:val="en-US" w:eastAsia="zh-CN" w:bidi="ar-SA"/>
    </w:rPr>
  </w:style>
  <w:style w:type="character" w:customStyle="1" w:styleId="3248">
    <w:name w:val="题注 Char63"/>
    <w:autoRedefine/>
    <w:qFormat/>
    <w:uiPriority w:val="0"/>
    <w:rPr>
      <w:rFonts w:ascii="黑体" w:hAnsi="Arial" w:eastAsia="黑体" w:cs="Arial"/>
      <w:spacing w:val="10"/>
      <w:kern w:val="2"/>
      <w:sz w:val="24"/>
      <w:szCs w:val="24"/>
      <w:lang w:val="en-US" w:eastAsia="zh-CN" w:bidi="ar-SA"/>
    </w:rPr>
  </w:style>
  <w:style w:type="paragraph" w:customStyle="1" w:styleId="3249">
    <w:name w:val="图题83"/>
    <w:basedOn w:val="316"/>
    <w:next w:val="316"/>
    <w:autoRedefine/>
    <w:qFormat/>
    <w:uiPriority w:val="0"/>
    <w:pPr>
      <w:ind w:firstLine="0"/>
      <w:jc w:val="center"/>
    </w:pPr>
    <w:rPr>
      <w:rFonts w:ascii="黑体" w:hAnsi="宋体" w:eastAsia="黑体"/>
      <w:bCs/>
      <w:spacing w:val="0"/>
    </w:rPr>
  </w:style>
  <w:style w:type="paragraph" w:customStyle="1" w:styleId="3250">
    <w:name w:val="表格内字体83"/>
    <w:basedOn w:val="316"/>
    <w:next w:val="316"/>
    <w:autoRedefine/>
    <w:qFormat/>
    <w:uiPriority w:val="0"/>
    <w:pPr>
      <w:spacing w:line="240" w:lineRule="auto"/>
      <w:ind w:firstLine="0"/>
      <w:jc w:val="center"/>
    </w:pPr>
    <w:rPr>
      <w:rFonts w:hAnsi="宋体"/>
      <w:b w:val="0"/>
      <w:spacing w:val="0"/>
      <w:sz w:val="21"/>
    </w:rPr>
  </w:style>
  <w:style w:type="character" w:customStyle="1" w:styleId="3251">
    <w:name w:val="表格内字体 Char81"/>
    <w:autoRedefine/>
    <w:qFormat/>
    <w:uiPriority w:val="0"/>
    <w:rPr>
      <w:rFonts w:ascii="宋体" w:hAnsi="宋体" w:eastAsia="宋体"/>
      <w:kern w:val="2"/>
      <w:sz w:val="21"/>
      <w:szCs w:val="24"/>
      <w:lang w:val="en-US" w:eastAsia="zh-CN" w:bidi="ar-SA"/>
    </w:rPr>
  </w:style>
  <w:style w:type="paragraph" w:customStyle="1" w:styleId="3252">
    <w:name w:val="Char1110"/>
    <w:basedOn w:val="1"/>
    <w:autoRedefine/>
    <w:qFormat/>
    <w:uiPriority w:val="0"/>
    <w:pPr>
      <w:ind w:left="-48"/>
    </w:pPr>
    <w:rPr>
      <w:rFonts w:ascii="宋体" w:hAnsi="宋体" w:cs="宋体"/>
    </w:rPr>
  </w:style>
  <w:style w:type="character" w:customStyle="1" w:styleId="3253">
    <w:name w:val="正文缩进 Char131"/>
    <w:autoRedefine/>
    <w:qFormat/>
    <w:uiPriority w:val="0"/>
    <w:rPr>
      <w:rFonts w:ascii="宋体" w:hAnsi="宋体" w:eastAsia="宋体" w:cs="宋体"/>
      <w:color w:val="000000"/>
      <w:kern w:val="2"/>
      <w:sz w:val="24"/>
      <w:szCs w:val="24"/>
      <w:lang w:val="en-US" w:eastAsia="zh-CN" w:bidi="ar-SA"/>
    </w:rPr>
  </w:style>
  <w:style w:type="character" w:customStyle="1" w:styleId="3254">
    <w:name w:val="正文文本缩进 3 Char31"/>
    <w:autoRedefine/>
    <w:qFormat/>
    <w:uiPriority w:val="0"/>
    <w:rPr>
      <w:rFonts w:eastAsia="宋体"/>
      <w:kern w:val="2"/>
      <w:sz w:val="16"/>
      <w:szCs w:val="16"/>
      <w:lang w:val="en-US" w:eastAsia="zh-CN" w:bidi="ar-SA"/>
    </w:rPr>
  </w:style>
  <w:style w:type="paragraph" w:customStyle="1" w:styleId="3255">
    <w:name w:val="表题163"/>
    <w:basedOn w:val="22"/>
    <w:autoRedefine/>
    <w:qFormat/>
    <w:uiPriority w:val="0"/>
    <w:pPr>
      <w:widowControl w:val="0"/>
      <w:spacing w:line="360" w:lineRule="auto"/>
      <w:jc w:val="center"/>
    </w:pPr>
    <w:rPr>
      <w:rFonts w:ascii="黑体" w:hAnsi="Arial" w:cs="Arial"/>
      <w:b/>
      <w:kern w:val="2"/>
    </w:rPr>
  </w:style>
  <w:style w:type="character" w:customStyle="1" w:styleId="3256">
    <w:name w:val="表题1 Char73"/>
    <w:autoRedefine/>
    <w:qFormat/>
    <w:uiPriority w:val="0"/>
    <w:rPr>
      <w:rFonts w:ascii="黑体" w:hAnsi="Arial" w:eastAsia="黑体" w:cs="Arial"/>
      <w:b/>
      <w:kern w:val="2"/>
      <w:sz w:val="24"/>
      <w:szCs w:val="24"/>
      <w:lang w:val="en-US" w:eastAsia="zh-CN" w:bidi="ar-SA"/>
    </w:rPr>
  </w:style>
  <w:style w:type="paragraph" w:customStyle="1" w:styleId="3257">
    <w:name w:val="燕山正文53"/>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3258">
    <w:name w:val="燕山正文 Char151"/>
    <w:autoRedefine/>
    <w:qFormat/>
    <w:uiPriority w:val="0"/>
    <w:rPr>
      <w:rFonts w:ascii="宋体" w:eastAsia="宋体" w:cs="宋体"/>
      <w:kern w:val="2"/>
      <w:sz w:val="24"/>
      <w:szCs w:val="24"/>
      <w:lang w:val="en-US" w:eastAsia="zh-CN" w:bidi="ar-SA"/>
    </w:rPr>
  </w:style>
  <w:style w:type="paragraph" w:customStyle="1" w:styleId="3259">
    <w:name w:val="正文修改53"/>
    <w:basedOn w:val="1181"/>
    <w:autoRedefine/>
    <w:qFormat/>
    <w:uiPriority w:val="0"/>
    <w:rPr>
      <w:rFonts w:hAnsi="宋体"/>
      <w:color w:val="000000"/>
    </w:rPr>
  </w:style>
  <w:style w:type="character" w:customStyle="1" w:styleId="3260">
    <w:name w:val="正文修改 Char153"/>
    <w:autoRedefine/>
    <w:qFormat/>
    <w:uiPriority w:val="0"/>
    <w:rPr>
      <w:rFonts w:ascii="宋体" w:hAnsi="宋体" w:eastAsia="宋体" w:cs="宋体"/>
      <w:color w:val="000000"/>
      <w:kern w:val="2"/>
      <w:sz w:val="24"/>
      <w:szCs w:val="24"/>
      <w:lang w:val="en-US" w:eastAsia="zh-CN" w:bidi="ar-SA"/>
    </w:rPr>
  </w:style>
  <w:style w:type="paragraph" w:customStyle="1" w:styleId="3261">
    <w:name w:val="表中文字63"/>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3262">
    <w:name w:val="表中文字 Char251"/>
    <w:autoRedefine/>
    <w:qFormat/>
    <w:uiPriority w:val="0"/>
    <w:rPr>
      <w:rFonts w:ascii="宋体" w:eastAsia="宋体"/>
      <w:kern w:val="2"/>
      <w:sz w:val="21"/>
      <w:szCs w:val="21"/>
      <w:lang w:val="en-US" w:eastAsia="zh-CN" w:bidi="ar-SA"/>
    </w:rPr>
  </w:style>
  <w:style w:type="paragraph" w:customStyle="1" w:styleId="3263">
    <w:name w:val="默认段落字体 Para Char Char Char Char63"/>
    <w:basedOn w:val="1"/>
    <w:autoRedefine/>
    <w:qFormat/>
    <w:uiPriority w:val="0"/>
    <w:rPr>
      <w:rFonts w:ascii="宋体" w:hAnsi="宋体" w:cs="宋体"/>
    </w:rPr>
  </w:style>
  <w:style w:type="paragraph" w:customStyle="1" w:styleId="3264">
    <w:name w:val="Char1210"/>
    <w:basedOn w:val="1"/>
    <w:autoRedefine/>
    <w:qFormat/>
    <w:uiPriority w:val="0"/>
    <w:pPr>
      <w:adjustRightInd w:val="0"/>
      <w:snapToGrid w:val="0"/>
      <w:spacing w:line="360" w:lineRule="auto"/>
    </w:pPr>
    <w:rPr>
      <w:rFonts w:ascii="宋体" w:hAnsi="宋体" w:cs="宋体"/>
    </w:rPr>
  </w:style>
  <w:style w:type="paragraph" w:customStyle="1" w:styleId="3265">
    <w:name w:val="封面标准文稿编辑信息13"/>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3266">
    <w:name w:val="样式 表内小5 + 黑体 加粗 倾斜 下划线13"/>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3267">
    <w:name w:val="样式 表内小5 + 黑体 加粗 倾斜 下划线 Char11"/>
    <w:autoRedefine/>
    <w:qFormat/>
    <w:uiPriority w:val="0"/>
    <w:rPr>
      <w:rFonts w:ascii="黑体" w:hAnsi="黑体" w:eastAsia="黑体"/>
      <w:b/>
      <w:bCs/>
      <w:i/>
      <w:iCs/>
      <w:kern w:val="2"/>
      <w:sz w:val="18"/>
      <w:szCs w:val="24"/>
      <w:u w:val="single"/>
      <w:lang w:val="en-US" w:eastAsia="zh-CN" w:bidi="ar-SA"/>
    </w:rPr>
  </w:style>
  <w:style w:type="paragraph" w:customStyle="1" w:styleId="3268">
    <w:name w:val="表内5中23"/>
    <w:basedOn w:val="1"/>
    <w:autoRedefine/>
    <w:qFormat/>
    <w:uiPriority w:val="0"/>
    <w:pPr>
      <w:adjustRightInd w:val="0"/>
      <w:snapToGrid w:val="0"/>
      <w:jc w:val="center"/>
    </w:pPr>
    <w:rPr>
      <w:rFonts w:ascii="宋体" w:hAnsi="宋体" w:cs="Arial"/>
      <w:snapToGrid w:val="0"/>
      <w:color w:val="000000"/>
      <w:szCs w:val="21"/>
    </w:rPr>
  </w:style>
  <w:style w:type="paragraph" w:customStyle="1" w:styleId="3269">
    <w:name w:val="表内54153"/>
    <w:basedOn w:val="1"/>
    <w:autoRedefine/>
    <w:qFormat/>
    <w:uiPriority w:val="0"/>
    <w:pPr>
      <w:adjustRightInd w:val="0"/>
      <w:snapToGrid w:val="0"/>
      <w:spacing w:line="300" w:lineRule="auto"/>
      <w:jc w:val="center"/>
    </w:pPr>
    <w:rPr>
      <w:rFonts w:ascii="宋体" w:hAnsi="宋体" w:cs="宋体"/>
    </w:rPr>
  </w:style>
  <w:style w:type="paragraph" w:customStyle="1" w:styleId="3270">
    <w:name w:val="表格113"/>
    <w:basedOn w:val="1"/>
    <w:autoRedefine/>
    <w:qFormat/>
    <w:uiPriority w:val="0"/>
    <w:pPr>
      <w:adjustRightInd w:val="0"/>
      <w:jc w:val="center"/>
      <w:textAlignment w:val="baseline"/>
    </w:pPr>
    <w:rPr>
      <w:rFonts w:ascii="宋体" w:hAnsi="宋体" w:cs="宋体"/>
      <w:kern w:val="0"/>
      <w:sz w:val="24"/>
    </w:rPr>
  </w:style>
  <w:style w:type="paragraph" w:customStyle="1" w:styleId="3271">
    <w:name w:val="c13"/>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3272">
    <w:name w:val="表题913"/>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3273">
    <w:name w:val="正文缩进 Char71"/>
    <w:autoRedefine/>
    <w:qFormat/>
    <w:uiPriority w:val="0"/>
    <w:rPr>
      <w:rFonts w:ascii="宋体" w:hAnsi="宋体" w:eastAsia="宋体"/>
      <w:kern w:val="2"/>
      <w:sz w:val="24"/>
      <w:szCs w:val="24"/>
      <w:lang w:val="en-US" w:eastAsia="zh-CN" w:bidi="ar-SA"/>
    </w:rPr>
  </w:style>
  <w:style w:type="paragraph" w:customStyle="1" w:styleId="3274">
    <w:name w:val="福建正文缩进13"/>
    <w:basedOn w:val="9"/>
    <w:autoRedefine/>
    <w:qFormat/>
    <w:uiPriority w:val="0"/>
    <w:pPr>
      <w:spacing w:line="360" w:lineRule="auto"/>
      <w:ind w:firstLine="567" w:firstLineChars="0"/>
    </w:pPr>
    <w:rPr>
      <w:rFonts w:ascii="宋体" w:hAnsi="Calibri" w:eastAsia="宋体" w:cs="宋体"/>
      <w:color w:val="auto"/>
      <w:kern w:val="0"/>
      <w:sz w:val="24"/>
    </w:rPr>
  </w:style>
  <w:style w:type="character" w:customStyle="1" w:styleId="3275">
    <w:name w:val="福建正文缩进 Char11"/>
    <w:autoRedefine/>
    <w:qFormat/>
    <w:uiPriority w:val="0"/>
    <w:rPr>
      <w:rFonts w:ascii="宋体" w:eastAsia="宋体"/>
      <w:kern w:val="2"/>
      <w:sz w:val="24"/>
      <w:szCs w:val="24"/>
      <w:lang w:val="en-US" w:eastAsia="zh-CN" w:bidi="ar-SA"/>
    </w:rPr>
  </w:style>
  <w:style w:type="paragraph" w:customStyle="1" w:styleId="3276">
    <w:name w:val="表内文字小34"/>
    <w:basedOn w:val="1"/>
    <w:autoRedefine/>
    <w:qFormat/>
    <w:uiPriority w:val="0"/>
    <w:pPr>
      <w:adjustRightInd w:val="0"/>
      <w:snapToGrid w:val="0"/>
      <w:jc w:val="center"/>
    </w:pPr>
    <w:rPr>
      <w:rFonts w:ascii="宋体" w:hAnsi="Times" w:cs="宋体"/>
    </w:rPr>
  </w:style>
  <w:style w:type="paragraph" w:customStyle="1" w:styleId="3277">
    <w:name w:val="表内5913"/>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3278">
    <w:name w:val="表内小5中13"/>
    <w:basedOn w:val="1"/>
    <w:autoRedefine/>
    <w:qFormat/>
    <w:uiPriority w:val="0"/>
    <w:pPr>
      <w:adjustRightInd w:val="0"/>
      <w:snapToGrid w:val="0"/>
      <w:jc w:val="center"/>
    </w:pPr>
    <w:rPr>
      <w:rFonts w:ascii="宋体" w:hAnsi="宋体" w:cs="宋体"/>
      <w:sz w:val="18"/>
    </w:rPr>
  </w:style>
  <w:style w:type="paragraph" w:customStyle="1" w:styleId="3279">
    <w:name w:val="表内5中413"/>
    <w:basedOn w:val="1"/>
    <w:autoRedefine/>
    <w:qFormat/>
    <w:uiPriority w:val="0"/>
    <w:pPr>
      <w:adjustRightInd w:val="0"/>
      <w:snapToGrid w:val="0"/>
      <w:jc w:val="center"/>
    </w:pPr>
    <w:rPr>
      <w:rFonts w:ascii="宋体" w:hAnsi="宋体" w:cs="宋体"/>
      <w:bCs/>
    </w:rPr>
  </w:style>
  <w:style w:type="character" w:customStyle="1" w:styleId="3280">
    <w:name w:val="标题 4 Char21"/>
    <w:autoRedefine/>
    <w:qFormat/>
    <w:uiPriority w:val="0"/>
    <w:rPr>
      <w:rFonts w:ascii="黑体" w:hAnsi="Arial" w:eastAsia="黑体"/>
      <w:b/>
      <w:bCs/>
      <w:kern w:val="2"/>
      <w:sz w:val="24"/>
      <w:szCs w:val="24"/>
      <w:lang w:val="en-US" w:eastAsia="zh-CN" w:bidi="ar-SA"/>
    </w:rPr>
  </w:style>
  <w:style w:type="paragraph" w:customStyle="1" w:styleId="3281">
    <w:name w:val="默认段落字体 Para Char5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82">
    <w:name w:val="燕山正文13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3283">
    <w:name w:val="批注框文本 Char51"/>
    <w:autoRedefine/>
    <w:qFormat/>
    <w:uiPriority w:val="0"/>
    <w:rPr>
      <w:rFonts w:eastAsia="宋体"/>
      <w:kern w:val="2"/>
      <w:sz w:val="18"/>
      <w:szCs w:val="18"/>
      <w:lang w:val="en-US" w:eastAsia="zh-CN" w:bidi="ar-SA"/>
    </w:rPr>
  </w:style>
  <w:style w:type="paragraph" w:customStyle="1" w:styleId="3284">
    <w:name w:val="样式 标题 4无效格式无效格式1河石管道4H4H41小小节河石管道41H42H411小小节1河石管道42...23"/>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285">
    <w:name w:val="样式 标题 4无效格式无效格式1河石管道4H4H41小小节河石管道41H42H411小小节1河石管道42...113"/>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286">
    <w:name w:val="附件43"/>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3287">
    <w:name w:val="标题43133"/>
    <w:basedOn w:val="1"/>
    <w:autoRedefine/>
    <w:qFormat/>
    <w:uiPriority w:val="0"/>
    <w:pPr>
      <w:adjustRightInd w:val="0"/>
      <w:snapToGrid w:val="0"/>
      <w:spacing w:line="480" w:lineRule="exact"/>
      <w:jc w:val="center"/>
    </w:pPr>
    <w:rPr>
      <w:rFonts w:ascii="宋体" w:hAnsi="宋体" w:cs="宋体"/>
      <w:sz w:val="24"/>
    </w:rPr>
  </w:style>
  <w:style w:type="paragraph" w:customStyle="1" w:styleId="3288">
    <w:name w:val="燕山正文114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89">
    <w:name w:val="表题4113"/>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290">
    <w:name w:val="表内文字小2143"/>
    <w:basedOn w:val="1"/>
    <w:autoRedefine/>
    <w:qFormat/>
    <w:uiPriority w:val="0"/>
    <w:pPr>
      <w:adjustRightInd w:val="0"/>
      <w:snapToGrid w:val="0"/>
      <w:jc w:val="center"/>
    </w:pPr>
    <w:rPr>
      <w:rFonts w:ascii="宋体" w:hAnsi="Times" w:cs="宋体"/>
      <w:bCs/>
      <w:color w:val="000000"/>
    </w:rPr>
  </w:style>
  <w:style w:type="paragraph" w:customStyle="1" w:styleId="3291">
    <w:name w:val="表题314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292">
    <w:name w:val="Char Char Char Char Char Char Char310"/>
    <w:basedOn w:val="1"/>
    <w:autoRedefine/>
    <w:qFormat/>
    <w:uiPriority w:val="0"/>
    <w:rPr>
      <w:rFonts w:ascii="宋体" w:hAnsi="宋体" w:cs="宋体"/>
    </w:rPr>
  </w:style>
  <w:style w:type="paragraph" w:customStyle="1" w:styleId="3293">
    <w:name w:val="表文字543"/>
    <w:basedOn w:val="1"/>
    <w:autoRedefine/>
    <w:qFormat/>
    <w:uiPriority w:val="0"/>
    <w:pPr>
      <w:adjustRightInd w:val="0"/>
      <w:jc w:val="left"/>
      <w:textAlignment w:val="baseline"/>
    </w:pPr>
    <w:rPr>
      <w:rFonts w:ascii="宋体" w:hAnsi="宋体" w:cs="宋体"/>
      <w:kern w:val="0"/>
    </w:rPr>
  </w:style>
  <w:style w:type="paragraph" w:customStyle="1" w:styleId="3294">
    <w:name w:val="表内文字小3143"/>
    <w:basedOn w:val="1"/>
    <w:autoRedefine/>
    <w:qFormat/>
    <w:uiPriority w:val="0"/>
    <w:pPr>
      <w:adjustRightInd w:val="0"/>
      <w:snapToGrid w:val="0"/>
      <w:jc w:val="center"/>
    </w:pPr>
    <w:rPr>
      <w:rFonts w:ascii="宋体" w:hAnsi="Times" w:cs="宋体"/>
      <w:bCs/>
      <w:color w:val="003366"/>
    </w:rPr>
  </w:style>
  <w:style w:type="paragraph" w:customStyle="1" w:styleId="3295">
    <w:name w:val="表内宋5112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296">
    <w:name w:val="文本框23"/>
    <w:basedOn w:val="1"/>
    <w:autoRedefine/>
    <w:qFormat/>
    <w:uiPriority w:val="0"/>
    <w:pPr>
      <w:adjustRightInd w:val="0"/>
      <w:snapToGrid w:val="0"/>
      <w:spacing w:after="6"/>
      <w:jc w:val="center"/>
    </w:pPr>
    <w:rPr>
      <w:rFonts w:ascii="宋体" w:hAnsi="宋体" w:eastAsia="仿宋_GB2312" w:cs="宋体"/>
    </w:rPr>
  </w:style>
  <w:style w:type="paragraph" w:customStyle="1" w:styleId="3297">
    <w:name w:val="正文.2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98">
    <w:name w:val="表43"/>
    <w:basedOn w:val="1"/>
    <w:autoRedefine/>
    <w:qFormat/>
    <w:uiPriority w:val="0"/>
    <w:pPr>
      <w:adjustRightInd w:val="0"/>
      <w:snapToGrid w:val="0"/>
      <w:jc w:val="center"/>
    </w:pPr>
    <w:rPr>
      <w:rFonts w:ascii="宋体" w:hAnsi="宋体" w:eastAsia="仿宋_GB2312" w:cs="宋体"/>
      <w:sz w:val="24"/>
    </w:rPr>
  </w:style>
  <w:style w:type="paragraph" w:customStyle="1" w:styleId="3299">
    <w:name w:val="黑体三号53"/>
    <w:basedOn w:val="316"/>
    <w:autoRedefine/>
    <w:qFormat/>
    <w:uiPriority w:val="0"/>
    <w:pPr>
      <w:jc w:val="center"/>
    </w:pPr>
    <w:rPr>
      <w:rFonts w:ascii="黑体" w:hAnsi="宋体" w:eastAsia="黑体"/>
      <w:bCs/>
      <w:spacing w:val="0"/>
      <w:sz w:val="32"/>
    </w:rPr>
  </w:style>
  <w:style w:type="paragraph" w:customStyle="1" w:styleId="3300">
    <w:name w:val="Char138"/>
    <w:basedOn w:val="1"/>
    <w:autoRedefine/>
    <w:qFormat/>
    <w:uiPriority w:val="0"/>
    <w:pPr>
      <w:ind w:left="-48"/>
    </w:pPr>
    <w:rPr>
      <w:rFonts w:ascii="宋体" w:hAnsi="宋体" w:cs="宋体"/>
    </w:rPr>
  </w:style>
  <w:style w:type="paragraph" w:customStyle="1" w:styleId="3301">
    <w:name w:val="样式133"/>
    <w:basedOn w:val="1228"/>
    <w:autoRedefine/>
    <w:qFormat/>
    <w:uiPriority w:val="0"/>
    <w:pPr>
      <w:spacing w:line="240" w:lineRule="auto"/>
      <w:ind w:firstLine="0"/>
      <w:jc w:val="center"/>
    </w:pPr>
    <w:rPr>
      <w:rFonts w:cs="Times New Roman"/>
      <w:b/>
      <w:color w:val="auto"/>
      <w:szCs w:val="20"/>
    </w:rPr>
  </w:style>
  <w:style w:type="paragraph" w:customStyle="1" w:styleId="3302">
    <w:name w:val="首行缩进:  0.99 厘米 + 首行缩进:  2 字符13"/>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3303">
    <w:name w:val="正文文本 3 Char11"/>
    <w:autoRedefine/>
    <w:qFormat/>
    <w:uiPriority w:val="0"/>
    <w:rPr>
      <w:rFonts w:eastAsia="宋体"/>
      <w:kern w:val="2"/>
      <w:sz w:val="16"/>
      <w:szCs w:val="16"/>
      <w:lang w:val="en-US" w:eastAsia="zh-CN" w:bidi="ar-SA"/>
    </w:rPr>
  </w:style>
  <w:style w:type="paragraph" w:customStyle="1" w:styleId="3304">
    <w:name w:val="图表名称13"/>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3305">
    <w:name w:val="表内文字边13"/>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306">
    <w:name w:val="正文缩13"/>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307">
    <w:name w:val="样式213"/>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3308">
    <w:name w:val="默认段落字体 Para Char Char Char Char Char13"/>
    <w:basedOn w:val="1"/>
    <w:autoRedefine/>
    <w:qFormat/>
    <w:uiPriority w:val="0"/>
    <w:rPr>
      <w:rFonts w:ascii="宋体" w:hAnsi="宋体" w:cs="宋体"/>
    </w:rPr>
  </w:style>
  <w:style w:type="paragraph" w:customStyle="1" w:styleId="3309">
    <w:name w:val="表内宋5中33"/>
    <w:basedOn w:val="1"/>
    <w:autoRedefine/>
    <w:qFormat/>
    <w:uiPriority w:val="0"/>
    <w:pPr>
      <w:adjustRightInd w:val="0"/>
      <w:snapToGrid w:val="0"/>
      <w:textAlignment w:val="baseline"/>
    </w:pPr>
    <w:rPr>
      <w:rFonts w:ascii="宋体" w:hAnsi="宋体" w:cs="宋体"/>
      <w:color w:val="000000"/>
      <w:kern w:val="0"/>
    </w:rPr>
  </w:style>
  <w:style w:type="paragraph" w:customStyle="1" w:styleId="3310">
    <w:name w:val="样式 标题 3 + 段前: 12 磅13"/>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311">
    <w:name w:val="表内523"/>
    <w:basedOn w:val="1"/>
    <w:autoRedefine/>
    <w:qFormat/>
    <w:uiPriority w:val="0"/>
    <w:pPr>
      <w:adjustRightInd w:val="0"/>
      <w:snapToGrid w:val="0"/>
      <w:spacing w:line="300" w:lineRule="auto"/>
      <w:jc w:val="left"/>
    </w:pPr>
    <w:rPr>
      <w:rFonts w:ascii="宋体" w:hAnsi="宋体" w:cs="宋体"/>
      <w:sz w:val="18"/>
    </w:rPr>
  </w:style>
  <w:style w:type="paragraph" w:customStyle="1" w:styleId="3312">
    <w:name w:val="Char Char Char Char1 Char Char Char110"/>
    <w:basedOn w:val="1"/>
    <w:autoRedefine/>
    <w:qFormat/>
    <w:uiPriority w:val="0"/>
    <w:pPr>
      <w:widowControl/>
      <w:spacing w:after="160"/>
      <w:jc w:val="left"/>
    </w:pPr>
    <w:rPr>
      <w:rFonts w:ascii="Verdana" w:hAnsi="Verdana" w:cs="宋体"/>
      <w:kern w:val="0"/>
      <w:sz w:val="24"/>
      <w:lang w:eastAsia="en-US"/>
    </w:rPr>
  </w:style>
  <w:style w:type="paragraph" w:customStyle="1" w:styleId="3313">
    <w:name w:val="正文格式113"/>
    <w:basedOn w:val="1"/>
    <w:autoRedefine/>
    <w:qFormat/>
    <w:uiPriority w:val="0"/>
    <w:pPr>
      <w:spacing w:line="360" w:lineRule="auto"/>
      <w:ind w:firstLine="482"/>
    </w:pPr>
    <w:rPr>
      <w:rFonts w:ascii="宋体" w:hAnsi="宋体" w:cs="宋体"/>
      <w:sz w:val="24"/>
    </w:rPr>
  </w:style>
  <w:style w:type="paragraph" w:customStyle="1" w:styleId="3314">
    <w:name w:val="图题113"/>
    <w:basedOn w:val="316"/>
    <w:next w:val="316"/>
    <w:autoRedefine/>
    <w:qFormat/>
    <w:uiPriority w:val="0"/>
    <w:pPr>
      <w:ind w:firstLine="0"/>
      <w:jc w:val="center"/>
    </w:pPr>
    <w:rPr>
      <w:rFonts w:ascii="黑体" w:hAnsi="宋体" w:eastAsia="黑体"/>
      <w:bCs/>
      <w:spacing w:val="0"/>
    </w:rPr>
  </w:style>
  <w:style w:type="paragraph" w:customStyle="1" w:styleId="3315">
    <w:name w:val="表格内字体123"/>
    <w:basedOn w:val="316"/>
    <w:next w:val="316"/>
    <w:autoRedefine/>
    <w:qFormat/>
    <w:uiPriority w:val="0"/>
    <w:pPr>
      <w:spacing w:line="240" w:lineRule="auto"/>
      <w:ind w:firstLine="0"/>
      <w:jc w:val="center"/>
    </w:pPr>
    <w:rPr>
      <w:rFonts w:hAnsi="宋体"/>
      <w:b w:val="0"/>
      <w:spacing w:val="0"/>
      <w:sz w:val="21"/>
    </w:rPr>
  </w:style>
  <w:style w:type="character" w:customStyle="1" w:styleId="3316">
    <w:name w:val="Char Char11110"/>
    <w:autoRedefine/>
    <w:qFormat/>
    <w:uiPriority w:val="0"/>
    <w:rPr>
      <w:rFonts w:ascii="黑体" w:hAnsi="Arial" w:eastAsia="黑体"/>
      <w:bCs/>
      <w:kern w:val="2"/>
      <w:sz w:val="30"/>
      <w:szCs w:val="30"/>
      <w:lang w:val="en-US" w:eastAsia="zh-CN" w:bidi="ar-SA"/>
    </w:rPr>
  </w:style>
  <w:style w:type="paragraph" w:customStyle="1" w:styleId="3317">
    <w:name w:val="Char143"/>
    <w:basedOn w:val="1"/>
    <w:autoRedefine/>
    <w:qFormat/>
    <w:uiPriority w:val="0"/>
    <w:pPr>
      <w:ind w:left="-48"/>
    </w:pPr>
    <w:rPr>
      <w:rFonts w:ascii="宋体" w:hAnsi="宋体" w:cs="宋体"/>
    </w:rPr>
  </w:style>
  <w:style w:type="paragraph" w:customStyle="1" w:styleId="3318">
    <w:name w:val="正文格式223"/>
    <w:basedOn w:val="1"/>
    <w:autoRedefine/>
    <w:qFormat/>
    <w:uiPriority w:val="0"/>
    <w:pPr>
      <w:spacing w:line="360" w:lineRule="auto"/>
      <w:ind w:firstLine="482"/>
    </w:pPr>
    <w:rPr>
      <w:rFonts w:ascii="宋体" w:hAnsi="宋体" w:cs="宋体"/>
      <w:sz w:val="24"/>
    </w:rPr>
  </w:style>
  <w:style w:type="paragraph" w:customStyle="1" w:styleId="3319">
    <w:name w:val="Char153"/>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320">
    <w:name w:val="题注 Char113"/>
    <w:autoRedefine/>
    <w:qFormat/>
    <w:uiPriority w:val="0"/>
    <w:rPr>
      <w:rFonts w:ascii="黑体" w:hAnsi="Arial" w:eastAsia="黑体" w:cs="Arial"/>
      <w:spacing w:val="10"/>
      <w:kern w:val="2"/>
      <w:sz w:val="24"/>
      <w:szCs w:val="24"/>
      <w:lang w:val="en-US" w:eastAsia="zh-CN" w:bidi="ar-SA"/>
    </w:rPr>
  </w:style>
  <w:style w:type="paragraph" w:customStyle="1" w:styleId="3321">
    <w:name w:val="图题223"/>
    <w:basedOn w:val="316"/>
    <w:next w:val="316"/>
    <w:autoRedefine/>
    <w:qFormat/>
    <w:uiPriority w:val="0"/>
    <w:pPr>
      <w:ind w:firstLine="0"/>
      <w:jc w:val="center"/>
    </w:pPr>
    <w:rPr>
      <w:rFonts w:ascii="黑体" w:hAnsi="宋体" w:eastAsia="黑体"/>
      <w:bCs/>
      <w:spacing w:val="0"/>
    </w:rPr>
  </w:style>
  <w:style w:type="paragraph" w:customStyle="1" w:styleId="3322">
    <w:name w:val="表格内字体223"/>
    <w:basedOn w:val="316"/>
    <w:next w:val="316"/>
    <w:autoRedefine/>
    <w:qFormat/>
    <w:uiPriority w:val="0"/>
    <w:pPr>
      <w:spacing w:line="240" w:lineRule="auto"/>
      <w:ind w:firstLine="0"/>
      <w:jc w:val="center"/>
    </w:pPr>
    <w:rPr>
      <w:rFonts w:hAnsi="宋体"/>
      <w:b w:val="0"/>
      <w:spacing w:val="0"/>
      <w:sz w:val="21"/>
    </w:rPr>
  </w:style>
  <w:style w:type="paragraph" w:customStyle="1" w:styleId="3323">
    <w:name w:val="表内541113"/>
    <w:basedOn w:val="1"/>
    <w:autoRedefine/>
    <w:qFormat/>
    <w:uiPriority w:val="0"/>
    <w:pPr>
      <w:adjustRightInd w:val="0"/>
      <w:snapToGrid w:val="0"/>
      <w:spacing w:line="300" w:lineRule="auto"/>
      <w:jc w:val="center"/>
    </w:pPr>
    <w:rPr>
      <w:rFonts w:ascii="宋体" w:hAnsi="宋体" w:cs="宋体"/>
    </w:rPr>
  </w:style>
  <w:style w:type="paragraph" w:customStyle="1" w:styleId="3324">
    <w:name w:val="表内文字小21113"/>
    <w:basedOn w:val="1"/>
    <w:autoRedefine/>
    <w:qFormat/>
    <w:uiPriority w:val="0"/>
    <w:pPr>
      <w:adjustRightInd w:val="0"/>
      <w:snapToGrid w:val="0"/>
      <w:jc w:val="center"/>
    </w:pPr>
    <w:rPr>
      <w:rFonts w:ascii="宋体" w:hAnsi="Times" w:cs="宋体"/>
      <w:bCs/>
      <w:color w:val="000000"/>
    </w:rPr>
  </w:style>
  <w:style w:type="paragraph" w:customStyle="1" w:styleId="3325">
    <w:name w:val="表题3111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326">
    <w:name w:val="Char Char Char Char Char Char Char1110"/>
    <w:basedOn w:val="1"/>
    <w:autoRedefine/>
    <w:qFormat/>
    <w:uiPriority w:val="0"/>
    <w:rPr>
      <w:rFonts w:ascii="宋体" w:hAnsi="宋体" w:cs="宋体"/>
    </w:rPr>
  </w:style>
  <w:style w:type="paragraph" w:customStyle="1" w:styleId="3327">
    <w:name w:val="标题431113"/>
    <w:basedOn w:val="1"/>
    <w:autoRedefine/>
    <w:qFormat/>
    <w:uiPriority w:val="0"/>
    <w:pPr>
      <w:adjustRightInd w:val="0"/>
      <w:snapToGrid w:val="0"/>
      <w:spacing w:line="480" w:lineRule="exact"/>
      <w:jc w:val="center"/>
    </w:pPr>
    <w:rPr>
      <w:rFonts w:ascii="宋体" w:hAnsi="宋体" w:cs="宋体"/>
      <w:sz w:val="24"/>
    </w:rPr>
  </w:style>
  <w:style w:type="paragraph" w:customStyle="1" w:styleId="3328">
    <w:name w:val="燕山正文1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29">
    <w:name w:val="默认段落字体 Para Char Char Char Char113"/>
    <w:basedOn w:val="1"/>
    <w:autoRedefine/>
    <w:qFormat/>
    <w:uiPriority w:val="0"/>
    <w:rPr>
      <w:rFonts w:ascii="宋体" w:hAnsi="宋体" w:cs="宋体"/>
    </w:rPr>
  </w:style>
  <w:style w:type="paragraph" w:customStyle="1" w:styleId="3330">
    <w:name w:val="附件113"/>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331">
    <w:name w:val="黑体三号113"/>
    <w:basedOn w:val="316"/>
    <w:autoRedefine/>
    <w:qFormat/>
    <w:uiPriority w:val="0"/>
    <w:pPr>
      <w:jc w:val="center"/>
    </w:pPr>
    <w:rPr>
      <w:rFonts w:ascii="黑体" w:hAnsi="宋体" w:eastAsia="黑体"/>
      <w:bCs/>
      <w:spacing w:val="0"/>
      <w:sz w:val="32"/>
    </w:rPr>
  </w:style>
  <w:style w:type="paragraph" w:customStyle="1" w:styleId="3332">
    <w:name w:val="表113"/>
    <w:basedOn w:val="1"/>
    <w:autoRedefine/>
    <w:qFormat/>
    <w:uiPriority w:val="0"/>
    <w:pPr>
      <w:adjustRightInd w:val="0"/>
      <w:snapToGrid w:val="0"/>
      <w:jc w:val="center"/>
    </w:pPr>
    <w:rPr>
      <w:rFonts w:ascii="宋体" w:hAnsi="宋体" w:eastAsia="仿宋_GB2312" w:cs="宋体"/>
      <w:sz w:val="24"/>
    </w:rPr>
  </w:style>
  <w:style w:type="character" w:customStyle="1" w:styleId="3333">
    <w:name w:val="Char Char6110"/>
    <w:autoRedefine/>
    <w:qFormat/>
    <w:uiPriority w:val="0"/>
    <w:rPr>
      <w:rFonts w:ascii="黑体" w:eastAsia="黑体"/>
      <w:b/>
      <w:bCs/>
      <w:kern w:val="2"/>
      <w:sz w:val="28"/>
      <w:szCs w:val="28"/>
      <w:lang w:val="en-US" w:eastAsia="zh-CN" w:bidi="ar-SA"/>
    </w:rPr>
  </w:style>
  <w:style w:type="paragraph" w:customStyle="1" w:styleId="3334">
    <w:name w:val="表题1123"/>
    <w:basedOn w:val="22"/>
    <w:autoRedefine/>
    <w:qFormat/>
    <w:uiPriority w:val="0"/>
    <w:pPr>
      <w:widowControl w:val="0"/>
      <w:spacing w:line="360" w:lineRule="auto"/>
      <w:jc w:val="center"/>
    </w:pPr>
    <w:rPr>
      <w:rFonts w:ascii="黑体" w:hAnsi="Arial" w:cs="Arial"/>
      <w:kern w:val="2"/>
    </w:rPr>
  </w:style>
  <w:style w:type="paragraph" w:customStyle="1" w:styleId="3335">
    <w:name w:val="燕山正文12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336">
    <w:name w:val="正文修改113"/>
    <w:basedOn w:val="1181"/>
    <w:autoRedefine/>
    <w:qFormat/>
    <w:uiPriority w:val="0"/>
    <w:rPr>
      <w:rFonts w:hAnsi="宋体"/>
      <w:color w:val="000000"/>
    </w:rPr>
  </w:style>
  <w:style w:type="character" w:customStyle="1" w:styleId="3337">
    <w:name w:val="正文修改 Char1113"/>
    <w:autoRedefine/>
    <w:qFormat/>
    <w:uiPriority w:val="0"/>
    <w:rPr>
      <w:rFonts w:ascii="宋体" w:hAnsi="宋体" w:eastAsia="宋体" w:cs="宋体"/>
      <w:color w:val="000000"/>
      <w:kern w:val="2"/>
      <w:sz w:val="24"/>
      <w:szCs w:val="24"/>
      <w:lang w:val="en-US" w:eastAsia="zh-CN" w:bidi="ar-SA"/>
    </w:rPr>
  </w:style>
  <w:style w:type="paragraph" w:customStyle="1" w:styleId="3338">
    <w:name w:val="表中文字12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339">
    <w:name w:val="表文字5123"/>
    <w:basedOn w:val="1"/>
    <w:autoRedefine/>
    <w:qFormat/>
    <w:uiPriority w:val="0"/>
    <w:pPr>
      <w:adjustRightInd w:val="0"/>
      <w:jc w:val="left"/>
      <w:textAlignment w:val="baseline"/>
    </w:pPr>
    <w:rPr>
      <w:rFonts w:ascii="宋体" w:hAnsi="宋体" w:cs="宋体"/>
      <w:kern w:val="0"/>
    </w:rPr>
  </w:style>
  <w:style w:type="paragraph" w:customStyle="1" w:styleId="3340">
    <w:name w:val="表内文字小31113"/>
    <w:basedOn w:val="1"/>
    <w:autoRedefine/>
    <w:qFormat/>
    <w:uiPriority w:val="0"/>
    <w:pPr>
      <w:adjustRightInd w:val="0"/>
      <w:snapToGrid w:val="0"/>
      <w:jc w:val="center"/>
    </w:pPr>
    <w:rPr>
      <w:rFonts w:ascii="宋体" w:hAnsi="Times" w:cs="宋体"/>
      <w:bCs/>
      <w:color w:val="003366"/>
    </w:rPr>
  </w:style>
  <w:style w:type="paragraph" w:customStyle="1" w:styleId="3341">
    <w:name w:val="样式1113"/>
    <w:basedOn w:val="1228"/>
    <w:autoRedefine/>
    <w:qFormat/>
    <w:uiPriority w:val="0"/>
    <w:pPr>
      <w:spacing w:line="240" w:lineRule="auto"/>
      <w:ind w:firstLine="0"/>
      <w:jc w:val="center"/>
    </w:pPr>
    <w:rPr>
      <w:rFonts w:cs="Times New Roman"/>
      <w:b/>
      <w:color w:val="auto"/>
      <w:szCs w:val="20"/>
    </w:rPr>
  </w:style>
  <w:style w:type="paragraph" w:customStyle="1" w:styleId="3342">
    <w:name w:val="Char2110"/>
    <w:basedOn w:val="1"/>
    <w:autoRedefine/>
    <w:qFormat/>
    <w:uiPriority w:val="0"/>
    <w:pPr>
      <w:ind w:left="-48"/>
    </w:pPr>
    <w:rPr>
      <w:rFonts w:ascii="宋体" w:hAnsi="宋体" w:cs="宋体"/>
    </w:rPr>
  </w:style>
  <w:style w:type="paragraph" w:customStyle="1" w:styleId="3343">
    <w:name w:val="表内文字小233"/>
    <w:basedOn w:val="1"/>
    <w:autoRedefine/>
    <w:qFormat/>
    <w:uiPriority w:val="0"/>
    <w:pPr>
      <w:adjustRightInd w:val="0"/>
      <w:snapToGrid w:val="0"/>
      <w:jc w:val="center"/>
    </w:pPr>
    <w:rPr>
      <w:rFonts w:ascii="宋体" w:hAnsi="Times" w:cs="宋体"/>
      <w:bCs/>
      <w:color w:val="000000"/>
    </w:rPr>
  </w:style>
  <w:style w:type="paragraph" w:customStyle="1" w:styleId="3344">
    <w:name w:val="表内5323"/>
    <w:basedOn w:val="1"/>
    <w:autoRedefine/>
    <w:qFormat/>
    <w:uiPriority w:val="0"/>
    <w:pPr>
      <w:adjustRightInd w:val="0"/>
      <w:snapToGrid w:val="0"/>
      <w:spacing w:line="300" w:lineRule="auto"/>
      <w:jc w:val="left"/>
    </w:pPr>
    <w:rPr>
      <w:rFonts w:ascii="宋体" w:hAnsi="宋体" w:cs="宋体"/>
    </w:rPr>
  </w:style>
  <w:style w:type="paragraph" w:customStyle="1" w:styleId="3345">
    <w:name w:val="正文格式313"/>
    <w:basedOn w:val="1"/>
    <w:autoRedefine/>
    <w:qFormat/>
    <w:uiPriority w:val="0"/>
    <w:pPr>
      <w:spacing w:line="360" w:lineRule="auto"/>
      <w:ind w:firstLine="482"/>
    </w:pPr>
    <w:rPr>
      <w:rFonts w:ascii="宋体" w:hAnsi="宋体" w:cs="宋体"/>
      <w:sz w:val="24"/>
    </w:rPr>
  </w:style>
  <w:style w:type="paragraph" w:customStyle="1" w:styleId="3346">
    <w:name w:val="Char2210"/>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347">
    <w:name w:val="题注 Char213"/>
    <w:autoRedefine/>
    <w:qFormat/>
    <w:uiPriority w:val="0"/>
    <w:rPr>
      <w:rFonts w:ascii="黑体" w:hAnsi="Arial" w:eastAsia="黑体" w:cs="Arial"/>
      <w:spacing w:val="10"/>
      <w:kern w:val="2"/>
      <w:sz w:val="24"/>
      <w:szCs w:val="24"/>
      <w:lang w:val="en-US" w:eastAsia="zh-CN" w:bidi="ar-SA"/>
    </w:rPr>
  </w:style>
  <w:style w:type="paragraph" w:customStyle="1" w:styleId="3348">
    <w:name w:val="图题313"/>
    <w:basedOn w:val="316"/>
    <w:next w:val="316"/>
    <w:autoRedefine/>
    <w:qFormat/>
    <w:uiPriority w:val="0"/>
    <w:pPr>
      <w:ind w:firstLine="0"/>
      <w:jc w:val="center"/>
    </w:pPr>
    <w:rPr>
      <w:rFonts w:ascii="黑体" w:hAnsi="宋体" w:eastAsia="黑体"/>
      <w:bCs/>
      <w:spacing w:val="0"/>
    </w:rPr>
  </w:style>
  <w:style w:type="paragraph" w:customStyle="1" w:styleId="3349">
    <w:name w:val="表格内字体313"/>
    <w:basedOn w:val="316"/>
    <w:next w:val="316"/>
    <w:autoRedefine/>
    <w:qFormat/>
    <w:uiPriority w:val="0"/>
    <w:pPr>
      <w:spacing w:line="240" w:lineRule="auto"/>
      <w:ind w:firstLine="0"/>
      <w:jc w:val="center"/>
    </w:pPr>
    <w:rPr>
      <w:rFonts w:hAnsi="宋体"/>
      <w:b w:val="0"/>
      <w:spacing w:val="0"/>
      <w:sz w:val="21"/>
    </w:rPr>
  </w:style>
  <w:style w:type="paragraph" w:customStyle="1" w:styleId="3350">
    <w:name w:val="表内541213"/>
    <w:basedOn w:val="1"/>
    <w:autoRedefine/>
    <w:qFormat/>
    <w:uiPriority w:val="0"/>
    <w:pPr>
      <w:adjustRightInd w:val="0"/>
      <w:snapToGrid w:val="0"/>
      <w:spacing w:line="300" w:lineRule="auto"/>
      <w:jc w:val="center"/>
    </w:pPr>
    <w:rPr>
      <w:rFonts w:ascii="宋体" w:hAnsi="宋体" w:cs="宋体"/>
    </w:rPr>
  </w:style>
  <w:style w:type="paragraph" w:customStyle="1" w:styleId="3351">
    <w:name w:val="表内文字小21213"/>
    <w:basedOn w:val="1"/>
    <w:autoRedefine/>
    <w:qFormat/>
    <w:uiPriority w:val="0"/>
    <w:pPr>
      <w:adjustRightInd w:val="0"/>
      <w:snapToGrid w:val="0"/>
      <w:jc w:val="center"/>
    </w:pPr>
    <w:rPr>
      <w:rFonts w:ascii="宋体" w:hAnsi="Times" w:cs="宋体"/>
      <w:bCs/>
      <w:color w:val="000000"/>
    </w:rPr>
  </w:style>
  <w:style w:type="paragraph" w:customStyle="1" w:styleId="3352">
    <w:name w:val="表题3121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353">
    <w:name w:val="Char Char Char Char Char Char Char48"/>
    <w:basedOn w:val="1"/>
    <w:autoRedefine/>
    <w:qFormat/>
    <w:uiPriority w:val="0"/>
    <w:rPr>
      <w:rFonts w:ascii="宋体" w:hAnsi="宋体" w:cs="宋体"/>
    </w:rPr>
  </w:style>
  <w:style w:type="paragraph" w:customStyle="1" w:styleId="3354">
    <w:name w:val="标题431213"/>
    <w:basedOn w:val="1"/>
    <w:autoRedefine/>
    <w:qFormat/>
    <w:uiPriority w:val="0"/>
    <w:pPr>
      <w:adjustRightInd w:val="0"/>
      <w:snapToGrid w:val="0"/>
      <w:spacing w:line="480" w:lineRule="exact"/>
      <w:jc w:val="center"/>
    </w:pPr>
    <w:rPr>
      <w:rFonts w:ascii="宋体" w:hAnsi="宋体" w:cs="宋体"/>
      <w:sz w:val="24"/>
    </w:rPr>
  </w:style>
  <w:style w:type="paragraph" w:customStyle="1" w:styleId="3355">
    <w:name w:val="燕山正文112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56">
    <w:name w:val="默认段落字体 Para Char Char Char Char213"/>
    <w:basedOn w:val="1"/>
    <w:autoRedefine/>
    <w:qFormat/>
    <w:uiPriority w:val="0"/>
    <w:rPr>
      <w:rFonts w:ascii="宋体" w:hAnsi="宋体" w:cs="宋体"/>
    </w:rPr>
  </w:style>
  <w:style w:type="paragraph" w:customStyle="1" w:styleId="3357">
    <w:name w:val="附件213"/>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358">
    <w:name w:val="黑体三号213"/>
    <w:basedOn w:val="316"/>
    <w:autoRedefine/>
    <w:qFormat/>
    <w:uiPriority w:val="0"/>
    <w:pPr>
      <w:jc w:val="center"/>
    </w:pPr>
    <w:rPr>
      <w:rFonts w:ascii="黑体" w:hAnsi="宋体" w:eastAsia="黑体"/>
      <w:bCs/>
      <w:spacing w:val="0"/>
      <w:sz w:val="32"/>
    </w:rPr>
  </w:style>
  <w:style w:type="paragraph" w:customStyle="1" w:styleId="3359">
    <w:name w:val="表213"/>
    <w:basedOn w:val="1"/>
    <w:autoRedefine/>
    <w:qFormat/>
    <w:uiPriority w:val="0"/>
    <w:pPr>
      <w:adjustRightInd w:val="0"/>
      <w:snapToGrid w:val="0"/>
      <w:jc w:val="center"/>
    </w:pPr>
    <w:rPr>
      <w:rFonts w:ascii="宋体" w:hAnsi="宋体" w:eastAsia="仿宋_GB2312" w:cs="宋体"/>
      <w:sz w:val="24"/>
    </w:rPr>
  </w:style>
  <w:style w:type="paragraph" w:customStyle="1" w:styleId="3360">
    <w:name w:val="表题1213"/>
    <w:basedOn w:val="22"/>
    <w:autoRedefine/>
    <w:qFormat/>
    <w:uiPriority w:val="0"/>
    <w:pPr>
      <w:widowControl w:val="0"/>
      <w:spacing w:line="360" w:lineRule="auto"/>
      <w:jc w:val="center"/>
    </w:pPr>
    <w:rPr>
      <w:rFonts w:ascii="黑体" w:hAnsi="Arial" w:cs="Arial"/>
      <w:kern w:val="2"/>
    </w:rPr>
  </w:style>
  <w:style w:type="paragraph" w:customStyle="1" w:styleId="3361">
    <w:name w:val="燕山正文21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362">
    <w:name w:val="正文修改213"/>
    <w:basedOn w:val="1181"/>
    <w:autoRedefine/>
    <w:qFormat/>
    <w:uiPriority w:val="0"/>
    <w:rPr>
      <w:rFonts w:hAnsi="宋体"/>
      <w:color w:val="000000"/>
    </w:rPr>
  </w:style>
  <w:style w:type="character" w:customStyle="1" w:styleId="3363">
    <w:name w:val="正文修改 Char1213"/>
    <w:autoRedefine/>
    <w:qFormat/>
    <w:uiPriority w:val="0"/>
    <w:rPr>
      <w:rFonts w:ascii="宋体" w:hAnsi="宋体" w:eastAsia="宋体" w:cs="宋体"/>
      <w:color w:val="000000"/>
      <w:kern w:val="2"/>
      <w:sz w:val="24"/>
      <w:szCs w:val="24"/>
      <w:lang w:val="en-US" w:eastAsia="zh-CN" w:bidi="ar-SA"/>
    </w:rPr>
  </w:style>
  <w:style w:type="paragraph" w:customStyle="1" w:styleId="3364">
    <w:name w:val="表中文字213"/>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3365">
    <w:name w:val="表文字5213"/>
    <w:basedOn w:val="1"/>
    <w:autoRedefine/>
    <w:qFormat/>
    <w:uiPriority w:val="0"/>
    <w:pPr>
      <w:adjustRightInd w:val="0"/>
      <w:jc w:val="left"/>
      <w:textAlignment w:val="baseline"/>
    </w:pPr>
    <w:rPr>
      <w:rFonts w:ascii="宋体" w:hAnsi="宋体" w:cs="宋体"/>
      <w:kern w:val="0"/>
    </w:rPr>
  </w:style>
  <w:style w:type="paragraph" w:customStyle="1" w:styleId="3366">
    <w:name w:val="表内文字小31213"/>
    <w:basedOn w:val="1"/>
    <w:autoRedefine/>
    <w:qFormat/>
    <w:uiPriority w:val="0"/>
    <w:pPr>
      <w:adjustRightInd w:val="0"/>
      <w:snapToGrid w:val="0"/>
      <w:jc w:val="center"/>
    </w:pPr>
    <w:rPr>
      <w:rFonts w:ascii="宋体" w:hAnsi="Times" w:cs="宋体"/>
      <w:bCs/>
      <w:color w:val="003366"/>
    </w:rPr>
  </w:style>
  <w:style w:type="paragraph" w:customStyle="1" w:styleId="3367">
    <w:name w:val="样式1213"/>
    <w:basedOn w:val="1228"/>
    <w:autoRedefine/>
    <w:qFormat/>
    <w:uiPriority w:val="0"/>
    <w:pPr>
      <w:spacing w:line="240" w:lineRule="auto"/>
      <w:ind w:firstLine="0"/>
      <w:jc w:val="center"/>
    </w:pPr>
    <w:rPr>
      <w:rFonts w:cs="Times New Roman"/>
      <w:b/>
      <w:color w:val="auto"/>
      <w:szCs w:val="20"/>
    </w:rPr>
  </w:style>
  <w:style w:type="paragraph" w:customStyle="1" w:styleId="3368">
    <w:name w:val="Char3110"/>
    <w:basedOn w:val="1"/>
    <w:autoRedefine/>
    <w:qFormat/>
    <w:uiPriority w:val="0"/>
    <w:pPr>
      <w:ind w:left="-48"/>
    </w:pPr>
    <w:rPr>
      <w:rFonts w:ascii="宋体" w:hAnsi="宋体" w:cs="宋体"/>
    </w:rPr>
  </w:style>
  <w:style w:type="paragraph" w:customStyle="1" w:styleId="3369">
    <w:name w:val="表内文字小2213"/>
    <w:basedOn w:val="1"/>
    <w:autoRedefine/>
    <w:qFormat/>
    <w:uiPriority w:val="0"/>
    <w:pPr>
      <w:adjustRightInd w:val="0"/>
      <w:snapToGrid w:val="0"/>
      <w:jc w:val="center"/>
    </w:pPr>
    <w:rPr>
      <w:rFonts w:ascii="宋体" w:hAnsi="Times" w:cs="宋体"/>
      <w:bCs/>
      <w:color w:val="000000"/>
    </w:rPr>
  </w:style>
  <w:style w:type="paragraph" w:customStyle="1" w:styleId="3370">
    <w:name w:val="表内53113"/>
    <w:basedOn w:val="1"/>
    <w:autoRedefine/>
    <w:qFormat/>
    <w:uiPriority w:val="0"/>
    <w:pPr>
      <w:adjustRightInd w:val="0"/>
      <w:snapToGrid w:val="0"/>
      <w:spacing w:line="300" w:lineRule="auto"/>
      <w:jc w:val="left"/>
    </w:pPr>
    <w:rPr>
      <w:rFonts w:ascii="宋体" w:hAnsi="宋体" w:cs="宋体"/>
    </w:rPr>
  </w:style>
  <w:style w:type="paragraph" w:customStyle="1" w:styleId="3371">
    <w:name w:val="正文格式2113"/>
    <w:basedOn w:val="1"/>
    <w:autoRedefine/>
    <w:qFormat/>
    <w:uiPriority w:val="0"/>
    <w:pPr>
      <w:spacing w:line="360" w:lineRule="auto"/>
      <w:ind w:firstLine="482"/>
    </w:pPr>
    <w:rPr>
      <w:rFonts w:ascii="宋体" w:hAnsi="宋体" w:cs="宋体"/>
      <w:sz w:val="24"/>
    </w:rPr>
  </w:style>
  <w:style w:type="paragraph" w:customStyle="1" w:styleId="3372">
    <w:name w:val="图题2113"/>
    <w:basedOn w:val="316"/>
    <w:next w:val="316"/>
    <w:autoRedefine/>
    <w:qFormat/>
    <w:uiPriority w:val="0"/>
    <w:pPr>
      <w:ind w:firstLine="0"/>
      <w:jc w:val="center"/>
    </w:pPr>
    <w:rPr>
      <w:rFonts w:ascii="黑体" w:hAnsi="宋体" w:eastAsia="黑体"/>
      <w:bCs/>
      <w:spacing w:val="0"/>
    </w:rPr>
  </w:style>
  <w:style w:type="paragraph" w:customStyle="1" w:styleId="3373">
    <w:name w:val="表格内字体2113"/>
    <w:basedOn w:val="316"/>
    <w:next w:val="316"/>
    <w:autoRedefine/>
    <w:qFormat/>
    <w:uiPriority w:val="0"/>
    <w:pPr>
      <w:spacing w:line="240" w:lineRule="auto"/>
      <w:ind w:firstLine="0"/>
      <w:jc w:val="center"/>
    </w:pPr>
    <w:rPr>
      <w:rFonts w:hAnsi="宋体"/>
      <w:b w:val="0"/>
      <w:spacing w:val="0"/>
      <w:sz w:val="21"/>
    </w:rPr>
  </w:style>
  <w:style w:type="paragraph" w:customStyle="1" w:styleId="3374">
    <w:name w:val="表题11113"/>
    <w:basedOn w:val="22"/>
    <w:autoRedefine/>
    <w:qFormat/>
    <w:uiPriority w:val="0"/>
    <w:pPr>
      <w:widowControl w:val="0"/>
      <w:spacing w:line="360" w:lineRule="auto"/>
      <w:jc w:val="center"/>
    </w:pPr>
    <w:rPr>
      <w:rFonts w:ascii="黑体" w:hAnsi="Arial" w:cs="Arial"/>
      <w:kern w:val="2"/>
    </w:rPr>
  </w:style>
  <w:style w:type="paragraph" w:customStyle="1" w:styleId="3375">
    <w:name w:val="表中文字11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376">
    <w:name w:val="表文字51113"/>
    <w:basedOn w:val="1"/>
    <w:autoRedefine/>
    <w:qFormat/>
    <w:uiPriority w:val="0"/>
    <w:pPr>
      <w:adjustRightInd w:val="0"/>
      <w:jc w:val="left"/>
      <w:textAlignment w:val="baseline"/>
    </w:pPr>
    <w:rPr>
      <w:rFonts w:ascii="宋体" w:hAnsi="宋体" w:cs="宋体"/>
      <w:kern w:val="0"/>
    </w:rPr>
  </w:style>
  <w:style w:type="paragraph" w:customStyle="1" w:styleId="3377">
    <w:name w:val="正文格式413"/>
    <w:basedOn w:val="1"/>
    <w:autoRedefine/>
    <w:qFormat/>
    <w:uiPriority w:val="0"/>
    <w:pPr>
      <w:spacing w:line="360" w:lineRule="auto"/>
      <w:ind w:firstLine="482"/>
    </w:pPr>
    <w:rPr>
      <w:rFonts w:ascii="宋体" w:hAnsi="宋体" w:cs="宋体"/>
      <w:sz w:val="24"/>
    </w:rPr>
  </w:style>
  <w:style w:type="paragraph" w:customStyle="1" w:styleId="3378">
    <w:name w:val="图题413"/>
    <w:basedOn w:val="316"/>
    <w:next w:val="316"/>
    <w:autoRedefine/>
    <w:qFormat/>
    <w:uiPriority w:val="0"/>
    <w:pPr>
      <w:ind w:firstLine="0"/>
      <w:jc w:val="center"/>
    </w:pPr>
    <w:rPr>
      <w:rFonts w:ascii="黑体" w:hAnsi="宋体" w:eastAsia="黑体"/>
      <w:bCs/>
      <w:spacing w:val="0"/>
    </w:rPr>
  </w:style>
  <w:style w:type="paragraph" w:customStyle="1" w:styleId="3379">
    <w:name w:val="表格内字体413"/>
    <w:basedOn w:val="316"/>
    <w:next w:val="316"/>
    <w:autoRedefine/>
    <w:qFormat/>
    <w:uiPriority w:val="0"/>
    <w:pPr>
      <w:spacing w:line="240" w:lineRule="auto"/>
      <w:ind w:firstLine="0"/>
      <w:jc w:val="center"/>
    </w:pPr>
    <w:rPr>
      <w:rFonts w:hAnsi="宋体"/>
      <w:b w:val="0"/>
      <w:spacing w:val="0"/>
      <w:sz w:val="21"/>
    </w:rPr>
  </w:style>
  <w:style w:type="paragraph" w:customStyle="1" w:styleId="3380">
    <w:name w:val="Char4110"/>
    <w:basedOn w:val="1"/>
    <w:autoRedefine/>
    <w:qFormat/>
    <w:uiPriority w:val="0"/>
    <w:pPr>
      <w:ind w:left="-48"/>
    </w:pPr>
    <w:rPr>
      <w:rFonts w:ascii="宋体" w:hAnsi="宋体" w:cs="宋体"/>
    </w:rPr>
  </w:style>
  <w:style w:type="paragraph" w:customStyle="1" w:styleId="3381">
    <w:name w:val="表题1313"/>
    <w:basedOn w:val="22"/>
    <w:autoRedefine/>
    <w:qFormat/>
    <w:uiPriority w:val="0"/>
    <w:pPr>
      <w:widowControl w:val="0"/>
      <w:spacing w:line="360" w:lineRule="auto"/>
      <w:jc w:val="center"/>
    </w:pPr>
    <w:rPr>
      <w:rFonts w:ascii="黑体" w:hAnsi="Arial" w:cs="Arial"/>
      <w:b/>
      <w:kern w:val="2"/>
    </w:rPr>
  </w:style>
  <w:style w:type="paragraph" w:customStyle="1" w:styleId="3382">
    <w:name w:val="默认段落字体 Para Char1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83">
    <w:name w:val="23-47表名13"/>
    <w:basedOn w:val="1"/>
    <w:autoRedefine/>
    <w:qFormat/>
    <w:uiPriority w:val="0"/>
    <w:pPr>
      <w:spacing w:afterLines="50" w:line="440" w:lineRule="exact"/>
      <w:jc w:val="center"/>
    </w:pPr>
    <w:rPr>
      <w:rFonts w:ascii="宋体" w:hAnsi="宋体" w:cs="宋体"/>
      <w:b/>
      <w:sz w:val="24"/>
    </w:rPr>
  </w:style>
  <w:style w:type="paragraph" w:customStyle="1" w:styleId="3384">
    <w:name w:val="xl241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385">
    <w:name w:val="Char Char Char Char Char Char Char1210"/>
    <w:basedOn w:val="1"/>
    <w:autoRedefine/>
    <w:qFormat/>
    <w:uiPriority w:val="0"/>
    <w:rPr>
      <w:rFonts w:ascii="宋体" w:hAnsi="宋体" w:cs="宋体"/>
    </w:rPr>
  </w:style>
  <w:style w:type="character" w:customStyle="1" w:styleId="3386">
    <w:name w:val="纯文本 Char11"/>
    <w:autoRedefine/>
    <w:qFormat/>
    <w:uiPriority w:val="0"/>
    <w:rPr>
      <w:rFonts w:ascii="宋体" w:hAnsi="Courier New" w:eastAsia="宋体" w:cs="Courier New"/>
      <w:kern w:val="2"/>
      <w:sz w:val="21"/>
      <w:szCs w:val="21"/>
      <w:lang w:val="en-US" w:eastAsia="zh-CN" w:bidi="ar-SA"/>
    </w:rPr>
  </w:style>
  <w:style w:type="paragraph" w:customStyle="1" w:styleId="3387">
    <w:name w:val="Char513"/>
    <w:basedOn w:val="1"/>
    <w:autoRedefine/>
    <w:qFormat/>
    <w:uiPriority w:val="0"/>
    <w:pPr>
      <w:adjustRightInd w:val="0"/>
      <w:snapToGrid w:val="0"/>
      <w:ind w:left="-45"/>
    </w:pPr>
    <w:rPr>
      <w:rFonts w:ascii="宋体" w:hAnsi="宋体" w:cs="宋体"/>
    </w:rPr>
  </w:style>
  <w:style w:type="paragraph" w:customStyle="1" w:styleId="3388">
    <w:name w:val="燕山正文113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389">
    <w:name w:val="正文格式513"/>
    <w:basedOn w:val="1"/>
    <w:autoRedefine/>
    <w:qFormat/>
    <w:uiPriority w:val="0"/>
    <w:pPr>
      <w:spacing w:line="360" w:lineRule="auto"/>
      <w:ind w:firstLine="482"/>
    </w:pPr>
    <w:rPr>
      <w:rFonts w:ascii="宋体" w:hAnsi="宋体" w:cs="宋体"/>
      <w:sz w:val="24"/>
    </w:rPr>
  </w:style>
  <w:style w:type="paragraph" w:customStyle="1" w:styleId="3390">
    <w:name w:val="Char3210"/>
    <w:basedOn w:val="1"/>
    <w:autoRedefine/>
    <w:qFormat/>
    <w:uiPriority w:val="0"/>
    <w:pPr>
      <w:ind w:left="-48"/>
    </w:pPr>
    <w:rPr>
      <w:rFonts w:ascii="宋体" w:hAnsi="宋体" w:cs="宋体"/>
    </w:rPr>
  </w:style>
  <w:style w:type="character" w:customStyle="1" w:styleId="3391">
    <w:name w:val="题注 Char313"/>
    <w:autoRedefine/>
    <w:qFormat/>
    <w:uiPriority w:val="0"/>
    <w:rPr>
      <w:rFonts w:ascii="黑体" w:hAnsi="Arial" w:eastAsia="黑体" w:cs="Arial"/>
      <w:spacing w:val="10"/>
      <w:kern w:val="2"/>
      <w:sz w:val="24"/>
      <w:szCs w:val="24"/>
      <w:lang w:val="en-US" w:eastAsia="zh-CN" w:bidi="ar-SA"/>
    </w:rPr>
  </w:style>
  <w:style w:type="paragraph" w:customStyle="1" w:styleId="3392">
    <w:name w:val="图题513"/>
    <w:basedOn w:val="316"/>
    <w:next w:val="316"/>
    <w:autoRedefine/>
    <w:qFormat/>
    <w:uiPriority w:val="0"/>
    <w:pPr>
      <w:ind w:firstLine="0"/>
      <w:jc w:val="center"/>
    </w:pPr>
    <w:rPr>
      <w:rFonts w:ascii="黑体" w:hAnsi="宋体" w:eastAsia="黑体"/>
      <w:bCs/>
      <w:spacing w:val="0"/>
    </w:rPr>
  </w:style>
  <w:style w:type="paragraph" w:customStyle="1" w:styleId="3393">
    <w:name w:val="表格内字体513"/>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3394">
    <w:name w:val="表313"/>
    <w:basedOn w:val="1"/>
    <w:autoRedefine/>
    <w:qFormat/>
    <w:uiPriority w:val="0"/>
    <w:pPr>
      <w:adjustRightInd w:val="0"/>
      <w:snapToGrid w:val="0"/>
      <w:jc w:val="center"/>
    </w:pPr>
    <w:rPr>
      <w:rFonts w:ascii="宋体" w:hAnsi="宋体" w:eastAsia="仿宋_GB2312" w:cs="宋体"/>
      <w:sz w:val="24"/>
    </w:rPr>
  </w:style>
  <w:style w:type="paragraph" w:customStyle="1" w:styleId="3395">
    <w:name w:val="正文.1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396">
    <w:name w:val="文本框113"/>
    <w:basedOn w:val="1"/>
    <w:autoRedefine/>
    <w:qFormat/>
    <w:uiPriority w:val="0"/>
    <w:pPr>
      <w:adjustRightInd w:val="0"/>
      <w:snapToGrid w:val="0"/>
      <w:spacing w:after="6"/>
      <w:jc w:val="center"/>
    </w:pPr>
    <w:rPr>
      <w:rFonts w:ascii="宋体" w:hAnsi="宋体" w:eastAsia="仿宋_GB2312" w:cs="宋体"/>
    </w:rPr>
  </w:style>
  <w:style w:type="paragraph" w:customStyle="1" w:styleId="3397">
    <w:name w:val="表内宋51111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398">
    <w:name w:val="表内文字小31313"/>
    <w:basedOn w:val="1"/>
    <w:autoRedefine/>
    <w:qFormat/>
    <w:uiPriority w:val="0"/>
    <w:pPr>
      <w:adjustRightInd w:val="0"/>
      <w:snapToGrid w:val="0"/>
      <w:jc w:val="center"/>
    </w:pPr>
    <w:rPr>
      <w:rFonts w:ascii="宋体" w:hAnsi="Times" w:cs="宋体"/>
      <w:bCs/>
      <w:color w:val="003366"/>
    </w:rPr>
  </w:style>
  <w:style w:type="paragraph" w:customStyle="1" w:styleId="3399">
    <w:name w:val="表文字5313"/>
    <w:basedOn w:val="1"/>
    <w:autoRedefine/>
    <w:qFormat/>
    <w:uiPriority w:val="0"/>
    <w:pPr>
      <w:adjustRightInd w:val="0"/>
      <w:jc w:val="left"/>
      <w:textAlignment w:val="baseline"/>
    </w:pPr>
    <w:rPr>
      <w:rFonts w:ascii="宋体" w:hAnsi="宋体" w:cs="宋体"/>
      <w:kern w:val="0"/>
    </w:rPr>
  </w:style>
  <w:style w:type="paragraph" w:customStyle="1" w:styleId="3400">
    <w:name w:val="Char Char Char Char Char Char Char2110"/>
    <w:basedOn w:val="1"/>
    <w:autoRedefine/>
    <w:qFormat/>
    <w:uiPriority w:val="0"/>
    <w:rPr>
      <w:rFonts w:ascii="宋体" w:hAnsi="宋体" w:cs="宋体"/>
    </w:rPr>
  </w:style>
  <w:style w:type="paragraph" w:customStyle="1" w:styleId="3401">
    <w:name w:val="表题31313"/>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402">
    <w:name w:val="表内文字小21313"/>
    <w:basedOn w:val="1"/>
    <w:autoRedefine/>
    <w:qFormat/>
    <w:uiPriority w:val="0"/>
    <w:pPr>
      <w:adjustRightInd w:val="0"/>
      <w:snapToGrid w:val="0"/>
      <w:jc w:val="center"/>
      <w:textAlignment w:val="baseline"/>
    </w:pPr>
    <w:rPr>
      <w:rFonts w:ascii="宋体" w:hAnsi="Times" w:cs="宋体"/>
      <w:bCs/>
      <w:color w:val="000000"/>
    </w:rPr>
  </w:style>
  <w:style w:type="character" w:customStyle="1" w:styleId="3403">
    <w:name w:val="文档结构图 Char21"/>
    <w:autoRedefine/>
    <w:qFormat/>
    <w:uiPriority w:val="0"/>
    <w:rPr>
      <w:rFonts w:eastAsia="宋体"/>
      <w:kern w:val="2"/>
      <w:sz w:val="21"/>
      <w:szCs w:val="24"/>
      <w:shd w:val="clear" w:color="auto" w:fill="000080"/>
      <w:lang w:val="en-US" w:eastAsia="zh-CN" w:bidi="ar-SA"/>
    </w:rPr>
  </w:style>
  <w:style w:type="paragraph" w:customStyle="1" w:styleId="3404">
    <w:name w:val="燕山正文31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405">
    <w:name w:val="正文修改313"/>
    <w:basedOn w:val="1181"/>
    <w:autoRedefine/>
    <w:qFormat/>
    <w:uiPriority w:val="0"/>
    <w:rPr>
      <w:rFonts w:hAnsi="宋体"/>
      <w:color w:val="000000"/>
    </w:rPr>
  </w:style>
  <w:style w:type="character" w:customStyle="1" w:styleId="3406">
    <w:name w:val="正文修改 Char1313"/>
    <w:autoRedefine/>
    <w:qFormat/>
    <w:uiPriority w:val="0"/>
    <w:rPr>
      <w:rFonts w:ascii="宋体" w:hAnsi="宋体" w:eastAsia="宋体" w:cs="宋体"/>
      <w:color w:val="000000"/>
      <w:kern w:val="2"/>
      <w:sz w:val="24"/>
      <w:szCs w:val="24"/>
      <w:lang w:val="en-US" w:eastAsia="zh-CN" w:bidi="ar-SA"/>
    </w:rPr>
  </w:style>
  <w:style w:type="paragraph" w:customStyle="1" w:styleId="3407">
    <w:name w:val="表题1423"/>
    <w:basedOn w:val="22"/>
    <w:autoRedefine/>
    <w:qFormat/>
    <w:uiPriority w:val="0"/>
    <w:pPr>
      <w:widowControl w:val="0"/>
      <w:spacing w:line="360" w:lineRule="auto"/>
      <w:jc w:val="center"/>
    </w:pPr>
    <w:rPr>
      <w:rFonts w:ascii="黑体" w:hAnsi="Arial" w:cs="Arial"/>
      <w:b/>
      <w:kern w:val="2"/>
    </w:rPr>
  </w:style>
  <w:style w:type="character" w:customStyle="1" w:styleId="3408">
    <w:name w:val="表题1 Char413"/>
    <w:autoRedefine/>
    <w:qFormat/>
    <w:uiPriority w:val="0"/>
    <w:rPr>
      <w:rFonts w:ascii="黑体" w:hAnsi="Arial" w:eastAsia="黑体" w:cs="Arial"/>
      <w:b/>
      <w:kern w:val="2"/>
      <w:sz w:val="24"/>
      <w:szCs w:val="24"/>
      <w:lang w:val="en-US" w:eastAsia="zh-CN" w:bidi="ar-SA"/>
    </w:rPr>
  </w:style>
  <w:style w:type="paragraph" w:customStyle="1" w:styleId="3409">
    <w:name w:val="表中文字3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410">
    <w:name w:val="黑体三号313"/>
    <w:basedOn w:val="316"/>
    <w:autoRedefine/>
    <w:qFormat/>
    <w:uiPriority w:val="0"/>
    <w:pPr>
      <w:jc w:val="center"/>
    </w:pPr>
    <w:rPr>
      <w:rFonts w:ascii="黑体" w:hAnsi="宋体" w:eastAsia="黑体"/>
      <w:bCs/>
      <w:spacing w:val="0"/>
      <w:sz w:val="32"/>
    </w:rPr>
  </w:style>
  <w:style w:type="paragraph" w:customStyle="1" w:styleId="3411">
    <w:name w:val="默认段落字体 Para Char Char Char Char313"/>
    <w:basedOn w:val="1"/>
    <w:autoRedefine/>
    <w:qFormat/>
    <w:uiPriority w:val="0"/>
    <w:rPr>
      <w:rFonts w:ascii="宋体" w:hAnsi="宋体" w:cs="宋体"/>
    </w:rPr>
  </w:style>
  <w:style w:type="paragraph" w:customStyle="1" w:styleId="3412">
    <w:name w:val="表内541313"/>
    <w:basedOn w:val="1"/>
    <w:autoRedefine/>
    <w:qFormat/>
    <w:uiPriority w:val="0"/>
    <w:pPr>
      <w:adjustRightInd w:val="0"/>
      <w:snapToGrid w:val="0"/>
      <w:spacing w:line="300" w:lineRule="auto"/>
      <w:jc w:val="center"/>
    </w:pPr>
    <w:rPr>
      <w:rFonts w:ascii="宋体" w:hAnsi="宋体" w:cs="宋体"/>
    </w:rPr>
  </w:style>
  <w:style w:type="paragraph" w:customStyle="1" w:styleId="3413">
    <w:name w:val="标题42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414">
    <w:name w:val="Char613"/>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3415">
    <w:name w:val="表题21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416">
    <w:name w:val="表内宋5中1113"/>
    <w:basedOn w:val="1"/>
    <w:autoRedefine/>
    <w:qFormat/>
    <w:uiPriority w:val="0"/>
    <w:pPr>
      <w:adjustRightInd w:val="0"/>
      <w:snapToGrid w:val="0"/>
      <w:jc w:val="center"/>
      <w:textAlignment w:val="baseline"/>
    </w:pPr>
    <w:rPr>
      <w:rFonts w:ascii="宋体" w:hAnsi="宋体" w:cs="宋体"/>
      <w:kern w:val="0"/>
    </w:rPr>
  </w:style>
  <w:style w:type="paragraph" w:customStyle="1" w:styleId="3417">
    <w:name w:val="表内宋5中123"/>
    <w:basedOn w:val="1"/>
    <w:autoRedefine/>
    <w:qFormat/>
    <w:uiPriority w:val="0"/>
    <w:pPr>
      <w:adjustRightInd w:val="0"/>
      <w:snapToGrid w:val="0"/>
      <w:jc w:val="center"/>
      <w:textAlignment w:val="baseline"/>
    </w:pPr>
    <w:rPr>
      <w:rFonts w:ascii="宋体" w:hAnsi="宋体" w:cs="宋体"/>
      <w:kern w:val="0"/>
    </w:rPr>
  </w:style>
  <w:style w:type="paragraph" w:customStyle="1" w:styleId="3418">
    <w:name w:val="表内文字小1113"/>
    <w:basedOn w:val="1"/>
    <w:autoRedefine/>
    <w:qFormat/>
    <w:uiPriority w:val="0"/>
    <w:pPr>
      <w:adjustRightInd w:val="0"/>
      <w:snapToGrid w:val="0"/>
    </w:pPr>
    <w:rPr>
      <w:rFonts w:ascii="宋体" w:hAnsi="Times" w:cs="宋体"/>
    </w:rPr>
  </w:style>
  <w:style w:type="paragraph" w:customStyle="1" w:styleId="3419">
    <w:name w:val="标题4111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420">
    <w:name w:val="表题14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421">
    <w:name w:val="表内文字小813"/>
    <w:basedOn w:val="1"/>
    <w:autoRedefine/>
    <w:qFormat/>
    <w:uiPriority w:val="0"/>
    <w:pPr>
      <w:adjustRightInd w:val="0"/>
      <w:snapToGrid w:val="0"/>
      <w:jc w:val="center"/>
    </w:pPr>
    <w:rPr>
      <w:rFonts w:ascii="宋体" w:hAnsi="Times" w:cs="宋体"/>
    </w:rPr>
  </w:style>
  <w:style w:type="paragraph" w:customStyle="1" w:styleId="3422">
    <w:name w:val="默认段落字体 Para Char2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423">
    <w:name w:val="Default13"/>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3424">
    <w:name w:val="标题 6 Char11"/>
    <w:autoRedefine/>
    <w:qFormat/>
    <w:uiPriority w:val="0"/>
    <w:rPr>
      <w:rFonts w:ascii="Arial" w:hAnsi="Arial" w:eastAsia="黑体"/>
      <w:b/>
      <w:bCs/>
      <w:kern w:val="2"/>
      <w:sz w:val="24"/>
      <w:szCs w:val="24"/>
      <w:lang w:val="en-US" w:eastAsia="zh-CN" w:bidi="ar-SA"/>
    </w:rPr>
  </w:style>
  <w:style w:type="character" w:customStyle="1" w:styleId="3425">
    <w:name w:val="标题 7 Char11"/>
    <w:autoRedefine/>
    <w:qFormat/>
    <w:uiPriority w:val="0"/>
    <w:rPr>
      <w:rFonts w:eastAsia="宋体"/>
      <w:b/>
      <w:bCs/>
      <w:kern w:val="2"/>
      <w:sz w:val="24"/>
      <w:szCs w:val="24"/>
      <w:lang w:val="en-US" w:eastAsia="zh-CN" w:bidi="ar-SA"/>
    </w:rPr>
  </w:style>
  <w:style w:type="character" w:customStyle="1" w:styleId="3426">
    <w:name w:val="标题 8 Char11"/>
    <w:autoRedefine/>
    <w:qFormat/>
    <w:uiPriority w:val="0"/>
    <w:rPr>
      <w:rFonts w:ascii="Arial" w:hAnsi="Arial" w:eastAsia="黑体"/>
      <w:kern w:val="2"/>
      <w:sz w:val="24"/>
      <w:szCs w:val="24"/>
      <w:lang w:val="en-US" w:eastAsia="zh-CN" w:bidi="ar-SA"/>
    </w:rPr>
  </w:style>
  <w:style w:type="character" w:customStyle="1" w:styleId="3427">
    <w:name w:val="标题 9 Char11"/>
    <w:autoRedefine/>
    <w:qFormat/>
    <w:uiPriority w:val="0"/>
    <w:rPr>
      <w:rFonts w:ascii="Arial" w:hAnsi="Arial" w:eastAsia="黑体"/>
      <w:kern w:val="2"/>
      <w:sz w:val="21"/>
      <w:szCs w:val="21"/>
      <w:lang w:val="en-US" w:eastAsia="zh-CN" w:bidi="ar-SA"/>
    </w:rPr>
  </w:style>
  <w:style w:type="paragraph" w:customStyle="1" w:styleId="3428">
    <w:name w:val="正文格式613"/>
    <w:basedOn w:val="1"/>
    <w:autoRedefine/>
    <w:qFormat/>
    <w:uiPriority w:val="0"/>
    <w:pPr>
      <w:spacing w:line="360" w:lineRule="auto"/>
      <w:ind w:firstLine="482"/>
    </w:pPr>
    <w:rPr>
      <w:rFonts w:ascii="宋体" w:hAnsi="宋体" w:cs="宋体"/>
      <w:sz w:val="24"/>
    </w:rPr>
  </w:style>
  <w:style w:type="character" w:customStyle="1" w:styleId="3429">
    <w:name w:val="河石1 Char22"/>
    <w:autoRedefine/>
    <w:qFormat/>
    <w:uiPriority w:val="0"/>
    <w:rPr>
      <w:rFonts w:ascii="黑体" w:hAnsi="宋体" w:eastAsia="黑体" w:cs="Times New Roman"/>
      <w:bCs/>
      <w:kern w:val="44"/>
      <w:sz w:val="32"/>
      <w:szCs w:val="32"/>
      <w:lang w:val="en-US" w:eastAsia="zh-CN" w:bidi="ar-SA"/>
    </w:rPr>
  </w:style>
  <w:style w:type="paragraph" w:customStyle="1" w:styleId="3430">
    <w:name w:val="附件313"/>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3431">
    <w:name w:val="正文文本 Char21"/>
    <w:autoRedefine/>
    <w:qFormat/>
    <w:uiPriority w:val="0"/>
    <w:rPr>
      <w:rFonts w:eastAsia="宋体"/>
      <w:kern w:val="2"/>
      <w:sz w:val="21"/>
      <w:szCs w:val="24"/>
      <w:lang w:val="en-US" w:eastAsia="zh-CN" w:bidi="ar-SA"/>
    </w:rPr>
  </w:style>
  <w:style w:type="paragraph" w:customStyle="1" w:styleId="3432">
    <w:name w:val="图题613"/>
    <w:basedOn w:val="316"/>
    <w:next w:val="316"/>
    <w:autoRedefine/>
    <w:qFormat/>
    <w:uiPriority w:val="0"/>
    <w:pPr>
      <w:ind w:firstLine="0"/>
      <w:jc w:val="center"/>
    </w:pPr>
    <w:rPr>
      <w:rFonts w:ascii="黑体" w:hAnsi="宋体" w:eastAsia="黑体"/>
      <w:bCs/>
      <w:spacing w:val="0"/>
      <w:kern w:val="0"/>
    </w:rPr>
  </w:style>
  <w:style w:type="character" w:customStyle="1" w:styleId="3433">
    <w:name w:val="图题 Char11"/>
    <w:autoRedefine/>
    <w:qFormat/>
    <w:uiPriority w:val="0"/>
    <w:rPr>
      <w:rFonts w:ascii="黑体" w:hAnsi="宋体" w:eastAsia="黑体" w:cs="宋体"/>
      <w:b/>
      <w:bCs/>
      <w:kern w:val="2"/>
      <w:sz w:val="24"/>
      <w:szCs w:val="24"/>
      <w:lang w:val="en-US" w:eastAsia="zh-CN" w:bidi="ar-SA"/>
    </w:rPr>
  </w:style>
  <w:style w:type="paragraph" w:customStyle="1" w:styleId="3434">
    <w:name w:val="表格内字体613"/>
    <w:basedOn w:val="316"/>
    <w:next w:val="316"/>
    <w:autoRedefine/>
    <w:qFormat/>
    <w:uiPriority w:val="0"/>
    <w:pPr>
      <w:spacing w:line="240" w:lineRule="auto"/>
      <w:ind w:firstLine="0"/>
      <w:jc w:val="center"/>
    </w:pPr>
    <w:rPr>
      <w:rFonts w:hAnsi="宋体"/>
      <w:b w:val="0"/>
      <w:spacing w:val="0"/>
      <w:sz w:val="21"/>
    </w:rPr>
  </w:style>
  <w:style w:type="character" w:customStyle="1" w:styleId="3435">
    <w:name w:val="页眉 Char11"/>
    <w:autoRedefine/>
    <w:qFormat/>
    <w:uiPriority w:val="0"/>
    <w:rPr>
      <w:rFonts w:eastAsia="宋体"/>
      <w:kern w:val="2"/>
      <w:sz w:val="18"/>
      <w:szCs w:val="18"/>
      <w:lang w:val="en-US" w:eastAsia="zh-CN" w:bidi="ar-SA"/>
    </w:rPr>
  </w:style>
  <w:style w:type="character" w:customStyle="1" w:styleId="3436">
    <w:name w:val="页脚 Char11"/>
    <w:autoRedefine/>
    <w:qFormat/>
    <w:uiPriority w:val="0"/>
    <w:rPr>
      <w:rFonts w:eastAsia="宋体"/>
      <w:kern w:val="2"/>
      <w:sz w:val="18"/>
      <w:szCs w:val="18"/>
      <w:lang w:val="en-US" w:eastAsia="zh-CN" w:bidi="ar-SA"/>
    </w:rPr>
  </w:style>
  <w:style w:type="paragraph" w:customStyle="1" w:styleId="3437">
    <w:name w:val="黑体三号413"/>
    <w:basedOn w:val="316"/>
    <w:autoRedefine/>
    <w:qFormat/>
    <w:uiPriority w:val="0"/>
    <w:pPr>
      <w:jc w:val="center"/>
    </w:pPr>
    <w:rPr>
      <w:rFonts w:ascii="黑体" w:hAnsi="宋体" w:eastAsia="黑体"/>
      <w:bCs/>
      <w:spacing w:val="0"/>
      <w:sz w:val="32"/>
    </w:rPr>
  </w:style>
  <w:style w:type="paragraph" w:customStyle="1" w:styleId="3438">
    <w:name w:val="默认段落字体 Para Char Char Char Char413"/>
    <w:basedOn w:val="1"/>
    <w:autoRedefine/>
    <w:qFormat/>
    <w:uiPriority w:val="0"/>
    <w:rPr>
      <w:rFonts w:ascii="宋体" w:hAnsi="宋体" w:cs="宋体"/>
    </w:rPr>
  </w:style>
  <w:style w:type="paragraph" w:customStyle="1" w:styleId="3439">
    <w:name w:val="图表题13"/>
    <w:basedOn w:val="316"/>
    <w:next w:val="316"/>
    <w:autoRedefine/>
    <w:qFormat/>
    <w:uiPriority w:val="0"/>
    <w:pPr>
      <w:ind w:firstLine="0"/>
      <w:jc w:val="center"/>
    </w:pPr>
    <w:rPr>
      <w:rFonts w:ascii="黑体" w:hAnsi="宋体" w:eastAsia="黑体"/>
      <w:bCs/>
      <w:spacing w:val="0"/>
    </w:rPr>
  </w:style>
  <w:style w:type="character" w:customStyle="1" w:styleId="3440">
    <w:name w:val="图表题 Char13"/>
    <w:autoRedefine/>
    <w:qFormat/>
    <w:uiPriority w:val="0"/>
    <w:rPr>
      <w:rFonts w:ascii="黑体" w:hAnsi="宋体" w:eastAsia="黑体" w:cs="宋体"/>
      <w:bCs/>
      <w:spacing w:val="10"/>
      <w:kern w:val="2"/>
      <w:sz w:val="24"/>
      <w:szCs w:val="24"/>
      <w:lang w:val="en-US" w:eastAsia="zh-CN" w:bidi="ar-SA"/>
    </w:rPr>
  </w:style>
  <w:style w:type="paragraph" w:customStyle="1" w:styleId="3441">
    <w:name w:val="样式 表格内字体 +13"/>
    <w:basedOn w:val="1178"/>
    <w:autoRedefine/>
    <w:qFormat/>
    <w:uiPriority w:val="0"/>
    <w:pPr>
      <w:spacing w:line="280" w:lineRule="exact"/>
      <w:ind w:firstLine="36"/>
      <w:jc w:val="both"/>
    </w:pPr>
    <w:rPr>
      <w:kern w:val="0"/>
    </w:rPr>
  </w:style>
  <w:style w:type="character" w:customStyle="1" w:styleId="3442">
    <w:name w:val="样式 表格内字体 + Char13"/>
    <w:basedOn w:val="1179"/>
    <w:autoRedefine/>
    <w:qFormat/>
    <w:uiPriority w:val="0"/>
    <w:rPr>
      <w:rFonts w:ascii="宋体" w:hAnsi="宋体"/>
      <w:kern w:val="2"/>
      <w:sz w:val="21"/>
    </w:rPr>
  </w:style>
  <w:style w:type="paragraph" w:customStyle="1" w:styleId="3443">
    <w:name w:val="A正文1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3444">
    <w:name w:val="A正文 Char11"/>
    <w:autoRedefine/>
    <w:qFormat/>
    <w:uiPriority w:val="0"/>
    <w:rPr>
      <w:rFonts w:eastAsia="仿宋_GB2312"/>
      <w:kern w:val="2"/>
      <w:sz w:val="24"/>
      <w:szCs w:val="24"/>
      <w:lang w:val="en-US" w:eastAsia="zh-CN" w:bidi="ar-SA"/>
    </w:rPr>
  </w:style>
  <w:style w:type="paragraph" w:customStyle="1" w:styleId="3445">
    <w:name w:val="图题注13"/>
    <w:basedOn w:val="22"/>
    <w:autoRedefine/>
    <w:qFormat/>
    <w:uiPriority w:val="0"/>
    <w:pPr>
      <w:widowControl w:val="0"/>
      <w:jc w:val="center"/>
    </w:pPr>
    <w:rPr>
      <w:rFonts w:ascii="黑体" w:hAnsi="Arial"/>
      <w:b/>
      <w:bCs/>
      <w:kern w:val="2"/>
    </w:rPr>
  </w:style>
  <w:style w:type="character" w:customStyle="1" w:styleId="3446">
    <w:name w:val="图题注 Char11"/>
    <w:autoRedefine/>
    <w:qFormat/>
    <w:uiPriority w:val="0"/>
    <w:rPr>
      <w:rFonts w:ascii="黑体" w:hAnsi="Arial" w:eastAsia="黑体" w:cs="宋体"/>
      <w:b/>
      <w:bCs/>
      <w:kern w:val="2"/>
      <w:sz w:val="24"/>
      <w:szCs w:val="24"/>
      <w:lang w:val="en-US" w:eastAsia="zh-CN" w:bidi="ar-SA"/>
    </w:rPr>
  </w:style>
  <w:style w:type="paragraph" w:customStyle="1" w:styleId="3447">
    <w:name w:val="Char713"/>
    <w:basedOn w:val="1"/>
    <w:autoRedefine/>
    <w:qFormat/>
    <w:uiPriority w:val="0"/>
    <w:pPr>
      <w:ind w:left="-48"/>
    </w:pPr>
    <w:rPr>
      <w:rFonts w:ascii="宋体" w:hAnsi="宋体" w:cs="宋体"/>
    </w:rPr>
  </w:style>
  <w:style w:type="paragraph" w:customStyle="1" w:styleId="3448">
    <w:name w:val="表格内字体1113"/>
    <w:basedOn w:val="316"/>
    <w:autoRedefine/>
    <w:qFormat/>
    <w:uiPriority w:val="0"/>
    <w:pPr>
      <w:spacing w:line="240" w:lineRule="auto"/>
      <w:ind w:firstLine="0"/>
      <w:jc w:val="center"/>
    </w:pPr>
    <w:rPr>
      <w:rFonts w:hAnsi="Times New Roman"/>
      <w:b w:val="0"/>
      <w:spacing w:val="0"/>
      <w:sz w:val="21"/>
    </w:rPr>
  </w:style>
  <w:style w:type="paragraph" w:customStyle="1" w:styleId="3449">
    <w:name w:val="样式 正文缩进 + 宋体 黑色 首行缩进:  2 字符13"/>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3450">
    <w:name w:val="环评正文13"/>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3451">
    <w:name w:val="环评正文 Char11"/>
    <w:autoRedefine/>
    <w:qFormat/>
    <w:uiPriority w:val="0"/>
    <w:rPr>
      <w:rFonts w:eastAsia="宋体"/>
      <w:bCs/>
      <w:kern w:val="2"/>
      <w:sz w:val="24"/>
      <w:szCs w:val="24"/>
      <w:lang w:val="en-US" w:eastAsia="zh-CN" w:bidi="ar-SA"/>
    </w:rPr>
  </w:style>
  <w:style w:type="paragraph" w:customStyle="1" w:styleId="3452">
    <w:name w:val="注释13"/>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3453">
    <w:name w:val="样式413"/>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3454">
    <w:name w:val="标题4123"/>
    <w:basedOn w:val="6"/>
    <w:next w:val="1"/>
    <w:autoRedefine/>
    <w:qFormat/>
    <w:uiPriority w:val="0"/>
    <w:pPr>
      <w:widowControl w:val="0"/>
      <w:tabs>
        <w:tab w:val="clear" w:pos="1276"/>
      </w:tabs>
      <w:spacing w:before="160" w:after="170"/>
      <w:ind w:left="0" w:firstLine="0"/>
      <w:jc w:val="both"/>
    </w:pPr>
    <w:rPr>
      <w:rFonts w:ascii="黑体" w:eastAsia="黑体"/>
    </w:rPr>
  </w:style>
  <w:style w:type="character" w:customStyle="1" w:styleId="3455">
    <w:name w:val="标题4 Char11"/>
    <w:autoRedefine/>
    <w:qFormat/>
    <w:uiPriority w:val="0"/>
    <w:rPr>
      <w:rFonts w:ascii="黑体" w:hAnsi="Arial" w:eastAsia="黑体" w:cs="Times New Roman"/>
      <w:b/>
      <w:bCs/>
      <w:kern w:val="2"/>
      <w:sz w:val="24"/>
      <w:szCs w:val="28"/>
      <w:lang w:val="en-US" w:eastAsia="zh-CN" w:bidi="ar-SA"/>
    </w:rPr>
  </w:style>
  <w:style w:type="paragraph" w:customStyle="1" w:styleId="3456">
    <w:name w:val="表中文字413"/>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3457">
    <w:name w:val="表中文字 Char11"/>
    <w:autoRedefine/>
    <w:qFormat/>
    <w:uiPriority w:val="0"/>
    <w:rPr>
      <w:rFonts w:ascii="Arial" w:hAnsi="Arial" w:eastAsia="宋体"/>
      <w:kern w:val="2"/>
      <w:sz w:val="24"/>
      <w:szCs w:val="24"/>
      <w:lang w:val="en-US" w:eastAsia="zh-TW" w:bidi="ar-SA"/>
    </w:rPr>
  </w:style>
  <w:style w:type="paragraph" w:customStyle="1" w:styleId="3458">
    <w:name w:val="样式 正文缩进 + 宋体 黑色13"/>
    <w:basedOn w:val="9"/>
    <w:autoRedefine/>
    <w:qFormat/>
    <w:uiPriority w:val="0"/>
    <w:pPr>
      <w:adjustRightInd/>
      <w:snapToGrid/>
      <w:spacing w:line="360" w:lineRule="auto"/>
      <w:jc w:val="left"/>
    </w:pPr>
    <w:rPr>
      <w:rFonts w:ascii="宋体" w:hAnsi="宋体" w:eastAsia="宋体" w:cs="宋体"/>
      <w:sz w:val="24"/>
    </w:rPr>
  </w:style>
  <w:style w:type="character" w:customStyle="1" w:styleId="3459">
    <w:name w:val="样式 正文缩进 + 宋体 黑色 Char11"/>
    <w:autoRedefine/>
    <w:qFormat/>
    <w:uiPriority w:val="0"/>
    <w:rPr>
      <w:rFonts w:ascii="宋体" w:hAnsi="宋体" w:eastAsia="宋体"/>
      <w:color w:val="000000"/>
      <w:kern w:val="2"/>
      <w:sz w:val="24"/>
      <w:szCs w:val="24"/>
      <w:lang w:val="en-US" w:eastAsia="zh-CN" w:bidi="ar-SA"/>
    </w:rPr>
  </w:style>
  <w:style w:type="paragraph" w:customStyle="1" w:styleId="3460">
    <w:name w:val="表内5113"/>
    <w:basedOn w:val="1"/>
    <w:autoRedefine/>
    <w:qFormat/>
    <w:uiPriority w:val="0"/>
    <w:pPr>
      <w:adjustRightInd w:val="0"/>
      <w:snapToGrid w:val="0"/>
      <w:jc w:val="center"/>
    </w:pPr>
    <w:rPr>
      <w:rFonts w:ascii="宋体" w:hAnsi="宋体" w:cs="宋体"/>
      <w:kern w:val="0"/>
      <w:sz w:val="24"/>
    </w:rPr>
  </w:style>
  <w:style w:type="character" w:customStyle="1" w:styleId="3461">
    <w:name w:val="表内5 Char11"/>
    <w:autoRedefine/>
    <w:qFormat/>
    <w:uiPriority w:val="0"/>
    <w:rPr>
      <w:rFonts w:ascii="宋体" w:hAnsi="宋体" w:eastAsia="宋体" w:cs="Times New Roman"/>
      <w:kern w:val="2"/>
      <w:sz w:val="24"/>
      <w:szCs w:val="24"/>
      <w:lang w:val="en-US" w:eastAsia="zh-CN" w:bidi="ar-SA"/>
    </w:rPr>
  </w:style>
  <w:style w:type="paragraph" w:customStyle="1" w:styleId="3462">
    <w:name w:val="样式 样式 宋体 + 首行缩进:  2 字符113"/>
    <w:basedOn w:val="1"/>
    <w:autoRedefine/>
    <w:qFormat/>
    <w:uiPriority w:val="0"/>
    <w:pPr>
      <w:spacing w:line="360" w:lineRule="auto"/>
      <w:ind w:firstLine="480" w:firstLineChars="200"/>
      <w:jc w:val="left"/>
    </w:pPr>
    <w:rPr>
      <w:rFonts w:ascii="宋体" w:hAnsi="宋体" w:cs="宋体"/>
      <w:sz w:val="24"/>
    </w:rPr>
  </w:style>
  <w:style w:type="paragraph" w:customStyle="1" w:styleId="3463">
    <w:name w:val="表内宋5中213"/>
    <w:basedOn w:val="1"/>
    <w:autoRedefine/>
    <w:qFormat/>
    <w:uiPriority w:val="0"/>
    <w:pPr>
      <w:adjustRightInd w:val="0"/>
      <w:snapToGrid w:val="0"/>
      <w:jc w:val="center"/>
      <w:textAlignment w:val="baseline"/>
    </w:pPr>
    <w:rPr>
      <w:rFonts w:ascii="宋体" w:hAnsi="宋体" w:cs="宋体"/>
      <w:kern w:val="0"/>
    </w:rPr>
  </w:style>
  <w:style w:type="paragraph" w:customStyle="1" w:styleId="3464">
    <w:name w:val="xl6313"/>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3465">
    <w:name w:val="标准13"/>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3466">
    <w:name w:val="Fax Header13"/>
    <w:basedOn w:val="1"/>
    <w:autoRedefine/>
    <w:qFormat/>
    <w:uiPriority w:val="0"/>
    <w:pPr>
      <w:widowControl/>
      <w:spacing w:before="240" w:after="60"/>
      <w:jc w:val="left"/>
    </w:pPr>
    <w:rPr>
      <w:rFonts w:ascii="宋体" w:hAnsi="宋体" w:cs="宋体"/>
      <w:kern w:val="0"/>
      <w:sz w:val="24"/>
    </w:rPr>
  </w:style>
  <w:style w:type="paragraph" w:customStyle="1" w:styleId="3467">
    <w:name w:val="样式 表格内字体1 +13"/>
    <w:basedOn w:val="1265"/>
    <w:next w:val="1178"/>
    <w:autoRedefine/>
    <w:qFormat/>
    <w:uiPriority w:val="0"/>
    <w:rPr>
      <w:rFonts w:hAnsi="Times New Roman"/>
    </w:rPr>
  </w:style>
  <w:style w:type="paragraph" w:customStyle="1" w:styleId="3468">
    <w:name w:val="默认段落字体 Para Char313"/>
    <w:basedOn w:val="1"/>
    <w:autoRedefine/>
    <w:qFormat/>
    <w:uiPriority w:val="0"/>
    <w:pPr>
      <w:spacing w:line="360" w:lineRule="auto"/>
      <w:ind w:firstLine="200" w:firstLineChars="200"/>
    </w:pPr>
    <w:rPr>
      <w:rFonts w:ascii="宋体" w:hAnsi="宋体" w:cs="宋体"/>
      <w:sz w:val="24"/>
    </w:rPr>
  </w:style>
  <w:style w:type="paragraph" w:customStyle="1" w:styleId="3469">
    <w:name w:val="正文斜体13"/>
    <w:basedOn w:val="316"/>
    <w:next w:val="316"/>
    <w:autoRedefine/>
    <w:qFormat/>
    <w:uiPriority w:val="0"/>
    <w:rPr>
      <w:rFonts w:hAnsi="宋体"/>
      <w:b w:val="0"/>
      <w:i/>
      <w:iCs/>
      <w:spacing w:val="0"/>
    </w:rPr>
  </w:style>
  <w:style w:type="character" w:customStyle="1" w:styleId="3470">
    <w:name w:val="正文斜体 Char13"/>
    <w:autoRedefine/>
    <w:qFormat/>
    <w:uiPriority w:val="0"/>
    <w:rPr>
      <w:rFonts w:ascii="宋体" w:hAnsi="宋体" w:eastAsia="宋体" w:cs="宋体"/>
      <w:b/>
      <w:i/>
      <w:iCs/>
      <w:spacing w:val="10"/>
      <w:kern w:val="2"/>
      <w:sz w:val="24"/>
      <w:szCs w:val="24"/>
      <w:lang w:val="en-US" w:eastAsia="zh-CN" w:bidi="ar-SA"/>
    </w:rPr>
  </w:style>
  <w:style w:type="paragraph" w:customStyle="1" w:styleId="3471">
    <w:name w:val="Char813"/>
    <w:basedOn w:val="1"/>
    <w:autoRedefine/>
    <w:qFormat/>
    <w:uiPriority w:val="0"/>
    <w:pPr>
      <w:ind w:left="-48"/>
    </w:pPr>
    <w:rPr>
      <w:rFonts w:ascii="宋体" w:hAnsi="宋体" w:cs="宋体"/>
    </w:rPr>
  </w:style>
  <w:style w:type="paragraph" w:customStyle="1" w:styleId="3472">
    <w:name w:val="正文格式713"/>
    <w:basedOn w:val="1"/>
    <w:autoRedefine/>
    <w:qFormat/>
    <w:uiPriority w:val="0"/>
    <w:pPr>
      <w:spacing w:line="360" w:lineRule="auto"/>
      <w:ind w:firstLine="482"/>
    </w:pPr>
    <w:rPr>
      <w:rFonts w:ascii="宋体" w:hAnsi="宋体" w:cs="宋体"/>
      <w:sz w:val="24"/>
    </w:rPr>
  </w:style>
  <w:style w:type="character" w:customStyle="1" w:styleId="3473">
    <w:name w:val="题注 Char513"/>
    <w:autoRedefine/>
    <w:qFormat/>
    <w:uiPriority w:val="0"/>
    <w:rPr>
      <w:rFonts w:ascii="黑体" w:hAnsi="Arial" w:eastAsia="黑体" w:cs="Arial"/>
      <w:spacing w:val="10"/>
      <w:kern w:val="2"/>
      <w:sz w:val="24"/>
      <w:szCs w:val="24"/>
      <w:lang w:val="en-US" w:eastAsia="zh-CN" w:bidi="ar-SA"/>
    </w:rPr>
  </w:style>
  <w:style w:type="paragraph" w:customStyle="1" w:styleId="3474">
    <w:name w:val="图题713"/>
    <w:basedOn w:val="316"/>
    <w:next w:val="316"/>
    <w:autoRedefine/>
    <w:qFormat/>
    <w:uiPriority w:val="0"/>
    <w:pPr>
      <w:ind w:firstLine="0"/>
      <w:jc w:val="center"/>
    </w:pPr>
    <w:rPr>
      <w:rFonts w:ascii="黑体" w:hAnsi="宋体" w:eastAsia="黑体"/>
      <w:bCs/>
      <w:spacing w:val="0"/>
    </w:rPr>
  </w:style>
  <w:style w:type="paragraph" w:customStyle="1" w:styleId="3475">
    <w:name w:val="表格内字体713"/>
    <w:basedOn w:val="316"/>
    <w:next w:val="316"/>
    <w:autoRedefine/>
    <w:qFormat/>
    <w:uiPriority w:val="0"/>
    <w:pPr>
      <w:spacing w:line="240" w:lineRule="auto"/>
      <w:ind w:firstLine="0"/>
      <w:jc w:val="center"/>
    </w:pPr>
    <w:rPr>
      <w:rFonts w:hAnsi="宋体"/>
      <w:b w:val="0"/>
      <w:spacing w:val="0"/>
      <w:sz w:val="21"/>
    </w:rPr>
  </w:style>
  <w:style w:type="paragraph" w:customStyle="1" w:styleId="3476">
    <w:name w:val="Char913"/>
    <w:basedOn w:val="1"/>
    <w:autoRedefine/>
    <w:qFormat/>
    <w:uiPriority w:val="0"/>
    <w:pPr>
      <w:ind w:left="-48"/>
    </w:pPr>
    <w:rPr>
      <w:rFonts w:ascii="宋体" w:hAnsi="宋体" w:cs="宋体"/>
    </w:rPr>
  </w:style>
  <w:style w:type="paragraph" w:customStyle="1" w:styleId="3477">
    <w:name w:val="表题1513"/>
    <w:basedOn w:val="22"/>
    <w:autoRedefine/>
    <w:qFormat/>
    <w:uiPriority w:val="0"/>
    <w:pPr>
      <w:widowControl w:val="0"/>
      <w:spacing w:line="360" w:lineRule="auto"/>
      <w:jc w:val="center"/>
    </w:pPr>
    <w:rPr>
      <w:rFonts w:ascii="黑体" w:hAnsi="Arial" w:cs="Arial"/>
      <w:b/>
      <w:kern w:val="2"/>
    </w:rPr>
  </w:style>
  <w:style w:type="character" w:customStyle="1" w:styleId="3478">
    <w:name w:val="表题1 Char613"/>
    <w:autoRedefine/>
    <w:qFormat/>
    <w:uiPriority w:val="0"/>
    <w:rPr>
      <w:rFonts w:ascii="黑体" w:hAnsi="Arial" w:eastAsia="黑体" w:cs="Arial"/>
      <w:b/>
      <w:kern w:val="2"/>
      <w:sz w:val="24"/>
      <w:szCs w:val="24"/>
      <w:lang w:val="en-US" w:eastAsia="zh-CN" w:bidi="ar-SA"/>
    </w:rPr>
  </w:style>
  <w:style w:type="paragraph" w:customStyle="1" w:styleId="3479">
    <w:name w:val="燕山正文41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480">
    <w:name w:val="正文修改413"/>
    <w:basedOn w:val="1181"/>
    <w:autoRedefine/>
    <w:qFormat/>
    <w:uiPriority w:val="0"/>
    <w:rPr>
      <w:rFonts w:hAnsi="宋体"/>
      <w:color w:val="000000"/>
    </w:rPr>
  </w:style>
  <w:style w:type="character" w:customStyle="1" w:styleId="3481">
    <w:name w:val="正文修改 Char1413"/>
    <w:basedOn w:val="1182"/>
    <w:autoRedefine/>
    <w:qFormat/>
    <w:uiPriority w:val="0"/>
    <w:rPr>
      <w:rFonts w:ascii="宋体" w:hAnsi="Calibri" w:cs="宋体"/>
      <w:kern w:val="2"/>
      <w:sz w:val="24"/>
      <w:szCs w:val="24"/>
    </w:rPr>
  </w:style>
  <w:style w:type="paragraph" w:customStyle="1" w:styleId="3482">
    <w:name w:val="表中文字5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483">
    <w:name w:val="默认段落字体 Para Char Char Char Char513"/>
    <w:basedOn w:val="1"/>
    <w:autoRedefine/>
    <w:qFormat/>
    <w:uiPriority w:val="0"/>
    <w:rPr>
      <w:rFonts w:ascii="宋体" w:hAnsi="宋体" w:cs="宋体"/>
    </w:rPr>
  </w:style>
  <w:style w:type="paragraph" w:customStyle="1" w:styleId="3484">
    <w:name w:val="Char1013"/>
    <w:basedOn w:val="1"/>
    <w:autoRedefine/>
    <w:qFormat/>
    <w:uiPriority w:val="0"/>
    <w:pPr>
      <w:adjustRightInd w:val="0"/>
      <w:snapToGrid w:val="0"/>
      <w:spacing w:line="360" w:lineRule="auto"/>
    </w:pPr>
    <w:rPr>
      <w:rFonts w:ascii="宋体" w:hAnsi="宋体" w:cs="宋体"/>
    </w:rPr>
  </w:style>
  <w:style w:type="paragraph" w:customStyle="1" w:styleId="3485">
    <w:name w:val="表内5中113"/>
    <w:basedOn w:val="1"/>
    <w:autoRedefine/>
    <w:qFormat/>
    <w:uiPriority w:val="0"/>
    <w:pPr>
      <w:adjustRightInd w:val="0"/>
      <w:snapToGrid w:val="0"/>
      <w:jc w:val="center"/>
    </w:pPr>
    <w:rPr>
      <w:rFonts w:ascii="宋体" w:hAnsi="宋体" w:cs="Arial"/>
      <w:snapToGrid w:val="0"/>
      <w:color w:val="000000"/>
      <w:szCs w:val="21"/>
    </w:rPr>
  </w:style>
  <w:style w:type="paragraph" w:customStyle="1" w:styleId="3486">
    <w:name w:val="表内541413"/>
    <w:basedOn w:val="1"/>
    <w:autoRedefine/>
    <w:qFormat/>
    <w:uiPriority w:val="0"/>
    <w:pPr>
      <w:adjustRightInd w:val="0"/>
      <w:snapToGrid w:val="0"/>
      <w:spacing w:line="300" w:lineRule="auto"/>
      <w:jc w:val="center"/>
    </w:pPr>
    <w:rPr>
      <w:rFonts w:ascii="宋体" w:hAnsi="宋体" w:cs="宋体"/>
    </w:rPr>
  </w:style>
  <w:style w:type="paragraph" w:customStyle="1" w:styleId="3487">
    <w:name w:val="表内文字小123"/>
    <w:basedOn w:val="1"/>
    <w:autoRedefine/>
    <w:qFormat/>
    <w:uiPriority w:val="0"/>
    <w:pPr>
      <w:adjustRightInd w:val="0"/>
      <w:snapToGrid w:val="0"/>
      <w:jc w:val="center"/>
    </w:pPr>
    <w:rPr>
      <w:rFonts w:ascii="宋体" w:hAnsi="Times" w:cs="宋体"/>
    </w:rPr>
  </w:style>
  <w:style w:type="character" w:customStyle="1" w:styleId="3488">
    <w:name w:val="正文文本缩进 Char11"/>
    <w:autoRedefine/>
    <w:qFormat/>
    <w:uiPriority w:val="0"/>
    <w:rPr>
      <w:rFonts w:eastAsia="宋体"/>
      <w:kern w:val="2"/>
      <w:sz w:val="21"/>
      <w:szCs w:val="24"/>
      <w:lang w:val="en-US" w:eastAsia="zh-CN" w:bidi="ar-SA"/>
    </w:rPr>
  </w:style>
  <w:style w:type="character" w:customStyle="1" w:styleId="3489">
    <w:name w:val="正文首行缩进 2 Char13"/>
    <w:autoRedefine/>
    <w:qFormat/>
    <w:uiPriority w:val="0"/>
    <w:rPr>
      <w:rFonts w:ascii="宋体" w:hAnsi="宋体" w:eastAsia="仿宋_GB2312" w:cs="宋体"/>
      <w:color w:val="000000"/>
      <w:kern w:val="2"/>
      <w:sz w:val="21"/>
      <w:szCs w:val="24"/>
      <w:lang w:val="en-US" w:eastAsia="zh-CN" w:bidi="ar-SA"/>
    </w:rPr>
  </w:style>
  <w:style w:type="paragraph" w:customStyle="1" w:styleId="3490">
    <w:name w:val="默认段落字体 Para Char4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491">
    <w:name w:val="正文格式813"/>
    <w:basedOn w:val="1"/>
    <w:autoRedefine/>
    <w:qFormat/>
    <w:uiPriority w:val="0"/>
    <w:pPr>
      <w:spacing w:line="360" w:lineRule="auto"/>
      <w:ind w:firstLine="482"/>
    </w:pPr>
    <w:rPr>
      <w:rFonts w:ascii="宋体" w:hAnsi="宋体" w:cs="宋体"/>
      <w:sz w:val="24"/>
    </w:rPr>
  </w:style>
  <w:style w:type="paragraph" w:customStyle="1" w:styleId="3492">
    <w:name w:val="正文格式913"/>
    <w:basedOn w:val="1"/>
    <w:autoRedefine/>
    <w:qFormat/>
    <w:uiPriority w:val="0"/>
    <w:pPr>
      <w:spacing w:line="360" w:lineRule="auto"/>
      <w:ind w:firstLine="482"/>
    </w:pPr>
    <w:rPr>
      <w:rFonts w:ascii="宋体" w:hAnsi="宋体" w:cs="宋体"/>
      <w:sz w:val="24"/>
    </w:rPr>
  </w:style>
  <w:style w:type="paragraph" w:customStyle="1" w:styleId="3493">
    <w:name w:val="Char4210"/>
    <w:basedOn w:val="1"/>
    <w:autoRedefine/>
    <w:qFormat/>
    <w:uiPriority w:val="0"/>
    <w:pPr>
      <w:ind w:left="-48"/>
    </w:pPr>
    <w:rPr>
      <w:rFonts w:ascii="宋体" w:hAnsi="宋体" w:cs="宋体"/>
    </w:rPr>
  </w:style>
  <w:style w:type="paragraph" w:customStyle="1" w:styleId="3494">
    <w:name w:val="Char Char Char Char Char Char Char53"/>
    <w:basedOn w:val="1"/>
    <w:autoRedefine/>
    <w:qFormat/>
    <w:uiPriority w:val="0"/>
    <w:rPr>
      <w:rFonts w:ascii="宋体" w:hAnsi="宋体" w:cs="宋体"/>
    </w:rPr>
  </w:style>
  <w:style w:type="paragraph" w:customStyle="1" w:styleId="3495">
    <w:name w:val="Char163"/>
    <w:basedOn w:val="1"/>
    <w:autoRedefine/>
    <w:qFormat/>
    <w:uiPriority w:val="0"/>
    <w:pPr>
      <w:ind w:left="-48"/>
    </w:pPr>
    <w:rPr>
      <w:rFonts w:ascii="宋体" w:hAnsi="宋体" w:cs="宋体"/>
    </w:rPr>
  </w:style>
  <w:style w:type="paragraph" w:customStyle="1" w:styleId="3496">
    <w:name w:val="Char Char Char Char1 Char Char Char27"/>
    <w:basedOn w:val="1"/>
    <w:autoRedefine/>
    <w:qFormat/>
    <w:uiPriority w:val="0"/>
    <w:pPr>
      <w:widowControl/>
      <w:spacing w:after="160"/>
      <w:jc w:val="left"/>
    </w:pPr>
    <w:rPr>
      <w:rFonts w:ascii="Verdana" w:hAnsi="Verdana" w:cs="宋体"/>
      <w:kern w:val="0"/>
      <w:sz w:val="24"/>
      <w:lang w:eastAsia="en-US"/>
    </w:rPr>
  </w:style>
  <w:style w:type="character" w:customStyle="1" w:styleId="3497">
    <w:name w:val="Char Char1126"/>
    <w:autoRedefine/>
    <w:qFormat/>
    <w:uiPriority w:val="0"/>
    <w:rPr>
      <w:rFonts w:ascii="黑体" w:hAnsi="Arial" w:eastAsia="黑体"/>
      <w:bCs/>
      <w:kern w:val="2"/>
      <w:sz w:val="30"/>
      <w:szCs w:val="30"/>
      <w:lang w:val="en-US" w:eastAsia="zh-CN" w:bidi="ar-SA"/>
    </w:rPr>
  </w:style>
  <w:style w:type="paragraph" w:customStyle="1" w:styleId="3498">
    <w:name w:val="Char173"/>
    <w:basedOn w:val="1"/>
    <w:autoRedefine/>
    <w:qFormat/>
    <w:uiPriority w:val="0"/>
    <w:pPr>
      <w:ind w:left="-48"/>
    </w:pPr>
    <w:rPr>
      <w:rFonts w:ascii="宋体" w:hAnsi="宋体" w:cs="宋体"/>
    </w:rPr>
  </w:style>
  <w:style w:type="paragraph" w:customStyle="1" w:styleId="3499">
    <w:name w:val="Char Char Char Char Char Char Char133"/>
    <w:basedOn w:val="1"/>
    <w:autoRedefine/>
    <w:qFormat/>
    <w:uiPriority w:val="0"/>
    <w:rPr>
      <w:rFonts w:ascii="宋体" w:hAnsi="宋体" w:cs="宋体"/>
    </w:rPr>
  </w:style>
  <w:style w:type="character" w:customStyle="1" w:styleId="3500">
    <w:name w:val="Char Char626"/>
    <w:autoRedefine/>
    <w:qFormat/>
    <w:uiPriority w:val="0"/>
    <w:rPr>
      <w:rFonts w:ascii="黑体" w:eastAsia="黑体"/>
      <w:b/>
      <w:bCs/>
      <w:kern w:val="2"/>
      <w:sz w:val="28"/>
      <w:szCs w:val="28"/>
      <w:lang w:val="en-US" w:eastAsia="zh-CN" w:bidi="ar-SA"/>
    </w:rPr>
  </w:style>
  <w:style w:type="paragraph" w:customStyle="1" w:styleId="3501">
    <w:name w:val="Char234"/>
    <w:basedOn w:val="1"/>
    <w:autoRedefine/>
    <w:qFormat/>
    <w:uiPriority w:val="0"/>
    <w:pPr>
      <w:ind w:left="-48"/>
    </w:pPr>
    <w:rPr>
      <w:rFonts w:ascii="宋体" w:hAnsi="宋体" w:cs="宋体"/>
    </w:rPr>
  </w:style>
  <w:style w:type="paragraph" w:customStyle="1" w:styleId="3502">
    <w:name w:val="Char333"/>
    <w:basedOn w:val="1"/>
    <w:autoRedefine/>
    <w:qFormat/>
    <w:uiPriority w:val="0"/>
    <w:pPr>
      <w:ind w:left="-48"/>
    </w:pPr>
    <w:rPr>
      <w:rFonts w:ascii="宋体" w:hAnsi="宋体" w:cs="宋体"/>
    </w:rPr>
  </w:style>
  <w:style w:type="paragraph" w:customStyle="1" w:styleId="3503">
    <w:name w:val="Char Char Char Char Char Char Char228"/>
    <w:basedOn w:val="1"/>
    <w:autoRedefine/>
    <w:qFormat/>
    <w:uiPriority w:val="0"/>
    <w:rPr>
      <w:rFonts w:ascii="宋体" w:hAnsi="宋体" w:cs="宋体"/>
    </w:rPr>
  </w:style>
  <w:style w:type="paragraph" w:customStyle="1" w:styleId="3504">
    <w:name w:val="Char433"/>
    <w:basedOn w:val="1"/>
    <w:autoRedefine/>
    <w:qFormat/>
    <w:uiPriority w:val="0"/>
    <w:pPr>
      <w:ind w:left="-48"/>
    </w:pPr>
    <w:rPr>
      <w:rFonts w:ascii="宋体" w:hAnsi="宋体" w:cs="宋体"/>
    </w:rPr>
  </w:style>
  <w:style w:type="character" w:customStyle="1" w:styleId="3505">
    <w:name w:val="正文首行缩进 Char11"/>
    <w:autoRedefine/>
    <w:qFormat/>
    <w:uiPriority w:val="0"/>
    <w:rPr>
      <w:rFonts w:eastAsia="宋体"/>
      <w:kern w:val="2"/>
      <w:sz w:val="21"/>
      <w:szCs w:val="24"/>
      <w:lang w:val="en-US" w:eastAsia="zh-CN" w:bidi="ar-SA"/>
    </w:rPr>
  </w:style>
  <w:style w:type="character" w:customStyle="1" w:styleId="3506">
    <w:name w:val="正文文本缩进 2 Char11"/>
    <w:autoRedefine/>
    <w:qFormat/>
    <w:uiPriority w:val="0"/>
    <w:rPr>
      <w:rFonts w:eastAsia="宋体"/>
      <w:kern w:val="2"/>
      <w:sz w:val="24"/>
      <w:szCs w:val="24"/>
      <w:lang w:val="en-US" w:eastAsia="zh-CN" w:bidi="ar-SA"/>
    </w:rPr>
  </w:style>
  <w:style w:type="paragraph" w:customStyle="1" w:styleId="3507">
    <w:name w:val="表格内容13"/>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3508">
    <w:name w:val="表格内容 Char11"/>
    <w:autoRedefine/>
    <w:qFormat/>
    <w:uiPriority w:val="0"/>
    <w:rPr>
      <w:rFonts w:eastAsia="宋体"/>
      <w:kern w:val="2"/>
      <w:sz w:val="21"/>
      <w:szCs w:val="21"/>
      <w:lang w:val="en-US" w:eastAsia="zh-CN" w:bidi="ar-SA"/>
    </w:rPr>
  </w:style>
  <w:style w:type="character" w:customStyle="1" w:styleId="3509">
    <w:name w:val="标题 1 Char31"/>
    <w:autoRedefine/>
    <w:qFormat/>
    <w:uiPriority w:val="0"/>
    <w:rPr>
      <w:rFonts w:ascii="黑体" w:hAnsi="宋体" w:eastAsia="黑体" w:cs="Times New Roman"/>
      <w:bCs/>
      <w:kern w:val="44"/>
      <w:sz w:val="32"/>
      <w:szCs w:val="32"/>
      <w:lang w:val="en-US" w:eastAsia="zh-CN" w:bidi="ar-SA"/>
    </w:rPr>
  </w:style>
  <w:style w:type="character" w:customStyle="1" w:styleId="3510">
    <w:name w:val="页眉 Char21"/>
    <w:autoRedefine/>
    <w:qFormat/>
    <w:uiPriority w:val="0"/>
    <w:rPr>
      <w:rFonts w:ascii="Times New Roman" w:hAnsi="Times New Roman" w:eastAsia="宋体" w:cs="Times New Roman"/>
      <w:kern w:val="2"/>
      <w:sz w:val="18"/>
      <w:szCs w:val="18"/>
      <w:lang w:val="en-US" w:eastAsia="zh-CN" w:bidi="ar-SA"/>
    </w:rPr>
  </w:style>
  <w:style w:type="character" w:customStyle="1" w:styleId="3511">
    <w:name w:val="页脚 Char21"/>
    <w:autoRedefine/>
    <w:qFormat/>
    <w:uiPriority w:val="0"/>
    <w:rPr>
      <w:rFonts w:ascii="Times New Roman" w:hAnsi="Times New Roman" w:eastAsia="宋体" w:cs="Times New Roman"/>
      <w:kern w:val="2"/>
      <w:sz w:val="18"/>
      <w:szCs w:val="18"/>
      <w:lang w:val="en-US" w:eastAsia="zh-CN" w:bidi="ar-SA"/>
    </w:rPr>
  </w:style>
  <w:style w:type="paragraph" w:customStyle="1" w:styleId="3512">
    <w:name w:val="正文格式823"/>
    <w:basedOn w:val="1"/>
    <w:autoRedefine/>
    <w:qFormat/>
    <w:uiPriority w:val="0"/>
    <w:pPr>
      <w:spacing w:line="360" w:lineRule="auto"/>
      <w:ind w:firstLine="482"/>
    </w:pPr>
    <w:rPr>
      <w:rFonts w:ascii="宋体" w:hAnsi="宋体" w:cs="宋体"/>
      <w:sz w:val="24"/>
    </w:rPr>
  </w:style>
  <w:style w:type="paragraph" w:customStyle="1" w:styleId="3513">
    <w:name w:val="正文格式121"/>
    <w:basedOn w:val="1"/>
    <w:autoRedefine/>
    <w:qFormat/>
    <w:uiPriority w:val="0"/>
    <w:pPr>
      <w:spacing w:line="360" w:lineRule="auto"/>
      <w:ind w:firstLine="482"/>
    </w:pPr>
    <w:rPr>
      <w:rFonts w:ascii="宋体" w:hAnsi="宋体" w:cs="宋体"/>
      <w:sz w:val="24"/>
    </w:rPr>
  </w:style>
  <w:style w:type="paragraph" w:customStyle="1" w:styleId="3514">
    <w:name w:val="图题91"/>
    <w:basedOn w:val="316"/>
    <w:next w:val="316"/>
    <w:autoRedefine/>
    <w:qFormat/>
    <w:uiPriority w:val="0"/>
    <w:pPr>
      <w:ind w:firstLine="0"/>
      <w:jc w:val="center"/>
    </w:pPr>
    <w:rPr>
      <w:rFonts w:ascii="黑体" w:hAnsi="宋体" w:eastAsia="黑体"/>
      <w:bCs/>
      <w:spacing w:val="0"/>
    </w:rPr>
  </w:style>
  <w:style w:type="paragraph" w:customStyle="1" w:styleId="3515">
    <w:name w:val="表格内字体91"/>
    <w:basedOn w:val="316"/>
    <w:next w:val="316"/>
    <w:autoRedefine/>
    <w:qFormat/>
    <w:uiPriority w:val="0"/>
    <w:pPr>
      <w:spacing w:line="240" w:lineRule="auto"/>
      <w:ind w:firstLine="0"/>
      <w:jc w:val="center"/>
    </w:pPr>
    <w:rPr>
      <w:rFonts w:hAnsi="宋体"/>
      <w:b w:val="0"/>
      <w:spacing w:val="0"/>
      <w:sz w:val="21"/>
    </w:rPr>
  </w:style>
  <w:style w:type="character" w:customStyle="1" w:styleId="3516">
    <w:name w:val="表格内字体 Char91"/>
    <w:autoRedefine/>
    <w:qFormat/>
    <w:uiPriority w:val="0"/>
    <w:rPr>
      <w:rFonts w:ascii="宋体" w:hAnsi="宋体" w:eastAsia="宋体"/>
      <w:kern w:val="2"/>
      <w:sz w:val="21"/>
      <w:szCs w:val="24"/>
      <w:lang w:val="en-US" w:eastAsia="zh-CN" w:bidi="ar-SA"/>
    </w:rPr>
  </w:style>
  <w:style w:type="character" w:customStyle="1" w:styleId="3517">
    <w:name w:val="正文格式 Char111"/>
    <w:autoRedefine/>
    <w:qFormat/>
    <w:uiPriority w:val="0"/>
    <w:rPr>
      <w:rFonts w:ascii="宋体" w:hAnsi="宋体" w:eastAsia="宋体"/>
      <w:kern w:val="2"/>
      <w:sz w:val="24"/>
      <w:szCs w:val="24"/>
      <w:lang w:val="en-US" w:eastAsia="zh-CN" w:bidi="ar-SA"/>
    </w:rPr>
  </w:style>
  <w:style w:type="character" w:customStyle="1" w:styleId="3518">
    <w:name w:val="标题 2 Char61"/>
    <w:autoRedefine/>
    <w:qFormat/>
    <w:uiPriority w:val="0"/>
    <w:rPr>
      <w:rFonts w:ascii="黑体" w:hAnsi="Arial" w:eastAsia="黑体"/>
      <w:b/>
      <w:bCs/>
      <w:kern w:val="2"/>
      <w:sz w:val="30"/>
      <w:szCs w:val="30"/>
      <w:lang w:val="en-US" w:eastAsia="zh-CN" w:bidi="ar-SA"/>
    </w:rPr>
  </w:style>
  <w:style w:type="character" w:customStyle="1" w:styleId="3519">
    <w:name w:val="标题 3 Char131"/>
    <w:autoRedefine/>
    <w:qFormat/>
    <w:uiPriority w:val="0"/>
    <w:rPr>
      <w:rFonts w:ascii="黑体" w:hAnsi="宋体" w:eastAsia="黑体"/>
      <w:b/>
      <w:bCs/>
      <w:kern w:val="2"/>
      <w:sz w:val="28"/>
      <w:szCs w:val="28"/>
      <w:lang w:val="en-US" w:eastAsia="zh-CN" w:bidi="ar-SA"/>
    </w:rPr>
  </w:style>
  <w:style w:type="paragraph" w:customStyle="1" w:styleId="3520">
    <w:name w:val="Char181"/>
    <w:basedOn w:val="1"/>
    <w:autoRedefine/>
    <w:qFormat/>
    <w:uiPriority w:val="0"/>
    <w:pPr>
      <w:ind w:left="-48"/>
    </w:pPr>
    <w:rPr>
      <w:rFonts w:ascii="宋体" w:hAnsi="宋体" w:cs="宋体"/>
    </w:rPr>
  </w:style>
  <w:style w:type="paragraph" w:customStyle="1" w:styleId="3521">
    <w:name w:val="表题171"/>
    <w:basedOn w:val="22"/>
    <w:autoRedefine/>
    <w:qFormat/>
    <w:uiPriority w:val="0"/>
    <w:pPr>
      <w:widowControl w:val="0"/>
      <w:spacing w:line="360" w:lineRule="auto"/>
      <w:jc w:val="center"/>
    </w:pPr>
    <w:rPr>
      <w:rFonts w:ascii="黑体" w:hAnsi="Arial" w:cs="Arial"/>
      <w:b/>
      <w:kern w:val="2"/>
    </w:rPr>
  </w:style>
  <w:style w:type="character" w:customStyle="1" w:styleId="3522">
    <w:name w:val="表题1 Char81"/>
    <w:autoRedefine/>
    <w:qFormat/>
    <w:uiPriority w:val="0"/>
    <w:rPr>
      <w:rFonts w:ascii="黑体" w:hAnsi="Arial" w:eastAsia="黑体" w:cs="Arial"/>
      <w:b/>
      <w:kern w:val="2"/>
      <w:sz w:val="24"/>
      <w:szCs w:val="24"/>
      <w:lang w:val="en-US" w:eastAsia="zh-CN" w:bidi="ar-SA"/>
    </w:rPr>
  </w:style>
  <w:style w:type="paragraph" w:customStyle="1" w:styleId="3523">
    <w:name w:val="默认段落字体 Para Char6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524">
    <w:name w:val="23-47表名21"/>
    <w:basedOn w:val="1"/>
    <w:autoRedefine/>
    <w:qFormat/>
    <w:uiPriority w:val="0"/>
    <w:pPr>
      <w:spacing w:afterLines="50" w:line="440" w:lineRule="exact"/>
      <w:jc w:val="center"/>
    </w:pPr>
    <w:rPr>
      <w:rFonts w:ascii="宋体" w:hAnsi="宋体" w:cs="宋体"/>
      <w:b/>
      <w:sz w:val="24"/>
    </w:rPr>
  </w:style>
  <w:style w:type="paragraph" w:customStyle="1" w:styleId="3525">
    <w:name w:val="xl242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526">
    <w:name w:val="Char Char Char Char Char Char Char61"/>
    <w:basedOn w:val="1"/>
    <w:autoRedefine/>
    <w:qFormat/>
    <w:uiPriority w:val="0"/>
    <w:rPr>
      <w:rFonts w:ascii="宋体" w:hAnsi="宋体" w:cs="宋体"/>
    </w:rPr>
  </w:style>
  <w:style w:type="character" w:customStyle="1" w:styleId="3527">
    <w:name w:val="纯文本 Char21"/>
    <w:autoRedefine/>
    <w:qFormat/>
    <w:uiPriority w:val="0"/>
    <w:rPr>
      <w:rFonts w:ascii="宋体" w:hAnsi="Courier New" w:eastAsia="宋体"/>
      <w:kern w:val="2"/>
      <w:sz w:val="21"/>
      <w:szCs w:val="24"/>
      <w:lang w:val="en-US" w:eastAsia="zh-CN" w:bidi="ar-SA"/>
    </w:rPr>
  </w:style>
  <w:style w:type="paragraph" w:customStyle="1" w:styleId="3528">
    <w:name w:val="Char191"/>
    <w:basedOn w:val="1"/>
    <w:autoRedefine/>
    <w:qFormat/>
    <w:uiPriority w:val="0"/>
    <w:pPr>
      <w:adjustRightInd w:val="0"/>
      <w:snapToGrid w:val="0"/>
      <w:ind w:left="-45"/>
    </w:pPr>
    <w:rPr>
      <w:rFonts w:ascii="宋体" w:hAnsi="宋体" w:cs="宋体"/>
    </w:rPr>
  </w:style>
  <w:style w:type="paragraph" w:customStyle="1" w:styleId="3529">
    <w:name w:val="燕山正文115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3530">
    <w:name w:val="批注框文本 Char61"/>
    <w:autoRedefine/>
    <w:qFormat/>
    <w:uiPriority w:val="0"/>
    <w:rPr>
      <w:rFonts w:eastAsia="宋体"/>
      <w:kern w:val="2"/>
      <w:sz w:val="18"/>
      <w:szCs w:val="18"/>
      <w:lang w:val="en-US" w:eastAsia="zh-CN" w:bidi="ar-SA"/>
    </w:rPr>
  </w:style>
  <w:style w:type="paragraph" w:customStyle="1" w:styleId="3531">
    <w:name w:val="附件51"/>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character" w:customStyle="1" w:styleId="3532">
    <w:name w:val="正文缩进 Char311"/>
    <w:autoRedefine/>
    <w:qFormat/>
    <w:uiPriority w:val="0"/>
    <w:rPr>
      <w:rFonts w:ascii="宋体" w:hAnsi="宋体" w:eastAsia="宋体" w:cs="宋体"/>
      <w:color w:val="000000"/>
      <w:kern w:val="2"/>
      <w:sz w:val="24"/>
      <w:szCs w:val="24"/>
      <w:lang w:val="en-US" w:eastAsia="zh-CN" w:bidi="ar-SA"/>
    </w:rPr>
  </w:style>
  <w:style w:type="paragraph" w:customStyle="1" w:styleId="3533">
    <w:name w:val="标题43141"/>
    <w:basedOn w:val="1"/>
    <w:autoRedefine/>
    <w:qFormat/>
    <w:uiPriority w:val="0"/>
    <w:pPr>
      <w:adjustRightInd w:val="0"/>
      <w:snapToGrid w:val="0"/>
      <w:spacing w:line="480" w:lineRule="exact"/>
      <w:jc w:val="center"/>
    </w:pPr>
    <w:rPr>
      <w:rFonts w:ascii="宋体" w:hAnsi="宋体" w:cs="宋体"/>
      <w:sz w:val="24"/>
    </w:rPr>
  </w:style>
  <w:style w:type="character" w:customStyle="1" w:styleId="3534">
    <w:name w:val="正文文本缩进 Char21"/>
    <w:autoRedefine/>
    <w:qFormat/>
    <w:uiPriority w:val="0"/>
    <w:rPr>
      <w:rFonts w:ascii="宋体" w:hAnsi="宋体" w:eastAsia="宋体" w:cs="宋体"/>
      <w:color w:val="000000"/>
      <w:kern w:val="2"/>
      <w:sz w:val="24"/>
      <w:szCs w:val="24"/>
      <w:lang w:val="en-US" w:eastAsia="zh-CN" w:bidi="ar-SA"/>
    </w:rPr>
  </w:style>
  <w:style w:type="paragraph" w:customStyle="1" w:styleId="3535">
    <w:name w:val="表题4121"/>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536">
    <w:name w:val="表内54161"/>
    <w:basedOn w:val="1"/>
    <w:autoRedefine/>
    <w:qFormat/>
    <w:uiPriority w:val="0"/>
    <w:pPr>
      <w:adjustRightInd w:val="0"/>
      <w:snapToGrid w:val="0"/>
      <w:spacing w:line="300" w:lineRule="auto"/>
      <w:jc w:val="center"/>
    </w:pPr>
    <w:rPr>
      <w:rFonts w:ascii="宋体" w:hAnsi="宋体" w:cs="宋体"/>
    </w:rPr>
  </w:style>
  <w:style w:type="paragraph" w:customStyle="1" w:styleId="3537">
    <w:name w:val="表内文字小2151"/>
    <w:basedOn w:val="1"/>
    <w:autoRedefine/>
    <w:qFormat/>
    <w:uiPriority w:val="0"/>
    <w:pPr>
      <w:adjustRightInd w:val="0"/>
      <w:snapToGrid w:val="0"/>
      <w:jc w:val="center"/>
    </w:pPr>
    <w:rPr>
      <w:rFonts w:ascii="宋体" w:hAnsi="Times" w:cs="宋体"/>
      <w:bCs/>
      <w:color w:val="000000"/>
    </w:rPr>
  </w:style>
  <w:style w:type="paragraph" w:customStyle="1" w:styleId="3538">
    <w:name w:val="表题3151"/>
    <w:basedOn w:val="35"/>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539">
    <w:name w:val="Char Char Char Char Char Char Char71"/>
    <w:basedOn w:val="1"/>
    <w:autoRedefine/>
    <w:qFormat/>
    <w:uiPriority w:val="0"/>
    <w:rPr>
      <w:rFonts w:ascii="宋体" w:hAnsi="宋体" w:cs="宋体"/>
    </w:rPr>
  </w:style>
  <w:style w:type="character" w:customStyle="1" w:styleId="3540">
    <w:name w:val="正文文本缩进 2 Char21"/>
    <w:autoRedefine/>
    <w:qFormat/>
    <w:uiPriority w:val="0"/>
    <w:rPr>
      <w:rFonts w:eastAsia="宋体"/>
      <w:kern w:val="2"/>
      <w:sz w:val="21"/>
      <w:szCs w:val="24"/>
      <w:lang w:val="en-US" w:eastAsia="zh-CN" w:bidi="ar-SA"/>
    </w:rPr>
  </w:style>
  <w:style w:type="paragraph" w:customStyle="1" w:styleId="3541">
    <w:name w:val="表文字551"/>
    <w:basedOn w:val="1"/>
    <w:autoRedefine/>
    <w:qFormat/>
    <w:uiPriority w:val="0"/>
    <w:pPr>
      <w:adjustRightInd w:val="0"/>
      <w:jc w:val="left"/>
      <w:textAlignment w:val="baseline"/>
    </w:pPr>
    <w:rPr>
      <w:rFonts w:ascii="宋体" w:hAnsi="宋体" w:cs="宋体"/>
      <w:kern w:val="0"/>
    </w:rPr>
  </w:style>
  <w:style w:type="paragraph" w:customStyle="1" w:styleId="3542">
    <w:name w:val="表内文字小3151"/>
    <w:basedOn w:val="1"/>
    <w:autoRedefine/>
    <w:qFormat/>
    <w:uiPriority w:val="0"/>
    <w:pPr>
      <w:adjustRightInd w:val="0"/>
      <w:snapToGrid w:val="0"/>
      <w:jc w:val="center"/>
    </w:pPr>
    <w:rPr>
      <w:rFonts w:ascii="宋体" w:hAnsi="Times" w:cs="宋体"/>
      <w:bCs/>
      <w:color w:val="003366"/>
    </w:rPr>
  </w:style>
  <w:style w:type="paragraph" w:customStyle="1" w:styleId="3543">
    <w:name w:val="表内宋5113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3544">
    <w:name w:val="正文文本 Char31"/>
    <w:autoRedefine/>
    <w:qFormat/>
    <w:uiPriority w:val="0"/>
    <w:rPr>
      <w:rFonts w:eastAsia="宋体"/>
      <w:kern w:val="2"/>
      <w:sz w:val="24"/>
      <w:szCs w:val="24"/>
      <w:lang w:val="en-US" w:eastAsia="zh-CN" w:bidi="ar-SA"/>
    </w:rPr>
  </w:style>
  <w:style w:type="character" w:customStyle="1" w:styleId="3545">
    <w:name w:val="正文首行缩进 Char21"/>
    <w:autoRedefine/>
    <w:qFormat/>
    <w:uiPriority w:val="0"/>
    <w:rPr>
      <w:rFonts w:eastAsia="宋体"/>
      <w:kern w:val="2"/>
      <w:sz w:val="24"/>
      <w:szCs w:val="24"/>
      <w:lang w:val="en-US" w:eastAsia="zh-CN" w:bidi="ar-SA"/>
    </w:rPr>
  </w:style>
  <w:style w:type="paragraph" w:customStyle="1" w:styleId="3546">
    <w:name w:val="文本框31"/>
    <w:basedOn w:val="1"/>
    <w:autoRedefine/>
    <w:qFormat/>
    <w:uiPriority w:val="0"/>
    <w:pPr>
      <w:adjustRightInd w:val="0"/>
      <w:snapToGrid w:val="0"/>
      <w:spacing w:after="6"/>
      <w:jc w:val="center"/>
    </w:pPr>
    <w:rPr>
      <w:rFonts w:ascii="宋体" w:hAnsi="宋体" w:eastAsia="仿宋_GB2312" w:cs="宋体"/>
    </w:rPr>
  </w:style>
  <w:style w:type="paragraph" w:customStyle="1" w:styleId="3547">
    <w:name w:val="正文.3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48">
    <w:name w:val="表51"/>
    <w:basedOn w:val="1"/>
    <w:autoRedefine/>
    <w:qFormat/>
    <w:uiPriority w:val="0"/>
    <w:pPr>
      <w:adjustRightInd w:val="0"/>
      <w:snapToGrid w:val="0"/>
      <w:jc w:val="center"/>
    </w:pPr>
    <w:rPr>
      <w:rFonts w:ascii="宋体" w:hAnsi="宋体" w:eastAsia="仿宋_GB2312" w:cs="宋体"/>
      <w:sz w:val="24"/>
    </w:rPr>
  </w:style>
  <w:style w:type="paragraph" w:customStyle="1" w:styleId="3549">
    <w:name w:val="默认段落字体 Para Char Char Char Char71"/>
    <w:basedOn w:val="1"/>
    <w:autoRedefine/>
    <w:qFormat/>
    <w:uiPriority w:val="0"/>
    <w:rPr>
      <w:rFonts w:ascii="宋体" w:hAnsi="宋体" w:cs="宋体"/>
    </w:rPr>
  </w:style>
  <w:style w:type="paragraph" w:customStyle="1" w:styleId="3550">
    <w:name w:val="黑体三号61"/>
    <w:basedOn w:val="316"/>
    <w:autoRedefine/>
    <w:qFormat/>
    <w:uiPriority w:val="0"/>
    <w:pPr>
      <w:jc w:val="center"/>
    </w:pPr>
    <w:rPr>
      <w:rFonts w:ascii="黑体" w:hAnsi="宋体" w:eastAsia="黑体"/>
      <w:bCs/>
      <w:spacing w:val="0"/>
      <w:sz w:val="32"/>
    </w:rPr>
  </w:style>
  <w:style w:type="paragraph" w:customStyle="1" w:styleId="3551">
    <w:name w:val="Char201"/>
    <w:basedOn w:val="1"/>
    <w:autoRedefine/>
    <w:qFormat/>
    <w:uiPriority w:val="0"/>
    <w:pPr>
      <w:ind w:left="-48"/>
    </w:pPr>
    <w:rPr>
      <w:rFonts w:ascii="宋体" w:hAnsi="宋体" w:cs="宋体"/>
    </w:rPr>
  </w:style>
  <w:style w:type="paragraph" w:customStyle="1" w:styleId="3552">
    <w:name w:val="样式141"/>
    <w:basedOn w:val="1228"/>
    <w:autoRedefine/>
    <w:qFormat/>
    <w:uiPriority w:val="0"/>
    <w:pPr>
      <w:spacing w:line="240" w:lineRule="auto"/>
      <w:ind w:firstLine="0"/>
      <w:jc w:val="center"/>
    </w:pPr>
    <w:rPr>
      <w:rFonts w:cs="Times New Roman"/>
      <w:b/>
      <w:color w:val="auto"/>
      <w:szCs w:val="20"/>
    </w:rPr>
  </w:style>
  <w:style w:type="character" w:customStyle="1" w:styleId="3553">
    <w:name w:val="正文文本缩进 3 Char41"/>
    <w:autoRedefine/>
    <w:qFormat/>
    <w:uiPriority w:val="0"/>
    <w:rPr>
      <w:rFonts w:eastAsia="宋体"/>
      <w:kern w:val="2"/>
      <w:sz w:val="16"/>
      <w:szCs w:val="16"/>
      <w:lang w:val="en-US" w:eastAsia="zh-CN" w:bidi="ar-SA"/>
    </w:rPr>
  </w:style>
  <w:style w:type="paragraph" w:customStyle="1" w:styleId="3554">
    <w:name w:val="燕山正文61"/>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3555">
    <w:name w:val="燕山正文 Char161"/>
    <w:autoRedefine/>
    <w:qFormat/>
    <w:uiPriority w:val="0"/>
    <w:rPr>
      <w:rFonts w:ascii="宋体" w:eastAsia="宋体" w:cs="宋体"/>
      <w:kern w:val="2"/>
      <w:sz w:val="24"/>
      <w:szCs w:val="24"/>
      <w:lang w:val="en-US" w:eastAsia="zh-CN" w:bidi="ar-SA"/>
    </w:rPr>
  </w:style>
  <w:style w:type="paragraph" w:customStyle="1" w:styleId="3556">
    <w:name w:val="正文修改61"/>
    <w:basedOn w:val="1181"/>
    <w:autoRedefine/>
    <w:qFormat/>
    <w:uiPriority w:val="0"/>
    <w:rPr>
      <w:rFonts w:hAnsi="宋体"/>
      <w:color w:val="000000"/>
    </w:rPr>
  </w:style>
  <w:style w:type="character" w:customStyle="1" w:styleId="3557">
    <w:name w:val="正文修改 Char161"/>
    <w:autoRedefine/>
    <w:qFormat/>
    <w:uiPriority w:val="0"/>
    <w:rPr>
      <w:rFonts w:ascii="宋体" w:hAnsi="宋体" w:eastAsia="宋体" w:cs="宋体"/>
      <w:color w:val="000000"/>
      <w:kern w:val="2"/>
      <w:sz w:val="24"/>
      <w:szCs w:val="24"/>
      <w:lang w:val="en-US" w:eastAsia="zh-CN" w:bidi="ar-SA"/>
    </w:rPr>
  </w:style>
  <w:style w:type="character" w:customStyle="1" w:styleId="3558">
    <w:name w:val="题注 Char71"/>
    <w:autoRedefine/>
    <w:qFormat/>
    <w:uiPriority w:val="0"/>
    <w:rPr>
      <w:rFonts w:ascii="黑体" w:hAnsi="Arial" w:eastAsia="黑体" w:cs="Arial"/>
      <w:spacing w:val="10"/>
      <w:kern w:val="2"/>
      <w:sz w:val="24"/>
      <w:szCs w:val="24"/>
      <w:lang w:val="en-US" w:eastAsia="zh-CN" w:bidi="ar-SA"/>
    </w:rPr>
  </w:style>
  <w:style w:type="paragraph" w:customStyle="1" w:styleId="3559">
    <w:name w:val="首行缩进:  0.99 厘米 + 首行缩进:  2 字符2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3560">
    <w:name w:val="正文文本 3 Char21"/>
    <w:autoRedefine/>
    <w:qFormat/>
    <w:uiPriority w:val="0"/>
    <w:rPr>
      <w:rFonts w:eastAsia="宋体"/>
      <w:kern w:val="2"/>
      <w:sz w:val="16"/>
      <w:szCs w:val="16"/>
      <w:lang w:val="en-US" w:eastAsia="zh-CN" w:bidi="ar-SA"/>
    </w:rPr>
  </w:style>
  <w:style w:type="paragraph" w:customStyle="1" w:styleId="3561">
    <w:name w:val="图表名称2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3562">
    <w:name w:val="表内文字边2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563">
    <w:name w:val="正文缩2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564">
    <w:name w:val="样式22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3565">
    <w:name w:val="默认段落字体 Para Char Char Char Char Char21"/>
    <w:basedOn w:val="1"/>
    <w:autoRedefine/>
    <w:qFormat/>
    <w:uiPriority w:val="0"/>
    <w:rPr>
      <w:rFonts w:ascii="宋体" w:hAnsi="宋体" w:cs="宋体"/>
    </w:rPr>
  </w:style>
  <w:style w:type="paragraph" w:customStyle="1" w:styleId="3566">
    <w:name w:val="表中文字7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567">
    <w:name w:val="表内宋5中41"/>
    <w:basedOn w:val="1"/>
    <w:autoRedefine/>
    <w:qFormat/>
    <w:uiPriority w:val="0"/>
    <w:pPr>
      <w:adjustRightInd w:val="0"/>
      <w:snapToGrid w:val="0"/>
      <w:textAlignment w:val="baseline"/>
    </w:pPr>
    <w:rPr>
      <w:rFonts w:ascii="宋体" w:hAnsi="宋体" w:cs="宋体"/>
      <w:color w:val="000000"/>
      <w:kern w:val="0"/>
    </w:rPr>
  </w:style>
  <w:style w:type="character" w:customStyle="1" w:styleId="3568">
    <w:name w:val="表中文字 Char261"/>
    <w:autoRedefine/>
    <w:qFormat/>
    <w:uiPriority w:val="0"/>
    <w:rPr>
      <w:rFonts w:ascii="宋体" w:eastAsia="宋体"/>
      <w:kern w:val="2"/>
      <w:sz w:val="21"/>
      <w:szCs w:val="21"/>
      <w:lang w:val="en-US" w:eastAsia="zh-CN" w:bidi="ar-SA"/>
    </w:rPr>
  </w:style>
  <w:style w:type="paragraph" w:customStyle="1" w:styleId="3569">
    <w:name w:val="样式 标题 3 + 段前: 12 磅2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570">
    <w:name w:val="表内文字小41"/>
    <w:basedOn w:val="1"/>
    <w:autoRedefine/>
    <w:qFormat/>
    <w:uiPriority w:val="0"/>
    <w:pPr>
      <w:adjustRightInd w:val="0"/>
      <w:snapToGrid w:val="0"/>
      <w:jc w:val="center"/>
    </w:pPr>
    <w:rPr>
      <w:rFonts w:ascii="宋体" w:hAnsi="Times" w:cs="宋体"/>
    </w:rPr>
  </w:style>
  <w:style w:type="paragraph" w:customStyle="1" w:styleId="3571">
    <w:name w:val="表内542"/>
    <w:basedOn w:val="1"/>
    <w:autoRedefine/>
    <w:qFormat/>
    <w:uiPriority w:val="0"/>
    <w:pPr>
      <w:adjustRightInd w:val="0"/>
      <w:snapToGrid w:val="0"/>
      <w:spacing w:line="300" w:lineRule="auto"/>
      <w:jc w:val="left"/>
    </w:pPr>
    <w:rPr>
      <w:rFonts w:ascii="宋体" w:hAnsi="宋体" w:cs="宋体"/>
      <w:sz w:val="18"/>
    </w:rPr>
  </w:style>
  <w:style w:type="paragraph" w:customStyle="1" w:styleId="3572">
    <w:name w:val="Char Char Char Char1 Char Char Char31"/>
    <w:basedOn w:val="1"/>
    <w:autoRedefine/>
    <w:qFormat/>
    <w:uiPriority w:val="0"/>
    <w:pPr>
      <w:widowControl/>
      <w:spacing w:after="160"/>
      <w:jc w:val="left"/>
    </w:pPr>
    <w:rPr>
      <w:rFonts w:ascii="Verdana" w:hAnsi="Verdana" w:cs="宋体"/>
      <w:kern w:val="0"/>
      <w:sz w:val="24"/>
      <w:lang w:eastAsia="en-US"/>
    </w:rPr>
  </w:style>
  <w:style w:type="paragraph" w:customStyle="1" w:styleId="3573">
    <w:name w:val="正文格式131"/>
    <w:basedOn w:val="1"/>
    <w:autoRedefine/>
    <w:qFormat/>
    <w:uiPriority w:val="0"/>
    <w:pPr>
      <w:spacing w:line="360" w:lineRule="auto"/>
      <w:ind w:firstLine="482"/>
    </w:pPr>
    <w:rPr>
      <w:rFonts w:ascii="宋体" w:hAnsi="宋体" w:cs="宋体"/>
      <w:sz w:val="24"/>
    </w:rPr>
  </w:style>
  <w:style w:type="paragraph" w:customStyle="1" w:styleId="3574">
    <w:name w:val="图题121"/>
    <w:basedOn w:val="316"/>
    <w:next w:val="316"/>
    <w:autoRedefine/>
    <w:qFormat/>
    <w:uiPriority w:val="0"/>
    <w:pPr>
      <w:ind w:firstLine="0"/>
      <w:jc w:val="center"/>
    </w:pPr>
    <w:rPr>
      <w:rFonts w:ascii="黑体" w:hAnsi="宋体" w:eastAsia="黑体"/>
      <w:bCs/>
      <w:spacing w:val="0"/>
    </w:rPr>
  </w:style>
  <w:style w:type="paragraph" w:customStyle="1" w:styleId="3575">
    <w:name w:val="表格内字体131"/>
    <w:basedOn w:val="316"/>
    <w:next w:val="316"/>
    <w:autoRedefine/>
    <w:qFormat/>
    <w:uiPriority w:val="0"/>
    <w:pPr>
      <w:spacing w:line="240" w:lineRule="auto"/>
      <w:ind w:firstLine="0"/>
      <w:jc w:val="center"/>
    </w:pPr>
    <w:rPr>
      <w:rFonts w:hAnsi="宋体"/>
      <w:b w:val="0"/>
      <w:spacing w:val="0"/>
      <w:sz w:val="21"/>
    </w:rPr>
  </w:style>
  <w:style w:type="character" w:customStyle="1" w:styleId="3576">
    <w:name w:val="Char Char1132"/>
    <w:autoRedefine/>
    <w:qFormat/>
    <w:uiPriority w:val="0"/>
    <w:rPr>
      <w:rFonts w:ascii="黑体" w:hAnsi="Arial" w:eastAsia="黑体"/>
      <w:bCs/>
      <w:kern w:val="2"/>
      <w:sz w:val="30"/>
      <w:szCs w:val="30"/>
      <w:lang w:val="en-US" w:eastAsia="zh-CN" w:bidi="ar-SA"/>
    </w:rPr>
  </w:style>
  <w:style w:type="paragraph" w:customStyle="1" w:styleId="3577">
    <w:name w:val="Char1101"/>
    <w:basedOn w:val="1"/>
    <w:autoRedefine/>
    <w:qFormat/>
    <w:uiPriority w:val="0"/>
    <w:pPr>
      <w:ind w:left="-48"/>
    </w:pPr>
    <w:rPr>
      <w:rFonts w:ascii="宋体" w:hAnsi="宋体" w:cs="宋体"/>
    </w:rPr>
  </w:style>
  <w:style w:type="paragraph" w:customStyle="1" w:styleId="3578">
    <w:name w:val="正文格式231"/>
    <w:basedOn w:val="1"/>
    <w:autoRedefine/>
    <w:qFormat/>
    <w:uiPriority w:val="0"/>
    <w:pPr>
      <w:spacing w:line="360" w:lineRule="auto"/>
      <w:ind w:firstLine="482"/>
    </w:pPr>
    <w:rPr>
      <w:rFonts w:ascii="宋体" w:hAnsi="宋体" w:cs="宋体"/>
      <w:sz w:val="24"/>
    </w:rPr>
  </w:style>
  <w:style w:type="paragraph" w:customStyle="1" w:styleId="3579">
    <w:name w:val="Char11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580">
    <w:name w:val="题注 Char121"/>
    <w:autoRedefine/>
    <w:qFormat/>
    <w:uiPriority w:val="0"/>
    <w:rPr>
      <w:rFonts w:ascii="黑体" w:hAnsi="Arial" w:eastAsia="黑体" w:cs="Arial"/>
      <w:spacing w:val="10"/>
      <w:kern w:val="2"/>
      <w:sz w:val="24"/>
      <w:szCs w:val="24"/>
      <w:lang w:val="en-US" w:eastAsia="zh-CN" w:bidi="ar-SA"/>
    </w:rPr>
  </w:style>
  <w:style w:type="paragraph" w:customStyle="1" w:styleId="3581">
    <w:name w:val="图题231"/>
    <w:basedOn w:val="316"/>
    <w:next w:val="316"/>
    <w:autoRedefine/>
    <w:qFormat/>
    <w:uiPriority w:val="0"/>
    <w:pPr>
      <w:ind w:firstLine="0"/>
      <w:jc w:val="center"/>
    </w:pPr>
    <w:rPr>
      <w:rFonts w:ascii="黑体" w:hAnsi="宋体" w:eastAsia="黑体"/>
      <w:bCs/>
      <w:spacing w:val="0"/>
    </w:rPr>
  </w:style>
  <w:style w:type="paragraph" w:customStyle="1" w:styleId="3582">
    <w:name w:val="表格内字体231"/>
    <w:basedOn w:val="316"/>
    <w:next w:val="316"/>
    <w:autoRedefine/>
    <w:qFormat/>
    <w:uiPriority w:val="0"/>
    <w:pPr>
      <w:spacing w:line="240" w:lineRule="auto"/>
      <w:ind w:firstLine="0"/>
      <w:jc w:val="center"/>
    </w:pPr>
    <w:rPr>
      <w:rFonts w:hAnsi="宋体"/>
      <w:b w:val="0"/>
      <w:spacing w:val="0"/>
      <w:sz w:val="21"/>
    </w:rPr>
  </w:style>
  <w:style w:type="paragraph" w:customStyle="1" w:styleId="3583">
    <w:name w:val="表内541121"/>
    <w:basedOn w:val="1"/>
    <w:autoRedefine/>
    <w:qFormat/>
    <w:uiPriority w:val="0"/>
    <w:pPr>
      <w:adjustRightInd w:val="0"/>
      <w:snapToGrid w:val="0"/>
      <w:spacing w:line="300" w:lineRule="auto"/>
      <w:jc w:val="center"/>
    </w:pPr>
    <w:rPr>
      <w:rFonts w:ascii="宋体" w:hAnsi="宋体" w:cs="宋体"/>
    </w:rPr>
  </w:style>
  <w:style w:type="paragraph" w:customStyle="1" w:styleId="3584">
    <w:name w:val="表内文字小21121"/>
    <w:basedOn w:val="1"/>
    <w:autoRedefine/>
    <w:qFormat/>
    <w:uiPriority w:val="0"/>
    <w:pPr>
      <w:adjustRightInd w:val="0"/>
      <w:snapToGrid w:val="0"/>
      <w:jc w:val="center"/>
    </w:pPr>
    <w:rPr>
      <w:rFonts w:ascii="宋体" w:hAnsi="Times" w:cs="宋体"/>
      <w:bCs/>
      <w:color w:val="000000"/>
    </w:rPr>
  </w:style>
  <w:style w:type="paragraph" w:customStyle="1" w:styleId="3585">
    <w:name w:val="表题3112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586">
    <w:name w:val="Char Char Char Char Char Char Char142"/>
    <w:basedOn w:val="1"/>
    <w:autoRedefine/>
    <w:qFormat/>
    <w:uiPriority w:val="0"/>
    <w:rPr>
      <w:rFonts w:ascii="宋体" w:hAnsi="宋体" w:cs="宋体"/>
    </w:rPr>
  </w:style>
  <w:style w:type="paragraph" w:customStyle="1" w:styleId="3587">
    <w:name w:val="标题431121"/>
    <w:basedOn w:val="1"/>
    <w:autoRedefine/>
    <w:qFormat/>
    <w:uiPriority w:val="0"/>
    <w:pPr>
      <w:adjustRightInd w:val="0"/>
      <w:snapToGrid w:val="0"/>
      <w:spacing w:line="480" w:lineRule="exact"/>
      <w:jc w:val="center"/>
    </w:pPr>
    <w:rPr>
      <w:rFonts w:ascii="宋体" w:hAnsi="宋体" w:cs="宋体"/>
      <w:sz w:val="24"/>
    </w:rPr>
  </w:style>
  <w:style w:type="paragraph" w:customStyle="1" w:styleId="3588">
    <w:name w:val="燕山正文1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89">
    <w:name w:val="默认段落字体 Para Char Char Char Char121"/>
    <w:basedOn w:val="1"/>
    <w:autoRedefine/>
    <w:qFormat/>
    <w:uiPriority w:val="0"/>
    <w:rPr>
      <w:rFonts w:ascii="宋体" w:hAnsi="宋体" w:cs="宋体"/>
    </w:rPr>
  </w:style>
  <w:style w:type="paragraph" w:customStyle="1" w:styleId="3590">
    <w:name w:val="附件12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591">
    <w:name w:val="黑体三号121"/>
    <w:basedOn w:val="316"/>
    <w:autoRedefine/>
    <w:qFormat/>
    <w:uiPriority w:val="0"/>
    <w:pPr>
      <w:jc w:val="center"/>
    </w:pPr>
    <w:rPr>
      <w:rFonts w:ascii="黑体" w:hAnsi="宋体" w:eastAsia="黑体"/>
      <w:bCs/>
      <w:spacing w:val="0"/>
      <w:sz w:val="32"/>
    </w:rPr>
  </w:style>
  <w:style w:type="paragraph" w:customStyle="1" w:styleId="3592">
    <w:name w:val="表121"/>
    <w:basedOn w:val="1"/>
    <w:autoRedefine/>
    <w:qFormat/>
    <w:uiPriority w:val="0"/>
    <w:pPr>
      <w:adjustRightInd w:val="0"/>
      <w:snapToGrid w:val="0"/>
      <w:jc w:val="center"/>
    </w:pPr>
    <w:rPr>
      <w:rFonts w:ascii="宋体" w:hAnsi="宋体" w:eastAsia="仿宋_GB2312" w:cs="宋体"/>
      <w:sz w:val="24"/>
    </w:rPr>
  </w:style>
  <w:style w:type="character" w:customStyle="1" w:styleId="3593">
    <w:name w:val="Char Char632"/>
    <w:autoRedefine/>
    <w:qFormat/>
    <w:uiPriority w:val="0"/>
    <w:rPr>
      <w:rFonts w:ascii="黑体" w:eastAsia="黑体"/>
      <w:b/>
      <w:bCs/>
      <w:kern w:val="2"/>
      <w:sz w:val="28"/>
      <w:szCs w:val="28"/>
      <w:lang w:val="en-US" w:eastAsia="zh-CN" w:bidi="ar-SA"/>
    </w:rPr>
  </w:style>
  <w:style w:type="paragraph" w:customStyle="1" w:styleId="3594">
    <w:name w:val="表题1131"/>
    <w:basedOn w:val="22"/>
    <w:autoRedefine/>
    <w:qFormat/>
    <w:uiPriority w:val="0"/>
    <w:pPr>
      <w:widowControl w:val="0"/>
      <w:spacing w:line="360" w:lineRule="auto"/>
      <w:jc w:val="center"/>
    </w:pPr>
    <w:rPr>
      <w:rFonts w:ascii="黑体" w:hAnsi="Arial" w:cs="Arial"/>
      <w:kern w:val="2"/>
    </w:rPr>
  </w:style>
  <w:style w:type="paragraph" w:customStyle="1" w:styleId="3595">
    <w:name w:val="燕山正文14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596">
    <w:name w:val="正文修改121"/>
    <w:basedOn w:val="1181"/>
    <w:autoRedefine/>
    <w:qFormat/>
    <w:uiPriority w:val="0"/>
    <w:rPr>
      <w:rFonts w:hAnsi="宋体"/>
      <w:color w:val="000000"/>
    </w:rPr>
  </w:style>
  <w:style w:type="character" w:customStyle="1" w:styleId="3597">
    <w:name w:val="正文修改 Char1121"/>
    <w:autoRedefine/>
    <w:qFormat/>
    <w:uiPriority w:val="0"/>
    <w:rPr>
      <w:rFonts w:ascii="宋体" w:hAnsi="宋体" w:eastAsia="宋体" w:cs="宋体"/>
      <w:color w:val="000000"/>
      <w:kern w:val="2"/>
      <w:sz w:val="24"/>
      <w:szCs w:val="24"/>
      <w:lang w:val="en-US" w:eastAsia="zh-CN" w:bidi="ar-SA"/>
    </w:rPr>
  </w:style>
  <w:style w:type="paragraph" w:customStyle="1" w:styleId="3598">
    <w:name w:val="表中文字13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599">
    <w:name w:val="表文字5131"/>
    <w:basedOn w:val="1"/>
    <w:autoRedefine/>
    <w:qFormat/>
    <w:uiPriority w:val="0"/>
    <w:pPr>
      <w:adjustRightInd w:val="0"/>
      <w:jc w:val="left"/>
      <w:textAlignment w:val="baseline"/>
    </w:pPr>
    <w:rPr>
      <w:rFonts w:ascii="宋体" w:hAnsi="宋体" w:cs="宋体"/>
      <w:kern w:val="0"/>
    </w:rPr>
  </w:style>
  <w:style w:type="paragraph" w:customStyle="1" w:styleId="3600">
    <w:name w:val="表内文字小31121"/>
    <w:basedOn w:val="1"/>
    <w:autoRedefine/>
    <w:qFormat/>
    <w:uiPriority w:val="0"/>
    <w:pPr>
      <w:adjustRightInd w:val="0"/>
      <w:snapToGrid w:val="0"/>
      <w:jc w:val="center"/>
    </w:pPr>
    <w:rPr>
      <w:rFonts w:ascii="宋体" w:hAnsi="Times" w:cs="宋体"/>
      <w:bCs/>
      <w:color w:val="003366"/>
    </w:rPr>
  </w:style>
  <w:style w:type="paragraph" w:customStyle="1" w:styleId="3601">
    <w:name w:val="样式1121"/>
    <w:basedOn w:val="1228"/>
    <w:autoRedefine/>
    <w:qFormat/>
    <w:uiPriority w:val="0"/>
    <w:pPr>
      <w:spacing w:line="240" w:lineRule="auto"/>
      <w:ind w:firstLine="0"/>
      <w:jc w:val="center"/>
    </w:pPr>
    <w:rPr>
      <w:rFonts w:cs="Times New Roman"/>
      <w:b/>
      <w:color w:val="auto"/>
      <w:szCs w:val="20"/>
    </w:rPr>
  </w:style>
  <w:style w:type="paragraph" w:customStyle="1" w:styleId="3602">
    <w:name w:val="Char242"/>
    <w:basedOn w:val="1"/>
    <w:autoRedefine/>
    <w:qFormat/>
    <w:uiPriority w:val="0"/>
    <w:pPr>
      <w:ind w:left="-48"/>
    </w:pPr>
    <w:rPr>
      <w:rFonts w:ascii="宋体" w:hAnsi="宋体" w:cs="宋体"/>
    </w:rPr>
  </w:style>
  <w:style w:type="paragraph" w:customStyle="1" w:styleId="3603">
    <w:name w:val="表内文字小241"/>
    <w:basedOn w:val="1"/>
    <w:autoRedefine/>
    <w:qFormat/>
    <w:uiPriority w:val="0"/>
    <w:pPr>
      <w:adjustRightInd w:val="0"/>
      <w:snapToGrid w:val="0"/>
      <w:jc w:val="center"/>
    </w:pPr>
    <w:rPr>
      <w:rFonts w:ascii="宋体" w:hAnsi="Times" w:cs="宋体"/>
      <w:bCs/>
      <w:color w:val="000000"/>
    </w:rPr>
  </w:style>
  <w:style w:type="paragraph" w:customStyle="1" w:styleId="3604">
    <w:name w:val="表内5331"/>
    <w:basedOn w:val="1"/>
    <w:autoRedefine/>
    <w:qFormat/>
    <w:uiPriority w:val="0"/>
    <w:pPr>
      <w:adjustRightInd w:val="0"/>
      <w:snapToGrid w:val="0"/>
      <w:spacing w:line="300" w:lineRule="auto"/>
      <w:jc w:val="left"/>
    </w:pPr>
    <w:rPr>
      <w:rFonts w:ascii="宋体" w:hAnsi="宋体" w:cs="宋体"/>
    </w:rPr>
  </w:style>
  <w:style w:type="paragraph" w:customStyle="1" w:styleId="3605">
    <w:name w:val="正文格式321"/>
    <w:basedOn w:val="1"/>
    <w:autoRedefine/>
    <w:qFormat/>
    <w:uiPriority w:val="0"/>
    <w:pPr>
      <w:spacing w:line="360" w:lineRule="auto"/>
      <w:ind w:firstLine="482"/>
    </w:pPr>
    <w:rPr>
      <w:rFonts w:ascii="宋体" w:hAnsi="宋体" w:cs="宋体"/>
      <w:sz w:val="24"/>
    </w:rPr>
  </w:style>
  <w:style w:type="paragraph" w:customStyle="1" w:styleId="3606">
    <w:name w:val="Char25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607">
    <w:name w:val="题注 Char221"/>
    <w:autoRedefine/>
    <w:qFormat/>
    <w:uiPriority w:val="0"/>
    <w:rPr>
      <w:rFonts w:ascii="黑体" w:hAnsi="Arial" w:eastAsia="黑体" w:cs="Arial"/>
      <w:spacing w:val="10"/>
      <w:kern w:val="2"/>
      <w:sz w:val="24"/>
      <w:szCs w:val="24"/>
      <w:lang w:val="en-US" w:eastAsia="zh-CN" w:bidi="ar-SA"/>
    </w:rPr>
  </w:style>
  <w:style w:type="paragraph" w:customStyle="1" w:styleId="3608">
    <w:name w:val="图题321"/>
    <w:basedOn w:val="316"/>
    <w:next w:val="316"/>
    <w:autoRedefine/>
    <w:qFormat/>
    <w:uiPriority w:val="0"/>
    <w:pPr>
      <w:ind w:firstLine="0"/>
      <w:jc w:val="center"/>
    </w:pPr>
    <w:rPr>
      <w:rFonts w:ascii="黑体" w:hAnsi="宋体" w:eastAsia="黑体"/>
      <w:bCs/>
      <w:spacing w:val="0"/>
    </w:rPr>
  </w:style>
  <w:style w:type="paragraph" w:customStyle="1" w:styleId="3609">
    <w:name w:val="表格内字体321"/>
    <w:basedOn w:val="316"/>
    <w:next w:val="316"/>
    <w:autoRedefine/>
    <w:qFormat/>
    <w:uiPriority w:val="0"/>
    <w:pPr>
      <w:spacing w:line="240" w:lineRule="auto"/>
      <w:ind w:firstLine="0"/>
      <w:jc w:val="center"/>
    </w:pPr>
    <w:rPr>
      <w:rFonts w:hAnsi="宋体"/>
      <w:b w:val="0"/>
      <w:spacing w:val="0"/>
      <w:sz w:val="21"/>
    </w:rPr>
  </w:style>
  <w:style w:type="paragraph" w:customStyle="1" w:styleId="3610">
    <w:name w:val="表内541221"/>
    <w:basedOn w:val="1"/>
    <w:autoRedefine/>
    <w:qFormat/>
    <w:uiPriority w:val="0"/>
    <w:pPr>
      <w:adjustRightInd w:val="0"/>
      <w:snapToGrid w:val="0"/>
      <w:spacing w:line="300" w:lineRule="auto"/>
      <w:jc w:val="center"/>
    </w:pPr>
    <w:rPr>
      <w:rFonts w:ascii="宋体" w:hAnsi="宋体" w:cs="宋体"/>
    </w:rPr>
  </w:style>
  <w:style w:type="paragraph" w:customStyle="1" w:styleId="3611">
    <w:name w:val="表内文字小21221"/>
    <w:basedOn w:val="1"/>
    <w:autoRedefine/>
    <w:qFormat/>
    <w:uiPriority w:val="0"/>
    <w:pPr>
      <w:adjustRightInd w:val="0"/>
      <w:snapToGrid w:val="0"/>
      <w:jc w:val="center"/>
    </w:pPr>
    <w:rPr>
      <w:rFonts w:ascii="宋体" w:hAnsi="Times" w:cs="宋体"/>
      <w:bCs/>
      <w:color w:val="000000"/>
    </w:rPr>
  </w:style>
  <w:style w:type="paragraph" w:customStyle="1" w:styleId="3612">
    <w:name w:val="表题3122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613">
    <w:name w:val="标题431221"/>
    <w:basedOn w:val="1"/>
    <w:autoRedefine/>
    <w:qFormat/>
    <w:uiPriority w:val="0"/>
    <w:pPr>
      <w:adjustRightInd w:val="0"/>
      <w:snapToGrid w:val="0"/>
      <w:spacing w:line="480" w:lineRule="exact"/>
      <w:jc w:val="center"/>
    </w:pPr>
    <w:rPr>
      <w:rFonts w:ascii="宋体" w:hAnsi="宋体" w:cs="宋体"/>
      <w:sz w:val="24"/>
    </w:rPr>
  </w:style>
  <w:style w:type="paragraph" w:customStyle="1" w:styleId="3614">
    <w:name w:val="燕山正文112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615">
    <w:name w:val="默认段落字体 Para Char Char Char Char221"/>
    <w:basedOn w:val="1"/>
    <w:autoRedefine/>
    <w:qFormat/>
    <w:uiPriority w:val="0"/>
    <w:rPr>
      <w:rFonts w:ascii="宋体" w:hAnsi="宋体" w:cs="宋体"/>
    </w:rPr>
  </w:style>
  <w:style w:type="paragraph" w:customStyle="1" w:styleId="3616">
    <w:name w:val="附件22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617">
    <w:name w:val="黑体三号221"/>
    <w:basedOn w:val="316"/>
    <w:autoRedefine/>
    <w:qFormat/>
    <w:uiPriority w:val="0"/>
    <w:pPr>
      <w:jc w:val="center"/>
    </w:pPr>
    <w:rPr>
      <w:rFonts w:ascii="黑体" w:hAnsi="宋体" w:eastAsia="黑体"/>
      <w:bCs/>
      <w:spacing w:val="0"/>
      <w:sz w:val="32"/>
    </w:rPr>
  </w:style>
  <w:style w:type="paragraph" w:customStyle="1" w:styleId="3618">
    <w:name w:val="表221"/>
    <w:basedOn w:val="1"/>
    <w:autoRedefine/>
    <w:qFormat/>
    <w:uiPriority w:val="0"/>
    <w:pPr>
      <w:adjustRightInd w:val="0"/>
      <w:snapToGrid w:val="0"/>
      <w:jc w:val="center"/>
    </w:pPr>
    <w:rPr>
      <w:rFonts w:ascii="宋体" w:hAnsi="宋体" w:eastAsia="仿宋_GB2312" w:cs="宋体"/>
      <w:sz w:val="24"/>
    </w:rPr>
  </w:style>
  <w:style w:type="paragraph" w:customStyle="1" w:styleId="3619">
    <w:name w:val="表题1221"/>
    <w:basedOn w:val="22"/>
    <w:autoRedefine/>
    <w:qFormat/>
    <w:uiPriority w:val="0"/>
    <w:pPr>
      <w:widowControl w:val="0"/>
      <w:spacing w:line="360" w:lineRule="auto"/>
      <w:jc w:val="center"/>
    </w:pPr>
    <w:rPr>
      <w:rFonts w:ascii="黑体" w:hAnsi="Arial" w:cs="Arial"/>
      <w:kern w:val="2"/>
    </w:rPr>
  </w:style>
  <w:style w:type="paragraph" w:customStyle="1" w:styleId="3620">
    <w:name w:val="燕山正文2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621">
    <w:name w:val="正文修改221"/>
    <w:basedOn w:val="1181"/>
    <w:autoRedefine/>
    <w:qFormat/>
    <w:uiPriority w:val="0"/>
    <w:rPr>
      <w:rFonts w:hAnsi="宋体"/>
      <w:color w:val="000000"/>
    </w:rPr>
  </w:style>
  <w:style w:type="character" w:customStyle="1" w:styleId="3622">
    <w:name w:val="正文修改 Char1221"/>
    <w:autoRedefine/>
    <w:qFormat/>
    <w:uiPriority w:val="0"/>
    <w:rPr>
      <w:rFonts w:ascii="宋体" w:hAnsi="宋体" w:eastAsia="宋体" w:cs="宋体"/>
      <w:color w:val="000000"/>
      <w:kern w:val="2"/>
      <w:sz w:val="24"/>
      <w:szCs w:val="24"/>
      <w:lang w:val="en-US" w:eastAsia="zh-CN" w:bidi="ar-SA"/>
    </w:rPr>
  </w:style>
  <w:style w:type="paragraph" w:customStyle="1" w:styleId="3623">
    <w:name w:val="表中文字221"/>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3624">
    <w:name w:val="表文字5221"/>
    <w:basedOn w:val="1"/>
    <w:autoRedefine/>
    <w:qFormat/>
    <w:uiPriority w:val="0"/>
    <w:pPr>
      <w:adjustRightInd w:val="0"/>
      <w:jc w:val="left"/>
      <w:textAlignment w:val="baseline"/>
    </w:pPr>
    <w:rPr>
      <w:rFonts w:ascii="宋体" w:hAnsi="宋体" w:cs="宋体"/>
      <w:kern w:val="0"/>
    </w:rPr>
  </w:style>
  <w:style w:type="paragraph" w:customStyle="1" w:styleId="3625">
    <w:name w:val="表内文字小31221"/>
    <w:basedOn w:val="1"/>
    <w:autoRedefine/>
    <w:qFormat/>
    <w:uiPriority w:val="0"/>
    <w:pPr>
      <w:adjustRightInd w:val="0"/>
      <w:snapToGrid w:val="0"/>
      <w:jc w:val="center"/>
    </w:pPr>
    <w:rPr>
      <w:rFonts w:ascii="宋体" w:hAnsi="Times" w:cs="宋体"/>
      <w:bCs/>
      <w:color w:val="003366"/>
    </w:rPr>
  </w:style>
  <w:style w:type="paragraph" w:customStyle="1" w:styleId="3626">
    <w:name w:val="样式1221"/>
    <w:basedOn w:val="1228"/>
    <w:autoRedefine/>
    <w:qFormat/>
    <w:uiPriority w:val="0"/>
    <w:pPr>
      <w:spacing w:line="240" w:lineRule="auto"/>
      <w:ind w:firstLine="0"/>
      <w:jc w:val="center"/>
    </w:pPr>
    <w:rPr>
      <w:rFonts w:cs="Times New Roman"/>
      <w:b/>
      <w:color w:val="auto"/>
      <w:szCs w:val="20"/>
    </w:rPr>
  </w:style>
  <w:style w:type="paragraph" w:customStyle="1" w:styleId="3627">
    <w:name w:val="Char341"/>
    <w:basedOn w:val="1"/>
    <w:autoRedefine/>
    <w:qFormat/>
    <w:uiPriority w:val="0"/>
    <w:pPr>
      <w:ind w:left="-48"/>
    </w:pPr>
    <w:rPr>
      <w:rFonts w:ascii="宋体" w:hAnsi="宋体" w:cs="宋体"/>
    </w:rPr>
  </w:style>
  <w:style w:type="paragraph" w:customStyle="1" w:styleId="3628">
    <w:name w:val="表内文字小2221"/>
    <w:basedOn w:val="1"/>
    <w:autoRedefine/>
    <w:qFormat/>
    <w:uiPriority w:val="0"/>
    <w:pPr>
      <w:adjustRightInd w:val="0"/>
      <w:snapToGrid w:val="0"/>
      <w:jc w:val="center"/>
    </w:pPr>
    <w:rPr>
      <w:rFonts w:ascii="宋体" w:hAnsi="Times" w:cs="宋体"/>
      <w:bCs/>
      <w:color w:val="000000"/>
    </w:rPr>
  </w:style>
  <w:style w:type="paragraph" w:customStyle="1" w:styleId="3629">
    <w:name w:val="表内53121"/>
    <w:basedOn w:val="1"/>
    <w:autoRedefine/>
    <w:qFormat/>
    <w:uiPriority w:val="0"/>
    <w:pPr>
      <w:adjustRightInd w:val="0"/>
      <w:snapToGrid w:val="0"/>
      <w:spacing w:line="300" w:lineRule="auto"/>
      <w:jc w:val="left"/>
    </w:pPr>
    <w:rPr>
      <w:rFonts w:ascii="宋体" w:hAnsi="宋体" w:cs="宋体"/>
    </w:rPr>
  </w:style>
  <w:style w:type="paragraph" w:customStyle="1" w:styleId="3630">
    <w:name w:val="正文格式2121"/>
    <w:basedOn w:val="1"/>
    <w:autoRedefine/>
    <w:qFormat/>
    <w:uiPriority w:val="0"/>
    <w:pPr>
      <w:spacing w:line="360" w:lineRule="auto"/>
      <w:ind w:firstLine="482"/>
    </w:pPr>
    <w:rPr>
      <w:rFonts w:ascii="宋体" w:hAnsi="宋体" w:cs="宋体"/>
      <w:sz w:val="24"/>
    </w:rPr>
  </w:style>
  <w:style w:type="paragraph" w:customStyle="1" w:styleId="3631">
    <w:name w:val="图题2121"/>
    <w:basedOn w:val="316"/>
    <w:next w:val="316"/>
    <w:autoRedefine/>
    <w:qFormat/>
    <w:uiPriority w:val="0"/>
    <w:pPr>
      <w:ind w:firstLine="0"/>
      <w:jc w:val="center"/>
    </w:pPr>
    <w:rPr>
      <w:rFonts w:ascii="黑体" w:hAnsi="宋体" w:eastAsia="黑体"/>
      <w:bCs/>
      <w:spacing w:val="0"/>
    </w:rPr>
  </w:style>
  <w:style w:type="paragraph" w:customStyle="1" w:styleId="3632">
    <w:name w:val="表格内字体2121"/>
    <w:basedOn w:val="316"/>
    <w:next w:val="316"/>
    <w:autoRedefine/>
    <w:qFormat/>
    <w:uiPriority w:val="0"/>
    <w:pPr>
      <w:spacing w:line="240" w:lineRule="auto"/>
      <w:ind w:firstLine="0"/>
      <w:jc w:val="center"/>
    </w:pPr>
    <w:rPr>
      <w:rFonts w:hAnsi="宋体"/>
      <w:b w:val="0"/>
      <w:spacing w:val="0"/>
      <w:sz w:val="21"/>
    </w:rPr>
  </w:style>
  <w:style w:type="paragraph" w:customStyle="1" w:styleId="3633">
    <w:name w:val="表题11121"/>
    <w:basedOn w:val="22"/>
    <w:autoRedefine/>
    <w:qFormat/>
    <w:uiPriority w:val="0"/>
    <w:pPr>
      <w:widowControl w:val="0"/>
      <w:spacing w:line="360" w:lineRule="auto"/>
      <w:jc w:val="center"/>
    </w:pPr>
    <w:rPr>
      <w:rFonts w:ascii="黑体" w:hAnsi="Arial" w:cs="Arial"/>
      <w:kern w:val="2"/>
    </w:rPr>
  </w:style>
  <w:style w:type="paragraph" w:customStyle="1" w:styleId="3634">
    <w:name w:val="表中文字11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635">
    <w:name w:val="表文字51121"/>
    <w:basedOn w:val="1"/>
    <w:autoRedefine/>
    <w:qFormat/>
    <w:uiPriority w:val="0"/>
    <w:pPr>
      <w:adjustRightInd w:val="0"/>
      <w:jc w:val="left"/>
      <w:textAlignment w:val="baseline"/>
    </w:pPr>
    <w:rPr>
      <w:rFonts w:ascii="宋体" w:hAnsi="宋体" w:cs="宋体"/>
      <w:kern w:val="0"/>
    </w:rPr>
  </w:style>
  <w:style w:type="paragraph" w:customStyle="1" w:styleId="3636">
    <w:name w:val="正文格式421"/>
    <w:basedOn w:val="1"/>
    <w:autoRedefine/>
    <w:qFormat/>
    <w:uiPriority w:val="0"/>
    <w:pPr>
      <w:spacing w:line="360" w:lineRule="auto"/>
      <w:ind w:firstLine="482"/>
    </w:pPr>
    <w:rPr>
      <w:rFonts w:ascii="宋体" w:hAnsi="宋体" w:cs="宋体"/>
      <w:sz w:val="24"/>
    </w:rPr>
  </w:style>
  <w:style w:type="paragraph" w:customStyle="1" w:styleId="3637">
    <w:name w:val="图题421"/>
    <w:basedOn w:val="316"/>
    <w:next w:val="316"/>
    <w:autoRedefine/>
    <w:qFormat/>
    <w:uiPriority w:val="0"/>
    <w:pPr>
      <w:ind w:firstLine="0"/>
      <w:jc w:val="center"/>
    </w:pPr>
    <w:rPr>
      <w:rFonts w:ascii="黑体" w:hAnsi="宋体" w:eastAsia="黑体"/>
      <w:bCs/>
      <w:spacing w:val="0"/>
    </w:rPr>
  </w:style>
  <w:style w:type="paragraph" w:customStyle="1" w:styleId="3638">
    <w:name w:val="表格内字体421"/>
    <w:basedOn w:val="316"/>
    <w:next w:val="316"/>
    <w:autoRedefine/>
    <w:qFormat/>
    <w:uiPriority w:val="0"/>
    <w:pPr>
      <w:spacing w:line="240" w:lineRule="auto"/>
      <w:ind w:firstLine="0"/>
      <w:jc w:val="center"/>
    </w:pPr>
    <w:rPr>
      <w:rFonts w:hAnsi="宋体"/>
      <w:b w:val="0"/>
      <w:spacing w:val="0"/>
      <w:sz w:val="21"/>
    </w:rPr>
  </w:style>
  <w:style w:type="paragraph" w:customStyle="1" w:styleId="3639">
    <w:name w:val="Char441"/>
    <w:basedOn w:val="1"/>
    <w:autoRedefine/>
    <w:qFormat/>
    <w:uiPriority w:val="0"/>
    <w:pPr>
      <w:ind w:left="-48"/>
    </w:pPr>
    <w:rPr>
      <w:rFonts w:ascii="宋体" w:hAnsi="宋体" w:cs="宋体"/>
    </w:rPr>
  </w:style>
  <w:style w:type="paragraph" w:customStyle="1" w:styleId="3640">
    <w:name w:val="表题1321"/>
    <w:basedOn w:val="22"/>
    <w:autoRedefine/>
    <w:qFormat/>
    <w:uiPriority w:val="0"/>
    <w:pPr>
      <w:widowControl w:val="0"/>
      <w:spacing w:line="360" w:lineRule="auto"/>
      <w:jc w:val="center"/>
    </w:pPr>
    <w:rPr>
      <w:rFonts w:ascii="黑体" w:hAnsi="Arial" w:cs="Arial"/>
      <w:b/>
      <w:kern w:val="2"/>
    </w:rPr>
  </w:style>
  <w:style w:type="paragraph" w:customStyle="1" w:styleId="3641">
    <w:name w:val="默认段落字体 Para Char1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642">
    <w:name w:val="Char521"/>
    <w:basedOn w:val="1"/>
    <w:autoRedefine/>
    <w:qFormat/>
    <w:uiPriority w:val="0"/>
    <w:pPr>
      <w:adjustRightInd w:val="0"/>
      <w:snapToGrid w:val="0"/>
      <w:ind w:left="-45"/>
    </w:pPr>
    <w:rPr>
      <w:rFonts w:ascii="宋体" w:hAnsi="宋体" w:cs="宋体"/>
    </w:rPr>
  </w:style>
  <w:style w:type="paragraph" w:customStyle="1" w:styleId="3643">
    <w:name w:val="燕山正文1132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644">
    <w:name w:val="正文格式521"/>
    <w:basedOn w:val="1"/>
    <w:autoRedefine/>
    <w:qFormat/>
    <w:uiPriority w:val="0"/>
    <w:pPr>
      <w:spacing w:line="360" w:lineRule="auto"/>
      <w:ind w:firstLine="482"/>
    </w:pPr>
    <w:rPr>
      <w:rFonts w:ascii="宋体" w:hAnsi="宋体" w:cs="宋体"/>
      <w:sz w:val="24"/>
    </w:rPr>
  </w:style>
  <w:style w:type="paragraph" w:customStyle="1" w:styleId="3645">
    <w:name w:val="Char351"/>
    <w:basedOn w:val="1"/>
    <w:autoRedefine/>
    <w:qFormat/>
    <w:uiPriority w:val="0"/>
    <w:pPr>
      <w:ind w:left="-48"/>
    </w:pPr>
    <w:rPr>
      <w:rFonts w:ascii="宋体" w:hAnsi="宋体" w:cs="宋体"/>
    </w:rPr>
  </w:style>
  <w:style w:type="character" w:customStyle="1" w:styleId="3646">
    <w:name w:val="题注 Char321"/>
    <w:autoRedefine/>
    <w:qFormat/>
    <w:uiPriority w:val="0"/>
    <w:rPr>
      <w:rFonts w:ascii="黑体" w:hAnsi="Arial" w:eastAsia="黑体" w:cs="Arial"/>
      <w:spacing w:val="10"/>
      <w:kern w:val="2"/>
      <w:sz w:val="24"/>
      <w:szCs w:val="24"/>
      <w:lang w:val="en-US" w:eastAsia="zh-CN" w:bidi="ar-SA"/>
    </w:rPr>
  </w:style>
  <w:style w:type="paragraph" w:customStyle="1" w:styleId="3647">
    <w:name w:val="图题521"/>
    <w:basedOn w:val="316"/>
    <w:next w:val="316"/>
    <w:autoRedefine/>
    <w:qFormat/>
    <w:uiPriority w:val="0"/>
    <w:pPr>
      <w:ind w:firstLine="0"/>
      <w:jc w:val="center"/>
    </w:pPr>
    <w:rPr>
      <w:rFonts w:ascii="黑体" w:hAnsi="宋体" w:eastAsia="黑体"/>
      <w:bCs/>
      <w:spacing w:val="0"/>
    </w:rPr>
  </w:style>
  <w:style w:type="paragraph" w:customStyle="1" w:styleId="3648">
    <w:name w:val="表格内字体521"/>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3649">
    <w:name w:val="表321"/>
    <w:basedOn w:val="1"/>
    <w:autoRedefine/>
    <w:qFormat/>
    <w:uiPriority w:val="0"/>
    <w:pPr>
      <w:adjustRightInd w:val="0"/>
      <w:snapToGrid w:val="0"/>
      <w:jc w:val="center"/>
    </w:pPr>
    <w:rPr>
      <w:rFonts w:ascii="宋体" w:hAnsi="宋体" w:eastAsia="仿宋_GB2312" w:cs="宋体"/>
      <w:sz w:val="24"/>
    </w:rPr>
  </w:style>
  <w:style w:type="paragraph" w:customStyle="1" w:styleId="3650">
    <w:name w:val="正文.1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651">
    <w:name w:val="文本框121"/>
    <w:basedOn w:val="1"/>
    <w:autoRedefine/>
    <w:qFormat/>
    <w:uiPriority w:val="0"/>
    <w:pPr>
      <w:adjustRightInd w:val="0"/>
      <w:snapToGrid w:val="0"/>
      <w:spacing w:after="6"/>
      <w:jc w:val="center"/>
    </w:pPr>
    <w:rPr>
      <w:rFonts w:ascii="宋体" w:hAnsi="宋体" w:eastAsia="仿宋_GB2312" w:cs="宋体"/>
    </w:rPr>
  </w:style>
  <w:style w:type="paragraph" w:customStyle="1" w:styleId="3652">
    <w:name w:val="表内宋51112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653">
    <w:name w:val="表内文字小31321"/>
    <w:basedOn w:val="1"/>
    <w:autoRedefine/>
    <w:qFormat/>
    <w:uiPriority w:val="0"/>
    <w:pPr>
      <w:adjustRightInd w:val="0"/>
      <w:snapToGrid w:val="0"/>
      <w:jc w:val="center"/>
    </w:pPr>
    <w:rPr>
      <w:rFonts w:ascii="宋体" w:hAnsi="Times" w:cs="宋体"/>
      <w:bCs/>
      <w:color w:val="003366"/>
    </w:rPr>
  </w:style>
  <w:style w:type="paragraph" w:customStyle="1" w:styleId="3654">
    <w:name w:val="表文字5321"/>
    <w:basedOn w:val="1"/>
    <w:autoRedefine/>
    <w:qFormat/>
    <w:uiPriority w:val="0"/>
    <w:pPr>
      <w:adjustRightInd w:val="0"/>
      <w:jc w:val="left"/>
      <w:textAlignment w:val="baseline"/>
    </w:pPr>
    <w:rPr>
      <w:rFonts w:ascii="宋体" w:hAnsi="宋体" w:cs="宋体"/>
      <w:kern w:val="0"/>
    </w:rPr>
  </w:style>
  <w:style w:type="paragraph" w:customStyle="1" w:styleId="3655">
    <w:name w:val="Char Char Char Char Char Char Char231"/>
    <w:basedOn w:val="1"/>
    <w:autoRedefine/>
    <w:qFormat/>
    <w:uiPriority w:val="0"/>
    <w:rPr>
      <w:rFonts w:ascii="宋体" w:hAnsi="宋体" w:cs="宋体"/>
    </w:rPr>
  </w:style>
  <w:style w:type="paragraph" w:customStyle="1" w:styleId="3656">
    <w:name w:val="表题3132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657">
    <w:name w:val="表内文字小21321"/>
    <w:basedOn w:val="1"/>
    <w:autoRedefine/>
    <w:qFormat/>
    <w:uiPriority w:val="0"/>
    <w:pPr>
      <w:adjustRightInd w:val="0"/>
      <w:snapToGrid w:val="0"/>
      <w:jc w:val="center"/>
      <w:textAlignment w:val="baseline"/>
    </w:pPr>
    <w:rPr>
      <w:rFonts w:ascii="宋体" w:hAnsi="Times" w:cs="宋体"/>
      <w:bCs/>
      <w:color w:val="000000"/>
    </w:rPr>
  </w:style>
  <w:style w:type="character" w:customStyle="1" w:styleId="3658">
    <w:name w:val="文档结构图 Char31"/>
    <w:autoRedefine/>
    <w:qFormat/>
    <w:uiPriority w:val="0"/>
    <w:rPr>
      <w:rFonts w:eastAsia="宋体"/>
      <w:kern w:val="2"/>
      <w:sz w:val="21"/>
      <w:szCs w:val="24"/>
      <w:shd w:val="clear" w:color="auto" w:fill="000080"/>
      <w:lang w:val="en-US" w:eastAsia="zh-CN" w:bidi="ar-SA"/>
    </w:rPr>
  </w:style>
  <w:style w:type="paragraph" w:customStyle="1" w:styleId="3659">
    <w:name w:val="燕山正文3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660">
    <w:name w:val="正文修改321"/>
    <w:basedOn w:val="1181"/>
    <w:autoRedefine/>
    <w:qFormat/>
    <w:uiPriority w:val="0"/>
    <w:rPr>
      <w:rFonts w:hAnsi="宋体"/>
      <w:color w:val="000000"/>
    </w:rPr>
  </w:style>
  <w:style w:type="character" w:customStyle="1" w:styleId="3661">
    <w:name w:val="正文修改 Char1321"/>
    <w:autoRedefine/>
    <w:qFormat/>
    <w:uiPriority w:val="0"/>
    <w:rPr>
      <w:rFonts w:ascii="宋体" w:hAnsi="宋体" w:eastAsia="宋体" w:cs="宋体"/>
      <w:color w:val="000000"/>
      <w:kern w:val="2"/>
      <w:sz w:val="24"/>
      <w:szCs w:val="24"/>
      <w:lang w:val="en-US" w:eastAsia="zh-CN" w:bidi="ar-SA"/>
    </w:rPr>
  </w:style>
  <w:style w:type="paragraph" w:customStyle="1" w:styleId="3662">
    <w:name w:val="表题1431"/>
    <w:basedOn w:val="22"/>
    <w:autoRedefine/>
    <w:qFormat/>
    <w:uiPriority w:val="0"/>
    <w:pPr>
      <w:widowControl w:val="0"/>
      <w:spacing w:line="360" w:lineRule="auto"/>
      <w:jc w:val="center"/>
    </w:pPr>
    <w:rPr>
      <w:rFonts w:ascii="黑体" w:hAnsi="Arial" w:cs="Arial"/>
      <w:b/>
      <w:kern w:val="2"/>
    </w:rPr>
  </w:style>
  <w:style w:type="character" w:customStyle="1" w:styleId="3663">
    <w:name w:val="表题1 Char421"/>
    <w:autoRedefine/>
    <w:qFormat/>
    <w:uiPriority w:val="0"/>
    <w:rPr>
      <w:rFonts w:ascii="黑体" w:hAnsi="Arial" w:eastAsia="黑体" w:cs="Arial"/>
      <w:b/>
      <w:kern w:val="2"/>
      <w:sz w:val="24"/>
      <w:szCs w:val="24"/>
      <w:lang w:val="en-US" w:eastAsia="zh-CN" w:bidi="ar-SA"/>
    </w:rPr>
  </w:style>
  <w:style w:type="paragraph" w:customStyle="1" w:styleId="3664">
    <w:name w:val="表中文字3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665">
    <w:name w:val="黑体三号321"/>
    <w:basedOn w:val="316"/>
    <w:autoRedefine/>
    <w:qFormat/>
    <w:uiPriority w:val="0"/>
    <w:pPr>
      <w:jc w:val="center"/>
    </w:pPr>
    <w:rPr>
      <w:rFonts w:ascii="黑体" w:hAnsi="宋体" w:eastAsia="黑体"/>
      <w:bCs/>
      <w:spacing w:val="0"/>
      <w:sz w:val="32"/>
    </w:rPr>
  </w:style>
  <w:style w:type="paragraph" w:customStyle="1" w:styleId="3666">
    <w:name w:val="默认段落字体 Para Char Char Char Char321"/>
    <w:basedOn w:val="1"/>
    <w:autoRedefine/>
    <w:qFormat/>
    <w:uiPriority w:val="0"/>
    <w:rPr>
      <w:rFonts w:ascii="宋体" w:hAnsi="宋体" w:cs="宋体"/>
    </w:rPr>
  </w:style>
  <w:style w:type="paragraph" w:customStyle="1" w:styleId="3667">
    <w:name w:val="表内541321"/>
    <w:basedOn w:val="1"/>
    <w:autoRedefine/>
    <w:qFormat/>
    <w:uiPriority w:val="0"/>
    <w:pPr>
      <w:adjustRightInd w:val="0"/>
      <w:snapToGrid w:val="0"/>
      <w:spacing w:line="300" w:lineRule="auto"/>
      <w:jc w:val="center"/>
    </w:pPr>
    <w:rPr>
      <w:rFonts w:ascii="宋体" w:hAnsi="宋体" w:cs="宋体"/>
    </w:rPr>
  </w:style>
  <w:style w:type="paragraph" w:customStyle="1" w:styleId="3668">
    <w:name w:val="标题43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669">
    <w:name w:val="Char621"/>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3670">
    <w:name w:val="表题2112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671">
    <w:name w:val="表内宋5中1121"/>
    <w:basedOn w:val="1"/>
    <w:autoRedefine/>
    <w:qFormat/>
    <w:uiPriority w:val="0"/>
    <w:pPr>
      <w:adjustRightInd w:val="0"/>
      <w:snapToGrid w:val="0"/>
      <w:jc w:val="center"/>
      <w:textAlignment w:val="baseline"/>
    </w:pPr>
    <w:rPr>
      <w:rFonts w:ascii="宋体" w:hAnsi="宋体" w:cs="宋体"/>
      <w:kern w:val="0"/>
    </w:rPr>
  </w:style>
  <w:style w:type="paragraph" w:customStyle="1" w:styleId="3672">
    <w:name w:val="表内宋5中131"/>
    <w:basedOn w:val="1"/>
    <w:autoRedefine/>
    <w:qFormat/>
    <w:uiPriority w:val="0"/>
    <w:pPr>
      <w:adjustRightInd w:val="0"/>
      <w:snapToGrid w:val="0"/>
      <w:jc w:val="center"/>
      <w:textAlignment w:val="baseline"/>
    </w:pPr>
    <w:rPr>
      <w:rFonts w:ascii="宋体" w:hAnsi="宋体" w:cs="宋体"/>
      <w:kern w:val="0"/>
    </w:rPr>
  </w:style>
  <w:style w:type="paragraph" w:customStyle="1" w:styleId="3673">
    <w:name w:val="表内文字小1121"/>
    <w:basedOn w:val="1"/>
    <w:autoRedefine/>
    <w:qFormat/>
    <w:uiPriority w:val="0"/>
    <w:pPr>
      <w:adjustRightInd w:val="0"/>
      <w:snapToGrid w:val="0"/>
    </w:pPr>
    <w:rPr>
      <w:rFonts w:ascii="宋体" w:hAnsi="Times" w:cs="宋体"/>
    </w:rPr>
  </w:style>
  <w:style w:type="paragraph" w:customStyle="1" w:styleId="3674">
    <w:name w:val="标题4112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675">
    <w:name w:val="表题1412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676">
    <w:name w:val="表内文字小821"/>
    <w:basedOn w:val="1"/>
    <w:autoRedefine/>
    <w:qFormat/>
    <w:uiPriority w:val="0"/>
    <w:pPr>
      <w:adjustRightInd w:val="0"/>
      <w:snapToGrid w:val="0"/>
      <w:jc w:val="center"/>
    </w:pPr>
    <w:rPr>
      <w:rFonts w:ascii="宋体" w:hAnsi="Times" w:cs="宋体"/>
    </w:rPr>
  </w:style>
  <w:style w:type="paragraph" w:customStyle="1" w:styleId="3677">
    <w:name w:val="默认段落字体 Para Char2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678">
    <w:name w:val="表内5中31"/>
    <w:basedOn w:val="1"/>
    <w:autoRedefine/>
    <w:qFormat/>
    <w:uiPriority w:val="0"/>
    <w:pPr>
      <w:adjustRightInd w:val="0"/>
      <w:snapToGrid w:val="0"/>
      <w:jc w:val="center"/>
    </w:pPr>
    <w:rPr>
      <w:rFonts w:ascii="宋体" w:hAnsi="宋体" w:cs="Arial"/>
      <w:snapToGrid w:val="0"/>
      <w:color w:val="000000"/>
      <w:szCs w:val="21"/>
    </w:rPr>
  </w:style>
  <w:style w:type="paragraph" w:customStyle="1" w:styleId="3679">
    <w:name w:val="Default21"/>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3680">
    <w:name w:val="标题 1 Char41"/>
    <w:autoRedefine/>
    <w:qFormat/>
    <w:uiPriority w:val="0"/>
    <w:rPr>
      <w:rFonts w:ascii="黑体" w:hAnsi="宋体" w:eastAsia="黑体"/>
      <w:b/>
      <w:bCs/>
      <w:kern w:val="44"/>
      <w:sz w:val="32"/>
      <w:szCs w:val="32"/>
      <w:lang w:val="en-US" w:eastAsia="zh-CN" w:bidi="ar-SA"/>
    </w:rPr>
  </w:style>
  <w:style w:type="paragraph" w:customStyle="1" w:styleId="3681">
    <w:name w:val="正文格式621"/>
    <w:basedOn w:val="1"/>
    <w:autoRedefine/>
    <w:qFormat/>
    <w:uiPriority w:val="0"/>
    <w:pPr>
      <w:spacing w:line="360" w:lineRule="auto"/>
      <w:ind w:firstLine="482"/>
    </w:pPr>
    <w:rPr>
      <w:rFonts w:ascii="宋体" w:hAnsi="宋体" w:cs="宋体"/>
      <w:sz w:val="24"/>
    </w:rPr>
  </w:style>
  <w:style w:type="paragraph" w:customStyle="1" w:styleId="3682">
    <w:name w:val="附件321"/>
    <w:basedOn w:val="3"/>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3683">
    <w:name w:val="图题621"/>
    <w:basedOn w:val="316"/>
    <w:next w:val="316"/>
    <w:autoRedefine/>
    <w:qFormat/>
    <w:uiPriority w:val="0"/>
    <w:pPr>
      <w:ind w:firstLine="0"/>
      <w:jc w:val="center"/>
    </w:pPr>
    <w:rPr>
      <w:rFonts w:ascii="黑体" w:hAnsi="宋体" w:eastAsia="黑体"/>
      <w:bCs/>
      <w:spacing w:val="0"/>
      <w:kern w:val="0"/>
    </w:rPr>
  </w:style>
  <w:style w:type="character" w:customStyle="1" w:styleId="3684">
    <w:name w:val="图题 Char21"/>
    <w:autoRedefine/>
    <w:qFormat/>
    <w:uiPriority w:val="0"/>
    <w:rPr>
      <w:rFonts w:ascii="黑体" w:hAnsi="宋体" w:eastAsia="黑体" w:cs="宋体"/>
      <w:b/>
      <w:bCs/>
      <w:kern w:val="2"/>
      <w:sz w:val="24"/>
      <w:szCs w:val="24"/>
      <w:lang w:val="en-US" w:eastAsia="zh-CN" w:bidi="ar-SA"/>
    </w:rPr>
  </w:style>
  <w:style w:type="paragraph" w:customStyle="1" w:styleId="3685">
    <w:name w:val="表格内字体621"/>
    <w:basedOn w:val="316"/>
    <w:next w:val="316"/>
    <w:autoRedefine/>
    <w:qFormat/>
    <w:uiPriority w:val="0"/>
    <w:pPr>
      <w:spacing w:line="240" w:lineRule="auto"/>
      <w:ind w:firstLine="0"/>
      <w:jc w:val="center"/>
    </w:pPr>
    <w:rPr>
      <w:rFonts w:hAnsi="宋体"/>
      <w:b w:val="0"/>
      <w:spacing w:val="0"/>
      <w:sz w:val="21"/>
    </w:rPr>
  </w:style>
  <w:style w:type="character" w:customStyle="1" w:styleId="3686">
    <w:name w:val="页眉 Char31"/>
    <w:autoRedefine/>
    <w:qFormat/>
    <w:uiPriority w:val="0"/>
    <w:rPr>
      <w:rFonts w:eastAsia="宋体"/>
      <w:kern w:val="2"/>
      <w:sz w:val="18"/>
      <w:szCs w:val="18"/>
      <w:lang w:val="en-US" w:eastAsia="zh-CN" w:bidi="ar-SA"/>
    </w:rPr>
  </w:style>
  <w:style w:type="character" w:customStyle="1" w:styleId="3687">
    <w:name w:val="页脚 Char31"/>
    <w:autoRedefine/>
    <w:qFormat/>
    <w:uiPriority w:val="0"/>
    <w:rPr>
      <w:rFonts w:eastAsia="宋体"/>
      <w:kern w:val="2"/>
      <w:sz w:val="18"/>
      <w:szCs w:val="18"/>
      <w:lang w:val="en-US" w:eastAsia="zh-CN" w:bidi="ar-SA"/>
    </w:rPr>
  </w:style>
  <w:style w:type="paragraph" w:customStyle="1" w:styleId="3688">
    <w:name w:val="黑体三号421"/>
    <w:basedOn w:val="316"/>
    <w:autoRedefine/>
    <w:qFormat/>
    <w:uiPriority w:val="0"/>
    <w:pPr>
      <w:jc w:val="center"/>
    </w:pPr>
    <w:rPr>
      <w:rFonts w:ascii="黑体" w:hAnsi="宋体" w:eastAsia="黑体"/>
      <w:bCs/>
      <w:spacing w:val="0"/>
      <w:sz w:val="32"/>
    </w:rPr>
  </w:style>
  <w:style w:type="paragraph" w:customStyle="1" w:styleId="3689">
    <w:name w:val="默认段落字体 Para Char Char Char Char421"/>
    <w:basedOn w:val="1"/>
    <w:autoRedefine/>
    <w:qFormat/>
    <w:uiPriority w:val="0"/>
    <w:rPr>
      <w:rFonts w:ascii="宋体" w:hAnsi="宋体" w:cs="宋体"/>
    </w:rPr>
  </w:style>
  <w:style w:type="paragraph" w:customStyle="1" w:styleId="3690">
    <w:name w:val="图表题21"/>
    <w:basedOn w:val="316"/>
    <w:next w:val="316"/>
    <w:autoRedefine/>
    <w:qFormat/>
    <w:uiPriority w:val="0"/>
    <w:pPr>
      <w:ind w:firstLine="0"/>
      <w:jc w:val="center"/>
    </w:pPr>
    <w:rPr>
      <w:rFonts w:ascii="黑体" w:hAnsi="宋体" w:eastAsia="黑体"/>
      <w:bCs/>
      <w:spacing w:val="0"/>
    </w:rPr>
  </w:style>
  <w:style w:type="character" w:customStyle="1" w:styleId="3691">
    <w:name w:val="图表题 Char21"/>
    <w:autoRedefine/>
    <w:qFormat/>
    <w:uiPriority w:val="0"/>
    <w:rPr>
      <w:rFonts w:ascii="黑体" w:hAnsi="宋体" w:eastAsia="黑体" w:cs="宋体"/>
      <w:b/>
      <w:bCs/>
      <w:szCs w:val="24"/>
    </w:rPr>
  </w:style>
  <w:style w:type="paragraph" w:customStyle="1" w:styleId="3692">
    <w:name w:val="样式 表格内字体 +21"/>
    <w:basedOn w:val="1178"/>
    <w:autoRedefine/>
    <w:qFormat/>
    <w:uiPriority w:val="0"/>
    <w:pPr>
      <w:spacing w:line="280" w:lineRule="exact"/>
      <w:ind w:firstLine="36"/>
      <w:jc w:val="both"/>
    </w:pPr>
    <w:rPr>
      <w:kern w:val="0"/>
    </w:rPr>
  </w:style>
  <w:style w:type="character" w:customStyle="1" w:styleId="3693">
    <w:name w:val="样式 表格内字体 + Char21"/>
    <w:basedOn w:val="1179"/>
    <w:autoRedefine/>
    <w:qFormat/>
    <w:uiPriority w:val="0"/>
    <w:rPr>
      <w:rFonts w:ascii="宋体" w:hAnsi="宋体"/>
      <w:kern w:val="2"/>
      <w:sz w:val="21"/>
    </w:rPr>
  </w:style>
  <w:style w:type="paragraph" w:customStyle="1" w:styleId="3694">
    <w:name w:val="A正文2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3695">
    <w:name w:val="A正文 Char21"/>
    <w:autoRedefine/>
    <w:qFormat/>
    <w:uiPriority w:val="0"/>
    <w:rPr>
      <w:rFonts w:eastAsia="仿宋_GB2312"/>
      <w:kern w:val="2"/>
      <w:sz w:val="24"/>
      <w:szCs w:val="24"/>
      <w:lang w:val="en-US" w:eastAsia="zh-CN" w:bidi="ar-SA"/>
    </w:rPr>
  </w:style>
  <w:style w:type="paragraph" w:customStyle="1" w:styleId="3696">
    <w:name w:val="图题注21"/>
    <w:basedOn w:val="22"/>
    <w:autoRedefine/>
    <w:qFormat/>
    <w:uiPriority w:val="0"/>
    <w:pPr>
      <w:widowControl w:val="0"/>
      <w:jc w:val="center"/>
    </w:pPr>
    <w:rPr>
      <w:rFonts w:ascii="黑体" w:hAnsi="Arial"/>
      <w:b/>
      <w:bCs/>
      <w:kern w:val="2"/>
    </w:rPr>
  </w:style>
  <w:style w:type="character" w:customStyle="1" w:styleId="3697">
    <w:name w:val="图题注 Char21"/>
    <w:autoRedefine/>
    <w:qFormat/>
    <w:uiPriority w:val="0"/>
    <w:rPr>
      <w:rFonts w:ascii="黑体" w:hAnsi="Arial" w:eastAsia="黑体" w:cs="宋体"/>
      <w:b/>
      <w:bCs/>
      <w:kern w:val="2"/>
      <w:sz w:val="24"/>
      <w:szCs w:val="24"/>
      <w:lang w:val="en-US" w:eastAsia="zh-CN" w:bidi="ar-SA"/>
    </w:rPr>
  </w:style>
  <w:style w:type="paragraph" w:customStyle="1" w:styleId="3698">
    <w:name w:val="Char721"/>
    <w:basedOn w:val="1"/>
    <w:autoRedefine/>
    <w:qFormat/>
    <w:uiPriority w:val="0"/>
    <w:pPr>
      <w:ind w:left="-48"/>
    </w:pPr>
    <w:rPr>
      <w:rFonts w:ascii="宋体" w:hAnsi="宋体" w:cs="宋体"/>
    </w:rPr>
  </w:style>
  <w:style w:type="paragraph" w:customStyle="1" w:styleId="3699">
    <w:name w:val="表格内字体1121"/>
    <w:basedOn w:val="316"/>
    <w:autoRedefine/>
    <w:qFormat/>
    <w:uiPriority w:val="0"/>
    <w:pPr>
      <w:spacing w:line="240" w:lineRule="auto"/>
      <w:ind w:firstLine="0"/>
      <w:jc w:val="center"/>
    </w:pPr>
    <w:rPr>
      <w:rFonts w:hAnsi="Times New Roman"/>
      <w:b w:val="0"/>
      <w:spacing w:val="0"/>
      <w:sz w:val="21"/>
    </w:rPr>
  </w:style>
  <w:style w:type="paragraph" w:customStyle="1" w:styleId="3700">
    <w:name w:val="样式 正文缩进 + 宋体 黑色 首行缩进:  2 字符21"/>
    <w:basedOn w:val="9"/>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3701">
    <w:name w:val="环评正文21"/>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3702">
    <w:name w:val="环评正文 Char21"/>
    <w:autoRedefine/>
    <w:qFormat/>
    <w:uiPriority w:val="0"/>
    <w:rPr>
      <w:rFonts w:eastAsia="宋体"/>
      <w:bCs/>
      <w:kern w:val="2"/>
      <w:sz w:val="24"/>
      <w:szCs w:val="24"/>
      <w:lang w:val="en-US" w:eastAsia="zh-CN" w:bidi="ar-SA"/>
    </w:rPr>
  </w:style>
  <w:style w:type="paragraph" w:customStyle="1" w:styleId="3703">
    <w:name w:val="注释21"/>
    <w:basedOn w:val="316"/>
    <w:next w:val="34"/>
    <w:autoRedefine/>
    <w:qFormat/>
    <w:uiPriority w:val="0"/>
    <w:pPr>
      <w:spacing w:before="120" w:after="120" w:line="240" w:lineRule="auto"/>
      <w:ind w:firstLine="200" w:firstLineChars="200"/>
    </w:pPr>
    <w:rPr>
      <w:rFonts w:hAnsi="Times New Roman"/>
      <w:b w:val="0"/>
      <w:spacing w:val="0"/>
      <w:sz w:val="21"/>
    </w:rPr>
  </w:style>
  <w:style w:type="paragraph" w:customStyle="1" w:styleId="3704">
    <w:name w:val="样式421"/>
    <w:basedOn w:val="34"/>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3705">
    <w:name w:val="标题4131"/>
    <w:basedOn w:val="6"/>
    <w:next w:val="1"/>
    <w:autoRedefine/>
    <w:qFormat/>
    <w:uiPriority w:val="0"/>
    <w:pPr>
      <w:widowControl w:val="0"/>
      <w:tabs>
        <w:tab w:val="clear" w:pos="1276"/>
      </w:tabs>
      <w:spacing w:before="160" w:after="170"/>
      <w:ind w:left="0" w:firstLine="0"/>
      <w:jc w:val="both"/>
    </w:pPr>
    <w:rPr>
      <w:rFonts w:ascii="黑体" w:eastAsia="黑体"/>
    </w:rPr>
  </w:style>
  <w:style w:type="character" w:customStyle="1" w:styleId="3706">
    <w:name w:val="标题4 Char21"/>
    <w:autoRedefine/>
    <w:qFormat/>
    <w:uiPriority w:val="0"/>
    <w:rPr>
      <w:rFonts w:ascii="黑体" w:hAnsi="Arial" w:eastAsia="黑体" w:cs="Times New Roman"/>
      <w:b/>
      <w:bCs/>
      <w:kern w:val="2"/>
      <w:sz w:val="24"/>
      <w:szCs w:val="28"/>
      <w:lang w:val="en-US" w:eastAsia="zh-CN" w:bidi="ar-SA"/>
    </w:rPr>
  </w:style>
  <w:style w:type="paragraph" w:customStyle="1" w:styleId="3707">
    <w:name w:val="表中文字421"/>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3708">
    <w:name w:val="表中文字 Char31"/>
    <w:autoRedefine/>
    <w:qFormat/>
    <w:uiPriority w:val="0"/>
    <w:rPr>
      <w:rFonts w:ascii="Arial" w:hAnsi="Arial" w:eastAsia="宋体"/>
      <w:kern w:val="2"/>
      <w:sz w:val="24"/>
      <w:szCs w:val="24"/>
      <w:lang w:val="en-US" w:eastAsia="zh-TW" w:bidi="ar-SA"/>
    </w:rPr>
  </w:style>
  <w:style w:type="paragraph" w:customStyle="1" w:styleId="3709">
    <w:name w:val="样式 正文缩进 + 宋体 黑色21"/>
    <w:basedOn w:val="9"/>
    <w:autoRedefine/>
    <w:qFormat/>
    <w:uiPriority w:val="0"/>
    <w:pPr>
      <w:adjustRightInd/>
      <w:snapToGrid/>
      <w:spacing w:line="360" w:lineRule="auto"/>
      <w:jc w:val="left"/>
    </w:pPr>
    <w:rPr>
      <w:rFonts w:ascii="宋体" w:hAnsi="宋体" w:eastAsia="宋体" w:cs="宋体"/>
      <w:sz w:val="24"/>
    </w:rPr>
  </w:style>
  <w:style w:type="character" w:customStyle="1" w:styleId="3710">
    <w:name w:val="样式 正文缩进 + 宋体 黑色 Char21"/>
    <w:autoRedefine/>
    <w:qFormat/>
    <w:uiPriority w:val="0"/>
    <w:rPr>
      <w:rFonts w:ascii="宋体" w:hAnsi="宋体" w:eastAsia="宋体"/>
      <w:color w:val="000000"/>
      <w:kern w:val="2"/>
      <w:sz w:val="24"/>
      <w:szCs w:val="24"/>
      <w:lang w:val="en-US" w:eastAsia="zh-CN" w:bidi="ar-SA"/>
    </w:rPr>
  </w:style>
  <w:style w:type="paragraph" w:customStyle="1" w:styleId="3711">
    <w:name w:val="表内5121"/>
    <w:basedOn w:val="1"/>
    <w:autoRedefine/>
    <w:qFormat/>
    <w:uiPriority w:val="0"/>
    <w:pPr>
      <w:adjustRightInd w:val="0"/>
      <w:snapToGrid w:val="0"/>
      <w:jc w:val="center"/>
    </w:pPr>
    <w:rPr>
      <w:rFonts w:ascii="宋体" w:hAnsi="宋体" w:cs="宋体"/>
      <w:kern w:val="0"/>
      <w:sz w:val="24"/>
    </w:rPr>
  </w:style>
  <w:style w:type="character" w:customStyle="1" w:styleId="3712">
    <w:name w:val="表内5 Char31"/>
    <w:autoRedefine/>
    <w:qFormat/>
    <w:uiPriority w:val="0"/>
    <w:rPr>
      <w:rFonts w:ascii="宋体" w:hAnsi="宋体" w:eastAsia="宋体" w:cs="Times New Roman"/>
      <w:kern w:val="2"/>
      <w:sz w:val="24"/>
      <w:szCs w:val="24"/>
      <w:lang w:val="en-US" w:eastAsia="zh-CN" w:bidi="ar-SA"/>
    </w:rPr>
  </w:style>
  <w:style w:type="paragraph" w:customStyle="1" w:styleId="3713">
    <w:name w:val="样式 样式 宋体 + 首行缩进:  2 字符121"/>
    <w:basedOn w:val="1"/>
    <w:autoRedefine/>
    <w:qFormat/>
    <w:uiPriority w:val="0"/>
    <w:pPr>
      <w:spacing w:line="360" w:lineRule="auto"/>
      <w:ind w:firstLine="480" w:firstLineChars="200"/>
      <w:jc w:val="left"/>
    </w:pPr>
    <w:rPr>
      <w:rFonts w:ascii="宋体" w:hAnsi="宋体" w:cs="宋体"/>
      <w:sz w:val="24"/>
    </w:rPr>
  </w:style>
  <w:style w:type="paragraph" w:customStyle="1" w:styleId="3714">
    <w:name w:val="表内宋5中221"/>
    <w:basedOn w:val="1"/>
    <w:autoRedefine/>
    <w:qFormat/>
    <w:uiPriority w:val="0"/>
    <w:pPr>
      <w:adjustRightInd w:val="0"/>
      <w:snapToGrid w:val="0"/>
      <w:jc w:val="center"/>
      <w:textAlignment w:val="baseline"/>
    </w:pPr>
    <w:rPr>
      <w:rFonts w:ascii="宋体" w:hAnsi="宋体" w:cs="宋体"/>
      <w:kern w:val="0"/>
    </w:rPr>
  </w:style>
  <w:style w:type="paragraph" w:customStyle="1" w:styleId="3715">
    <w:name w:val="xl6321"/>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3716">
    <w:name w:val="标准21"/>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3717">
    <w:name w:val="Fax Header21"/>
    <w:basedOn w:val="1"/>
    <w:autoRedefine/>
    <w:qFormat/>
    <w:uiPriority w:val="0"/>
    <w:pPr>
      <w:widowControl/>
      <w:spacing w:before="240" w:after="60"/>
      <w:jc w:val="left"/>
    </w:pPr>
    <w:rPr>
      <w:rFonts w:ascii="宋体" w:hAnsi="宋体" w:cs="宋体"/>
      <w:kern w:val="0"/>
      <w:sz w:val="24"/>
    </w:rPr>
  </w:style>
  <w:style w:type="paragraph" w:customStyle="1" w:styleId="3718">
    <w:name w:val="样式 表格内字体1 +21"/>
    <w:basedOn w:val="1265"/>
    <w:next w:val="1178"/>
    <w:autoRedefine/>
    <w:qFormat/>
    <w:uiPriority w:val="0"/>
    <w:rPr>
      <w:rFonts w:hAnsi="Times New Roman"/>
    </w:rPr>
  </w:style>
  <w:style w:type="paragraph" w:customStyle="1" w:styleId="3719">
    <w:name w:val="默认段落字体 Para Char321"/>
    <w:basedOn w:val="1"/>
    <w:autoRedefine/>
    <w:qFormat/>
    <w:uiPriority w:val="0"/>
    <w:pPr>
      <w:spacing w:line="360" w:lineRule="auto"/>
      <w:ind w:firstLine="200" w:firstLineChars="200"/>
    </w:pPr>
    <w:rPr>
      <w:rFonts w:ascii="宋体" w:hAnsi="宋体" w:cs="宋体"/>
      <w:sz w:val="24"/>
    </w:rPr>
  </w:style>
  <w:style w:type="paragraph" w:customStyle="1" w:styleId="3720">
    <w:name w:val="正文斜体21"/>
    <w:basedOn w:val="316"/>
    <w:next w:val="316"/>
    <w:autoRedefine/>
    <w:qFormat/>
    <w:uiPriority w:val="0"/>
    <w:rPr>
      <w:rFonts w:hAnsi="宋体"/>
      <w:b w:val="0"/>
      <w:i/>
      <w:iCs/>
      <w:spacing w:val="0"/>
    </w:rPr>
  </w:style>
  <w:style w:type="character" w:customStyle="1" w:styleId="3721">
    <w:name w:val="正文斜体 Char21"/>
    <w:autoRedefine/>
    <w:qFormat/>
    <w:uiPriority w:val="0"/>
    <w:rPr>
      <w:rFonts w:hAnsi="宋体" w:cs="宋体"/>
      <w:i/>
      <w:iCs/>
      <w:szCs w:val="24"/>
    </w:rPr>
  </w:style>
  <w:style w:type="paragraph" w:customStyle="1" w:styleId="3722">
    <w:name w:val="Char821"/>
    <w:basedOn w:val="1"/>
    <w:autoRedefine/>
    <w:qFormat/>
    <w:uiPriority w:val="0"/>
    <w:pPr>
      <w:ind w:left="-48"/>
    </w:pPr>
    <w:rPr>
      <w:rFonts w:ascii="宋体" w:hAnsi="宋体" w:cs="宋体"/>
    </w:rPr>
  </w:style>
  <w:style w:type="paragraph" w:customStyle="1" w:styleId="3723">
    <w:name w:val="正文格式721"/>
    <w:basedOn w:val="1"/>
    <w:autoRedefine/>
    <w:qFormat/>
    <w:uiPriority w:val="0"/>
    <w:pPr>
      <w:spacing w:line="360" w:lineRule="auto"/>
      <w:ind w:firstLine="482"/>
    </w:pPr>
    <w:rPr>
      <w:rFonts w:ascii="宋体" w:hAnsi="宋体" w:cs="宋体"/>
      <w:sz w:val="24"/>
    </w:rPr>
  </w:style>
  <w:style w:type="character" w:customStyle="1" w:styleId="3724">
    <w:name w:val="题注 Char521"/>
    <w:autoRedefine/>
    <w:qFormat/>
    <w:uiPriority w:val="0"/>
    <w:rPr>
      <w:rFonts w:ascii="黑体" w:hAnsi="Arial" w:eastAsia="黑体" w:cs="Arial"/>
      <w:b/>
      <w:szCs w:val="24"/>
    </w:rPr>
  </w:style>
  <w:style w:type="paragraph" w:customStyle="1" w:styleId="3725">
    <w:name w:val="图题721"/>
    <w:basedOn w:val="316"/>
    <w:next w:val="316"/>
    <w:autoRedefine/>
    <w:qFormat/>
    <w:uiPriority w:val="0"/>
    <w:pPr>
      <w:ind w:firstLine="0"/>
      <w:jc w:val="center"/>
    </w:pPr>
    <w:rPr>
      <w:rFonts w:ascii="黑体" w:hAnsi="宋体" w:eastAsia="黑体"/>
      <w:bCs/>
      <w:spacing w:val="0"/>
    </w:rPr>
  </w:style>
  <w:style w:type="paragraph" w:customStyle="1" w:styleId="3726">
    <w:name w:val="表格内字体721"/>
    <w:basedOn w:val="316"/>
    <w:next w:val="316"/>
    <w:autoRedefine/>
    <w:qFormat/>
    <w:uiPriority w:val="0"/>
    <w:pPr>
      <w:spacing w:line="240" w:lineRule="auto"/>
      <w:ind w:firstLine="0"/>
      <w:jc w:val="center"/>
    </w:pPr>
    <w:rPr>
      <w:rFonts w:hAnsi="宋体"/>
      <w:b w:val="0"/>
      <w:spacing w:val="0"/>
      <w:sz w:val="21"/>
    </w:rPr>
  </w:style>
  <w:style w:type="paragraph" w:customStyle="1" w:styleId="3727">
    <w:name w:val="Char921"/>
    <w:basedOn w:val="1"/>
    <w:autoRedefine/>
    <w:qFormat/>
    <w:uiPriority w:val="0"/>
    <w:pPr>
      <w:ind w:left="-48"/>
    </w:pPr>
    <w:rPr>
      <w:rFonts w:ascii="宋体" w:hAnsi="宋体" w:cs="宋体"/>
    </w:rPr>
  </w:style>
  <w:style w:type="paragraph" w:customStyle="1" w:styleId="3728">
    <w:name w:val="表题1521"/>
    <w:basedOn w:val="22"/>
    <w:autoRedefine/>
    <w:qFormat/>
    <w:uiPriority w:val="0"/>
    <w:pPr>
      <w:widowControl w:val="0"/>
      <w:spacing w:line="360" w:lineRule="auto"/>
      <w:jc w:val="center"/>
    </w:pPr>
    <w:rPr>
      <w:rFonts w:ascii="黑体" w:hAnsi="Arial" w:cs="Arial"/>
      <w:b/>
      <w:kern w:val="2"/>
    </w:rPr>
  </w:style>
  <w:style w:type="character" w:customStyle="1" w:styleId="3729">
    <w:name w:val="表题1 Char621"/>
    <w:autoRedefine/>
    <w:qFormat/>
    <w:uiPriority w:val="0"/>
    <w:rPr>
      <w:rFonts w:ascii="黑体" w:hAnsi="Arial" w:eastAsia="黑体" w:cs="Arial"/>
      <w:b/>
      <w:kern w:val="2"/>
      <w:sz w:val="24"/>
      <w:szCs w:val="24"/>
      <w:lang w:val="en-US" w:eastAsia="zh-CN" w:bidi="ar-SA"/>
    </w:rPr>
  </w:style>
  <w:style w:type="paragraph" w:customStyle="1" w:styleId="3730">
    <w:name w:val="燕山正文4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731">
    <w:name w:val="正文修改421"/>
    <w:basedOn w:val="1181"/>
    <w:autoRedefine/>
    <w:qFormat/>
    <w:uiPriority w:val="0"/>
    <w:rPr>
      <w:rFonts w:hAnsi="宋体"/>
      <w:color w:val="000000"/>
    </w:rPr>
  </w:style>
  <w:style w:type="character" w:customStyle="1" w:styleId="3732">
    <w:name w:val="正文修改 Char1421"/>
    <w:basedOn w:val="1182"/>
    <w:autoRedefine/>
    <w:qFormat/>
    <w:uiPriority w:val="0"/>
    <w:rPr>
      <w:rFonts w:ascii="宋体" w:hAnsi="Calibri" w:cs="宋体"/>
      <w:kern w:val="2"/>
      <w:sz w:val="24"/>
      <w:szCs w:val="24"/>
    </w:rPr>
  </w:style>
  <w:style w:type="paragraph" w:customStyle="1" w:styleId="3733">
    <w:name w:val="表中文字5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734">
    <w:name w:val="默认段落字体 Para Char Char Char Char521"/>
    <w:basedOn w:val="1"/>
    <w:autoRedefine/>
    <w:qFormat/>
    <w:uiPriority w:val="0"/>
    <w:rPr>
      <w:rFonts w:ascii="宋体" w:hAnsi="宋体" w:cs="宋体"/>
    </w:rPr>
  </w:style>
  <w:style w:type="paragraph" w:customStyle="1" w:styleId="3735">
    <w:name w:val="Char1021"/>
    <w:basedOn w:val="1"/>
    <w:autoRedefine/>
    <w:qFormat/>
    <w:uiPriority w:val="0"/>
    <w:pPr>
      <w:adjustRightInd w:val="0"/>
      <w:snapToGrid w:val="0"/>
      <w:spacing w:line="360" w:lineRule="auto"/>
    </w:pPr>
    <w:rPr>
      <w:rFonts w:ascii="宋体" w:hAnsi="宋体" w:cs="宋体"/>
    </w:rPr>
  </w:style>
  <w:style w:type="paragraph" w:customStyle="1" w:styleId="3736">
    <w:name w:val="封面标准文稿编辑信息2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3737">
    <w:name w:val="样式 表内小5 + 黑体 加粗 倾斜 下划线2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3738">
    <w:name w:val="样式 表内小5 + 黑体 加粗 倾斜 下划线 Char21"/>
    <w:autoRedefine/>
    <w:qFormat/>
    <w:uiPriority w:val="0"/>
    <w:rPr>
      <w:rFonts w:ascii="黑体" w:hAnsi="黑体" w:eastAsia="黑体"/>
      <w:b/>
      <w:bCs/>
      <w:i/>
      <w:iCs/>
      <w:kern w:val="2"/>
      <w:sz w:val="18"/>
      <w:szCs w:val="24"/>
      <w:u w:val="single"/>
      <w:lang w:val="en-US" w:eastAsia="zh-CN" w:bidi="ar-SA"/>
    </w:rPr>
  </w:style>
  <w:style w:type="paragraph" w:customStyle="1" w:styleId="3739">
    <w:name w:val="表内5中121"/>
    <w:basedOn w:val="1"/>
    <w:autoRedefine/>
    <w:qFormat/>
    <w:uiPriority w:val="0"/>
    <w:pPr>
      <w:adjustRightInd w:val="0"/>
      <w:snapToGrid w:val="0"/>
      <w:jc w:val="center"/>
    </w:pPr>
    <w:rPr>
      <w:rFonts w:ascii="宋体" w:hAnsi="宋体" w:cs="Arial"/>
      <w:snapToGrid w:val="0"/>
      <w:color w:val="000000"/>
      <w:szCs w:val="21"/>
    </w:rPr>
  </w:style>
  <w:style w:type="paragraph" w:customStyle="1" w:styleId="3740">
    <w:name w:val="表内541421"/>
    <w:basedOn w:val="1"/>
    <w:autoRedefine/>
    <w:qFormat/>
    <w:uiPriority w:val="0"/>
    <w:pPr>
      <w:adjustRightInd w:val="0"/>
      <w:snapToGrid w:val="0"/>
      <w:spacing w:line="300" w:lineRule="auto"/>
      <w:jc w:val="center"/>
    </w:pPr>
    <w:rPr>
      <w:rFonts w:ascii="宋体" w:hAnsi="宋体" w:cs="宋体"/>
    </w:rPr>
  </w:style>
  <w:style w:type="paragraph" w:customStyle="1" w:styleId="3741">
    <w:name w:val="表格121"/>
    <w:basedOn w:val="1"/>
    <w:autoRedefine/>
    <w:qFormat/>
    <w:uiPriority w:val="0"/>
    <w:pPr>
      <w:adjustRightInd w:val="0"/>
      <w:jc w:val="center"/>
      <w:textAlignment w:val="baseline"/>
    </w:pPr>
    <w:rPr>
      <w:rFonts w:ascii="宋体" w:hAnsi="宋体" w:cs="宋体"/>
      <w:kern w:val="0"/>
      <w:sz w:val="24"/>
    </w:rPr>
  </w:style>
  <w:style w:type="paragraph" w:customStyle="1" w:styleId="3742">
    <w:name w:val="c2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3743">
    <w:name w:val="表题921"/>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3744">
    <w:name w:val="福建正文缩进21"/>
    <w:basedOn w:val="9"/>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3745">
    <w:name w:val="福建正文缩进 Char21"/>
    <w:autoRedefine/>
    <w:qFormat/>
    <w:uiPriority w:val="0"/>
    <w:rPr>
      <w:rFonts w:ascii="宋体" w:hAnsi="宋体" w:eastAsia="宋体" w:cs="宋体"/>
      <w:color w:val="000000"/>
      <w:kern w:val="2"/>
      <w:sz w:val="24"/>
      <w:szCs w:val="24"/>
      <w:lang w:val="en-US" w:eastAsia="zh-CN" w:bidi="ar-SA"/>
    </w:rPr>
  </w:style>
  <w:style w:type="paragraph" w:customStyle="1" w:styleId="3746">
    <w:name w:val="表内文字小131"/>
    <w:basedOn w:val="1"/>
    <w:autoRedefine/>
    <w:qFormat/>
    <w:uiPriority w:val="0"/>
    <w:pPr>
      <w:adjustRightInd w:val="0"/>
      <w:snapToGrid w:val="0"/>
      <w:jc w:val="center"/>
    </w:pPr>
    <w:rPr>
      <w:rFonts w:ascii="宋体" w:hAnsi="Times" w:cs="宋体"/>
    </w:rPr>
  </w:style>
  <w:style w:type="paragraph" w:customStyle="1" w:styleId="3747">
    <w:name w:val="表内5921"/>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3748">
    <w:name w:val="正文首行缩进 2 Char21"/>
    <w:autoRedefine/>
    <w:qFormat/>
    <w:uiPriority w:val="0"/>
    <w:rPr>
      <w:rFonts w:ascii="宋体" w:hAnsi="宋体" w:cs="宋体"/>
      <w:color w:val="000000"/>
      <w:sz w:val="21"/>
      <w:szCs w:val="24"/>
    </w:rPr>
  </w:style>
  <w:style w:type="paragraph" w:customStyle="1" w:styleId="3749">
    <w:name w:val="表内小5中21"/>
    <w:basedOn w:val="1"/>
    <w:autoRedefine/>
    <w:qFormat/>
    <w:uiPriority w:val="0"/>
    <w:pPr>
      <w:adjustRightInd w:val="0"/>
      <w:snapToGrid w:val="0"/>
      <w:jc w:val="center"/>
    </w:pPr>
    <w:rPr>
      <w:rFonts w:ascii="宋体" w:hAnsi="宋体" w:cs="宋体"/>
      <w:sz w:val="18"/>
    </w:rPr>
  </w:style>
  <w:style w:type="paragraph" w:customStyle="1" w:styleId="3750">
    <w:name w:val="表内5中421"/>
    <w:basedOn w:val="1"/>
    <w:autoRedefine/>
    <w:qFormat/>
    <w:uiPriority w:val="0"/>
    <w:pPr>
      <w:adjustRightInd w:val="0"/>
      <w:snapToGrid w:val="0"/>
      <w:jc w:val="center"/>
    </w:pPr>
    <w:rPr>
      <w:rFonts w:ascii="宋体" w:hAnsi="宋体" w:cs="宋体"/>
      <w:bCs/>
    </w:rPr>
  </w:style>
  <w:style w:type="paragraph" w:customStyle="1" w:styleId="3751">
    <w:name w:val="默认段落字体 Para Char4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752">
    <w:name w:val="燕山正文132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753">
    <w:name w:val="样式 标题 4无效格式无效格式1河石管道4H4H41小小节河石管道41H42H411小小节1河石管道42...31"/>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754">
    <w:name w:val="样式 标题 4无效格式无效格式1河石管道4H4H41小小节河石管道41H42H411小小节1河石管道42...121"/>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755">
    <w:name w:val="正文格式831"/>
    <w:basedOn w:val="1"/>
    <w:autoRedefine/>
    <w:qFormat/>
    <w:uiPriority w:val="0"/>
    <w:pPr>
      <w:spacing w:line="360" w:lineRule="auto"/>
      <w:ind w:firstLine="482"/>
    </w:pPr>
    <w:rPr>
      <w:rFonts w:ascii="宋体" w:hAnsi="宋体" w:cs="宋体"/>
      <w:sz w:val="24"/>
    </w:rPr>
  </w:style>
  <w:style w:type="paragraph" w:customStyle="1" w:styleId="3756">
    <w:name w:val="正文格式921"/>
    <w:basedOn w:val="1"/>
    <w:autoRedefine/>
    <w:qFormat/>
    <w:uiPriority w:val="0"/>
    <w:pPr>
      <w:spacing w:line="360" w:lineRule="auto"/>
      <w:ind w:firstLine="482"/>
    </w:pPr>
    <w:rPr>
      <w:rFonts w:ascii="宋体" w:hAnsi="宋体" w:cs="宋体"/>
      <w:sz w:val="24"/>
    </w:rPr>
  </w:style>
  <w:style w:type="paragraph" w:customStyle="1" w:styleId="3757">
    <w:name w:val="Char451"/>
    <w:basedOn w:val="1"/>
    <w:autoRedefine/>
    <w:qFormat/>
    <w:uiPriority w:val="0"/>
    <w:pPr>
      <w:ind w:left="-48"/>
    </w:pPr>
    <w:rPr>
      <w:rFonts w:ascii="宋体" w:hAnsi="宋体" w:cs="宋体"/>
    </w:rPr>
  </w:style>
  <w:style w:type="paragraph" w:customStyle="1" w:styleId="3758">
    <w:name w:val="Char Char Char Char Char Char Char81"/>
    <w:basedOn w:val="1"/>
    <w:autoRedefine/>
    <w:qFormat/>
    <w:uiPriority w:val="0"/>
    <w:rPr>
      <w:rFonts w:ascii="宋体" w:hAnsi="宋体" w:cs="宋体"/>
    </w:rPr>
  </w:style>
  <w:style w:type="paragraph" w:customStyle="1" w:styleId="3759">
    <w:name w:val="Char261"/>
    <w:basedOn w:val="1"/>
    <w:autoRedefine/>
    <w:qFormat/>
    <w:uiPriority w:val="0"/>
    <w:pPr>
      <w:ind w:left="-48"/>
    </w:pPr>
    <w:rPr>
      <w:rFonts w:ascii="宋体" w:hAnsi="宋体" w:cs="宋体"/>
    </w:rPr>
  </w:style>
  <w:style w:type="paragraph" w:customStyle="1" w:styleId="3760">
    <w:name w:val="Char Char Char Char1 Char Char Char41"/>
    <w:basedOn w:val="1"/>
    <w:autoRedefine/>
    <w:qFormat/>
    <w:uiPriority w:val="0"/>
    <w:pPr>
      <w:widowControl/>
      <w:spacing w:after="160"/>
      <w:jc w:val="left"/>
    </w:pPr>
    <w:rPr>
      <w:rFonts w:ascii="Verdana" w:hAnsi="Verdana" w:cs="宋体"/>
      <w:kern w:val="0"/>
      <w:sz w:val="24"/>
      <w:lang w:eastAsia="en-US"/>
    </w:rPr>
  </w:style>
  <w:style w:type="character" w:customStyle="1" w:styleId="3761">
    <w:name w:val="Char Char1141"/>
    <w:autoRedefine/>
    <w:qFormat/>
    <w:uiPriority w:val="0"/>
    <w:rPr>
      <w:rFonts w:ascii="黑体" w:hAnsi="Arial" w:eastAsia="黑体"/>
      <w:bCs/>
      <w:kern w:val="2"/>
      <w:sz w:val="30"/>
      <w:szCs w:val="30"/>
      <w:lang w:val="en-US" w:eastAsia="zh-CN" w:bidi="ar-SA"/>
    </w:rPr>
  </w:style>
  <w:style w:type="paragraph" w:customStyle="1" w:styleId="3762">
    <w:name w:val="Char1121"/>
    <w:basedOn w:val="1"/>
    <w:autoRedefine/>
    <w:qFormat/>
    <w:uiPriority w:val="0"/>
    <w:pPr>
      <w:ind w:left="-48"/>
    </w:pPr>
    <w:rPr>
      <w:rFonts w:ascii="宋体" w:hAnsi="宋体" w:cs="宋体"/>
    </w:rPr>
  </w:style>
  <w:style w:type="paragraph" w:customStyle="1" w:styleId="3763">
    <w:name w:val="Char Char Char Char Char Char Char161"/>
    <w:basedOn w:val="1"/>
    <w:autoRedefine/>
    <w:qFormat/>
    <w:uiPriority w:val="0"/>
    <w:rPr>
      <w:rFonts w:ascii="宋体" w:hAnsi="宋体" w:cs="宋体"/>
    </w:rPr>
  </w:style>
  <w:style w:type="character" w:customStyle="1" w:styleId="3764">
    <w:name w:val="Char Char641"/>
    <w:basedOn w:val="90"/>
    <w:autoRedefine/>
    <w:qFormat/>
    <w:uiPriority w:val="0"/>
    <w:rPr>
      <w:rFonts w:ascii="黑体" w:eastAsia="黑体"/>
      <w:b/>
      <w:bCs/>
      <w:kern w:val="2"/>
      <w:sz w:val="28"/>
      <w:szCs w:val="28"/>
      <w:lang w:val="en-US" w:eastAsia="zh-CN" w:bidi="ar-SA"/>
    </w:rPr>
  </w:style>
  <w:style w:type="paragraph" w:customStyle="1" w:styleId="3765">
    <w:name w:val="Char271"/>
    <w:basedOn w:val="1"/>
    <w:autoRedefine/>
    <w:qFormat/>
    <w:uiPriority w:val="0"/>
    <w:pPr>
      <w:ind w:left="-48"/>
    </w:pPr>
    <w:rPr>
      <w:rFonts w:ascii="宋体" w:hAnsi="宋体" w:cs="宋体"/>
    </w:rPr>
  </w:style>
  <w:style w:type="paragraph" w:customStyle="1" w:styleId="3766">
    <w:name w:val="Char361"/>
    <w:basedOn w:val="1"/>
    <w:autoRedefine/>
    <w:qFormat/>
    <w:uiPriority w:val="0"/>
    <w:pPr>
      <w:ind w:left="-48"/>
    </w:pPr>
    <w:rPr>
      <w:rFonts w:ascii="宋体" w:hAnsi="宋体" w:cs="宋体"/>
    </w:rPr>
  </w:style>
  <w:style w:type="paragraph" w:customStyle="1" w:styleId="3767">
    <w:name w:val="Char Char Char Char Char Char Char241"/>
    <w:basedOn w:val="1"/>
    <w:autoRedefine/>
    <w:qFormat/>
    <w:uiPriority w:val="0"/>
    <w:rPr>
      <w:rFonts w:ascii="宋体" w:hAnsi="宋体" w:cs="宋体"/>
    </w:rPr>
  </w:style>
  <w:style w:type="paragraph" w:customStyle="1" w:styleId="3768">
    <w:name w:val="Char461"/>
    <w:basedOn w:val="1"/>
    <w:autoRedefine/>
    <w:qFormat/>
    <w:uiPriority w:val="0"/>
    <w:pPr>
      <w:ind w:left="-48"/>
    </w:pPr>
    <w:rPr>
      <w:rFonts w:ascii="宋体" w:hAnsi="宋体" w:cs="宋体"/>
    </w:rPr>
  </w:style>
  <w:style w:type="paragraph" w:customStyle="1" w:styleId="3769">
    <w:name w:val="Char Char Char Char Char Char Char91"/>
    <w:basedOn w:val="1"/>
    <w:autoRedefine/>
    <w:qFormat/>
    <w:uiPriority w:val="0"/>
    <w:rPr>
      <w:rFonts w:ascii="宋体" w:hAnsi="宋体" w:cs="宋体"/>
    </w:rPr>
  </w:style>
  <w:style w:type="paragraph" w:customStyle="1" w:styleId="3770">
    <w:name w:val="Char281"/>
    <w:basedOn w:val="1"/>
    <w:autoRedefine/>
    <w:qFormat/>
    <w:uiPriority w:val="0"/>
    <w:pPr>
      <w:ind w:left="-48"/>
    </w:pPr>
    <w:rPr>
      <w:rFonts w:ascii="宋体" w:hAnsi="宋体" w:cs="宋体"/>
    </w:rPr>
  </w:style>
  <w:style w:type="paragraph" w:customStyle="1" w:styleId="3771">
    <w:name w:val="Char Char Char Char1 Char Char Char51"/>
    <w:basedOn w:val="1"/>
    <w:autoRedefine/>
    <w:qFormat/>
    <w:uiPriority w:val="0"/>
    <w:pPr>
      <w:widowControl/>
      <w:spacing w:after="160"/>
      <w:jc w:val="left"/>
    </w:pPr>
    <w:rPr>
      <w:rFonts w:ascii="Verdana" w:hAnsi="Verdana" w:cs="宋体"/>
      <w:kern w:val="0"/>
      <w:sz w:val="24"/>
      <w:lang w:eastAsia="en-US"/>
    </w:rPr>
  </w:style>
  <w:style w:type="character" w:customStyle="1" w:styleId="3772">
    <w:name w:val="Char Char1151"/>
    <w:autoRedefine/>
    <w:qFormat/>
    <w:uiPriority w:val="0"/>
    <w:rPr>
      <w:rFonts w:ascii="黑体" w:hAnsi="Arial" w:eastAsia="黑体"/>
      <w:bCs/>
      <w:kern w:val="2"/>
      <w:sz w:val="30"/>
      <w:szCs w:val="30"/>
      <w:lang w:val="en-US" w:eastAsia="zh-CN" w:bidi="ar-SA"/>
    </w:rPr>
  </w:style>
  <w:style w:type="paragraph" w:customStyle="1" w:styleId="3773">
    <w:name w:val="Char1131"/>
    <w:basedOn w:val="1"/>
    <w:autoRedefine/>
    <w:qFormat/>
    <w:uiPriority w:val="0"/>
    <w:pPr>
      <w:ind w:left="-48"/>
    </w:pPr>
    <w:rPr>
      <w:rFonts w:ascii="宋体" w:hAnsi="宋体" w:cs="宋体"/>
    </w:rPr>
  </w:style>
  <w:style w:type="paragraph" w:customStyle="1" w:styleId="3774">
    <w:name w:val="Char Char Char Char Char Char Char171"/>
    <w:basedOn w:val="1"/>
    <w:autoRedefine/>
    <w:qFormat/>
    <w:uiPriority w:val="0"/>
    <w:rPr>
      <w:rFonts w:ascii="宋体" w:hAnsi="宋体" w:cs="宋体"/>
    </w:rPr>
  </w:style>
  <w:style w:type="character" w:customStyle="1" w:styleId="3775">
    <w:name w:val="Char Char651"/>
    <w:autoRedefine/>
    <w:qFormat/>
    <w:uiPriority w:val="0"/>
    <w:rPr>
      <w:rFonts w:ascii="黑体" w:eastAsia="黑体"/>
      <w:b/>
      <w:bCs/>
      <w:kern w:val="2"/>
      <w:sz w:val="28"/>
      <w:szCs w:val="28"/>
      <w:lang w:val="en-US" w:eastAsia="zh-CN" w:bidi="ar-SA"/>
    </w:rPr>
  </w:style>
  <w:style w:type="paragraph" w:customStyle="1" w:styleId="3776">
    <w:name w:val="Char291"/>
    <w:basedOn w:val="1"/>
    <w:autoRedefine/>
    <w:qFormat/>
    <w:uiPriority w:val="0"/>
    <w:pPr>
      <w:ind w:left="-48"/>
    </w:pPr>
    <w:rPr>
      <w:rFonts w:ascii="宋体" w:hAnsi="宋体" w:cs="宋体"/>
    </w:rPr>
  </w:style>
  <w:style w:type="paragraph" w:customStyle="1" w:styleId="3777">
    <w:name w:val="Char371"/>
    <w:basedOn w:val="1"/>
    <w:autoRedefine/>
    <w:qFormat/>
    <w:uiPriority w:val="0"/>
    <w:pPr>
      <w:ind w:left="-48"/>
    </w:pPr>
    <w:rPr>
      <w:rFonts w:ascii="宋体" w:hAnsi="宋体" w:cs="宋体"/>
    </w:rPr>
  </w:style>
  <w:style w:type="paragraph" w:customStyle="1" w:styleId="3778">
    <w:name w:val="Char Char Char Char Char Char Char251"/>
    <w:basedOn w:val="1"/>
    <w:autoRedefine/>
    <w:qFormat/>
    <w:uiPriority w:val="0"/>
    <w:rPr>
      <w:rFonts w:ascii="宋体" w:hAnsi="宋体" w:cs="宋体"/>
    </w:rPr>
  </w:style>
  <w:style w:type="paragraph" w:customStyle="1" w:styleId="3779">
    <w:name w:val="Char471"/>
    <w:basedOn w:val="1"/>
    <w:autoRedefine/>
    <w:qFormat/>
    <w:uiPriority w:val="0"/>
    <w:pPr>
      <w:ind w:left="-48"/>
    </w:pPr>
    <w:rPr>
      <w:rFonts w:ascii="宋体" w:hAnsi="宋体" w:cs="宋体"/>
    </w:rPr>
  </w:style>
  <w:style w:type="paragraph" w:customStyle="1" w:styleId="3780">
    <w:name w:val="表格内容21"/>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3781">
    <w:name w:val="表格内容 Char21"/>
    <w:autoRedefine/>
    <w:qFormat/>
    <w:uiPriority w:val="0"/>
    <w:rPr>
      <w:rFonts w:eastAsia="宋体"/>
      <w:kern w:val="2"/>
      <w:sz w:val="21"/>
      <w:szCs w:val="21"/>
      <w:lang w:val="en-US" w:eastAsia="zh-CN" w:bidi="ar-SA"/>
    </w:rPr>
  </w:style>
  <w:style w:type="paragraph" w:customStyle="1" w:styleId="3782">
    <w:name w:val="正文格式1011"/>
    <w:basedOn w:val="1"/>
    <w:autoRedefine/>
    <w:qFormat/>
    <w:uiPriority w:val="0"/>
    <w:pPr>
      <w:spacing w:line="360" w:lineRule="auto"/>
      <w:ind w:firstLine="482"/>
    </w:pPr>
    <w:rPr>
      <w:rFonts w:ascii="宋体" w:hAnsi="宋体" w:cs="宋体"/>
      <w:sz w:val="24"/>
    </w:rPr>
  </w:style>
  <w:style w:type="character" w:customStyle="1" w:styleId="3783">
    <w:name w:val="题注 Char611"/>
    <w:autoRedefine/>
    <w:qFormat/>
    <w:uiPriority w:val="0"/>
    <w:rPr>
      <w:rFonts w:ascii="黑体" w:hAnsi="Arial" w:eastAsia="黑体" w:cs="Arial"/>
      <w:b/>
      <w:szCs w:val="24"/>
    </w:rPr>
  </w:style>
  <w:style w:type="paragraph" w:customStyle="1" w:styleId="3784">
    <w:name w:val="图题811"/>
    <w:basedOn w:val="316"/>
    <w:next w:val="316"/>
    <w:autoRedefine/>
    <w:qFormat/>
    <w:uiPriority w:val="0"/>
    <w:pPr>
      <w:ind w:firstLine="0"/>
      <w:jc w:val="center"/>
    </w:pPr>
    <w:rPr>
      <w:rFonts w:ascii="黑体" w:hAnsi="宋体" w:eastAsia="黑体"/>
      <w:bCs/>
      <w:spacing w:val="0"/>
    </w:rPr>
  </w:style>
  <w:style w:type="paragraph" w:customStyle="1" w:styleId="3785">
    <w:name w:val="表格内字体811"/>
    <w:basedOn w:val="316"/>
    <w:next w:val="316"/>
    <w:autoRedefine/>
    <w:qFormat/>
    <w:uiPriority w:val="0"/>
    <w:pPr>
      <w:spacing w:line="240" w:lineRule="auto"/>
      <w:ind w:firstLine="0"/>
      <w:jc w:val="center"/>
    </w:pPr>
    <w:rPr>
      <w:rFonts w:hAnsi="宋体"/>
      <w:b w:val="0"/>
      <w:spacing w:val="0"/>
      <w:sz w:val="21"/>
    </w:rPr>
  </w:style>
  <w:style w:type="paragraph" w:customStyle="1" w:styleId="3786">
    <w:name w:val="Char1141"/>
    <w:basedOn w:val="1"/>
    <w:autoRedefine/>
    <w:qFormat/>
    <w:uiPriority w:val="0"/>
    <w:pPr>
      <w:ind w:left="-48"/>
    </w:pPr>
    <w:rPr>
      <w:rFonts w:ascii="宋体" w:hAnsi="宋体" w:cs="宋体"/>
    </w:rPr>
  </w:style>
  <w:style w:type="paragraph" w:customStyle="1" w:styleId="3787">
    <w:name w:val="表题1611"/>
    <w:basedOn w:val="22"/>
    <w:autoRedefine/>
    <w:qFormat/>
    <w:uiPriority w:val="0"/>
    <w:pPr>
      <w:widowControl w:val="0"/>
      <w:spacing w:line="360" w:lineRule="auto"/>
      <w:jc w:val="center"/>
    </w:pPr>
    <w:rPr>
      <w:rFonts w:ascii="黑体" w:hAnsi="Arial" w:cs="Arial"/>
      <w:b/>
      <w:kern w:val="2"/>
    </w:rPr>
  </w:style>
  <w:style w:type="character" w:customStyle="1" w:styleId="3788">
    <w:name w:val="表题1 Char711"/>
    <w:autoRedefine/>
    <w:qFormat/>
    <w:uiPriority w:val="0"/>
    <w:rPr>
      <w:rFonts w:ascii="黑体" w:hAnsi="Arial" w:eastAsia="黑体" w:cs="Arial"/>
      <w:b/>
      <w:kern w:val="2"/>
      <w:sz w:val="24"/>
      <w:szCs w:val="24"/>
      <w:lang w:val="en-US" w:eastAsia="zh-CN" w:bidi="ar-SA"/>
    </w:rPr>
  </w:style>
  <w:style w:type="paragraph" w:customStyle="1" w:styleId="3789">
    <w:name w:val="燕山正文5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790">
    <w:name w:val="正文修改511"/>
    <w:basedOn w:val="1181"/>
    <w:autoRedefine/>
    <w:qFormat/>
    <w:uiPriority w:val="0"/>
    <w:rPr>
      <w:rFonts w:hAnsi="宋体"/>
      <w:color w:val="000000"/>
    </w:rPr>
  </w:style>
  <w:style w:type="character" w:customStyle="1" w:styleId="3791">
    <w:name w:val="正文修改 Char1511"/>
    <w:autoRedefine/>
    <w:qFormat/>
    <w:uiPriority w:val="0"/>
    <w:rPr>
      <w:rFonts w:hAnsi="宋体"/>
      <w:color w:val="000000"/>
    </w:rPr>
  </w:style>
  <w:style w:type="paragraph" w:customStyle="1" w:styleId="3792">
    <w:name w:val="表中文字6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793">
    <w:name w:val="默认段落字体 Para Char Char Char Char611"/>
    <w:basedOn w:val="1"/>
    <w:autoRedefine/>
    <w:qFormat/>
    <w:uiPriority w:val="0"/>
    <w:rPr>
      <w:rFonts w:ascii="宋体" w:hAnsi="宋体" w:cs="宋体"/>
    </w:rPr>
  </w:style>
  <w:style w:type="paragraph" w:customStyle="1" w:styleId="3794">
    <w:name w:val="Char1212"/>
    <w:basedOn w:val="1"/>
    <w:autoRedefine/>
    <w:qFormat/>
    <w:uiPriority w:val="0"/>
    <w:pPr>
      <w:adjustRightInd w:val="0"/>
      <w:snapToGrid w:val="0"/>
      <w:spacing w:line="360" w:lineRule="auto"/>
    </w:pPr>
    <w:rPr>
      <w:rFonts w:ascii="宋体" w:hAnsi="宋体" w:cs="宋体"/>
    </w:rPr>
  </w:style>
  <w:style w:type="paragraph" w:customStyle="1" w:styleId="3795">
    <w:name w:val="封面标准文稿编辑信息11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3796">
    <w:name w:val="样式 表内小5 + 黑体 加粗 倾斜 下划线11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3797">
    <w:name w:val="表内5中211"/>
    <w:basedOn w:val="1"/>
    <w:autoRedefine/>
    <w:qFormat/>
    <w:uiPriority w:val="0"/>
    <w:pPr>
      <w:adjustRightInd w:val="0"/>
      <w:snapToGrid w:val="0"/>
      <w:jc w:val="center"/>
    </w:pPr>
    <w:rPr>
      <w:rFonts w:ascii="宋体" w:hAnsi="宋体" w:cs="Arial"/>
      <w:snapToGrid w:val="0"/>
      <w:color w:val="000000"/>
      <w:szCs w:val="21"/>
    </w:rPr>
  </w:style>
  <w:style w:type="paragraph" w:customStyle="1" w:styleId="3798">
    <w:name w:val="表内541511"/>
    <w:basedOn w:val="1"/>
    <w:autoRedefine/>
    <w:qFormat/>
    <w:uiPriority w:val="0"/>
    <w:pPr>
      <w:adjustRightInd w:val="0"/>
      <w:snapToGrid w:val="0"/>
      <w:spacing w:line="300" w:lineRule="auto"/>
      <w:jc w:val="center"/>
    </w:pPr>
    <w:rPr>
      <w:rFonts w:ascii="宋体" w:hAnsi="宋体" w:cs="宋体"/>
    </w:rPr>
  </w:style>
  <w:style w:type="paragraph" w:customStyle="1" w:styleId="3799">
    <w:name w:val="表格1111"/>
    <w:basedOn w:val="1"/>
    <w:autoRedefine/>
    <w:qFormat/>
    <w:uiPriority w:val="0"/>
    <w:pPr>
      <w:adjustRightInd w:val="0"/>
      <w:jc w:val="center"/>
      <w:textAlignment w:val="baseline"/>
    </w:pPr>
    <w:rPr>
      <w:rFonts w:ascii="宋体" w:hAnsi="宋体" w:cs="宋体"/>
      <w:kern w:val="0"/>
      <w:sz w:val="24"/>
    </w:rPr>
  </w:style>
  <w:style w:type="paragraph" w:customStyle="1" w:styleId="3800">
    <w:name w:val="c11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3801">
    <w:name w:val="表题9111"/>
    <w:basedOn w:val="45"/>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3802">
    <w:name w:val="福建正文缩进111"/>
    <w:basedOn w:val="9"/>
    <w:autoRedefine/>
    <w:qFormat/>
    <w:uiPriority w:val="0"/>
    <w:pPr>
      <w:spacing w:line="360" w:lineRule="auto"/>
      <w:ind w:firstLine="567" w:firstLineChars="0"/>
    </w:pPr>
    <w:rPr>
      <w:rFonts w:ascii="宋体" w:hAnsi="Calibri" w:eastAsia="宋体" w:cs="宋体"/>
      <w:color w:val="auto"/>
      <w:kern w:val="0"/>
      <w:sz w:val="24"/>
    </w:rPr>
  </w:style>
  <w:style w:type="paragraph" w:customStyle="1" w:styleId="3803">
    <w:name w:val="表内文字小321"/>
    <w:basedOn w:val="1"/>
    <w:autoRedefine/>
    <w:qFormat/>
    <w:uiPriority w:val="0"/>
    <w:pPr>
      <w:adjustRightInd w:val="0"/>
      <w:snapToGrid w:val="0"/>
      <w:jc w:val="center"/>
    </w:pPr>
    <w:rPr>
      <w:rFonts w:ascii="宋体" w:hAnsi="Times" w:cs="宋体"/>
    </w:rPr>
  </w:style>
  <w:style w:type="paragraph" w:customStyle="1" w:styleId="3804">
    <w:name w:val="表内59111"/>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3805">
    <w:name w:val="表内小5中111"/>
    <w:basedOn w:val="1"/>
    <w:autoRedefine/>
    <w:qFormat/>
    <w:uiPriority w:val="0"/>
    <w:pPr>
      <w:adjustRightInd w:val="0"/>
      <w:snapToGrid w:val="0"/>
      <w:jc w:val="center"/>
    </w:pPr>
    <w:rPr>
      <w:rFonts w:ascii="宋体" w:hAnsi="宋体" w:cs="宋体"/>
      <w:sz w:val="18"/>
    </w:rPr>
  </w:style>
  <w:style w:type="paragraph" w:customStyle="1" w:styleId="3806">
    <w:name w:val="表内5中4111"/>
    <w:basedOn w:val="1"/>
    <w:autoRedefine/>
    <w:qFormat/>
    <w:uiPriority w:val="0"/>
    <w:pPr>
      <w:adjustRightInd w:val="0"/>
      <w:snapToGrid w:val="0"/>
      <w:jc w:val="center"/>
    </w:pPr>
    <w:rPr>
      <w:rFonts w:ascii="宋体" w:hAnsi="宋体" w:cs="宋体"/>
      <w:bCs/>
    </w:rPr>
  </w:style>
  <w:style w:type="paragraph" w:customStyle="1" w:styleId="3807">
    <w:name w:val="默认段落字体 Para Char5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08">
    <w:name w:val="燕山正文131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809">
    <w:name w:val="样式 标题 4无效格式无效格式1河石管道4H4H41小小节河石管道41H42H411小小节1河石管道42...211"/>
    <w:basedOn w:val="6"/>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810">
    <w:name w:val="样式 标题 4无效格式无效格式1河石管道4H4H41小小节河石管道41H42H411小小节1河石管道42...1111"/>
    <w:basedOn w:val="6"/>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811">
    <w:name w:val="附件411"/>
    <w:basedOn w:val="3"/>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3812">
    <w:name w:val="标题431311"/>
    <w:basedOn w:val="1"/>
    <w:autoRedefine/>
    <w:qFormat/>
    <w:uiPriority w:val="0"/>
    <w:pPr>
      <w:adjustRightInd w:val="0"/>
      <w:snapToGrid w:val="0"/>
      <w:spacing w:line="480" w:lineRule="exact"/>
      <w:jc w:val="center"/>
    </w:pPr>
    <w:rPr>
      <w:rFonts w:ascii="宋体" w:hAnsi="宋体" w:cs="宋体"/>
      <w:sz w:val="24"/>
    </w:rPr>
  </w:style>
  <w:style w:type="paragraph" w:customStyle="1" w:styleId="3813">
    <w:name w:val="燕山正文114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14">
    <w:name w:val="表题41111"/>
    <w:basedOn w:val="35"/>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815">
    <w:name w:val="表内文字小21411"/>
    <w:basedOn w:val="1"/>
    <w:autoRedefine/>
    <w:qFormat/>
    <w:uiPriority w:val="0"/>
    <w:pPr>
      <w:adjustRightInd w:val="0"/>
      <w:snapToGrid w:val="0"/>
      <w:jc w:val="center"/>
    </w:pPr>
    <w:rPr>
      <w:rFonts w:ascii="宋体" w:hAnsi="Times" w:cs="宋体"/>
      <w:bCs/>
      <w:color w:val="000000"/>
    </w:rPr>
  </w:style>
  <w:style w:type="paragraph" w:customStyle="1" w:styleId="3816">
    <w:name w:val="表题314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817">
    <w:name w:val="Char Char Char Char Char Char Char312"/>
    <w:basedOn w:val="1"/>
    <w:autoRedefine/>
    <w:qFormat/>
    <w:uiPriority w:val="0"/>
    <w:rPr>
      <w:rFonts w:ascii="宋体" w:hAnsi="宋体" w:cs="宋体"/>
    </w:rPr>
  </w:style>
  <w:style w:type="paragraph" w:customStyle="1" w:styleId="3818">
    <w:name w:val="表文字5411"/>
    <w:basedOn w:val="1"/>
    <w:autoRedefine/>
    <w:qFormat/>
    <w:uiPriority w:val="0"/>
    <w:pPr>
      <w:adjustRightInd w:val="0"/>
      <w:jc w:val="left"/>
      <w:textAlignment w:val="baseline"/>
    </w:pPr>
    <w:rPr>
      <w:rFonts w:ascii="宋体" w:hAnsi="宋体" w:cs="宋体"/>
      <w:kern w:val="0"/>
    </w:rPr>
  </w:style>
  <w:style w:type="paragraph" w:customStyle="1" w:styleId="3819">
    <w:name w:val="表内文字小31411"/>
    <w:basedOn w:val="1"/>
    <w:autoRedefine/>
    <w:qFormat/>
    <w:uiPriority w:val="0"/>
    <w:pPr>
      <w:adjustRightInd w:val="0"/>
      <w:snapToGrid w:val="0"/>
      <w:jc w:val="center"/>
    </w:pPr>
    <w:rPr>
      <w:rFonts w:ascii="宋体" w:hAnsi="Times" w:cs="宋体"/>
      <w:bCs/>
      <w:color w:val="003366"/>
    </w:rPr>
  </w:style>
  <w:style w:type="paragraph" w:customStyle="1" w:styleId="3820">
    <w:name w:val="表内宋5112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821">
    <w:name w:val="文本框211"/>
    <w:basedOn w:val="1"/>
    <w:autoRedefine/>
    <w:qFormat/>
    <w:uiPriority w:val="0"/>
    <w:pPr>
      <w:adjustRightInd w:val="0"/>
      <w:snapToGrid w:val="0"/>
      <w:spacing w:after="6"/>
      <w:jc w:val="center"/>
    </w:pPr>
    <w:rPr>
      <w:rFonts w:ascii="宋体" w:hAnsi="宋体" w:eastAsia="仿宋_GB2312" w:cs="宋体"/>
    </w:rPr>
  </w:style>
  <w:style w:type="paragraph" w:customStyle="1" w:styleId="3822">
    <w:name w:val="正文.2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823">
    <w:name w:val="表411"/>
    <w:basedOn w:val="1"/>
    <w:autoRedefine/>
    <w:qFormat/>
    <w:uiPriority w:val="0"/>
    <w:pPr>
      <w:adjustRightInd w:val="0"/>
      <w:snapToGrid w:val="0"/>
      <w:jc w:val="center"/>
    </w:pPr>
    <w:rPr>
      <w:rFonts w:ascii="宋体" w:hAnsi="宋体" w:eastAsia="仿宋_GB2312" w:cs="宋体"/>
      <w:sz w:val="24"/>
    </w:rPr>
  </w:style>
  <w:style w:type="paragraph" w:customStyle="1" w:styleId="3824">
    <w:name w:val="黑体三号511"/>
    <w:basedOn w:val="316"/>
    <w:autoRedefine/>
    <w:qFormat/>
    <w:uiPriority w:val="0"/>
    <w:pPr>
      <w:jc w:val="center"/>
    </w:pPr>
    <w:rPr>
      <w:rFonts w:ascii="黑体" w:hAnsi="宋体" w:eastAsia="黑体"/>
      <w:bCs/>
      <w:spacing w:val="0"/>
      <w:sz w:val="32"/>
    </w:rPr>
  </w:style>
  <w:style w:type="paragraph" w:customStyle="1" w:styleId="3825">
    <w:name w:val="Char1312"/>
    <w:basedOn w:val="1"/>
    <w:autoRedefine/>
    <w:qFormat/>
    <w:uiPriority w:val="0"/>
    <w:pPr>
      <w:ind w:left="-48"/>
    </w:pPr>
    <w:rPr>
      <w:rFonts w:ascii="宋体" w:hAnsi="宋体" w:cs="宋体"/>
    </w:rPr>
  </w:style>
  <w:style w:type="paragraph" w:customStyle="1" w:styleId="3826">
    <w:name w:val="样式1311"/>
    <w:basedOn w:val="1228"/>
    <w:autoRedefine/>
    <w:qFormat/>
    <w:uiPriority w:val="0"/>
    <w:pPr>
      <w:spacing w:line="240" w:lineRule="auto"/>
      <w:ind w:firstLine="0"/>
      <w:jc w:val="center"/>
    </w:pPr>
    <w:rPr>
      <w:rFonts w:cs="Times New Roman"/>
      <w:b/>
      <w:color w:val="auto"/>
      <w:szCs w:val="20"/>
    </w:rPr>
  </w:style>
  <w:style w:type="paragraph" w:customStyle="1" w:styleId="3827">
    <w:name w:val="首行缩进:  0.99 厘米 + 首行缩进:  2 字符11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3828">
    <w:name w:val="图表名称11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3829">
    <w:name w:val="表内文字边11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830">
    <w:name w:val="正文缩11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831">
    <w:name w:val="样式211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3832">
    <w:name w:val="默认段落字体 Para Char Char Char Char Char111"/>
    <w:basedOn w:val="1"/>
    <w:autoRedefine/>
    <w:qFormat/>
    <w:uiPriority w:val="0"/>
    <w:rPr>
      <w:rFonts w:ascii="宋体" w:hAnsi="宋体" w:cs="宋体"/>
    </w:rPr>
  </w:style>
  <w:style w:type="paragraph" w:customStyle="1" w:styleId="3833">
    <w:name w:val="表内宋5中311"/>
    <w:basedOn w:val="1"/>
    <w:autoRedefine/>
    <w:qFormat/>
    <w:uiPriority w:val="0"/>
    <w:pPr>
      <w:adjustRightInd w:val="0"/>
      <w:snapToGrid w:val="0"/>
      <w:textAlignment w:val="baseline"/>
    </w:pPr>
    <w:rPr>
      <w:rFonts w:ascii="宋体" w:hAnsi="宋体" w:cs="宋体"/>
      <w:color w:val="000000"/>
      <w:kern w:val="0"/>
    </w:rPr>
  </w:style>
  <w:style w:type="paragraph" w:customStyle="1" w:styleId="3834">
    <w:name w:val="样式 标题 3 + 段前: 12 磅111"/>
    <w:basedOn w:val="5"/>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835">
    <w:name w:val="表内5211"/>
    <w:basedOn w:val="1"/>
    <w:autoRedefine/>
    <w:qFormat/>
    <w:uiPriority w:val="0"/>
    <w:pPr>
      <w:adjustRightInd w:val="0"/>
      <w:snapToGrid w:val="0"/>
      <w:spacing w:line="300" w:lineRule="auto"/>
      <w:jc w:val="left"/>
    </w:pPr>
    <w:rPr>
      <w:rFonts w:ascii="宋体" w:hAnsi="宋体" w:cs="宋体"/>
      <w:sz w:val="18"/>
    </w:rPr>
  </w:style>
  <w:style w:type="paragraph" w:customStyle="1" w:styleId="3836">
    <w:name w:val="Char Char Char Char1 Char Char Char112"/>
    <w:basedOn w:val="1"/>
    <w:autoRedefine/>
    <w:qFormat/>
    <w:uiPriority w:val="0"/>
    <w:pPr>
      <w:widowControl/>
      <w:spacing w:after="160"/>
      <w:jc w:val="left"/>
    </w:pPr>
    <w:rPr>
      <w:rFonts w:ascii="Verdana" w:hAnsi="Verdana" w:cs="宋体"/>
      <w:kern w:val="0"/>
      <w:sz w:val="24"/>
      <w:lang w:eastAsia="en-US"/>
    </w:rPr>
  </w:style>
  <w:style w:type="paragraph" w:customStyle="1" w:styleId="3837">
    <w:name w:val="正文格式1112"/>
    <w:basedOn w:val="1"/>
    <w:autoRedefine/>
    <w:qFormat/>
    <w:uiPriority w:val="0"/>
    <w:pPr>
      <w:spacing w:line="360" w:lineRule="auto"/>
      <w:ind w:firstLine="482"/>
    </w:pPr>
    <w:rPr>
      <w:rFonts w:ascii="宋体" w:hAnsi="宋体" w:cs="宋体"/>
      <w:sz w:val="24"/>
    </w:rPr>
  </w:style>
  <w:style w:type="paragraph" w:customStyle="1" w:styleId="3838">
    <w:name w:val="图题1111"/>
    <w:basedOn w:val="316"/>
    <w:next w:val="316"/>
    <w:autoRedefine/>
    <w:qFormat/>
    <w:uiPriority w:val="0"/>
    <w:pPr>
      <w:ind w:firstLine="0"/>
      <w:jc w:val="center"/>
    </w:pPr>
    <w:rPr>
      <w:rFonts w:ascii="黑体" w:hAnsi="宋体" w:eastAsia="黑体"/>
      <w:bCs/>
      <w:spacing w:val="0"/>
    </w:rPr>
  </w:style>
  <w:style w:type="paragraph" w:customStyle="1" w:styleId="3839">
    <w:name w:val="表格内字体1211"/>
    <w:basedOn w:val="316"/>
    <w:next w:val="316"/>
    <w:autoRedefine/>
    <w:qFormat/>
    <w:uiPriority w:val="0"/>
    <w:pPr>
      <w:spacing w:line="240" w:lineRule="auto"/>
      <w:ind w:firstLine="0"/>
      <w:jc w:val="center"/>
    </w:pPr>
    <w:rPr>
      <w:rFonts w:hAnsi="宋体"/>
      <w:b w:val="0"/>
      <w:spacing w:val="0"/>
      <w:sz w:val="21"/>
    </w:rPr>
  </w:style>
  <w:style w:type="paragraph" w:customStyle="1" w:styleId="3840">
    <w:name w:val="Char1412"/>
    <w:basedOn w:val="1"/>
    <w:autoRedefine/>
    <w:qFormat/>
    <w:uiPriority w:val="0"/>
    <w:pPr>
      <w:ind w:left="-48"/>
    </w:pPr>
    <w:rPr>
      <w:rFonts w:ascii="宋体" w:hAnsi="宋体" w:cs="宋体"/>
    </w:rPr>
  </w:style>
  <w:style w:type="paragraph" w:customStyle="1" w:styleId="3841">
    <w:name w:val="正文格式2211"/>
    <w:basedOn w:val="1"/>
    <w:autoRedefine/>
    <w:qFormat/>
    <w:uiPriority w:val="0"/>
    <w:pPr>
      <w:spacing w:line="360" w:lineRule="auto"/>
      <w:ind w:firstLine="482"/>
    </w:pPr>
    <w:rPr>
      <w:rFonts w:ascii="宋体" w:hAnsi="宋体" w:cs="宋体"/>
      <w:sz w:val="24"/>
    </w:rPr>
  </w:style>
  <w:style w:type="paragraph" w:customStyle="1" w:styleId="3842">
    <w:name w:val="Char15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843">
    <w:name w:val="题注 Char1111"/>
    <w:autoRedefine/>
    <w:qFormat/>
    <w:uiPriority w:val="0"/>
    <w:rPr>
      <w:rFonts w:ascii="黑体" w:hAnsi="Arial" w:eastAsia="黑体" w:cs="Arial"/>
      <w:b/>
      <w:szCs w:val="24"/>
    </w:rPr>
  </w:style>
  <w:style w:type="paragraph" w:customStyle="1" w:styleId="3844">
    <w:name w:val="图题2211"/>
    <w:basedOn w:val="316"/>
    <w:next w:val="316"/>
    <w:autoRedefine/>
    <w:qFormat/>
    <w:uiPriority w:val="0"/>
    <w:pPr>
      <w:ind w:firstLine="0"/>
      <w:jc w:val="center"/>
    </w:pPr>
    <w:rPr>
      <w:rFonts w:ascii="黑体" w:hAnsi="宋体" w:eastAsia="黑体"/>
      <w:bCs/>
      <w:spacing w:val="0"/>
    </w:rPr>
  </w:style>
  <w:style w:type="paragraph" w:customStyle="1" w:styleId="3845">
    <w:name w:val="表格内字体2211"/>
    <w:basedOn w:val="316"/>
    <w:next w:val="316"/>
    <w:autoRedefine/>
    <w:qFormat/>
    <w:uiPriority w:val="0"/>
    <w:pPr>
      <w:spacing w:line="240" w:lineRule="auto"/>
      <w:ind w:firstLine="0"/>
      <w:jc w:val="center"/>
    </w:pPr>
    <w:rPr>
      <w:rFonts w:hAnsi="宋体"/>
      <w:b w:val="0"/>
      <w:spacing w:val="0"/>
      <w:sz w:val="21"/>
    </w:rPr>
  </w:style>
  <w:style w:type="paragraph" w:customStyle="1" w:styleId="3846">
    <w:name w:val="表内5411111"/>
    <w:basedOn w:val="1"/>
    <w:autoRedefine/>
    <w:qFormat/>
    <w:uiPriority w:val="0"/>
    <w:pPr>
      <w:adjustRightInd w:val="0"/>
      <w:snapToGrid w:val="0"/>
      <w:spacing w:line="300" w:lineRule="auto"/>
      <w:jc w:val="center"/>
    </w:pPr>
    <w:rPr>
      <w:rFonts w:ascii="宋体" w:hAnsi="宋体" w:cs="宋体"/>
    </w:rPr>
  </w:style>
  <w:style w:type="paragraph" w:customStyle="1" w:styleId="3847">
    <w:name w:val="表内文字小211111"/>
    <w:basedOn w:val="1"/>
    <w:autoRedefine/>
    <w:qFormat/>
    <w:uiPriority w:val="0"/>
    <w:pPr>
      <w:adjustRightInd w:val="0"/>
      <w:snapToGrid w:val="0"/>
      <w:jc w:val="center"/>
    </w:pPr>
    <w:rPr>
      <w:rFonts w:ascii="宋体" w:hAnsi="Times" w:cs="宋体"/>
      <w:bCs/>
      <w:color w:val="000000"/>
    </w:rPr>
  </w:style>
  <w:style w:type="paragraph" w:customStyle="1" w:styleId="3848">
    <w:name w:val="表题311111"/>
    <w:basedOn w:val="35"/>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849">
    <w:name w:val="Char Char Char Char Char Char Char1112"/>
    <w:basedOn w:val="1"/>
    <w:autoRedefine/>
    <w:qFormat/>
    <w:uiPriority w:val="0"/>
    <w:rPr>
      <w:rFonts w:ascii="宋体" w:hAnsi="宋体" w:cs="宋体"/>
    </w:rPr>
  </w:style>
  <w:style w:type="paragraph" w:customStyle="1" w:styleId="3850">
    <w:name w:val="标题4311111"/>
    <w:basedOn w:val="1"/>
    <w:autoRedefine/>
    <w:qFormat/>
    <w:uiPriority w:val="0"/>
    <w:pPr>
      <w:adjustRightInd w:val="0"/>
      <w:snapToGrid w:val="0"/>
      <w:spacing w:line="480" w:lineRule="exact"/>
      <w:jc w:val="center"/>
    </w:pPr>
    <w:rPr>
      <w:rFonts w:ascii="宋体" w:hAnsi="宋体" w:cs="宋体"/>
      <w:sz w:val="24"/>
    </w:rPr>
  </w:style>
  <w:style w:type="paragraph" w:customStyle="1" w:styleId="3851">
    <w:name w:val="燕山正文1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52">
    <w:name w:val="默认段落字体 Para Char Char Char Char1111"/>
    <w:basedOn w:val="1"/>
    <w:autoRedefine/>
    <w:qFormat/>
    <w:uiPriority w:val="0"/>
    <w:rPr>
      <w:rFonts w:ascii="宋体" w:hAnsi="宋体" w:cs="宋体"/>
    </w:rPr>
  </w:style>
  <w:style w:type="paragraph" w:customStyle="1" w:styleId="3853">
    <w:name w:val="附件1111"/>
    <w:basedOn w:val="3"/>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854">
    <w:name w:val="黑体三号1111"/>
    <w:basedOn w:val="316"/>
    <w:autoRedefine/>
    <w:qFormat/>
    <w:uiPriority w:val="0"/>
    <w:pPr>
      <w:jc w:val="center"/>
    </w:pPr>
    <w:rPr>
      <w:rFonts w:ascii="黑体" w:hAnsi="宋体" w:eastAsia="黑体"/>
      <w:bCs/>
      <w:spacing w:val="0"/>
      <w:sz w:val="32"/>
    </w:rPr>
  </w:style>
  <w:style w:type="paragraph" w:customStyle="1" w:styleId="3855">
    <w:name w:val="表1111"/>
    <w:basedOn w:val="1"/>
    <w:autoRedefine/>
    <w:qFormat/>
    <w:uiPriority w:val="0"/>
    <w:pPr>
      <w:adjustRightInd w:val="0"/>
      <w:snapToGrid w:val="0"/>
      <w:jc w:val="center"/>
    </w:pPr>
    <w:rPr>
      <w:rFonts w:ascii="宋体" w:hAnsi="宋体" w:eastAsia="仿宋_GB2312" w:cs="宋体"/>
      <w:sz w:val="24"/>
    </w:rPr>
  </w:style>
  <w:style w:type="paragraph" w:customStyle="1" w:styleId="3856">
    <w:name w:val="表题11211"/>
    <w:basedOn w:val="22"/>
    <w:autoRedefine/>
    <w:qFormat/>
    <w:uiPriority w:val="0"/>
    <w:pPr>
      <w:widowControl w:val="0"/>
      <w:spacing w:line="360" w:lineRule="auto"/>
      <w:jc w:val="center"/>
    </w:pPr>
    <w:rPr>
      <w:rFonts w:ascii="黑体" w:hAnsi="Arial" w:cs="Arial"/>
      <w:kern w:val="2"/>
    </w:rPr>
  </w:style>
  <w:style w:type="paragraph" w:customStyle="1" w:styleId="3857">
    <w:name w:val="燕山正文12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858">
    <w:name w:val="正文修改1111"/>
    <w:basedOn w:val="1181"/>
    <w:autoRedefine/>
    <w:qFormat/>
    <w:uiPriority w:val="0"/>
    <w:rPr>
      <w:rFonts w:hAnsi="宋体"/>
      <w:color w:val="000000"/>
    </w:rPr>
  </w:style>
  <w:style w:type="character" w:customStyle="1" w:styleId="3859">
    <w:name w:val="正文修改 Char11111"/>
    <w:autoRedefine/>
    <w:qFormat/>
    <w:uiPriority w:val="0"/>
    <w:rPr>
      <w:rFonts w:hAnsi="宋体"/>
      <w:color w:val="000000"/>
    </w:rPr>
  </w:style>
  <w:style w:type="paragraph" w:customStyle="1" w:styleId="3860">
    <w:name w:val="表中文字12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861">
    <w:name w:val="表文字51211"/>
    <w:basedOn w:val="1"/>
    <w:autoRedefine/>
    <w:qFormat/>
    <w:uiPriority w:val="0"/>
    <w:pPr>
      <w:adjustRightInd w:val="0"/>
      <w:jc w:val="left"/>
      <w:textAlignment w:val="baseline"/>
    </w:pPr>
    <w:rPr>
      <w:rFonts w:ascii="宋体" w:hAnsi="宋体" w:cs="宋体"/>
      <w:kern w:val="0"/>
    </w:rPr>
  </w:style>
  <w:style w:type="paragraph" w:customStyle="1" w:styleId="3862">
    <w:name w:val="表内文字小311111"/>
    <w:basedOn w:val="1"/>
    <w:autoRedefine/>
    <w:qFormat/>
    <w:uiPriority w:val="0"/>
    <w:pPr>
      <w:adjustRightInd w:val="0"/>
      <w:snapToGrid w:val="0"/>
      <w:jc w:val="center"/>
    </w:pPr>
    <w:rPr>
      <w:rFonts w:ascii="宋体" w:hAnsi="Times" w:cs="宋体"/>
      <w:bCs/>
      <w:color w:val="003366"/>
    </w:rPr>
  </w:style>
  <w:style w:type="paragraph" w:customStyle="1" w:styleId="3863">
    <w:name w:val="样式11111"/>
    <w:basedOn w:val="1228"/>
    <w:autoRedefine/>
    <w:qFormat/>
    <w:uiPriority w:val="0"/>
    <w:pPr>
      <w:spacing w:line="240" w:lineRule="auto"/>
      <w:ind w:firstLine="0"/>
      <w:jc w:val="center"/>
    </w:pPr>
    <w:rPr>
      <w:rFonts w:cs="Times New Roman"/>
      <w:b/>
      <w:color w:val="auto"/>
      <w:szCs w:val="20"/>
    </w:rPr>
  </w:style>
  <w:style w:type="paragraph" w:customStyle="1" w:styleId="3864">
    <w:name w:val="Char2112"/>
    <w:basedOn w:val="1"/>
    <w:autoRedefine/>
    <w:qFormat/>
    <w:uiPriority w:val="0"/>
    <w:pPr>
      <w:ind w:left="-48"/>
    </w:pPr>
    <w:rPr>
      <w:rFonts w:ascii="宋体" w:hAnsi="宋体" w:cs="宋体"/>
    </w:rPr>
  </w:style>
  <w:style w:type="paragraph" w:customStyle="1" w:styleId="3865">
    <w:name w:val="表内文字小2311"/>
    <w:basedOn w:val="1"/>
    <w:autoRedefine/>
    <w:qFormat/>
    <w:uiPriority w:val="0"/>
    <w:pPr>
      <w:adjustRightInd w:val="0"/>
      <w:snapToGrid w:val="0"/>
      <w:jc w:val="center"/>
    </w:pPr>
    <w:rPr>
      <w:rFonts w:ascii="宋体" w:hAnsi="Times" w:cs="宋体"/>
      <w:bCs/>
      <w:color w:val="000000"/>
    </w:rPr>
  </w:style>
  <w:style w:type="paragraph" w:customStyle="1" w:styleId="3866">
    <w:name w:val="表内53211"/>
    <w:basedOn w:val="1"/>
    <w:autoRedefine/>
    <w:qFormat/>
    <w:uiPriority w:val="0"/>
    <w:pPr>
      <w:adjustRightInd w:val="0"/>
      <w:snapToGrid w:val="0"/>
      <w:spacing w:line="300" w:lineRule="auto"/>
      <w:jc w:val="left"/>
    </w:pPr>
    <w:rPr>
      <w:rFonts w:ascii="宋体" w:hAnsi="宋体" w:cs="宋体"/>
    </w:rPr>
  </w:style>
  <w:style w:type="paragraph" w:customStyle="1" w:styleId="3867">
    <w:name w:val="正文格式3111"/>
    <w:basedOn w:val="1"/>
    <w:autoRedefine/>
    <w:qFormat/>
    <w:uiPriority w:val="0"/>
    <w:pPr>
      <w:spacing w:line="360" w:lineRule="auto"/>
      <w:ind w:firstLine="482"/>
    </w:pPr>
    <w:rPr>
      <w:rFonts w:ascii="宋体" w:hAnsi="宋体" w:cs="宋体"/>
      <w:sz w:val="24"/>
    </w:rPr>
  </w:style>
  <w:style w:type="paragraph" w:customStyle="1" w:styleId="3868">
    <w:name w:val="Char22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869">
    <w:name w:val="题注 Char2111"/>
    <w:autoRedefine/>
    <w:qFormat/>
    <w:uiPriority w:val="0"/>
    <w:rPr>
      <w:rFonts w:ascii="黑体" w:hAnsi="Arial" w:eastAsia="黑体" w:cs="Arial"/>
      <w:b/>
      <w:szCs w:val="24"/>
    </w:rPr>
  </w:style>
  <w:style w:type="paragraph" w:customStyle="1" w:styleId="3870">
    <w:name w:val="图题3111"/>
    <w:basedOn w:val="316"/>
    <w:next w:val="316"/>
    <w:autoRedefine/>
    <w:qFormat/>
    <w:uiPriority w:val="0"/>
    <w:pPr>
      <w:ind w:firstLine="0"/>
      <w:jc w:val="center"/>
    </w:pPr>
    <w:rPr>
      <w:rFonts w:ascii="黑体" w:hAnsi="宋体" w:eastAsia="黑体"/>
      <w:bCs/>
      <w:spacing w:val="0"/>
    </w:rPr>
  </w:style>
  <w:style w:type="paragraph" w:customStyle="1" w:styleId="3871">
    <w:name w:val="表格内字体3111"/>
    <w:basedOn w:val="316"/>
    <w:next w:val="316"/>
    <w:autoRedefine/>
    <w:qFormat/>
    <w:uiPriority w:val="0"/>
    <w:pPr>
      <w:spacing w:line="240" w:lineRule="auto"/>
      <w:ind w:firstLine="0"/>
      <w:jc w:val="center"/>
    </w:pPr>
    <w:rPr>
      <w:rFonts w:hAnsi="宋体"/>
      <w:b w:val="0"/>
      <w:spacing w:val="0"/>
      <w:sz w:val="21"/>
    </w:rPr>
  </w:style>
  <w:style w:type="paragraph" w:customStyle="1" w:styleId="3872">
    <w:name w:val="表内5412111"/>
    <w:basedOn w:val="1"/>
    <w:autoRedefine/>
    <w:qFormat/>
    <w:uiPriority w:val="0"/>
    <w:pPr>
      <w:adjustRightInd w:val="0"/>
      <w:snapToGrid w:val="0"/>
      <w:spacing w:line="300" w:lineRule="auto"/>
      <w:jc w:val="center"/>
    </w:pPr>
    <w:rPr>
      <w:rFonts w:ascii="宋体" w:hAnsi="宋体" w:cs="宋体"/>
    </w:rPr>
  </w:style>
  <w:style w:type="character" w:customStyle="1" w:styleId="3873">
    <w:name w:val="表格文字 Char Char"/>
    <w:autoRedefine/>
    <w:qFormat/>
    <w:uiPriority w:val="0"/>
    <w:rPr>
      <w:rFonts w:ascii="仿宋_GB2312" w:hAnsi="Arial Black" w:eastAsia="仿宋_GB2312" w:cs="Times New Roman"/>
      <w:kern w:val="44"/>
      <w:sz w:val="24"/>
      <w:szCs w:val="20"/>
    </w:rPr>
  </w:style>
  <w:style w:type="character" w:customStyle="1" w:styleId="3874">
    <w:name w:val="+正文加黑 字符"/>
    <w:link w:val="3875"/>
    <w:autoRedefine/>
    <w:qFormat/>
    <w:locked/>
    <w:uiPriority w:val="0"/>
    <w:rPr>
      <w:rFonts w:ascii="宋体" w:hAnsi="宋体"/>
      <w:sz w:val="24"/>
      <w:szCs w:val="24"/>
    </w:rPr>
  </w:style>
  <w:style w:type="paragraph" w:customStyle="1" w:styleId="3875">
    <w:name w:val="+正文加黑"/>
    <w:basedOn w:val="1"/>
    <w:link w:val="3874"/>
    <w:autoRedefine/>
    <w:qFormat/>
    <w:uiPriority w:val="0"/>
    <w:pPr>
      <w:spacing w:line="500" w:lineRule="exact"/>
      <w:ind w:firstLine="480" w:firstLineChars="200"/>
    </w:pPr>
    <w:rPr>
      <w:rFonts w:ascii="宋体" w:hAnsi="宋体"/>
      <w:kern w:val="0"/>
      <w:sz w:val="24"/>
    </w:rPr>
  </w:style>
  <w:style w:type="paragraph" w:customStyle="1" w:styleId="3876">
    <w:name w:val="（1）小标题"/>
    <w:basedOn w:val="84"/>
    <w:autoRedefine/>
    <w:qFormat/>
    <w:uiPriority w:val="0"/>
    <w:pPr>
      <w:widowControl w:val="0"/>
      <w:autoSpaceDE w:val="0"/>
      <w:autoSpaceDN w:val="0"/>
      <w:adjustRightInd w:val="0"/>
      <w:snapToGrid w:val="0"/>
      <w:spacing w:line="360" w:lineRule="auto"/>
      <w:jc w:val="left"/>
    </w:pPr>
    <w:rPr>
      <w:rFonts w:ascii="Times New Roman" w:hAnsi="Times New Roman"/>
      <w:bCs w:val="0"/>
      <w:sz w:val="24"/>
      <w:szCs w:val="21"/>
    </w:rPr>
  </w:style>
  <w:style w:type="paragraph" w:customStyle="1" w:styleId="3877">
    <w:name w:val="正文000000"/>
    <w:basedOn w:val="1"/>
    <w:next w:val="1"/>
    <w:autoRedefine/>
    <w:qFormat/>
    <w:uiPriority w:val="0"/>
    <w:pPr>
      <w:spacing w:line="360" w:lineRule="auto"/>
      <w:ind w:firstLine="200"/>
    </w:pPr>
    <w:rPr>
      <w:rFonts w:ascii="宋体" w:cs="宋体"/>
    </w:rPr>
  </w:style>
  <w:style w:type="character" w:customStyle="1" w:styleId="3878">
    <w:name w:val="报告正文 Char"/>
    <w:link w:val="3879"/>
    <w:autoRedefine/>
    <w:qFormat/>
    <w:uiPriority w:val="0"/>
    <w:rPr>
      <w:bCs/>
      <w:kern w:val="44"/>
      <w:sz w:val="24"/>
      <w:szCs w:val="44"/>
    </w:rPr>
  </w:style>
  <w:style w:type="paragraph" w:customStyle="1" w:styleId="3879">
    <w:name w:val="报告正文"/>
    <w:link w:val="3878"/>
    <w:autoRedefine/>
    <w:qFormat/>
    <w:uiPriority w:val="0"/>
    <w:pPr>
      <w:spacing w:line="360" w:lineRule="auto"/>
      <w:ind w:firstLine="200" w:firstLineChars="200"/>
    </w:pPr>
    <w:rPr>
      <w:rFonts w:ascii="Times New Roman" w:hAnsi="Times New Roman" w:cs="Times New Roman" w:eastAsiaTheme="minorEastAsia"/>
      <w:bCs/>
      <w:kern w:val="44"/>
      <w:sz w:val="24"/>
      <w:szCs w:val="44"/>
      <w:lang w:val="en-US" w:eastAsia="zh-CN" w:bidi="ar-SA"/>
    </w:rPr>
  </w:style>
  <w:style w:type="paragraph" w:customStyle="1" w:styleId="3880">
    <w:name w:val="表内表"/>
    <w:basedOn w:val="1"/>
    <w:autoRedefine/>
    <w:qFormat/>
    <w:uiPriority w:val="0"/>
    <w:pPr>
      <w:spacing w:line="240" w:lineRule="atLeast"/>
      <w:jc w:val="center"/>
    </w:pPr>
    <w:rPr>
      <w:bCs/>
      <w:sz w:val="18"/>
      <w:szCs w:val="21"/>
      <w:lang w:val="zh-CN"/>
    </w:rPr>
  </w:style>
  <w:style w:type="character" w:customStyle="1" w:styleId="3881">
    <w:name w:val="普通(网站) Char1"/>
    <w:autoRedefine/>
    <w:qFormat/>
    <w:locked/>
    <w:uiPriority w:val="0"/>
    <w:rPr>
      <w:rFonts w:ascii="宋体" w:hAnsi="宋体" w:eastAsia="宋体"/>
      <w:sz w:val="24"/>
    </w:rPr>
  </w:style>
  <w:style w:type="character" w:customStyle="1" w:styleId="3882">
    <w:name w:val="刘炳昊正文 Char"/>
    <w:link w:val="3883"/>
    <w:autoRedefine/>
    <w:qFormat/>
    <w:locked/>
    <w:uiPriority w:val="0"/>
    <w:rPr>
      <w:sz w:val="24"/>
      <w:szCs w:val="24"/>
    </w:rPr>
  </w:style>
  <w:style w:type="paragraph" w:customStyle="1" w:styleId="3883">
    <w:name w:val="刘炳昊正文"/>
    <w:basedOn w:val="1"/>
    <w:link w:val="3882"/>
    <w:autoRedefine/>
    <w:qFormat/>
    <w:uiPriority w:val="0"/>
    <w:pPr>
      <w:keepNext/>
      <w:keepLines/>
      <w:spacing w:line="360" w:lineRule="auto"/>
      <w:ind w:firstLine="562" w:firstLineChars="200"/>
      <w:outlineLvl w:val="2"/>
    </w:pPr>
    <w:rPr>
      <w:kern w:val="0"/>
      <w:sz w:val="24"/>
    </w:rPr>
  </w:style>
  <w:style w:type="paragraph" w:customStyle="1" w:styleId="3884">
    <w:name w:val="Other|1"/>
    <w:basedOn w:val="1"/>
    <w:autoRedefine/>
    <w:qFormat/>
    <w:uiPriority w:val="0"/>
    <w:pPr>
      <w:spacing w:line="270" w:lineRule="exact"/>
      <w:jc w:val="center"/>
    </w:pPr>
    <w:rPr>
      <w:rFonts w:ascii="宋体" w:hAnsi="宋体" w:cs="宋体"/>
      <w:sz w:val="20"/>
      <w:szCs w:val="20"/>
      <w:lang w:val="zh-TW" w:eastAsia="zh-TW" w:bidi="zh-TW"/>
    </w:rPr>
  </w:style>
  <w:style w:type="paragraph" w:customStyle="1" w:styleId="3885">
    <w:name w:val="Body text|2"/>
    <w:basedOn w:val="1"/>
    <w:autoRedefine/>
    <w:qFormat/>
    <w:uiPriority w:val="0"/>
    <w:pPr>
      <w:ind w:left="3000"/>
    </w:pPr>
    <w:rPr>
      <w:rFonts w:ascii="宋体" w:hAnsi="宋体" w:cs="宋体"/>
      <w:b/>
      <w:bCs/>
      <w:sz w:val="20"/>
      <w:szCs w:val="20"/>
      <w:lang w:val="zh-TW" w:eastAsia="zh-TW" w:bidi="zh-TW"/>
    </w:rPr>
  </w:style>
  <w:style w:type="paragraph" w:customStyle="1" w:styleId="3886">
    <w:name w:val="正文4"/>
    <w:autoRedefine/>
    <w:qFormat/>
    <w:uiPriority w:val="0"/>
    <w:pPr>
      <w:jc w:val="both"/>
    </w:pPr>
    <w:rPr>
      <w:rFonts w:ascii="Calibri" w:hAnsi="Calibri" w:eastAsia="宋体" w:cs="Calibri"/>
      <w:kern w:val="2"/>
      <w:sz w:val="21"/>
      <w:szCs w:val="21"/>
      <w:lang w:val="en-US" w:eastAsia="zh-CN" w:bidi="ar-SA"/>
    </w:rPr>
  </w:style>
  <w:style w:type="paragraph" w:customStyle="1" w:styleId="3887">
    <w:name w:val="TOC 标题2"/>
    <w:basedOn w:val="3"/>
    <w:next w:val="1"/>
    <w:autoRedefine/>
    <w:semiHidden/>
    <w:unhideWhenUsed/>
    <w:qFormat/>
    <w:uiPriority w:val="39"/>
    <w:pPr>
      <w:keepLines/>
      <w:numPr>
        <w:numId w:val="0"/>
      </w:numPr>
      <w:tabs>
        <w:tab w:val="clear" w:pos="1276"/>
      </w:tabs>
      <w:spacing w:before="480" w:line="276" w:lineRule="auto"/>
      <w:outlineLvl w:val="9"/>
    </w:pPr>
    <w:rPr>
      <w:rFonts w:asciiTheme="majorHAnsi" w:hAnsiTheme="majorHAnsi" w:eastAsiaTheme="majorEastAsia" w:cstheme="majorBidi"/>
      <w:b/>
      <w:bCs/>
      <w:color w:val="376092" w:themeColor="accent1" w:themeShade="BF"/>
      <w:sz w:val="28"/>
      <w:szCs w:val="28"/>
    </w:rPr>
  </w:style>
  <w:style w:type="paragraph" w:customStyle="1" w:styleId="3888">
    <w:name w:val="msolistparagraph"/>
    <w:basedOn w:val="1"/>
    <w:autoRedefine/>
    <w:qFormat/>
    <w:uiPriority w:val="0"/>
    <w:pPr>
      <w:widowControl/>
      <w:ind w:firstLine="420" w:firstLineChars="200"/>
      <w:jc w:val="left"/>
    </w:pPr>
    <w:rPr>
      <w:rFonts w:hint="eastAsia" w:ascii="宋体" w:hAnsi="宋体" w:eastAsia="宋体"/>
      <w:kern w:val="0"/>
      <w:sz w:val="24"/>
      <w:szCs w:val="22"/>
    </w:rPr>
  </w:style>
  <w:style w:type="character" w:customStyle="1" w:styleId="3889">
    <w:name w:val="其他_"/>
    <w:basedOn w:val="90"/>
    <w:link w:val="3890"/>
    <w:autoRedefine/>
    <w:qFormat/>
    <w:uiPriority w:val="0"/>
    <w:rPr>
      <w:rFonts w:ascii="MingLiU" w:hAnsi="MingLiU" w:eastAsia="MingLiU" w:cs="MingLiU"/>
      <w:sz w:val="15"/>
      <w:szCs w:val="15"/>
      <w:shd w:val="clear" w:color="auto" w:fill="FFFFFF"/>
      <w:lang w:val="zh-CN" w:bidi="zh-CN"/>
    </w:rPr>
  </w:style>
  <w:style w:type="paragraph" w:customStyle="1" w:styleId="3890">
    <w:name w:val="其他"/>
    <w:basedOn w:val="1"/>
    <w:link w:val="3889"/>
    <w:autoRedefine/>
    <w:qFormat/>
    <w:uiPriority w:val="0"/>
    <w:pPr>
      <w:shd w:val="clear" w:color="auto" w:fill="FFFFFF"/>
      <w:spacing w:line="191" w:lineRule="exact"/>
      <w:jc w:val="left"/>
    </w:pPr>
    <w:rPr>
      <w:rFonts w:ascii="MingLiU" w:hAnsi="MingLiU" w:eastAsia="MingLiU" w:cs="MingLiU"/>
      <w:kern w:val="0"/>
      <w:sz w:val="15"/>
      <w:szCs w:val="15"/>
      <w:lang w:val="zh-CN" w:bidi="zh-CN"/>
    </w:rPr>
  </w:style>
  <w:style w:type="character" w:customStyle="1" w:styleId="3891">
    <w:name w:val="h3"/>
    <w:basedOn w:val="90"/>
    <w:autoRedefine/>
    <w:qFormat/>
    <w:uiPriority w:val="0"/>
  </w:style>
  <w:style w:type="character" w:customStyle="1" w:styleId="3892">
    <w:name w:val="表内表 字符"/>
    <w:basedOn w:val="90"/>
    <w:qFormat/>
    <w:uiPriority w:val="0"/>
    <w:rPr>
      <w:bCs/>
      <w:kern w:val="2"/>
      <w:sz w:val="18"/>
      <w:szCs w:val="21"/>
      <w:lang w:val="zh-CN"/>
    </w:rPr>
  </w:style>
  <w:style w:type="paragraph" w:customStyle="1" w:styleId="3893">
    <w:name w:val="表或图标题"/>
    <w:basedOn w:val="1"/>
    <w:qFormat/>
    <w:uiPriority w:val="0"/>
    <w:pPr>
      <w:spacing w:line="500" w:lineRule="exact"/>
      <w:jc w:val="center"/>
    </w:pPr>
    <w:rPr>
      <w:rFonts w:eastAsia="仿宋_GB2312"/>
      <w:b/>
      <w:sz w:val="24"/>
      <w:szCs w:val="22"/>
    </w:rPr>
  </w:style>
  <w:style w:type="paragraph" w:customStyle="1" w:styleId="3894">
    <w:name w:val="表格或图"/>
    <w:basedOn w:val="1"/>
    <w:qFormat/>
    <w:uiPriority w:val="0"/>
    <w:pPr>
      <w:adjustRightInd w:val="0"/>
      <w:snapToGrid w:val="0"/>
      <w:jc w:val="center"/>
    </w:pPr>
    <w:rPr>
      <w:rFonts w:eastAsia="仿宋_GB2312"/>
      <w:bCs/>
      <w:szCs w:val="32"/>
    </w:rPr>
  </w:style>
  <w:style w:type="paragraph" w:customStyle="1" w:styleId="3895">
    <w:name w:val="图表"/>
    <w:basedOn w:val="73"/>
    <w:qFormat/>
    <w:uiPriority w:val="0"/>
    <w:pPr>
      <w:adjustRightInd w:val="0"/>
      <w:snapToGrid w:val="0"/>
      <w:spacing w:line="240" w:lineRule="atLeast"/>
      <w:jc w:val="center"/>
    </w:pPr>
  </w:style>
  <w:style w:type="paragraph" w:customStyle="1" w:styleId="3896">
    <w:name w:val="正文段落AAAAAAAAAAAAAAA"/>
    <w:basedOn w:val="34"/>
    <w:qFormat/>
    <w:uiPriority w:val="0"/>
    <w:pPr>
      <w:spacing w:after="0" w:line="360" w:lineRule="auto"/>
      <w:ind w:firstLine="200" w:firstLineChars="200"/>
    </w:pPr>
    <w:rPr>
      <w:rFonts w:eastAsia="宋体"/>
      <w:kern w:val="0"/>
      <w:szCs w:val="20"/>
    </w:rPr>
  </w:style>
  <w:style w:type="paragraph" w:customStyle="1" w:styleId="3897">
    <w:name w:val="C-正文"/>
    <w:basedOn w:val="45"/>
    <w:qFormat/>
    <w:uiPriority w:val="0"/>
    <w:pPr>
      <w:spacing w:line="400" w:lineRule="exact"/>
      <w:ind w:firstLine="200" w:firstLineChars="200"/>
    </w:pPr>
    <w:rPr>
      <w:rFonts w:ascii="Times New Roman" w:hAnsi="Times New Roman" w:eastAsia="仿宋_GB2312"/>
    </w:rPr>
  </w:style>
  <w:style w:type="paragraph" w:customStyle="1" w:styleId="3898">
    <w:name w:val="C-表头"/>
    <w:basedOn w:val="1"/>
    <w:qFormat/>
    <w:uiPriority w:val="0"/>
    <w:pPr>
      <w:spacing w:beforeLines="20" w:afterLines="20" w:line="240" w:lineRule="atLeast"/>
      <w:jc w:val="center"/>
    </w:pPr>
    <w:rPr>
      <w:rFonts w:eastAsia="仿宋_GB2312"/>
      <w:b/>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wmf"/><Relationship Id="rId24" Type="http://schemas.openxmlformats.org/officeDocument/2006/relationships/oleObject" Target="embeddings/oleObject6.bin"/><Relationship Id="rId23" Type="http://schemas.openxmlformats.org/officeDocument/2006/relationships/image" Target="media/image8.emf"/><Relationship Id="rId22" Type="http://schemas.openxmlformats.org/officeDocument/2006/relationships/oleObject" Target="embeddings/oleObject5.bin"/><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3.bin"/><Relationship Id="rId17" Type="http://schemas.openxmlformats.org/officeDocument/2006/relationships/image" Target="media/image5.emf"/><Relationship Id="rId16" Type="http://schemas.openxmlformats.org/officeDocument/2006/relationships/oleObject" Target="embeddings/oleObject2.bin"/><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oleObject" Target="file:///G:\&#25105;&#30340;&#25253;&#21578;\&#27491;&#22312;&#36827;&#34892;\&#23457;&#26680;\&#25253;&#21578;&#34920;\&#22885;&#20975;&#21021;&#31295;\&#27700;&#24179;&#34913;&#22270;.vsdx" TargetMode="External"/><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f9a0ad7a-9c96-40b3-9a13-7e47a6d6bb66</errorID>
      <errorWord>监察</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3536DF51</paraID>
      <start>11</start>
      <end>13</end>
      <status>modified</status>
      <modifiedWord>检查</modifiedWord>
      <trackRevisions>false</trackRevisions>
    </reviewItem>
    <reviewItem>
      <errorID>3b0a8fed-fd47-42d8-89df-479aecb1955e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3794A0DE</paraID>
      <start>0</start>
      <end>2</end>
      <status>modified</status>
      <modifiedWord>1.</modifiedWord>
      <trackRevisions>false</trackRevisions>
    </reviewItem>
    <reviewItem>
      <errorID>05c564d1-c86d-4d17-82de-fa7e7324619e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3DCE5278</paraID>
      <start>0</start>
      <end>2</end>
      <status>modified</status>
      <modifiedWord>2.</modifiedWord>
      <trackRevisions>false</trackRevisions>
    </reviewItem>
    <reviewItem>
      <errorID>87573e9a-9d86-4e7b-95e0-8f15061de724</errorID>
      <errorWord>(</errorWord>
      <group>L1_Format</group>
      <groupName>格式问题</groupName>
      <ability>L2_HalfPunc</ability>
      <abilityName>全半角检查</abilityName>
      <candidateList>
        <item>（</item>
      </candidateList>
      <explain>文本全半角错误。</explain>
      <paraID>18EC4F75</paraID>
      <start>34</start>
      <end>35</end>
      <status>modified</status>
      <modifiedWord>（</modifiedWord>
      <trackRevisions>false</trackRevisions>
    </reviewItem>
    <reviewItem>
      <errorID>350c771f-7f47-4916-adc5-ca77b6451962</errorID>
      <errorWord>)</errorWord>
      <group>L1_Format</group>
      <groupName>格式问题</groupName>
      <ability>L2_HalfPunc</ability>
      <abilityName>全半角检查</abilityName>
      <candidateList>
        <item>）</item>
      </candidateList>
      <explain>文本全半角错误。</explain>
      <paraID>18EC4F75</paraID>
      <start>47</start>
      <end>48</end>
      <status>modified</status>
      <modifiedWord>）</modifiedWord>
      <trackRevisions>false</trackRevisions>
    </reviewItem>
    <reviewItem>
      <errorID>44f04f1c-0a65-48ad-bcad-3414fad63589</errorID>
      <errorWord>。</errorWord>
      <group>L1_Punc</group>
      <groupName>标点问题</groupName>
      <ability>L2_Punc</ability>
      <abilityName>标点符号检查</abilityName>
      <candidateList>
        <item/>
      </candidateList>
      <explain>标题文本后不使用标点符号。</explain>
      <paraID>1B6493CD</paraID>
      <start>16</start>
      <end>16</end>
      <status>modified</status>
      <modifiedWord/>
      <trackRevisions>false</trackRevisions>
    </reviewItem>
    <reviewItem>
      <errorID>08725d86-879b-4577-aa3f-663463600bb7</errorID>
      <errorWord>。</errorWord>
      <group>L1_Punc</group>
      <groupName>标点问题</groupName>
      <ability>L2_Punc</ability>
      <abilityName>标点符号检查</abilityName>
      <candidateList>
        <item/>
      </candidateList>
      <explain>标题文本后不使用标点符号。</explain>
      <paraID>2AFDAF66</paraID>
      <start>22</start>
      <end>22</end>
      <status>modified</status>
      <modifiedWord/>
      <trackRevisions>false</trackRevisions>
    </reviewItem>
    <reviewItem>
      <errorID>6b8ff7fb-6fac-47fe-b1f9-466f6a472510</errorID>
      <errorWord>。</errorWord>
      <group>L1_Punc</group>
      <groupName>标点问题</groupName>
      <ability>L2_Punc</ability>
      <abilityName>标点符号检查</abilityName>
      <candidateList>
        <item/>
      </candidateList>
      <explain>标题文本后不使用标点符号。</explain>
      <paraID>75921995</paraID>
      <start>24</start>
      <end>24</end>
      <status>modified</status>
      <modifiedWord/>
      <trackRevisions>false</trackRevisions>
    </reviewItem>
    <reviewItem>
      <errorID>d8c7a761-0321-4ae8-8539-9bb5ad18de1c</errorID>
      <errorWord>。</errorWord>
      <group>L1_Punc</group>
      <groupName>标点问题</groupName>
      <ability>L2_Punc</ability>
      <abilityName>标点符号检查</abilityName>
      <candidateList>
        <item/>
      </candidateList>
      <explain>标题文本后不使用标点符号。</explain>
      <paraID>29CC6B66</paraID>
      <start>24</start>
      <end>24</end>
      <status>modified</status>
      <modifiedWord/>
      <trackRevisions>false</trackRevisions>
    </reviewItem>
    <reviewItem>
      <errorID>3ed0c72a-f8f0-4adb-b9cf-f4bf33f09bef</errorID>
      <errorWord>。</errorWord>
      <group>L1_Punc</group>
      <groupName>标点问题</groupName>
      <ability>L2_Punc</ability>
      <abilityName>标点符号检查</abilityName>
      <candidateList>
        <item/>
      </candidateList>
      <explain>标题文本后不使用标点符号。</explain>
      <paraID>5070DDB8</paraID>
      <start>15</start>
      <end>15</end>
      <status>modified</status>
      <modifiedWord/>
      <trackRevisions>false</trackRevisions>
    </reviewItem>
    <reviewItem>
      <errorID>0bb53cc7-ac29-4e02-9239-a03324d2053b</errorID>
      <errorWord>[2018]74号</errorWord>
      <group>L1_Knowledge</group>
      <groupName>知识性问题</groupName>
      <ability>L2_Knowledge</ability>
      <abilityName>其他知识</abilityName>
      <candidateList>
        <item>〔2018〕74号</item>
      </candidateList>
      <explain>发文字号格式错误</explain>
      <paraID>6AEF2A1D</paraID>
      <start>32</start>
      <end>41</end>
      <status>modified</status>
      <modifiedWord>〔2018〕74号</modifiedWord>
      <trackRevisions>false</trackRevisions>
    </reviewItem>
    <reviewItem>
      <errorID>0b497b80-db2a-4be8-8123-086df0d1133f</errorID>
      <errorWord>[2020]1号</errorWord>
      <group>L1_Knowledge</group>
      <groupName>知识性问题</groupName>
      <ability>L2_Knowledge</ability>
      <abilityName>其他知识</abilityName>
      <candidateList>
        <item>〔2020〕1号</item>
      </candidateList>
      <explain>发文字号格式错误</explain>
      <paraID>34D5250D</paraID>
      <start>31</start>
      <end>39</end>
      <status>modified</status>
      <modifiedWord>〔2020〕1号</modifiedWord>
      <trackRevisions>false</trackRevisions>
    </reviewItem>
    <reviewItem>
      <errorID>cc2e55ab-2ccf-43e7-afcb-2c135241c8d8</errorID>
      <errorWord>[2018]74号</errorWord>
      <group>L1_Knowledge</group>
      <groupName>知识性问题</groupName>
      <ability>L2_Knowledge</ability>
      <abilityName>其他知识</abilityName>
      <candidateList>
        <item>〔2018〕74号</item>
      </candidateList>
      <explain>发文字号格式错误</explain>
      <paraID>34D5250D</paraID>
      <start>71</start>
      <end>80</end>
      <status>modified</status>
      <modifiedWord>〔2018〕74号</modifiedWord>
      <trackRevisions>false</trackRevisions>
    </reviewItem>
    <reviewItem>
      <errorID>9d5603ac-52c5-4865-a6c9-160a9e5c0325</errorID>
      <errorWord>共抓大保护，不搞大开发</errorWord>
      <group>L1_Political</group>
      <groupName>政治性问题</groupName>
      <ability>L2_Keyword</ability>
      <abilityName>固定表述</abilityName>
      <candidateList>
        <item>共抓大保护、不搞大开发</item>
      </candidateList>
      <explain>注意检查当前固定表述标点是否使用规范。</explain>
      <paraID>191B78DA</paraID>
      <start>14</start>
      <end>25</end>
      <status>modified</status>
      <modifiedWord>共抓大保护、不搞大开发</modifiedWord>
      <trackRevisions>false</trackRevisions>
    </reviewItem>
    <reviewItem>
      <errorID>0924d269-6660-4c30-8545-1cf31ab0608c</errorID>
      <errorWord>[2014]197号</errorWord>
      <group>L1_Knowledge</group>
      <groupName>知识性问题</groupName>
      <ability>L2_Knowledge</ability>
      <abilityName>其他知识</abilityName>
      <candidateList>
        <item>〔2014〕197号</item>
      </candidateList>
      <explain>发文字号格式错误</explain>
      <paraID>6983B4E0</paraID>
      <start>31</start>
      <end>41</end>
      <status>modified</status>
      <modifiedWord>〔2014〕197号</modifiedWord>
      <trackRevisions>false</trackRevisions>
    </reviewItem>
    <reviewItem>
      <errorID>5b34cec4-5f0f-400a-afec-1ec0e424abca</errorID>
      <errorWord>(2022)5号</errorWord>
      <group>L1_Knowledge</group>
      <groupName>知识性问题</groupName>
      <ability>L2_Knowledge</ability>
      <abilityName>其他知识</abilityName>
      <candidateList>
        <item>〔2022〕5号</item>
      </candidateList>
      <explain>发文字号格式错误</explain>
      <paraID>2A91DC49</paraID>
      <start>54</start>
      <end>62</end>
      <status>modified</status>
      <modifiedWord>〔2022〕5号</modifiedWord>
      <trackRevisions>false</trackRevisions>
    </reviewItem>
    <reviewItem>
      <errorID>11c31acf-44e3-4340-ada8-efdb8d5e9a31</errorID>
      <errorWord>)</errorWord>
      <group>L1_Format</group>
      <groupName>格式问题</groupName>
      <ability>L2_HalfPunc</ability>
      <abilityName>全半角检查</abilityName>
      <candidateList>
        <item>）</item>
      </candidateList>
      <explain>文本全半角错误。</explain>
      <paraID>2A91DC49</paraID>
      <start>62</start>
      <end>63</end>
      <status>modified</status>
      <modifiedWord>）</modifiedWord>
      <trackRevisions>false</trackRevisions>
    </reviewItem>
    <reviewItem>
      <errorID>8606e5c2-7a8f-4df7-9462-9058127f940a</errorID>
      <errorWord>(2022)5号</errorWord>
      <group>L1_Knowledge</group>
      <groupName>知识性问题</groupName>
      <ability>L2_Knowledge</ability>
      <abilityName>其他知识</abilityName>
      <candidateList>
        <item>〔2022〕5号</item>
      </candidateList>
      <explain>发文字号格式错误</explain>
      <paraID>690E9C4A</paraID>
      <start>67</start>
      <end>75</end>
      <status>modified</status>
      <modifiedWord>〔2022〕5号</modifiedWord>
      <trackRevisions>false</trackRevisions>
    </reviewItem>
    <reviewItem>
      <errorID>9cb21764-b21d-4f0c-8da1-69d2b4b9a720</errorID>
      <errorWord>)</errorWord>
      <group>L1_Format</group>
      <groupName>格式问题</groupName>
      <ability>L2_HalfPunc</ability>
      <abilityName>全半角检查</abilityName>
      <candidateList>
        <item>）</item>
      </candidateList>
      <explain>文本全半角错误。</explain>
      <paraID>690E9C4A</paraID>
      <start>75</start>
      <end>76</end>
      <status>modified</status>
      <modifiedWord>）</modifiedWord>
      <trackRevisions>false</trackRevisions>
    </reviewItem>
    <reviewItem>
      <errorID>de4b2110-d3b4-4d13-a0ee-9c58b14fcde1</errorID>
      <errorWord>(2022)5号</errorWord>
      <group>L1_Knowledge</group>
      <groupName>知识性问题</groupName>
      <ability>L2_Knowledge</ability>
      <abilityName>其他知识</abilityName>
      <candidateList>
        <item>〔2022〕5号</item>
      </candidateList>
      <explain>发文字号格式错误</explain>
      <paraID>325486A0</paraID>
      <start>28</start>
      <end>36</end>
      <status>modified</status>
      <modifiedWord>〔2022〕5号</modifiedWord>
      <trackRevisions>false</trackRevisions>
    </reviewItem>
    <reviewItem>
      <errorID>8f5816bc-9ecd-4467-be4e-6b119e6aba1e</errorID>
      <errorWord>)</errorWord>
      <group>L1_Format</group>
      <groupName>格式问题</groupName>
      <ability>L2_HalfPunc</ability>
      <abilityName>全半角检查</abilityName>
      <candidateList>
        <item>）</item>
      </candidateList>
      <explain>文本全半角错误。</explain>
      <paraID>325486A0</paraID>
      <start>36</start>
      <end>37</end>
      <status>modified</status>
      <modifiedWord>）</modifiedWord>
      <trackRevisions>false</trackRevisions>
    </reviewItem>
    <reviewItem>
      <errorID>7ab5fa01-bd65-4c5d-bcb9-1c43e0700620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16F975DB</paraID>
      <start>72</start>
      <end>73</end>
      <status>modified</status>
      <modifiedWord>—</modifiedWord>
      <trackRevisions>false</trackRevisions>
    </reviewItem>
    <reviewItem>
      <errorID>65490fc8-7523-40b3-af49-558836561717</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47281968</paraID>
      <start>66</start>
      <end>86</end>
      <status>modified</status>
      <modifiedWord>《产业结构调整指导目录（2024年本）》</modifiedWord>
      <trackRevisions>false</trackRevisions>
    </reviewItem>
    <reviewItem>
      <errorID>81a2b08b-ab85-497a-b1d4-f60ae9b80c64</errorID>
      <errorWord>[2014]197号</errorWord>
      <group>L1_Knowledge</group>
      <groupName>知识性问题</groupName>
      <ability>L2_Knowledge</ability>
      <abilityName>其他知识</abilityName>
      <candidateList>
        <item>〔2014〕197号</item>
      </candidateList>
      <explain>发文字号格式错误</explain>
      <paraID>7BF317E8</paraID>
      <start>31</start>
      <end>41</end>
      <status>modified</status>
      <modifiedWord>〔2014〕197号</modifiedWord>
      <trackRevisions>false</trackRevisions>
    </reviewItem>
    <reviewItem>
      <errorID>c37723fc-a046-4726-8b40-9ade40763e8b</errorID>
      <errorWord>标准限制</errorWord>
      <group>L1_Word</group>
      <groupName>字词问题</groupName>
      <ability>L2_Typo</ability>
      <abilityName>字词错误</abilityName>
      <candidateList>
        <item>标准限值</item>
      </candidateList>
      <explain/>
      <paraID> 8F1C1BD</paraID>
      <start>5</start>
      <end>9</end>
      <status>modified</status>
      <modifiedWord>标准限值</modifiedWord>
      <trackRevisions>false</trackRevisions>
    </reviewItem>
    <reviewItem>
      <errorID>df04f96e-3511-495b-a54d-cae58405ec23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653B7DD1</paraID>
      <start>33</start>
      <end>34</end>
      <status>modified</status>
      <modifiedWord>—</modifiedWord>
      <trackRevisions>false</trackRevisions>
    </reviewItem>
    <reviewItem>
      <errorID>a84b9d7c-34eb-4dad-a25e-c0a30e020eef</errorID>
      <errorWord>（</errorWord>
      <group>L1_Punc</group>
      <groupName>标点问题</groupName>
      <ability>L2_Punc</ability>
      <abilityName>标点符号检查</abilityName>
      <candidateList/>
      <explain/>
      <paraID>247059C2</paraID>
      <start>35</start>
      <end>36</end>
      <status>unmodified</status>
      <modifiedWord/>
      <trackRevisions>false</trackRevisions>
    </reviewItem>
    <reviewItem>
      <errorID>bbaac70b-6b11-4826-b43b-d09834b2a505</errorID>
      <errorWord>(2022)5号</errorWord>
      <group>L1_Knowledge</group>
      <groupName>知识性问题</groupName>
      <ability>L2_Knowledge</ability>
      <abilityName>其他知识</abilityName>
      <candidateList>
        <item>〔2022〕5号</item>
      </candidateList>
      <explain>发文字号格式错误</explain>
      <paraID>247059C2</paraID>
      <start>58</start>
      <end>66</end>
      <status>modified</status>
      <modifiedWord>〔2022〕5号</modifiedWord>
      <trackRevisions>false</trackRevisions>
    </reviewItem>
    <reviewItem>
      <errorID>5a9d3e2c-5524-4488-8da9-844712086167</errorID>
      <errorWord>)</errorWord>
      <group>L1_Format</group>
      <groupName>格式问题</groupName>
      <ability>L2_HalfPunc</ability>
      <abilityName>全半角检查</abilityName>
      <candidateList>
        <item>）</item>
      </candidateList>
      <explain>文本全半角错误。</explain>
      <paraID>247059C2</paraID>
      <start>66</start>
      <end>67</end>
      <status>modified</status>
      <modifiedWord>）</modifiedWord>
      <trackRevisions>false</trackRevisions>
    </reviewItem>
    <reviewItem>
      <errorID>69320002-152a-4178-8b38-7b229b85aa62</errorID>
      <errorWord>,</errorWord>
      <group>L1_Format</group>
      <groupName>格式问题</groupName>
      <ability>L2_HalfPunc</ability>
      <abilityName>全半角检查</abilityName>
      <candidateList>
        <item>，</item>
      </candidateList>
      <explain>文本全半角错误。</explain>
      <paraID> 5CD5EA8</paraID>
      <start>53</start>
      <end>54</end>
      <status>modified</status>
      <modifiedWord>，</modifiedWord>
      <trackRevisions>false</trackRevisions>
    </reviewItem>
    <reviewItem>
      <errorID>ef61f4f5-98f1-4975-9afa-f30b1babe710</errorID>
      <errorWord>"</errorWord>
      <group>L1_Format</group>
      <groupName>格式问题</groupName>
      <ability>L2_HalfPunc</ability>
      <abilityName>全半角检查</abilityName>
      <candidateList/>
      <explain>文本全半角错误。</explain>
      <paraID>  8A43C1</paraID>
      <start>47</start>
      <end>48</end>
      <status>unmodified</status>
      <modifiedWord/>
      <trackRevisions>false</trackRevisions>
    </reviewItem>
    <reviewItem>
      <errorID>5a67eee8-e433-4161-9ff7-1142aeba89a1</errorID>
      <errorWord>"</errorWord>
      <group>L1_Format</group>
      <groupName>格式问题</groupName>
      <ability>L2_HalfPunc</ability>
      <abilityName>全半角检查</abilityName>
      <candidateList/>
      <explain>文本全半角错误。</explain>
      <paraID>  8A43C1</paraID>
      <start>57</start>
      <end>58</end>
      <status>unmodified</status>
      <modifiedWord/>
      <trackRevisions>false</trackRevisions>
    </reviewItem>
    <reviewItem>
      <errorID>f2510df6-be28-4500-9585-1088ddb0d9d2</errorID>
      <errorWord>果</errorWord>
      <group>L1_Word</group>
      <groupName>字词问题</groupName>
      <ability>L2_Typo</ability>
      <abilityName>字词错误</abilityName>
      <candidateList>
        <item>果和</item>
      </candidateList>
      <explain/>
      <paraID>52EA90A4</paraID>
      <start>33</start>
      <end>35</end>
      <status>modified</status>
      <modifiedWord>果和</modifiedWord>
      <trackRevisions>false</trackRevisions>
    </reviewItem>
    <reviewItem>
      <errorID>3c1cdd1d-4191-4828-acfb-2d06315ac3ff</errorID>
      <errorWord>&lt;</errorWord>
      <group>L1_Format</group>
      <groupName>格式问题</groupName>
      <ability>L2_HalfPunc</ability>
      <abilityName>全半角检查</abilityName>
      <candidateList>
        <item>〈</item>
      </candidateList>
      <explain>文本全半角错误。</explain>
      <paraID>305348CD</paraID>
      <start>7</start>
      <end>8</end>
      <status>modified</status>
      <modifiedWord>〈</modifiedWord>
      <trackRevisions>false</trackRevisions>
    </reviewItem>
    <reviewItem>
      <errorID>352d46e5-1d74-4af9-8857-6f01db5cebf2</errorID>
      <errorWord>&gt;</errorWord>
      <group>L1_Format</group>
      <groupName>格式问题</groupName>
      <ability>L2_HalfPunc</ability>
      <abilityName>全半角检查</abilityName>
      <candidateList>
        <item>〉</item>
      </candidateList>
      <explain>文本全半角错误。</explain>
      <paraID>305348CD</paraID>
      <start>32</start>
      <end>33</end>
      <status>modified</status>
      <modifiedWord>〉</modifiedWord>
      <trackRevisions>false</trackRevisions>
    </reviewItem>
    <reviewItem>
      <errorID>3dea724c-bc5c-4f75-bf35-4f4104c0bfff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476D5F42</paraID>
      <start>23</start>
      <end>24</end>
      <status>modified</status>
      <modifiedWord>—</modifiedWord>
      <trackRevisions>false</trackRevisions>
    </reviewItem>
    <reviewItem>
      <errorID>ddc263cf-9e9b-4afe-ba95-2afdeab22850</errorID>
      <errorWord>&lt;</errorWord>
      <group>L1_Format</group>
      <groupName>格式问题</groupName>
      <ability>L2_HalfPunc</ability>
      <abilityName>全半角检查</abilityName>
      <candidateList>
        <item>〈</item>
      </candidateList>
      <explain>文本全半角错误。</explain>
      <paraID>182F632F</paraID>
      <start>9</start>
      <end>10</end>
      <status>modified</status>
      <modifiedWord>〈</modifiedWord>
      <trackRevisions>false</trackRevisions>
    </reviewItem>
    <reviewItem>
      <errorID>9382e011-2267-4526-9a85-8c4151f64518</errorID>
      <errorWord>&gt;</errorWord>
      <group>L1_Format</group>
      <groupName>格式问题</groupName>
      <ability>L2_HalfPunc</ability>
      <abilityName>全半角检查</abilityName>
      <candidateList>
        <item>〉</item>
      </candidateList>
      <explain>文本全半角错误。</explain>
      <paraID>182F632F</paraID>
      <start>34</start>
      <end>35</end>
      <status>modified</status>
      <modifiedWord>〉</modifiedWord>
      <trackRevisions>false</trackRevisions>
    </reviewItem>
    <reviewItem>
      <errorID>625d167f-d710-4369-845a-beb7b364aba3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6229FD0B</paraID>
      <start>25</start>
      <end>26</end>
      <status>modified</status>
      <modifiedWord>—</modifiedWord>
      <trackRevisions>false</trackRevisions>
    </reviewItem>
    <reviewItem>
      <errorID>bfcbe655-bae6-43be-a83b-28e16380a6dd</errorID>
      <errorWord>”</errorWord>
      <group>L1_Punc</group>
      <groupName>标点问题</groupName>
      <ability>L2_Punc</ability>
      <abilityName>标点符号检查</abilityName>
      <candidateList/>
      <explain/>
      <paraID> 8D76764</paraID>
      <start>37</start>
      <end>38</end>
      <status>unmodified</status>
      <modifiedWord/>
      <trackRevisions>false</trackRevisions>
    </reviewItem>
    <reviewItem>
      <errorID>b3d6c93c-666c-437b-81a4-6958a3f4f2fd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28CEDEE2</paraID>
      <start>35</start>
      <end>36</end>
      <status>modified</status>
      <modifiedWord>—</modifiedWord>
      <trackRevisions>false</trackRevisions>
    </reviewItem>
    <reviewItem>
      <errorID>187c5a78-d899-4019-aaf9-5b1e6a5cdd06</errorID>
      <errorWord>。</errorWord>
      <group>L1_Punc</group>
      <groupName>标点问题</groupName>
      <ability>L2_Punc</ability>
      <abilityName>标点符号检查</abilityName>
      <candidateList>
        <item/>
      </candidateList>
      <explain>标题文本后不使用标点符号。</explain>
      <paraID> 5CB7B1F</paraID>
      <start>23</start>
      <end>23</end>
      <status>modified</status>
      <modifiedWord/>
      <trackRevisions>false</trackRevisions>
    </reviewItem>
    <reviewItem>
      <errorID>fd0e2f90-62dc-4227-8bef-90ab5e9495a8</errorID>
      <errorWord>&lt;</errorWord>
      <group>L1_Format</group>
      <groupName>格式问题</groupName>
      <ability>L2_HalfPunc</ability>
      <abilityName>全半角检查</abilityName>
      <candidateList>
        <item>〈</item>
      </candidateList>
      <explain>文本全半角错误。</explain>
      <paraID>58882321</paraID>
      <start>7</start>
      <end>8</end>
      <status>modified</status>
      <modifiedWord>〈</modifiedWord>
      <trackRevisions>false</trackRevisions>
    </reviewItem>
    <reviewItem>
      <errorID>43b06c4c-6497-421e-8411-e9e1d2e045b5</errorID>
      <errorWord>&gt;的通知》</errorWord>
      <group>L1_Punc</group>
      <groupName>标点问题</groupName>
      <ability>L2_Punc</ability>
      <abilityName>标点符号检查</abilityName>
      <candidateList>
        <item>〉的通知》</item>
      </candidateList>
      <explain/>
      <paraID>58882321</paraID>
      <start>25</start>
      <end>30</end>
      <status>modified</status>
      <modifiedWord>〉的通知》</modifiedWord>
      <trackRevisions>false</trackRevisions>
    </reviewItem>
    <reviewItem>
      <errorID>0eb65852-3404-405c-bbe0-4cdbf1f1124c</errorID>
      <errorWord>&lt;</errorWord>
      <group>L1_Format</group>
      <groupName>格式问题</groupName>
      <ability>L2_HalfPunc</ability>
      <abilityName>全半角检查</abilityName>
      <candidateList>
        <item>〈</item>
      </candidateList>
      <explain>文本全半角错误。</explain>
      <paraID> 325C23B</paraID>
      <start>8</start>
      <end>9</end>
      <status>modified</status>
      <modifiedWord>〈</modifiedWord>
      <trackRevisions>false</trackRevisions>
    </reviewItem>
    <reviewItem>
      <errorID>478fb8ec-8e96-42a7-8ab2-4447ca6e03c1</errorID>
      <errorWord>&gt;的通知》</errorWord>
      <group>L1_Punc</group>
      <groupName>标点问题</groupName>
      <ability>L2_Punc</ability>
      <abilityName>标点符号检查</abilityName>
      <candidateList>
        <item>〉的通知》</item>
      </candidateList>
      <explain/>
      <paraID> 325C23B</paraID>
      <start>26</start>
      <end>31</end>
      <status>modified</status>
      <modifiedWord>〉的通知》</modifiedWord>
      <trackRevisions>false</trackRevisions>
    </reviewItem>
    <reviewItem>
      <errorID>1fad1480-f40b-4f8c-83b7-b44ee1180280</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5D3AB28F</paraID>
      <start>73</start>
      <end>76</end>
      <status>modified</status>
      <modifiedWord>必需的</modifiedWord>
      <trackRevisions>false</trackRevisions>
    </reviewItem>
    <reviewItem>
      <errorID>13319ef5-b1ab-46dc-9edf-5b596c52c6b6</errorID>
      <errorWord>油</errorWord>
      <group>L1_Word</group>
      <groupName>字词问题</groupName>
      <ability>L2_Typo</ability>
      <abilityName>字词错误</abilityName>
      <candidateList>
        <item>页</item>
      </candidateList>
      <explain/>
      <paraID>5E02306E</paraID>
      <start>59</start>
      <end>60</end>
      <status>ignored</status>
      <modifiedWord/>
      <trackRevisions>false</trackRevisions>
    </reviewItem>
    <reviewItem>
      <errorID>0abf10f6-1d6a-4bb9-bdd5-11e9c8186247</errorID>
      <errorWord>(</errorWord>
      <group>L1_Format</group>
      <groupName>格式问题</groupName>
      <ability>L2_HalfPunc</ability>
      <abilityName>全半角检查</abilityName>
      <candidateList>
        <item>（</item>
      </candidateList>
      <explain>文本全半角错误。</explain>
      <paraID>33137222</paraID>
      <start>82</start>
      <end>83</end>
      <status>modified</status>
      <modifiedWord>（</modifiedWord>
      <trackRevisions>false</trackRevisions>
    </reviewItem>
    <reviewItem>
      <errorID>279e7973-bb06-498a-873b-4e6a4d12239c</errorID>
      <errorWord>)</errorWord>
      <group>L1_Format</group>
      <groupName>格式问题</groupName>
      <ability>L2_HalfPunc</ability>
      <abilityName>全半角检查</abilityName>
      <candidateList>
        <item>）</item>
      </candidateList>
      <explain>文本全半角错误。</explain>
      <paraID>33137222</paraID>
      <start>95</start>
      <end>96</end>
      <status>modified</status>
      <modifiedWord>）</modifiedWord>
      <trackRevisions>false</trackRevisions>
    </reviewItem>
    <reviewItem>
      <errorID>2163c2ab-6c27-421c-881e-f1d2de210dea</errorID>
      <errorWord>(</errorWord>
      <group>L1_Format</group>
      <groupName>格式问题</groupName>
      <ability>L2_HalfPunc</ability>
      <abilityName>全半角检查</abilityName>
      <candidateList>
        <item>（</item>
      </candidateList>
      <explain>文本全半角错误。</explain>
      <paraID>33137222</paraID>
      <start>118</start>
      <end>119</end>
      <status>modified</status>
      <modifiedWord>（</modifiedWord>
      <trackRevisions>false</trackRevisions>
    </reviewItem>
    <reviewItem>
      <errorID>2e9ed35d-f9cc-485c-97c8-fa192a1fdf9f</errorID>
      <errorWord>)</errorWord>
      <group>L1_Format</group>
      <groupName>格式问题</groupName>
      <ability>L2_HalfPunc</ability>
      <abilityName>全半角检查</abilityName>
      <candidateList>
        <item>）</item>
      </candidateList>
      <explain>文本全半角错误。</explain>
      <paraID>33137222</paraID>
      <start>129</start>
      <end>130</end>
      <status>modified</status>
      <modifiedWord>）</modifiedWord>
      <trackRevisions>false</trackRevisions>
    </reviewItem>
    <reviewItem>
      <errorID>d0bd408e-e54e-4505-8b39-9f2101149ed6</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33137222</paraID>
      <start>151</start>
      <end>153</end>
      <status>modified</status>
      <modifiedWord>5）</modifiedWord>
      <trackRevisions>false</trackRevisions>
    </reviewItem>
    <reviewItem>
      <errorID>420da2cf-bb9a-42b9-bb72-cb5c1559937a</errorID>
      <errorWord>(</errorWord>
      <group>L1_Format</group>
      <groupName>格式问题</groupName>
      <ability>L2_HalfPunc</ability>
      <abilityName>全半角检查</abilityName>
      <candidateList>
        <item>（</item>
      </candidateList>
      <explain>文本全半角错误。</explain>
      <paraID>33137222</paraID>
      <start>303</start>
      <end>304</end>
      <status>modified</status>
      <modifiedWord>（</modifiedWord>
      <trackRevisions>false</trackRevisions>
    </reviewItem>
    <reviewItem>
      <errorID>06f324f8-d7b3-4222-923f-6f0251aed117</errorID>
      <errorWord>)</errorWord>
      <group>L1_Format</group>
      <groupName>格式问题</groupName>
      <ability>L2_HalfPunc</ability>
      <abilityName>全半角检查</abilityName>
      <candidateList>
        <item>）</item>
      </candidateList>
      <explain>文本全半角错误。</explain>
      <paraID>33137222</paraID>
      <start>308</start>
      <end>309</end>
      <status>modified</status>
      <modifiedWord>）</modifiedWord>
      <trackRevisions>false</trackRevisions>
    </reviewItem>
    <reviewItem>
      <errorID>4ade9105-6315-4061-aa6c-7c39152e2bb0</errorID>
      <errorWord>(</errorWord>
      <group>L1_Format</group>
      <groupName>格式问题</groupName>
      <ability>L2_HalfPunc</ability>
      <abilityName>全半角检查</abilityName>
      <candidateList>
        <item>（</item>
      </candidateList>
      <explain>文本全半角错误。</explain>
      <paraID>33137222</paraID>
      <start>313</start>
      <end>314</end>
      <status>modified</status>
      <modifiedWord>（</modifiedWord>
      <trackRevisions>false</trackRevisions>
    </reviewItem>
    <reviewItem>
      <errorID>6a63bf6f-dbc6-40e5-9cfe-5c36807a4829</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33137222</paraID>
      <start>318</start>
      <end>320</end>
      <status>modified</status>
      <modifiedWord>5)</modifiedWord>
      <trackRevisions>false</trackRevisions>
    </reviewItem>
    <reviewItem>
      <errorID>325beb3a-a0d0-46e3-83a8-d900e89263c2</errorID>
      <errorWord>(</errorWord>
      <group>L1_Format</group>
      <groupName>格式问题</groupName>
      <ability>L2_HalfPunc</ability>
      <abilityName>全半角检查</abilityName>
      <candidateList>
        <item>（</item>
      </candidateList>
      <explain>文本全半角错误。</explain>
      <paraID>33137222</paraID>
      <start>324</start>
      <end>325</end>
      <status>modified</status>
      <modifiedWord>（</modifiedWord>
      <trackRevisions>false</trackRevisions>
    </reviewItem>
    <reviewItem>
      <errorID>ef685aeb-13ba-45fa-9ce6-71df6fe0fd1d</errorID>
      <errorWord>)</errorWord>
      <group>L1_Format</group>
      <groupName>格式问题</groupName>
      <ability>L2_HalfPunc</ability>
      <abilityName>全半角检查</abilityName>
      <candidateList>
        <item>）</item>
      </candidateList>
      <explain>文本全半角错误。</explain>
      <paraID>33137222</paraID>
      <start>328</start>
      <end>329</end>
      <status>modified</status>
      <modifiedWord>）</modifiedWord>
      <trackRevisions>false</trackRevisions>
    </reviewItem>
    <reviewItem>
      <errorID>f1bcf9c3-26dd-4bfc-bc55-98cc703f065a</errorID>
      <errorWord>(</errorWord>
      <group>L1_Format</group>
      <groupName>格式问题</groupName>
      <ability>L2_HalfPunc</ability>
      <abilityName>全半角检查</abilityName>
      <candidateList>
        <item>（</item>
      </candidateList>
      <explain>文本全半角错误。</explain>
      <paraID>33137222</paraID>
      <start>334</start>
      <end>335</end>
      <status>modified</status>
      <modifiedWord>（</modifiedWord>
      <trackRevisions>false</trackRevisions>
    </reviewItem>
    <reviewItem>
      <errorID>b8ab4157-b573-45fd-94f3-a32d6487cdbf</errorID>
      <errorWord>)</errorWord>
      <group>L1_Format</group>
      <groupName>格式问题</groupName>
      <ability>L2_HalfPunc</ability>
      <abilityName>全半角检查</abilityName>
      <candidateList>
        <item>）</item>
      </candidateList>
      <explain>文本全半角错误。</explain>
      <paraID>33137222</paraID>
      <start>338</start>
      <end>339</end>
      <status>modified</status>
      <modifiedWord>）</modifiedWord>
      <trackRevisions>false</trackRevisions>
    </reviewItem>
    <reviewItem>
      <errorID>878466cb-c30d-4a04-8112-9f1abbe8a2fb</errorID>
      <errorWord>(</errorWord>
      <group>L1_Format</group>
      <groupName>格式问题</groupName>
      <ability>L2_HalfPunc</ability>
      <abilityName>全半角检查</abilityName>
      <candidateList>
        <item>（</item>
      </candidateList>
      <explain>文本全半角错误。</explain>
      <paraID>33137222</paraID>
      <start>344</start>
      <end>345</end>
      <status>modified</status>
      <modifiedWord>（</modifiedWord>
      <trackRevisions>false</trackRevisions>
    </reviewItem>
    <reviewItem>
      <errorID>3387b913-fda7-4804-ace1-5ae33ffe050a</errorID>
      <errorWord>)</errorWord>
      <group>L1_Format</group>
      <groupName>格式问题</groupName>
      <ability>L2_HalfPunc</ability>
      <abilityName>全半角检查</abilityName>
      <candidateList>
        <item>）</item>
      </candidateList>
      <explain>文本全半角错误。</explain>
      <paraID>33137222</paraID>
      <start>347</start>
      <end>348</end>
      <status>modified</status>
      <modifiedWord>）</modifiedWord>
      <trackRevisions>false</trackRevisions>
    </reviewItem>
    <reviewItem>
      <errorID>4127dac2-f70b-40a1-a541-e1c31db914d5</errorID>
      <errorWord>(</errorWord>
      <group>L1_Format</group>
      <groupName>格式问题</groupName>
      <ability>L2_HalfPunc</ability>
      <abilityName>全半角检查</abilityName>
      <candidateList>
        <item>（</item>
      </candidateList>
      <explain>文本全半角错误。</explain>
      <paraID>33137222</paraID>
      <start>351</start>
      <end>352</end>
      <status>modified</status>
      <modifiedWord>（</modifiedWord>
      <trackRevisions>false</trackRevisions>
    </reviewItem>
    <reviewItem>
      <errorID>d0ba2bc1-7279-451c-92bd-bfe6b1a8a73a</errorID>
      <errorWord>)</errorWord>
      <group>L1_Format</group>
      <groupName>格式问题</groupName>
      <ability>L2_HalfPunc</ability>
      <abilityName>全半角检查</abilityName>
      <candidateList>
        <item>）</item>
      </candidateList>
      <explain>文本全半角错误。</explain>
      <paraID>33137222</paraID>
      <start>354</start>
      <end>355</end>
      <status>modified</status>
      <modifiedWord>）</modifiedWord>
      <trackRevisions>false</trackRevisions>
    </reviewItem>
    <reviewItem>
      <errorID>9b9032e4-95d3-41d4-80d3-995a5dc60dde</errorID>
      <errorWord>(</errorWord>
      <group>L1_Format</group>
      <groupName>格式问题</groupName>
      <ability>L2_HalfPunc</ability>
      <abilityName>全半角检查</abilityName>
      <candidateList>
        <item>（</item>
      </candidateList>
      <explain>文本全半角错误。</explain>
      <paraID> 7D82504</paraID>
      <start>155</start>
      <end>156</end>
      <status>modified</status>
      <modifiedWord>（</modifiedWord>
      <trackRevisions>false</trackRevisions>
    </reviewItem>
    <reviewItem>
      <errorID>2ea4ac60-e991-44b8-959a-bea65dd9acc1</errorID>
      <errorWord>)</errorWord>
      <group>L1_Format</group>
      <groupName>格式问题</groupName>
      <ability>L2_HalfPunc</ability>
      <abilityName>全半角检查</abilityName>
      <candidateList>
        <item>）</item>
      </candidateList>
      <explain>文本全半角错误。</explain>
      <paraID> 7D82504</paraID>
      <start>159</start>
      <end>160</end>
      <status>modified</status>
      <modifiedWord>）</modifiedWord>
      <trackRevisions>false</trackRevisions>
    </reviewItem>
    <reviewItem>
      <errorID>9f098cad-f637-4215-9eb9-5bf292317424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487A19E8</paraID>
      <start>0</start>
      <end>2</end>
      <status>modified</status>
      <modifiedWord>1.</modifiedWord>
      <trackRevisions>false</trackRevisions>
    </reviewItem>
    <reviewItem>
      <errorID>8e725e94-7438-4dbf-8b52-f89559f02990</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7B926964</paraID>
      <start>13</start>
      <end>33</end>
      <status>modified</status>
      <modifiedWord>《产业结构调整指导目录（2024年本）》</modifiedWord>
      <trackRevisions>false</trackRevisions>
    </reviewItem>
    <reviewItem>
      <errorID>d524593f-2961-4e77-8e17-01cddc3f9fde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6DAE6CEF</paraID>
      <start>0</start>
      <end>2</end>
      <status>modified</status>
      <modifiedWord>2.</modifiedWord>
      <trackRevisions>false</trackRevisions>
    </reviewItem>
    <reviewItem>
      <errorID>b64f2555-0461-4bfd-8138-8d665d7052c9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6E56375D</paraID>
      <start>0</start>
      <end>2</end>
      <status>modified</status>
      <modifiedWord>3.</modifiedWord>
      <trackRevisions>false</trackRevisions>
    </reviewItem>
    <reviewItem>
      <errorID>ed737acd-0957-4033-a5d8-5568fa01a398</errorID>
      <errorWord>（</errorWord>
      <group>L1_Punc</group>
      <groupName>标点问题</groupName>
      <ability>L2_Punc</ability>
      <abilityName>标点符号检查</abilityName>
      <candidateList/>
      <explain>同一形式括号套用。</explain>
      <paraID>6E56375D</paraID>
      <start>38</start>
      <end>39</end>
      <status>unmodified</status>
      <modifiedWord/>
      <trackRevisions>false</trackRevisions>
    </reviewItem>
    <reviewItem>
      <errorID>8699fc49-da18-4195-b2c8-ccd767263224</errorID>
      <errorWord>）</errorWord>
      <group>L1_Punc</group>
      <groupName>标点问题</groupName>
      <ability>L2_Punc</ability>
      <abilityName>标点符号检查</abilityName>
      <candidateList/>
      <explain>同一形式括号套用。</explain>
      <paraID>6E56375D</paraID>
      <start>44</start>
      <end>45</end>
      <status>unmodified</status>
      <modifiedWord/>
      <trackRevisions>false</trackRevisions>
    </reviewItem>
    <reviewItem>
      <errorID>ae1a3f68-28a9-4b56-8210-4058276392cc</errorID>
      <errorWord>（</errorWord>
      <group>L1_Punc</group>
      <groupName>标点问题</groupName>
      <ability>L2_Punc</ability>
      <abilityName>标点符号检查</abilityName>
      <candidateList/>
      <explain>同一形式括号套用。</explain>
      <paraID>6E56375D</paraID>
      <start>88</start>
      <end>89</end>
      <status>unmodified</status>
      <modifiedWord/>
      <trackRevisions>false</trackRevisions>
    </reviewItem>
    <reviewItem>
      <errorID>508d2d1b-2c92-4f45-978e-58b0e5040bba</errorID>
      <errorWord>）</errorWord>
      <group>L1_Punc</group>
      <groupName>标点问题</groupName>
      <ability>L2_Punc</ability>
      <abilityName>标点符号检查</abilityName>
      <candidateList/>
      <explain>同一形式括号套用。</explain>
      <paraID>6E56375D</paraID>
      <start>95</start>
      <end>96</end>
      <status>unmodified</status>
      <modifiedWord/>
      <trackRevisions>false</trackRevisions>
    </reviewItem>
    <reviewItem>
      <errorID>f647f366-6c14-4756-8b72-6ee055a714a0</errorID>
      <errorWord>（</errorWord>
      <group>L1_Punc</group>
      <groupName>标点问题</groupName>
      <ability>L2_Punc</ability>
      <abilityName>标点符号检查</abilityName>
      <candidateList/>
      <explain>同一形式括号套用。</explain>
      <paraID>6E56375D</paraID>
      <start>105</start>
      <end>106</end>
      <status>unmodified</status>
      <modifiedWord/>
      <trackRevisions>false</trackRevisions>
    </reviewItem>
    <reviewItem>
      <errorID>ed1f5a42-07b7-4dc8-aad8-205b23a387b0</errorID>
      <errorWord>）</errorWord>
      <group>L1_Punc</group>
      <groupName>标点问题</groupName>
      <ability>L2_Punc</ability>
      <abilityName>标点符号检查</abilityName>
      <candidateList/>
      <explain>同一形式括号套用。</explain>
      <paraID>6E56375D</paraID>
      <start>112</start>
      <end>113</end>
      <status>unmodified</status>
      <modifiedWord/>
      <trackRevisions>false</trackRevisions>
    </reviewItem>
    <reviewItem>
      <errorID>d04d28ee-ea8c-480f-86d6-38f096c411b0</errorID>
      <errorWord>（</errorWord>
      <group>L1_Punc</group>
      <groupName>标点问题</groupName>
      <ability>L2_Punc</ability>
      <abilityName>标点符号检查</abilityName>
      <candidateList/>
      <explain>同一形式括号套用。</explain>
      <paraID>6E56375D</paraID>
      <start>120</start>
      <end>121</end>
      <status>unmodified</status>
      <modifiedWord/>
      <trackRevisions>false</trackRevisions>
    </reviewItem>
    <reviewItem>
      <errorID>899b7662-4374-4ef5-ae0f-33f238a146c5</errorID>
      <errorWord>）</errorWord>
      <group>L1_Punc</group>
      <groupName>标点问题</groupName>
      <ability>L2_Punc</ability>
      <abilityName>标点符号检查</abilityName>
      <candidateList/>
      <explain>同一形式括号套用。</explain>
      <paraID>6E56375D</paraID>
      <start>127</start>
      <end>128</end>
      <status>unmodified</status>
      <modifiedWord/>
      <trackRevisions>false</trackRevisions>
    </reviewItem>
    <reviewItem>
      <errorID>20ab0cd4-f898-47df-a9ff-28bed45785df</errorID>
      <errorWord>（</errorWord>
      <group>L1_Punc</group>
      <groupName>标点问题</groupName>
      <ability>L2_Punc</ability>
      <abilityName>标点符号检查</abilityName>
      <candidateList/>
      <explain>同一形式括号套用。</explain>
      <paraID>6E56375D</paraID>
      <start>142</start>
      <end>143</end>
      <status>unmodified</status>
      <modifiedWord/>
      <trackRevisions>false</trackRevisions>
    </reviewItem>
    <reviewItem>
      <errorID>07d69251-db09-4867-8020-25074326e464</errorID>
      <errorWord>）</errorWord>
      <group>L1_Punc</group>
      <groupName>标点问题</groupName>
      <ability>L2_Punc</ability>
      <abilityName>标点符号检查</abilityName>
      <candidateList/>
      <explain>同一形式括号套用。</explain>
      <paraID>6E56375D</paraID>
      <start>149</start>
      <end>150</end>
      <status>unmodified</status>
      <modifiedWord/>
      <trackRevisions>false</trackRevisions>
    </reviewItem>
    <reviewItem>
      <errorID>0907dd87-82fb-40a0-a5c8-8a3b97bce031</errorID>
      <errorWord>（</errorWord>
      <group>L1_Punc</group>
      <groupName>标点问题</groupName>
      <ability>L2_Punc</ability>
      <abilityName>标点符号检查</abilityName>
      <candidateList/>
      <explain>同一形式括号套用。</explain>
      <paraID>6E56375D</paraID>
      <start>159</start>
      <end>160</end>
      <status>unmodified</status>
      <modifiedWord/>
      <trackRevisions>false</trackRevisions>
    </reviewItem>
    <reviewItem>
      <errorID>2fc71c8f-1fcd-4752-a1ff-7f925d2cf367</errorID>
      <errorWord>）</errorWord>
      <group>L1_Punc</group>
      <groupName>标点问题</groupName>
      <ability>L2_Punc</ability>
      <abilityName>标点符号检查</abilityName>
      <candidateList/>
      <explain>同一形式括号套用。</explain>
      <paraID>6E56375D</paraID>
      <start>166</start>
      <end>167</end>
      <status>unmodified</status>
      <modifiedWord/>
      <trackRevisions>false</trackRevisions>
    </reviewItem>
    <reviewItem>
      <errorID>6f9888a4-97ab-4c3d-8201-e9eea1836411</errorID>
      <errorWord>（</errorWord>
      <group>L1_Punc</group>
      <groupName>标点问题</groupName>
      <ability>L2_Punc</ability>
      <abilityName>标点符号检查</abilityName>
      <candidateList/>
      <explain>同一形式括号套用。</explain>
      <paraID>6E56375D</paraID>
      <start>176</start>
      <end>177</end>
      <status>unmodified</status>
      <modifiedWord/>
      <trackRevisions>false</trackRevisions>
    </reviewItem>
    <reviewItem>
      <errorID>0810e204-ea4b-4fa5-b8af-da6bae53fa4a</errorID>
      <errorWord>）</errorWord>
      <group>L1_Punc</group>
      <groupName>标点问题</groupName>
      <ability>L2_Punc</ability>
      <abilityName>标点符号检查</abilityName>
      <candidateList/>
      <explain>同一形式括号套用。</explain>
      <paraID>6E56375D</paraID>
      <start>182</start>
      <end>183</end>
      <status>unmodified</status>
      <modifiedWord/>
      <trackRevisions>false</trackRevisions>
    </reviewItem>
    <reviewItem>
      <errorID>36ebee57-94ad-454a-97fe-c0eeff2d3f6f</errorID>
      <errorWord>（</errorWord>
      <group>L1_Punc</group>
      <groupName>标点问题</groupName>
      <ability>L2_Punc</ability>
      <abilityName>标点符号检查</abilityName>
      <candidateList/>
      <explain>同一形式括号套用。</explain>
      <paraID>6E56375D</paraID>
      <start>194</start>
      <end>195</end>
      <status>unmodified</status>
      <modifiedWord/>
      <trackRevisions>false</trackRevisions>
    </reviewItem>
    <reviewItem>
      <errorID>f755009f-62db-43a1-9dcc-32fcb5a41685</errorID>
      <errorWord>）</errorWord>
      <group>L1_Punc</group>
      <groupName>标点问题</groupName>
      <ability>L2_Punc</ability>
      <abilityName>标点符号检查</abilityName>
      <candidateList/>
      <explain>同一形式括号套用。</explain>
      <paraID>6E56375D</paraID>
      <start>200</start>
      <end>201</end>
      <status>unmodified</status>
      <modifiedWord/>
      <trackRevisions>false</trackRevisions>
    </reviewItem>
    <reviewItem>
      <errorID>f99efe2e-fde0-4a21-a7a2-f45934bccc6d</errorID>
      <errorWord>（</errorWord>
      <group>L1_Punc</group>
      <groupName>标点问题</groupName>
      <ability>L2_Punc</ability>
      <abilityName>标点符号检查</abilityName>
      <candidateList/>
      <explain>同一形式括号套用。</explain>
      <paraID>6E56375D</paraID>
      <start>209</start>
      <end>210</end>
      <status>unmodified</status>
      <modifiedWord/>
      <trackRevisions>false</trackRevisions>
    </reviewItem>
    <reviewItem>
      <errorID>69a14293-c87d-4d14-bc03-e27540daae32</errorID>
      <errorWord>）</errorWord>
      <group>L1_Punc</group>
      <groupName>标点问题</groupName>
      <ability>L2_Punc</ability>
      <abilityName>标点符号检查</abilityName>
      <candidateList/>
      <explain>同一形式括号套用。</explain>
      <paraID>6E56375D</paraID>
      <start>215</start>
      <end>216</end>
      <status>unmodified</status>
      <modifiedWord/>
      <trackRevisions>false</trackRevisions>
    </reviewItem>
    <reviewItem>
      <errorID>b7a3921a-8e88-4363-ac18-5d54742e074e</errorID>
      <errorWord>（</errorWord>
      <group>L1_Punc</group>
      <groupName>标点问题</groupName>
      <ability>L2_Punc</ability>
      <abilityName>标点符号检查</abilityName>
      <candidateList/>
      <explain>同一形式括号套用。</explain>
      <paraID>6E56375D</paraID>
      <start>227</start>
      <end>228</end>
      <status>unmodified</status>
      <modifiedWord/>
      <trackRevisions>false</trackRevisions>
    </reviewItem>
    <reviewItem>
      <errorID>1983fcc8-fad5-42e5-8d3e-f9247856556b</errorID>
      <errorWord>）</errorWord>
      <group>L1_Punc</group>
      <groupName>标点问题</groupName>
      <ability>L2_Punc</ability>
      <abilityName>标点符号检查</abilityName>
      <candidateList/>
      <explain>同一形式括号套用。</explain>
      <paraID>6E56375D</paraID>
      <start>233</start>
      <end>234</end>
      <status>unmodified</status>
      <modifiedWord/>
      <trackRevisions>false</trackRevisions>
    </reviewItem>
    <reviewItem>
      <errorID>7574b10b-cb04-4a87-b065-86ad877aa26a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38036784</paraID>
      <start>0</start>
      <end>2</end>
      <status>modified</status>
      <modifiedWord>1.</modifiedWord>
      <trackRevisions>false</trackRevisions>
    </reviewItem>
    <reviewItem>
      <errorID>07e4583c-9111-450d-b402-0cb0ca9fef85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38075FCD</paraID>
      <start>0</start>
      <end>2</end>
      <status>modified</status>
      <modifiedWord>2.</modifiedWord>
      <trackRevisions>false</trackRevisions>
    </reviewItem>
    <reviewItem>
      <errorID>7b12595d-f796-4d06-b787-fda635ddcda3</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15EF5D15</paraID>
      <start>15</start>
      <end>35</end>
      <status>modified</status>
      <modifiedWord>《产业结构调整指导目录（2024年本）》</modifiedWord>
      <trackRevisions>false</trackRevisions>
    </reviewItem>
    <reviewItem>
      <errorID>48ff17b0-d445-4d10-8665-e15c10751b2c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632348DB</paraID>
      <start>0</start>
      <end>2</end>
      <status>modified</status>
      <modifiedWord>3.</modifiedWord>
      <trackRevisions>false</trackRevisions>
    </reviewItem>
    <reviewItem>
      <errorID>5b8bc2ba-e16f-4918-93ba-de4a2cc28c89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2F470EF7</paraID>
      <start>0</start>
      <end>2</end>
      <status>modified</status>
      <modifiedWord>4.</modifiedWord>
      <trackRevisions>false</trackRevisions>
    </reviewItem>
    <reviewItem>
      <errorID>d9ba7e0e-2174-46d2-898e-76d0273289ad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692C1680</paraID>
      <start>0</start>
      <end>2</end>
      <status>modified</status>
      <modifiedWord>1.</modifiedWord>
      <trackRevisions>false</trackRevisions>
    </reviewItem>
    <reviewItem>
      <errorID>f9fe0709-724e-4523-97d0-32ac099fbd20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473A7663</paraID>
      <start>0</start>
      <end>2</end>
      <status>modified</status>
      <modifiedWord>2.</modifiedWord>
      <trackRevisions>false</trackRevisions>
    </reviewItem>
    <reviewItem>
      <errorID>e58e47e2-1468-4ab9-9e72-01c6bf8b06ee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5121283D</paraID>
      <start>0</start>
      <end>2</end>
      <status>modified</status>
      <modifiedWord>3.</modifiedWord>
      <trackRevisions>false</trackRevisions>
    </reviewItem>
    <reviewItem>
      <errorID>a1b58c5e-3376-4ed8-8449-b74687cd36a6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4B84FC3</paraID>
      <start>0</start>
      <end>2</end>
      <status>modified</status>
      <modifiedWord>1.</modifiedWord>
      <trackRevisions>false</trackRevisions>
    </reviewItem>
    <reviewItem>
      <errorID>cd622f3e-a873-42e9-a514-c264766c939b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4DC6B79F</paraID>
      <start>0</start>
      <end>2</end>
      <status>modified</status>
      <modifiedWord>2.</modifiedWord>
      <trackRevisions>false</trackRevisions>
    </reviewItem>
    <reviewItem>
      <errorID>8a91b75e-c735-458a-bc30-516eec916cb3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185BB57C</paraID>
      <start>0</start>
      <end>2</end>
      <status>modified</status>
      <modifiedWord>3.</modifiedWord>
      <trackRevisions>false</trackRevisions>
    </reviewItem>
    <reviewItem>
      <errorID>2a2f3358-ec63-4a91-aa38-7e11c56943e6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787BCC99</paraID>
      <start>0</start>
      <end>2</end>
      <status>modified</status>
      <modifiedWord>1.</modifiedWord>
      <trackRevisions>false</trackRevisions>
    </reviewItem>
    <reviewItem>
      <errorID>52933ab3-25d0-4f9b-a8d8-daf158dced7a</errorID>
      <errorWord>(</errorWord>
      <group>L1_Format</group>
      <groupName>格式问题</groupName>
      <ability>L2_HalfPunc</ability>
      <abilityName>全半角检查</abilityName>
      <candidateList>
        <item>（</item>
      </candidateList>
      <explain>文本全半角错误。</explain>
      <paraID>570A710B</paraID>
      <start>27</start>
      <end>28</end>
      <status>modified</status>
      <modifiedWord>（</modifiedWord>
      <trackRevisions>false</trackRevisions>
    </reviewItem>
    <reviewItem>
      <errorID>6d8fade8-e80f-405a-9bd0-f9fd9a4c1110</errorID>
      <errorWord>)</errorWord>
      <group>L1_Format</group>
      <groupName>格式问题</groupName>
      <ability>L2_HalfPunc</ability>
      <abilityName>全半角检查</abilityName>
      <candidateList>
        <item>）</item>
      </candidateList>
      <explain>文本全半角错误。</explain>
      <paraID>570A710B</paraID>
      <start>32</start>
      <end>33</end>
      <status>modified</status>
      <modifiedWord>）</modifiedWord>
      <trackRevisions>false</trackRevisions>
    </reviewItem>
    <reviewItem>
      <errorID>19015ab4-1e22-4926-92f3-d3902d2edb4a</errorID>
      <errorWord>(</errorWord>
      <group>L1_Format</group>
      <groupName>格式问题</groupName>
      <ability>L2_HalfPunc</ability>
      <abilityName>全半角检查</abilityName>
      <candidateList>
        <item>（</item>
      </candidateList>
      <explain>文本全半角错误。</explain>
      <paraID>570A710B</paraID>
      <start>37</start>
      <end>38</end>
      <status>modified</status>
      <modifiedWord>（</modifiedWord>
      <trackRevisions>false</trackRevisions>
    </reviewItem>
    <reviewItem>
      <errorID>32e119cd-8c2f-4ae9-9df8-4721b559ab88</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570A710B</paraID>
      <start>42</start>
      <end>44</end>
      <status>modified</status>
      <modifiedWord>5)</modifiedWord>
      <trackRevisions>false</trackRevisions>
    </reviewItem>
    <reviewItem>
      <errorID>4f172d12-a6f0-460f-a312-3163f3de8bed</errorID>
      <errorWord>(</errorWord>
      <group>L1_Format</group>
      <groupName>格式问题</groupName>
      <ability>L2_HalfPunc</ability>
      <abilityName>全半角检查</abilityName>
      <candidateList>
        <item>（</item>
      </candidateList>
      <explain>文本全半角错误。</explain>
      <paraID>570A710B</paraID>
      <start>48</start>
      <end>49</end>
      <status>modified</status>
      <modifiedWord>（</modifiedWord>
      <trackRevisions>false</trackRevisions>
    </reviewItem>
    <reviewItem>
      <errorID>6276d7f1-d781-45c9-954d-6f9d13bd337c</errorID>
      <errorWord>)</errorWord>
      <group>L1_Format</group>
      <groupName>格式问题</groupName>
      <ability>L2_HalfPunc</ability>
      <abilityName>全半角检查</abilityName>
      <candidateList>
        <item>）</item>
      </candidateList>
      <explain>文本全半角错误。</explain>
      <paraID>570A710B</paraID>
      <start>52</start>
      <end>53</end>
      <status>modified</status>
      <modifiedWord>）</modifiedWord>
      <trackRevisions>false</trackRevisions>
    </reviewItem>
    <reviewItem>
      <errorID>684a5cd3-65f6-4437-b05a-cab394e8d2b8</errorID>
      <errorWord>(</errorWord>
      <group>L1_Format</group>
      <groupName>格式问题</groupName>
      <ability>L2_HalfPunc</ability>
      <abilityName>全半角检查</abilityName>
      <candidateList>
        <item>（</item>
      </candidateList>
      <explain>文本全半角错误。</explain>
      <paraID>570A710B</paraID>
      <start>58</start>
      <end>59</end>
      <status>modified</status>
      <modifiedWord>（</modifiedWord>
      <trackRevisions>false</trackRevisions>
    </reviewItem>
    <reviewItem>
      <errorID>eda5a7de-478d-4e41-90e8-c910d26184a8</errorID>
      <errorWord>)</errorWord>
      <group>L1_Format</group>
      <groupName>格式问题</groupName>
      <ability>L2_HalfPunc</ability>
      <abilityName>全半角检查</abilityName>
      <candidateList>
        <item>）</item>
      </candidateList>
      <explain>文本全半角错误。</explain>
      <paraID>570A710B</paraID>
      <start>62</start>
      <end>63</end>
      <status>modified</status>
      <modifiedWord>）</modifiedWord>
      <trackRevisions>false</trackRevisions>
    </reviewItem>
    <reviewItem>
      <errorID>33642dfd-adf5-41c7-8bea-59407eca6d7a</errorID>
      <errorWord>(</errorWord>
      <group>L1_Format</group>
      <groupName>格式问题</groupName>
      <ability>L2_HalfPunc</ability>
      <abilityName>全半角检查</abilityName>
      <candidateList>
        <item>（</item>
      </candidateList>
      <explain>文本全半角错误。</explain>
      <paraID>570A710B</paraID>
      <start>68</start>
      <end>69</end>
      <status>modified</status>
      <modifiedWord>（</modifiedWord>
      <trackRevisions>false</trackRevisions>
    </reviewItem>
    <reviewItem>
      <errorID>a094edf2-c4fa-4ccf-a487-00df92ccb0a1</errorID>
      <errorWord>)</errorWord>
      <group>L1_Format</group>
      <groupName>格式问题</groupName>
      <ability>L2_HalfPunc</ability>
      <abilityName>全半角检查</abilityName>
      <candidateList>
        <item>）</item>
      </candidateList>
      <explain>文本全半角错误。</explain>
      <paraID>570A710B</paraID>
      <start>71</start>
      <end>72</end>
      <status>modified</status>
      <modifiedWord>）</modifiedWord>
      <trackRevisions>false</trackRevisions>
    </reviewItem>
    <reviewItem>
      <errorID>4e0b76b1-4e28-47ae-bd4a-1722bceaa75f</errorID>
      <errorWord>(</errorWord>
      <group>L1_Format</group>
      <groupName>格式问题</groupName>
      <ability>L2_HalfPunc</ability>
      <abilityName>全半角检查</abilityName>
      <candidateList>
        <item>（</item>
      </candidateList>
      <explain>文本全半角错误。</explain>
      <paraID>570A710B</paraID>
      <start>75</start>
      <end>76</end>
      <status>modified</status>
      <modifiedWord>（</modifiedWord>
      <trackRevisions>false</trackRevisions>
    </reviewItem>
    <reviewItem>
      <errorID>64435600-e316-4ae9-8fde-c62d3075d8b4</errorID>
      <errorWord>)</errorWord>
      <group>L1_Format</group>
      <groupName>格式问题</groupName>
      <ability>L2_HalfPunc</ability>
      <abilityName>全半角检查</abilityName>
      <candidateList>
        <item>）</item>
      </candidateList>
      <explain>文本全半角错误。</explain>
      <paraID>570A710B</paraID>
      <start>78</start>
      <end>79</end>
      <status>modified</status>
      <modifiedWord>）</modifiedWord>
      <trackRevisions>false</trackRevisions>
    </reviewItem>
    <reviewItem>
      <errorID>bfa4c9e0-3afb-47b3-aa74-6b3c2195436f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5DA2EF0B</paraID>
      <start>0</start>
      <end>2</end>
      <status>modified</status>
      <modifiedWord>2.</modifiedWord>
      <trackRevisions>false</trackRevisions>
    </reviewItem>
    <reviewItem>
      <errorID>b1f0082c-8b85-4243-95a0-1c41f9f8fcbc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29EA9999</paraID>
      <start>0</start>
      <end>2</end>
      <status>modified</status>
      <modifiedWord>1.</modifiedWord>
      <trackRevisions>false</trackRevisions>
    </reviewItem>
    <reviewItem>
      <errorID>92284f77-7539-4120-ab0b-5483c91decdd</errorID>
      <errorWord>[2022]</errorWord>
      <group>L1_Punc</group>
      <groupName>标点问题</groupName>
      <ability>L2_Punc</ability>
      <abilityName>标点符号检查</abilityName>
      <candidateList>
        <item>〔2022〕</item>
      </candidateList>
      <explain/>
      <paraID>29EA9999</paraID>
      <start>84</start>
      <end>90</end>
      <status>modified</status>
      <modifiedWord>〔2022〕</modifiedWord>
      <trackRevisions>false</trackRevisions>
    </reviewItem>
    <reviewItem>
      <errorID>899d7a3e-3240-4ec4-8c24-1e083333e280</errorID>
      <errorWord>2、</errorWord>
      <group>L1_Format</group>
      <groupName>格式问题</groupName>
      <ability>L2_Ordinal</ability>
      <abilityName>序号格式</abilityName>
      <candidateList>
        <item>2.</item>
      </candidateList>
      <explain>当前序号格式不规范，建议修改为规范格式[2.]。</explain>
      <paraID>5ACF8A46</paraID>
      <start>0</start>
      <end>2</end>
      <status>modified</status>
      <modifiedWord>2.</modifiedWord>
      <trackRevisions>false</trackRevisions>
    </reviewItem>
    <reviewItem>
      <errorID>d274e1e5-fe6b-41b2-b8db-a23a304502f5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2247F238</paraID>
      <start>0</start>
      <end>2</end>
      <status>modified</status>
      <modifiedWord>3.</modifiedWord>
      <trackRevisions>false</trackRevisions>
    </reviewItem>
    <reviewItem>
      <errorID>935f63a1-1b9e-41ed-a14a-bd8bcc74ab13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1388B3C1</paraID>
      <start>0</start>
      <end>2</end>
      <status>modified</status>
      <modifiedWord>4.</modifiedWord>
      <trackRevisions>false</trackRevisions>
    </reviewItem>
    <reviewItem>
      <errorID>51281804-66b3-4524-a669-1c34307e24d1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107BA465</paraID>
      <start>0</start>
      <end>2</end>
      <status>modified</status>
      <modifiedWord>5.</modifiedWord>
      <trackRevisions>false</trackRevisions>
    </reviewItem>
    <reviewItem>
      <errorID>1aa515c1-4e41-4305-a0a6-cd500bf27e11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305D3733</paraID>
      <start>0</start>
      <end>2</end>
      <status>modified</status>
      <modifiedWord>1.</modifiedWord>
      <trackRevisions>false</trackRevisions>
    </reviewItem>
    <reviewItem>
      <errorID>a6b224e5-c1b8-4a86-a546-ebf7ac009b5a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144525C8</paraID>
      <start>0</start>
      <end>2</end>
      <status>modified</status>
      <modifiedWord>2.</modifiedWord>
      <trackRevisions>false</trackRevisions>
    </reviewItem>
    <reviewItem>
      <errorID>f469dcfe-b6a7-4d62-b29a-c45688e2d6c0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7C1EAD91</paraID>
      <start>0</start>
      <end>2</end>
      <status>modified</status>
      <modifiedWord>3.</modifiedWord>
      <trackRevisions>false</trackRevisions>
    </reviewItem>
    <reviewItem>
      <errorID>32f8a9f7-de5e-4b3c-a3d3-b8c946e6382d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5D756761</paraID>
      <start>0</start>
      <end>2</end>
      <status>modified</status>
      <modifiedWord>4.</modifiedWord>
      <trackRevisions>false</trackRevisions>
    </reviewItem>
    <reviewItem>
      <errorID>94f2105c-6e6f-4a6a-9bfb-66f861ee0417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3ED55C10</paraID>
      <start>0</start>
      <end>2</end>
      <status>modified</status>
      <modifiedWord>5.</modifiedWord>
      <trackRevisions>false</trackRevisions>
    </reviewItem>
    <reviewItem>
      <errorID>c774ffde-cae8-4f33-9731-5d22307f8d4b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5AF7D4BE</paraID>
      <start>0</start>
      <end>2</end>
      <status>modified</status>
      <modifiedWord>6.</modifiedWord>
      <trackRevisions>false</trackRevisions>
    </reviewItem>
    <reviewItem>
      <errorID>b908ca45-cb77-489d-a0ab-efe889f06aa2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37B0F148</paraID>
      <start>0</start>
      <end>2</end>
      <status>modified</status>
      <modifiedWord>7.</modifiedWord>
      <trackRevisions>false</trackRevisions>
    </reviewItem>
    <reviewItem>
      <errorID>bfa06d90-cb35-4f8f-b36f-630c44e4c4fa</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6A0E1619</paraID>
      <start>0</start>
      <end>20</end>
      <status>modified</status>
      <modifiedWord>《产业结构调整指导目录（2024年本）》</modifiedWord>
      <trackRevisions>false</trackRevisions>
    </reviewItem>
    <reviewItem>
      <errorID>65c4820f-2e89-471b-8db2-6e730e6ca70c</errorID>
      <errorWord>在其</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652F7F98</paraID>
      <start>4</start>
      <end>5</end>
      <status>modified</status>
      <modifiedWord>在</modifiedWord>
      <trackRevisions>false</trackRevisions>
    </reviewItem>
    <reviewItem>
      <errorID>9be0010d-21ca-4208-9eef-4201c4ff7ef4</errorID>
      <errorWord>[2021]45号</errorWord>
      <group>L1_Knowledge</group>
      <groupName>知识性问题</groupName>
      <ability>L2_Knowledge</ability>
      <abilityName>其他知识</abilityName>
      <candidateList>
        <item>〔2021〕45号</item>
      </candidateList>
      <explain>发文字号格式错误</explain>
      <paraID>22AF0AFC</paraID>
      <start>34</start>
      <end>43</end>
      <status>modified</status>
      <modifiedWord>〔2021〕45号</modifiedWord>
      <trackRevisions>false</trackRevisions>
    </reviewItem>
    <reviewItem>
      <errorID>9405e0d6-ee84-4058-ab43-4a5fdfda1abf</errorID>
      <errorWord>[2021]495号</errorWord>
      <group>L1_Knowledge</group>
      <groupName>知识性问题</groupName>
      <ability>L2_Knowledge</ability>
      <abilityName>其他知识</abilityName>
      <candidateList>
        <item>〔2021〕495号</item>
      </candidateList>
      <explain>发文字号格式错误</explain>
      <paraID>3212E502</paraID>
      <start>23</start>
      <end>33</end>
      <status>modified</status>
      <modifiedWord>〔2021〕495号</modifiedWord>
      <trackRevisions>false</trackRevisions>
    </reviewItem>
    <reviewItem>
      <errorID>28495b6b-e483-465d-870e-07f9296be38a</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5CFB2777</paraID>
      <start>62</start>
      <end>82</end>
      <status>modified</status>
      <modifiedWord>《产业结构调整指导目录（2024年本）》</modifiedWord>
      <trackRevisions>false</trackRevisions>
    </reviewItem>
    <reviewItem>
      <errorID>c93d53f6-2eb7-4263-a355-712d878925a9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3CEBE7B4</paraID>
      <start>23</start>
      <end>25</end>
      <status>modified</status>
      <modifiedWord>》《</modifiedWord>
      <trackRevisions>false</trackRevisions>
    </reviewItem>
    <reviewItem>
      <errorID>46477781-4207-4d54-8857-db386f0a8621</errorID>
      <errorWord>(</errorWord>
      <group>L1_Format</group>
      <groupName>格式问题</groupName>
      <ability>L2_HalfPunc</ability>
      <abilityName>全半角检查</abilityName>
      <candidateList>
        <item>（</item>
      </candidateList>
      <explain>文本全半角错误。</explain>
      <paraID>7900F036</paraID>
      <start>30</start>
      <end>31</end>
      <status>modified</status>
      <modifiedWord>（</modifiedWord>
      <trackRevisions>false</trackRevisions>
    </reviewItem>
    <reviewItem>
      <errorID>791e4e63-3605-4d06-b57a-6adb846f1cb2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7900F036</paraID>
      <start>36</start>
      <end>37</end>
      <status>modified</status>
      <modifiedWord>—</modifiedWord>
      <trackRevisions>false</trackRevisions>
    </reviewItem>
    <reviewItem>
      <errorID>960cea20-d597-400a-99da-29ddf18afda6</errorID>
      <errorWord>)</errorWord>
      <group>L1_Format</group>
      <groupName>格式问题</groupName>
      <ability>L2_HalfPunc</ability>
      <abilityName>全半角检查</abilityName>
      <candidateList>
        <item>）</item>
      </candidateList>
      <explain>文本全半角错误。</explain>
      <paraID>7900F036</paraID>
      <start>42</start>
      <end>43</end>
      <status>modified</status>
      <modifiedWord>）</modifiedWord>
      <trackRevisions>false</trackRevisions>
    </reviewItem>
    <reviewItem>
      <errorID>1a923f40-a8dc-4ded-8cff-5d5fb01dcaf8</errorID>
      <errorWord>(</errorWord>
      <group>L1_Format</group>
      <groupName>格式问题</groupName>
      <ability>L2_HalfPunc</ability>
      <abilityName>全半角检查</abilityName>
      <candidateList>
        <item>（</item>
      </candidateList>
      <explain>文本全半角错误。</explain>
      <paraID>7900F036</paraID>
      <start>56</start>
      <end>57</end>
      <status>modified</status>
      <modifiedWord>（</modifiedWord>
      <trackRevisions>false</trackRevisions>
    </reviewItem>
    <reviewItem>
      <errorID>00253809-ce65-4a32-916f-4369e727450b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7900F036</paraID>
      <start>62</start>
      <end>63</end>
      <status>modified</status>
      <modifiedWord>—</modifiedWord>
      <trackRevisions>false</trackRevisions>
    </reviewItem>
    <reviewItem>
      <errorID>3fe9cccb-090b-42b6-8e34-d171cc475c99</errorID>
      <errorWord>)</errorWord>
      <group>L1_Format</group>
      <groupName>格式问题</groupName>
      <ability>L2_HalfPunc</ability>
      <abilityName>全半角检查</abilityName>
      <candidateList>
        <item>）</item>
      </candidateList>
      <explain>文本全半角错误。</explain>
      <paraID>7900F036</paraID>
      <start>68</start>
      <end>69</end>
      <status>modified</status>
      <modifiedWord>）</modifiedWord>
      <trackRevisions>false</trackRevisions>
    </reviewItem>
    <reviewItem>
      <errorID>26643c17-54f5-4359-874a-131c7f4b7b8e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3AD244A6</paraID>
      <start>21</start>
      <end>23</end>
      <status>modified</status>
      <modifiedWord>》《</modifiedWord>
      <trackRevisions>false</trackRevisions>
    </reviewItem>
    <reviewItem>
      <errorID>faf32db3-7b9a-4d1c-996e-84bb01cb51ee</errorID>
      <errorWord>(</errorWord>
      <group>L1_Format</group>
      <groupName>格式问题</groupName>
      <ability>L2_HalfPunc</ability>
      <abilityName>全半角检查</abilityName>
      <candidateList>
        <item>（</item>
      </candidateList>
      <explain>文本全半角错误。</explain>
      <paraID>360DB74E</paraID>
      <start>52</start>
      <end>53</end>
      <status>modified</status>
      <modifiedWord>（</modifiedWord>
      <trackRevisions>false</trackRevisions>
    </reviewItem>
    <reviewItem>
      <errorID>1cf73417-dd8c-4c02-9c4b-4e394e498f3d</errorID>
      <errorWord>〈</errorWord>
      <group>L1_Punc</group>
      <groupName>标点问题</groupName>
      <ability>L2_Punc</ability>
      <abilityName>标点符号检查</abilityName>
      <candidateList/>
      <explain/>
      <paraID>6B1344A9</paraID>
      <start>51</start>
      <end>52</end>
      <status>unmodified</status>
      <modifiedWord/>
      <trackRevisions>false</trackRevisions>
    </reviewItem>
    <reviewItem>
      <errorID>743af756-d8ee-4d5b-ac5e-067a527e84f6</errorID>
      <errorWord>(</errorWord>
      <group>L1_Format</group>
      <groupName>格式问题</groupName>
      <ability>L2_HalfPunc</ability>
      <abilityName>全半角检查</abilityName>
      <candidateList>
        <item>（</item>
      </candidateList>
      <explain>文本全半角错误。</explain>
      <paraID>6B1344A9</paraID>
      <start>65</start>
      <end>66</end>
      <status>modified</status>
      <modifiedWord>（</modifiedWord>
      <trackRevisions>false</trackRevisions>
    </reviewItem>
    <reviewItem>
      <errorID>00f50ea7-25ed-44e1-9b1d-0ffe6ab791ca</errorID>
      <errorWord>)</errorWord>
      <group>L1_Format</group>
      <groupName>格式问题</groupName>
      <ability>L2_HalfPunc</ability>
      <abilityName>全半角检查</abilityName>
      <candidateList>
        <item>）</item>
      </candidateList>
      <explain>文本全半角错误。</explain>
      <paraID>6B1344A9</paraID>
      <start>76</start>
      <end>77</end>
      <status>modified</status>
      <modifiedWord>）</modifiedWord>
      <trackRevisions>false</trackRevisions>
    </reviewItem>
    <reviewItem>
      <errorID>b0f24792-e275-4300-9ecd-a61e8eed5b05</errorID>
      <errorWord>&gt;</errorWord>
      <group>L1_Format</group>
      <groupName>格式问题</groupName>
      <ability>L2_HalfPunc</ability>
      <abilityName>全半角检查</abilityName>
      <candidateList>
        <item>〉</item>
      </candidateList>
      <explain>文本全半角错误。</explain>
      <paraID>6B1344A9</paraID>
      <start>77</start>
      <end>78</end>
      <status>modified</status>
      <modifiedWord>〉</modifiedWord>
      <trackRevisions>false</trackRevisions>
    </reviewItem>
    <reviewItem>
      <errorID>6bda9d26-6715-47a6-b0d7-2dee324a4126</errorID>
      <errorWord>(</errorWord>
      <group>L1_Format</group>
      <groupName>格式问题</groupName>
      <ability>L2_HalfPunc</ability>
      <abilityName>全半角检查</abilityName>
      <candidateList>
        <item>（</item>
      </candidateList>
      <explain>文本全半角错误。</explain>
      <paraID>6E302394</paraID>
      <start>12</start>
      <end>13</end>
      <status>modified</status>
      <modifiedWord>（</modifiedWord>
      <trackRevisions>false</trackRevisions>
    </reviewItem>
    <reviewItem>
      <errorID>67785049-9a72-4172-91ed-4e1a35e998f8</errorID>
      <errorWord>)</errorWord>
      <group>L1_Format</group>
      <groupName>格式问题</groupName>
      <ability>L2_HalfPunc</ability>
      <abilityName>全半角检查</abilityName>
      <candidateList>
        <item>）</item>
      </candidateList>
      <explain>文本全半角错误。</explain>
      <paraID>6E302394</paraID>
      <start>16</start>
      <end>17</end>
      <status>modified</status>
      <modifiedWord>）</modifiedWord>
      <trackRevisions>false</trackRevisions>
    </reviewItem>
    <reviewItem>
      <errorID>c15dc75c-9ebf-45fd-a3de-8229342def2f</errorID>
      <errorWord>(</errorWord>
      <group>L1_Format</group>
      <groupName>格式问题</groupName>
      <ability>L2_HalfPunc</ability>
      <abilityName>全半角检查</abilityName>
      <candidateList>
        <item>（</item>
      </candidateList>
      <explain>文本全半角错误。</explain>
      <paraID>58EE6E8F</paraID>
      <start>29</start>
      <end>30</end>
      <status>modified</status>
      <modifiedWord>（</modifiedWord>
      <trackRevisions>false</trackRevisions>
    </reviewItem>
    <reviewItem>
      <errorID>25524291-83e1-4247-980d-451c44ec843f</errorID>
      <errorWord>)</errorWord>
      <group>L1_Format</group>
      <groupName>格式问题</groupName>
      <ability>L2_HalfPunc</ability>
      <abilityName>全半角检查</abilityName>
      <candidateList>
        <item>）</item>
      </candidateList>
      <explain>文本全半角错误。</explain>
      <paraID>58EE6E8F</paraID>
      <start>35</start>
      <end>36</end>
      <status>modified</status>
      <modifiedWord>）</modifiedWord>
      <trackRevisions>false</trackRevisions>
    </reviewItem>
    <reviewItem>
      <errorID>e809fafa-1c70-4e28-a1ed-ee3182d489a1</errorID>
      <errorWord>》</errorWord>
      <group>L1_Word</group>
      <groupName>字词问题</groupName>
      <ability>L2_Typo</ability>
      <abilityName>字词错误</abilityName>
      <candidateList>
        <item>》和</item>
      </candidateList>
      <explain/>
      <paraID>4B354560</paraID>
      <start>20</start>
      <end>22</end>
      <status>modified</status>
      <modifiedWord>》和</modifiedWord>
      <trackRevisions>false</trackRevisions>
    </reviewItem>
    <reviewItem>
      <errorID>ade61a24-45bd-4285-86d4-815855f850e8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2BE2BF58</paraID>
      <start>26</start>
      <end>28</end>
      <status>modified</status>
      <modifiedWord>》《</modifiedWord>
      <trackRevisions>false</trackRevisions>
    </reviewItem>
    <reviewItem>
      <errorID>755b52f2-4a7e-448c-84c5-7c4f5b28c323</errorID>
      <errorWord>[2019]36号</errorWord>
      <group>L1_Knowledge</group>
      <groupName>知识性问题</groupName>
      <ability>L2_Knowledge</ability>
      <abilityName>其他知识</abilityName>
      <candidateList>
        <item>〔2019〕36号</item>
      </candidateList>
      <explain>发文字号格式错误</explain>
      <paraID>148BAFF5</paraID>
      <start>36</start>
      <end>45</end>
      <status>modified</status>
      <modifiedWord>〔2019〕36号</modifiedWord>
      <trackRevisions>false</trackRevisions>
    </reviewItem>
    <reviewItem>
      <errorID>c7762b51-5e97-46a8-a3ec-72b940c71666</errorID>
      <errorWord>[2020]225号</errorWord>
      <group>L1_Knowledge</group>
      <groupName>知识性问题</groupName>
      <ability>L2_Knowledge</ability>
      <abilityName>其他知识</abilityName>
      <candidateList>
        <item>〔2020〕225号</item>
      </candidateList>
      <explain>发文字号格式错误</explain>
      <paraID>148BAFF5</paraID>
      <start>84</start>
      <end>94</end>
      <status>modified</status>
      <modifiedWord>〔2020〕225号</modifiedWord>
      <trackRevisions>false</trackRevisions>
    </reviewItem>
    <reviewItem>
      <errorID>c1cc4afd-e26a-4b3d-86db-7b1a5a5bbe43</errorID>
      <errorWord>(</errorWord>
      <group>L1_Format</group>
      <groupName>格式问题</groupName>
      <ability>L2_HalfPunc</ability>
      <abilityName>全半角检查</abilityName>
      <candidateList>
        <item>（</item>
      </candidateList>
      <explain>文本全半角错误。</explain>
      <paraID>148BAFF5</paraID>
      <start>127</start>
      <end>128</end>
      <status>modified</status>
      <modifiedWord>（</modifiedWord>
      <trackRevisions>false</trackRevisions>
    </reviewItem>
    <reviewItem>
      <errorID>3decc07e-21dd-4a2d-ad3b-278d7452b148</errorID>
      <errorWord>[2021]84号</errorWord>
      <group>L1_Knowledge</group>
      <groupName>知识性问题</groupName>
      <ability>L2_Knowledge</ability>
      <abilityName>其他知识</abilityName>
      <candidateList>
        <item>〔2021〕84号</item>
      </candidateList>
      <explain>发文字号格式错误</explain>
      <paraID>148BAFF5</paraID>
      <start>132</start>
      <end>141</end>
      <status>modified</status>
      <modifiedWord>〔2021〕84号</modifiedWord>
      <trackRevisions>false</trackRevisions>
    </reviewItem>
    <reviewItem>
      <errorID>36b8b181-c788-40f5-8fd8-331a23e38e1f</errorID>
      <errorWord>)</errorWord>
      <group>L1_Format</group>
      <groupName>格式问题</groupName>
      <ability>L2_HalfPunc</ability>
      <abilityName>全半角检查</abilityName>
      <candidateList>
        <item>）</item>
      </candidateList>
      <explain>文本全半角错误。</explain>
      <paraID>148BAFF5</paraID>
      <start>141</start>
      <end>142</end>
      <status>modified</status>
      <modifiedWord>）</modifiedWord>
      <trackRevisions>false</trackRevisions>
    </reviewItem>
    <reviewItem>
      <errorID>2385803f-a5f9-4e47-bbb9-5b6013d8287b</errorID>
      <errorWord>[2019]36号</errorWord>
      <group>L1_Knowledge</group>
      <groupName>知识性问题</groupName>
      <ability>L2_Knowledge</ability>
      <abilityName>其他知识</abilityName>
      <candidateList>
        <item>〔2019〕36号</item>
      </candidateList>
      <explain>发文字号格式错误</explain>
      <paraID>44BF1436</paraID>
      <start>34</start>
      <end>43</end>
      <status>modified</status>
      <modifiedWord>〔2019〕36号</modifiedWord>
      <trackRevisions>false</trackRevisions>
    </reviewItem>
    <reviewItem>
      <errorID>ca678a90-940e-4af0-b751-5fc49ed33a9c</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6060048B</paraID>
      <start>47</start>
      <end>48</end>
      <status>modified</status>
      <modifiedWord>且</modifiedWord>
      <trackRevisions>false</trackRevisions>
    </reviewItem>
    <reviewItem>
      <errorID>54b0130c-e964-4eb1-80e1-9fcfb058f895</errorID>
      <errorWord>[2020]225号</errorWord>
      <group>L1_Knowledge</group>
      <groupName>知识性问题</groupName>
      <ability>L2_Knowledge</ability>
      <abilityName>其他知识</abilityName>
      <candidateList>
        <item>〔2020〕225号</item>
      </candidateList>
      <explain>发文字号格式错误</explain>
      <paraID> 31ABBAA</paraID>
      <start>37</start>
      <end>47</end>
      <status>modified</status>
      <modifiedWord>〔2020〕225号</modifiedWord>
      <trackRevisions>false</trackRevisions>
    </reviewItem>
    <reviewItem>
      <errorID>b60c07a2-70d6-42e5-8fd3-1709f72764e4</errorID>
      <errorWord>(</errorWord>
      <group>L1_Format</group>
      <groupName>格式问题</groupName>
      <ability>L2_HalfPunc</ability>
      <abilityName>全半角检查</abilityName>
      <candidateList>
        <item>（</item>
      </candidateList>
      <explain>文本全半角错误。</explain>
      <paraID>292D0F14</paraID>
      <start>25</start>
      <end>26</end>
      <status>modified</status>
      <modifiedWord>（</modifiedWord>
      <trackRevisions>false</trackRevisions>
    </reviewItem>
    <reviewItem>
      <errorID>33700763-9de6-41cd-ad81-abe86e9d3294</errorID>
      <errorWord>[2018]91号</errorWord>
      <group>L1_Knowledge</group>
      <groupName>知识性问题</groupName>
      <ability>L2_Knowledge</ability>
      <abilityName>其他知识</abilityName>
      <candidateList>
        <item>〔2018〕91号</item>
      </candidateList>
      <explain>发文字号格式错误</explain>
      <paraID>292D0F14</paraID>
      <start>30</start>
      <end>39</end>
      <status>modified</status>
      <modifiedWord>〔2018〕91号</modifiedWord>
      <trackRevisions>false</trackRevisions>
    </reviewItem>
    <reviewItem>
      <errorID>5c03c63c-b191-431b-b4f0-f1e5f77b9d7c</errorID>
      <errorWord>)</errorWord>
      <group>L1_Format</group>
      <groupName>格式问题</groupName>
      <ability>L2_HalfPunc</ability>
      <abilityName>全半角检查</abilityName>
      <candidateList>
        <item>）</item>
      </candidateList>
      <explain>文本全半角错误。</explain>
      <paraID>292D0F14</paraID>
      <start>39</start>
      <end>40</end>
      <status>modified</status>
      <modifiedWord>）</modifiedWord>
      <trackRevisions>false</trackRevisions>
    </reviewItem>
    <reviewItem>
      <errorID>e6f906d1-0032-489c-a80a-0ffb852428de</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5086CB30</paraID>
      <start>0</start>
      <end>3</end>
      <status>modified</status>
      <modifiedWord>（九）</modifiedWord>
      <trackRevisions>false</trackRevisions>
    </reviewItem>
    <reviewItem>
      <errorID>64fddfee-5551-4c7d-9718-67253dcf6357</errorID>
      <errorWord>(</errorWord>
      <group>L1_Format</group>
      <groupName>格式问题</groupName>
      <ability>L2_HalfPunc</ability>
      <abilityName>全半角检查</abilityName>
      <candidateList>
        <item>（</item>
      </candidateList>
      <explain>文本全半角错误。</explain>
      <paraID>5086CB30</paraID>
      <start>122</start>
      <end>123</end>
      <status>modified</status>
      <modifiedWord>（</modifiedWord>
      <trackRevisions>false</trackRevisions>
    </reviewItem>
    <reviewItem>
      <errorID>fcaa5f6c-1b0b-492b-b76e-585d0c78f6c4</errorID>
      <errorWord>)</errorWord>
      <group>L1_Format</group>
      <groupName>格式问题</groupName>
      <ability>L2_HalfPunc</ability>
      <abilityName>全半角检查</abilityName>
      <candidateList>
        <item>）</item>
      </candidateList>
      <explain>文本全半角错误。</explain>
      <paraID>5086CB30</paraID>
      <start>175</start>
      <end>176</end>
      <status>modified</status>
      <modifiedWord>）</modifiedWord>
      <trackRevisions>false</trackRevisions>
    </reviewItem>
    <reviewItem>
      <errorID>877c9a7c-432c-4751-a763-2fd045916009</errorID>
      <errorWord>(</errorWord>
      <group>L1_Format</group>
      <groupName>格式问题</groupName>
      <ability>L2_HalfPunc</ability>
      <abilityName>全半角检查</abilityName>
      <candidateList>
        <item>（</item>
      </candidateList>
      <explain>文本全半角错误。</explain>
      <paraID> 5AB00BD</paraID>
      <start>141</start>
      <end>142</end>
      <status>modified</status>
      <modifiedWord>（</modifiedWord>
      <trackRevisions>false</trackRevisions>
    </reviewItem>
    <reviewItem>
      <errorID>00c2d71e-0a55-45d8-b6e3-a8f49e47d7f2</errorID>
      <errorWord>)</errorWord>
      <group>L1_Format</group>
      <groupName>格式问题</groupName>
      <ability>L2_HalfPunc</ability>
      <abilityName>全半角检查</abilityName>
      <candidateList>
        <item>）</item>
      </candidateList>
      <explain>文本全半角错误。</explain>
      <paraID> 5AB00BD</paraID>
      <start>154</start>
      <end>155</end>
      <status>modified</status>
      <modifiedWord>）</modifiedWord>
      <trackRevisions>false</trackRevisions>
    </reviewItem>
    <reviewItem>
      <errorID>f82a9d6f-7d0a-410d-abf9-4bfd2d73deb4</errorID>
      <errorWord>&lt;</errorWord>
      <group>L1_Format</group>
      <groupName>格式问题</groupName>
      <ability>L2_HalfPunc</ability>
      <abilityName>全半角检查</abilityName>
      <candidateList>
        <item>〈</item>
      </candidateList>
      <explain>文本全半角错误。</explain>
      <paraID>21737818</paraID>
      <start>11</start>
      <end>12</end>
      <status>modified</status>
      <modifiedWord>〈</modifiedWord>
      <trackRevisions>false</trackRevisions>
    </reviewItem>
    <reviewItem>
      <errorID>9fff4b5f-5da9-40a4-a1eb-233c8817c823</errorID>
      <errorWord>&gt;</errorWord>
      <group>L1_Format</group>
      <groupName>格式问题</groupName>
      <ability>L2_HalfPunc</ability>
      <abilityName>全半角检查</abilityName>
      <candidateList>
        <item>〉</item>
      </candidateList>
      <explain>文本全半角错误。</explain>
      <paraID>21737818</paraID>
      <start>24</start>
      <end>25</end>
      <status>modified</status>
      <modifiedWord>〉</modifiedWord>
      <trackRevisions>false</trackRevisions>
    </reviewItem>
    <reviewItem>
      <errorID>bf0ff19d-82e4-4c0b-b047-4f2d384fa5bf</errorID>
      <errorWord>(</errorWord>
      <group>L1_Format</group>
      <groupName>格式问题</groupName>
      <ability>L2_HalfPunc</ability>
      <abilityName>全半角检查</abilityName>
      <candidateList>
        <item>（</item>
      </candidateList>
      <explain>文本全半角错误。</explain>
      <paraID>3553EA53</paraID>
      <start>8</start>
      <end>9</end>
      <status>modified</status>
      <modifiedWord>（</modifiedWord>
      <trackRevisions>false</trackRevisions>
    </reviewItem>
    <reviewItem>
      <errorID>e2e0196b-682e-4cfb-9bf1-43fffdb94724</errorID>
      <errorWord>)</errorWord>
      <group>L1_Format</group>
      <groupName>格式问题</groupName>
      <ability>L2_HalfPunc</ability>
      <abilityName>全半角检查</abilityName>
      <candidateList>
        <item>）</item>
      </candidateList>
      <explain>文本全半角错误。</explain>
      <paraID>3553EA53</paraID>
      <start>13</start>
      <end>14</end>
      <status>modified</status>
      <modifiedWord>）</modifiedWord>
      <trackRevisions>false</trackRevisions>
    </reviewItem>
    <reviewItem>
      <errorID>f0882d72-ac26-4d7e-9f03-5d86e3a86445</errorID>
      <errorWord>(</errorWord>
      <group>L1_Format</group>
      <groupName>格式问题</groupName>
      <ability>L2_HalfPunc</ability>
      <abilityName>全半角检查</abilityName>
      <candidateList>
        <item>（</item>
      </candidateList>
      <explain>文本全半角错误。</explain>
      <paraID>3553EA53</paraID>
      <start>47</start>
      <end>48</end>
      <status>modified</status>
      <modifiedWord>（</modifiedWord>
      <trackRevisions>false</trackRevisions>
    </reviewItem>
    <reviewItem>
      <errorID>8d6c6251-c07b-4b5c-8a03-6d9c7ec333a8</errorID>
      <errorWord>[2019]327号</errorWord>
      <group>L1_Knowledge</group>
      <groupName>知识性问题</groupName>
      <ability>L2_Knowledge</ability>
      <abilityName>其他知识</abilityName>
      <candidateList>
        <item>〔2019〕327号</item>
      </candidateList>
      <explain>发文字号格式错误</explain>
      <paraID>3553EA53</paraID>
      <start>51</start>
      <end>61</end>
      <status>modified</status>
      <modifiedWord>〔2019〕327号</modifiedWord>
      <trackRevisions>false</trackRevisions>
    </reviewItem>
    <reviewItem>
      <errorID>3e076e97-e4e5-46fb-ab99-28b1d9422901</errorID>
      <errorWord>)</errorWord>
      <group>L1_Format</group>
      <groupName>格式问题</groupName>
      <ability>L2_HalfPunc</ability>
      <abilityName>全半角检查</abilityName>
      <candidateList>
        <item>）</item>
      </candidateList>
      <explain>文本全半角错误。</explain>
      <paraID>3553EA53</paraID>
      <start>61</start>
      <end>62</end>
      <status>modified</status>
      <modifiedWord>）</modifiedWord>
      <trackRevisions>false</trackRevisions>
    </reviewItem>
    <reviewItem>
      <errorID>d32eaf84-2f17-42b0-9dce-659682389e02</errorID>
      <errorWord>(</errorWord>
      <group>L1_Format</group>
      <groupName>格式问题</groupName>
      <ability>L2_HalfPunc</ability>
      <abilityName>全半角检查</abilityName>
      <candidateList>
        <item>（</item>
      </candidateList>
      <explain>文本全半角错误。</explain>
      <paraID>3553EA53</paraID>
      <start>100</start>
      <end>101</end>
      <status>modified</status>
      <modifiedWord>（</modifiedWord>
      <trackRevisions>false</trackRevisions>
    </reviewItem>
    <reviewItem>
      <errorID>ca1c49a6-9a44-435e-ac8c-0f56a8022764</errorID>
      <errorWord>[2020]401号</errorWord>
      <group>L1_Knowledge</group>
      <groupName>知识性问题</groupName>
      <ability>L2_Knowledge</ability>
      <abilityName>其他知识</abilityName>
      <candidateList>
        <item>〔2020〕401号</item>
      </candidateList>
      <explain>发文字号格式错误</explain>
      <paraID>3553EA53</paraID>
      <start>104</start>
      <end>114</end>
      <status>modified</status>
      <modifiedWord>〔2020〕401号</modifiedWord>
      <trackRevisions>false</trackRevisions>
    </reviewItem>
    <reviewItem>
      <errorID>a5fdca35-c926-4341-b68a-ecb2a72b12e8</errorID>
      <errorWord>)</errorWord>
      <group>L1_Format</group>
      <groupName>格式问题</groupName>
      <ability>L2_HalfPunc</ability>
      <abilityName>全半角检查</abilityName>
      <candidateList>
        <item>）</item>
      </candidateList>
      <explain>文本全半角错误。</explain>
      <paraID>3553EA53</paraID>
      <start>114</start>
      <end>115</end>
      <status>modified</status>
      <modifiedWord>）</modifiedWord>
      <trackRevisions>false</trackRevisions>
    </reviewItem>
    <reviewItem>
      <errorID>05fc0b1d-c57c-43e6-9aa6-482e4f0d2e60</errorID>
      <errorWord>(</errorWord>
      <group>L1_Format</group>
      <groupName>格式问题</groupName>
      <ability>L2_HalfPunc</ability>
      <abilityName>全半角检查</abilityName>
      <candidateList>
        <item>（</item>
      </candidateList>
      <explain>文本全半角错误。</explain>
      <paraID>442A813B</paraID>
      <start>31</start>
      <end>32</end>
      <status>modified</status>
      <modifiedWord>（</modifiedWord>
      <trackRevisions>false</trackRevisions>
    </reviewItem>
    <reviewItem>
      <errorID>1c0eeaf7-2a84-4860-ba35-c13735ed778b</errorID>
      <errorWord>[2021]84号</errorWord>
      <group>L1_Knowledge</group>
      <groupName>知识性问题</groupName>
      <ability>L2_Knowledge</ability>
      <abilityName>其他知识</abilityName>
      <candidateList>
        <item>〔2021〕84号</item>
      </candidateList>
      <explain>发文字号格式错误</explain>
      <paraID>442A813B</paraID>
      <start>36</start>
      <end>45</end>
      <status>modified</status>
      <modifiedWord>〔2021〕84号</modifiedWord>
      <trackRevisions>false</trackRevisions>
    </reviewItem>
    <reviewItem>
      <errorID>f2327b7d-6f2f-4ad8-9895-6961ca21f568</errorID>
      <errorWord>)</errorWord>
      <group>L1_Format</group>
      <groupName>格式问题</groupName>
      <ability>L2_HalfPunc</ability>
      <abilityName>全半角检查</abilityName>
      <candidateList>
        <item>）</item>
      </candidateList>
      <explain>文本全半角错误。</explain>
      <paraID>442A813B</paraID>
      <start>45</start>
      <end>46</end>
      <status>modified</status>
      <modifiedWord>）</modifiedWord>
      <trackRevisions>false</trackRevisions>
    </reviewItem>
    <reviewItem>
      <errorID>3b91ce8f-c904-444c-865d-104c40bc921b</errorID>
      <errorWord>(</errorWord>
      <group>L1_Format</group>
      <groupName>格式问题</groupName>
      <ability>L2_HalfPunc</ability>
      <abilityName>全半角检查</abilityName>
      <candidateList>
        <item>（</item>
      </candidateList>
      <explain>文本全半角错误。</explain>
      <paraID> E8B052A</paraID>
      <start>31</start>
      <end>32</end>
      <status>modified</status>
      <modifiedWord>（</modifiedWord>
      <trackRevisions>false</trackRevisions>
    </reviewItem>
    <reviewItem>
      <errorID>37534aa5-aeca-4a53-9868-0ef8393c0255</errorID>
      <errorWord>)</errorWord>
      <group>L1_Format</group>
      <groupName>格式问题</groupName>
      <ability>L2_HalfPunc</ability>
      <abilityName>全半角检查</abilityName>
      <candidateList>
        <item>）</item>
      </candidateList>
      <explain>文本全半角错误。</explain>
      <paraID> E8B052A</paraID>
      <start>38</start>
      <end>39</end>
      <status>modified</status>
      <modifiedWord>）</modifiedWord>
      <trackRevisions>false</trackRevisions>
    </reviewItem>
    <reviewItem>
      <errorID>163168f9-cef1-400d-9f52-a74acf5ef95b</errorID>
      <errorWord>[2019]53号</errorWord>
      <group>L1_Knowledge</group>
      <groupName>知识性问题</groupName>
      <ability>L2_Knowledge</ability>
      <abilityName>其他知识</abilityName>
      <candidateList>
        <item>〔2019〕53号</item>
      </candidateList>
      <explain>发文字号格式错误</explain>
      <paraID>16EB2301</paraID>
      <start>22</start>
      <end>31</end>
      <status>modified</status>
      <modifiedWord>〔2019〕53号</modifiedWord>
      <trackRevisions>false</trackRevisions>
    </reviewItem>
    <reviewItem>
      <errorID>e3082291-42f2-4006-abd8-d9091c7ce116</errorID>
      <errorWord>程</errorWord>
      <group>L1_Word</group>
      <groupName>字词问题</groupName>
      <ability>L2_Typo</ability>
      <abilityName>字词错误</abilityName>
      <candidateList>
        <item>程中</item>
      </candidateList>
      <explain/>
      <paraID>61A181FE</paraID>
      <start>169</start>
      <end>171</end>
      <status>modified</status>
      <modifiedWord>程中</modifiedWord>
      <trackRevisions>false</trackRevisions>
    </reviewItem>
    <reviewItem>
      <errorID>b1c86c85-1d8f-43fb-b466-a4e54361acf9</errorID>
      <errorWord>(</errorWord>
      <group>L1_Format</group>
      <groupName>格式问题</groupName>
      <ability>L2_HalfPunc</ability>
      <abilityName>全半角检查</abilityName>
      <candidateList>
        <item>（</item>
      </candidateList>
      <explain>文本全半角错误。</explain>
      <paraID>5C84169A</paraID>
      <start>20</start>
      <end>21</end>
      <status>modified</status>
      <modifiedWord>（</modifiedWord>
      <trackRevisions>false</trackRevisions>
    </reviewItem>
    <reviewItem>
      <errorID>d8322394-3ae0-42be-8330-d7326f2480f8</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6313B334</paraID>
      <start>3</start>
      <end>5</end>
      <status>modified</status>
      <modifiedWord>可以</modifiedWord>
      <trackRevisions>false</trackRevisions>
    </reviewItem>
    <reviewItem>
      <errorID>1eaf0be1-8086-4e48-9346-9dd4ba656d4b</errorID>
      <errorWord>2024年06月25日</errorWord>
      <group>L1_Knowledge</group>
      <groupName>知识性问题</groupName>
      <ability>L2_Time</ability>
      <abilityName>日期时间</abilityName>
      <candidateList>
        <item>2024年6月25日</item>
      </candidateList>
      <explain>根据日常书写习惯，月份一般会省略前导零。</explain>
      <paraID>145E2194</paraID>
      <start>109</start>
      <end>119</end>
      <status>modified</status>
      <modifiedWord>2024年6月25日</modifiedWord>
      <trackRevisions>false</trackRevisions>
    </reviewItem>
    <reviewItem>
      <errorID>7f51b472-f093-46fa-882a-f3428156a9b1</errorID>
      <errorWord>，</errorWord>
      <group>L1_Format</group>
      <groupName>格式问题</groupName>
      <ability>L2_HalfPunc</ability>
      <abilityName>全半角检查</abilityName>
      <candidateList>
        <item>,</item>
      </candidateList>
      <explain>文本全半角错误。</explain>
      <paraID>71910A87</paraID>
      <start>2</start>
      <end>3</end>
      <status>modified</status>
      <modifiedWord>,</modifiedWord>
      <trackRevisions>false</trackRevisions>
    </reviewItem>
    <reviewItem>
      <errorID>f46be139-1c74-471a-9618-ecd9e5554c11</errorID>
      <errorWord>，</errorWord>
      <group>L1_Format</group>
      <groupName>格式问题</groupName>
      <ability>L2_HalfPunc</ability>
      <abilityName>全半角检查</abilityName>
      <candidateList>
        <item>,</item>
      </candidateList>
      <explain>文本全半角错误。</explain>
      <paraID>4AED39A6</paraID>
      <start>2</start>
      <end>3</end>
      <status>modified</status>
      <modifiedWord>,</modifiedWord>
      <trackRevisions>false</trackRevisions>
    </reviewItem>
    <reviewItem>
      <errorID>f29289e5-ae86-4610-974c-5812804ad037</errorID>
      <errorWord>，</errorWord>
      <group>L1_Format</group>
      <groupName>格式问题</groupName>
      <ability>L2_HalfPunc</ability>
      <abilityName>全半角检查</abilityName>
      <candidateList>
        <item>,</item>
      </candidateList>
      <explain>文本全半角错误。</explain>
      <paraID>493D782F</paraID>
      <start>2</start>
      <end>3</end>
      <status>modified</status>
      <modifiedWord>,</modifiedWord>
      <trackRevisions>false</trackRevisions>
    </reviewItem>
    <reviewItem>
      <errorID>79813d40-4119-4657-959b-3d051ed26897</errorID>
      <errorWord>，</errorWord>
      <group>L1_Format</group>
      <groupName>格式问题</groupName>
      <ability>L2_HalfPunc</ability>
      <abilityName>全半角检查</abilityName>
      <candidateList>
        <item>,</item>
      </candidateList>
      <explain>文本全半角错误。</explain>
      <paraID>5E134492</paraID>
      <start>2</start>
      <end>3</end>
      <status>modified</status>
      <modifiedWord>,</modifiedWord>
      <trackRevisions>false</trackRevisions>
    </reviewItem>
    <reviewItem>
      <errorID>543b070f-93f8-4e80-ac09-82e26dcd9143</errorID>
      <errorWord>，</errorWord>
      <group>L1_Format</group>
      <groupName>格式问题</groupName>
      <ability>L2_HalfPunc</ability>
      <abilityName>全半角检查</abilityName>
      <candidateList>
        <item>,</item>
      </candidateList>
      <explain>文本全半角错误。</explain>
      <paraID>5C2DE2FB</paraID>
      <start>2</start>
      <end>3</end>
      <status>modified</status>
      <modifiedWord>,</modifiedWord>
      <trackRevisions>false</trackRevisions>
    </reviewItem>
    <reviewItem>
      <errorID>58ac823b-bb6d-415e-a5a3-b4f869d3c79d</errorID>
      <errorWord>，</errorWord>
      <group>L1_Format</group>
      <groupName>格式问题</groupName>
      <ability>L2_HalfPunc</ability>
      <abilityName>全半角检查</abilityName>
      <candidateList>
        <item>,</item>
      </candidateList>
      <explain>文本全半角错误。</explain>
      <paraID>21BDE795</paraID>
      <start>2</start>
      <end>3</end>
      <status>modified</status>
      <modifiedWord>,</modifiedWord>
      <trackRevisions>false</trackRevisions>
    </reviewItem>
    <reviewItem>
      <errorID>470121b2-65fe-48a6-ab76-b1c7a4cab559</errorID>
      <errorWord>达</errorWord>
      <group>L1_Word</group>
      <groupName>字词问题</groupName>
      <ability>L2_Typo</ability>
      <abilityName>字词错误</abilityName>
      <candidateList>
        <item>达到</item>
      </candidateList>
      <explain>〈动〉到（多指抽象事物或程度）：达得到｜达不到｜目的没有～｜～国际水平。</explain>
      <paraID>159D81E6</paraID>
      <start>16</start>
      <end>18</end>
      <status>modified</status>
      <modifiedWord>达到</modifiedWord>
      <trackRevisions>false</trackRevisions>
    </reviewItem>
    <reviewItem>
      <errorID>316626c0-a70d-4a9d-a7e2-48b4189843a8</errorID>
      <errorWord>达</errorWord>
      <group>L1_Word</group>
      <groupName>字词问题</groupName>
      <ability>L2_Typo</ability>
      <abilityName>字词错误</abilityName>
      <candidateList>
        <item>达到</item>
      </candidateList>
      <explain>〈动〉到（多指抽象事物或程度）：达得到｜达不到｜目的没有～｜～国际水平。</explain>
      <paraID>7765268B</paraID>
      <start>11</start>
      <end>13</end>
      <status>modified</status>
      <modifiedWord>达到</modifiedWord>
      <trackRevisions>false</trackRevisions>
    </reviewItem>
    <reviewItem>
      <errorID>c92fbfd6-de0a-4558-a440-c46a0c582ab6</errorID>
      <errorWord>交有</errorWord>
      <group>L1_Word</group>
      <groupName>字词问题</groupName>
      <ability>L2_Typo</ability>
      <abilityName>字词错误</abilityName>
      <candidateList>
        <item>交由</item>
      </candidateList>
      <explain>存在发音相同字词的误用。</explain>
      <paraID>4B088C5C</paraID>
      <start>15</start>
      <end>17</end>
      <status>modified</status>
      <modifiedWord>交由</modifiedWord>
      <trackRevisions>false</trackRevisions>
    </reviewItem>
    <reviewItem>
      <errorID>cbfd61c1-377f-4a59-a11c-7868819e40c1</errorID>
      <errorWord>JB</errorWord>
      <group>L1_Sensitive</group>
      <groupName>敏感问题</groupName>
      <ability>L2_Abuse</ability>
      <abilityName>侮辱言辞</abilityName>
      <candidateList/>
      <explain>【侮辱言辞】句中涉及侮辱性的敏感内容，请注意甄别。</explain>
      <paraID>4900064C</paraID>
      <start>0</start>
      <end>2</end>
      <status>ignored</status>
      <modifiedWord/>
      <trackRevisions>false</trackRevisions>
    </reviewItem>
    <reviewItem>
      <errorID>e10692fd-7730-4503-a17a-27f270a0ae48</errorID>
      <errorWord>-</errorWord>
      <group>L1_Knowledge</group>
      <groupName>知识性问题</groupName>
      <ability>L2_Knowledge</ability>
      <abilityName>其他知识</abilityName>
      <candidateList>
        <item>%～</item>
      </candidateList>
      <explain>百分号用法检查</explain>
      <paraID> A997BE6</paraID>
      <start>9</start>
      <end>11</end>
      <status>modified</status>
      <modifiedWord>%～</modifiedWord>
      <trackRevisions>false</trackRevisions>
    </reviewItem>
    <reviewItem>
      <errorID>4fd406f4-ae0a-49dc-b306-dd6402bce21f</errorID>
      <errorWord>-</errorWord>
      <group>L1_Knowledge</group>
      <groupName>知识性问题</groupName>
      <ability>L2_Knowledge</ability>
      <abilityName>其他知识</abilityName>
      <candidateList>
        <item>%～</item>
      </candidateList>
      <explain>百分号用法检查</explain>
      <paraID> A997BE6</paraID>
      <start>23</start>
      <end>25</end>
      <status>modified</status>
      <modifiedWord>%～</modifiedWord>
      <trackRevisions>false</trackRevisions>
    </reviewItem>
    <reviewItem>
      <errorID>c972aae6-9a91-41d7-82c6-f04b198c169f</errorID>
      <errorWord>-</errorWord>
      <group>L1_Knowledge</group>
      <groupName>知识性问题</groupName>
      <ability>L2_Knowledge</ability>
      <abilityName>其他知识</abilityName>
      <candidateList>
        <item>%～</item>
      </candidateList>
      <explain>百分号用法检查</explain>
      <paraID> A997BE6</paraID>
      <start>35</start>
      <end>37</end>
      <status>modified</status>
      <modifiedWord>%～</modifiedWord>
      <trackRevisions>false</trackRevisions>
    </reviewItem>
    <reviewItem>
      <errorID>687908b8-89d9-46db-a017-0ace7a6181ae</errorID>
      <errorWord>-</errorWord>
      <group>L1_Knowledge</group>
      <groupName>知识性问题</groupName>
      <ability>L2_Knowledge</ability>
      <abilityName>其他知识</abilityName>
      <candidateList>
        <item>%～</item>
      </candidateList>
      <explain>百分号用法检查</explain>
      <paraID> A997BE6</paraID>
      <start>49</start>
      <end>51</end>
      <status>modified</status>
      <modifiedWord>%～</modifiedWord>
      <trackRevisions>false</trackRevisions>
    </reviewItem>
    <reviewItem>
      <errorID>cc5ffc95-678d-4970-817d-d5586dde7bb1</errorID>
      <errorWord>-</errorWord>
      <group>L1_Knowledge</group>
      <groupName>知识性问题</groupName>
      <ability>L2_Knowledge</ability>
      <abilityName>其他知识</abilityName>
      <candidateList>
        <item>%～</item>
      </candidateList>
      <explain>百分号用法检查</explain>
      <paraID> A997BE6</paraID>
      <start>59</start>
      <end>61</end>
      <status>modified</status>
      <modifiedWord>%～</modifiedWord>
      <trackRevisions>false</trackRevisions>
    </reviewItem>
    <reviewItem>
      <errorID>7a8a30b9-57da-4189-a9e8-e6543ee665f3</errorID>
      <errorWord>-</errorWord>
      <group>L1_Knowledge</group>
      <groupName>知识性问题</groupName>
      <ability>L2_Knowledge</ability>
      <abilityName>其他知识</abilityName>
      <candidateList>
        <item>%～</item>
      </candidateList>
      <explain>百分号用法检查</explain>
      <paraID> A997BE6</paraID>
      <start>67</start>
      <end>69</end>
      <status>modified</status>
      <modifiedWord>%～</modifiedWord>
      <trackRevisions>false</trackRevisions>
    </reviewItem>
    <reviewItem>
      <errorID>72edb495-8fe9-4673-a092-31d0a1e3bd2d</errorID>
      <errorWord>粘稠</errorWord>
      <group>L1_Word</group>
      <groupName>字词问题</groupName>
      <ability>L2_Typo</ability>
      <abilityName>字词错误</abilityName>
      <candidateList>
        <item>黏稠</item>
      </candidateList>
      <explain>存在发音相同字词的误用。</explain>
      <paraID>251412BC</paraID>
      <start>4</start>
      <end>6</end>
      <status>modified</status>
      <modifiedWord>黏稠</modifiedWord>
      <trackRevisions>false</trackRevisions>
    </reviewItem>
    <reviewItem>
      <errorID>91d7eb1a-b980-46b0-98f4-31de646619c2</errorID>
      <errorWord>：</errorWord>
      <group>L1_Format</group>
      <groupName>格式问题</groupName>
      <ability>L2_HalfPunc</ability>
      <abilityName>全半角检查</abilityName>
      <candidateList>
        <item>:</item>
      </candidateList>
      <explain>文本全半角错误。</explain>
      <paraID>251412BC</paraID>
      <start>488</start>
      <end>489</end>
      <status>modified</status>
      <modifiedWord>:</modifiedWord>
      <trackRevisions>false</trackRevisions>
    </reviewItem>
    <reviewItem>
      <errorID>6cf9855a-6c02-4ab9-bc7e-3ec5304897b3</errorID>
      <errorWord>(</errorWord>
      <group>L1_Format</group>
      <groupName>格式问题</groupName>
      <ability>L2_HalfPunc</ability>
      <abilityName>全半角检查</abilityName>
      <candidateList>
        <item>（</item>
      </candidateList>
      <explain>文本全半角错误。</explain>
      <paraID>1830A2A5</paraID>
      <start>34</start>
      <end>35</end>
      <status>modified</status>
      <modifiedWord>（</modifiedWord>
      <trackRevisions>false</trackRevisions>
    </reviewItem>
    <reviewItem>
      <errorID>96f5ae82-367a-480a-829b-d1710135aba3</errorID>
      <errorWord>)</errorWord>
      <group>L1_Format</group>
      <groupName>格式问题</groupName>
      <ability>L2_HalfPunc</ability>
      <abilityName>全半角检查</abilityName>
      <candidateList>
        <item>）</item>
      </candidateList>
      <explain>文本全半角错误。</explain>
      <paraID>1830A2A5</paraID>
      <start>39</start>
      <end>40</end>
      <status>modified</status>
      <modifiedWord>）</modifiedWord>
      <trackRevisions>false</trackRevisions>
    </reviewItem>
    <reviewItem>
      <errorID>2f0e015f-9603-4df5-a3ba-b27d9ca8505b</errorID>
      <errorWord>)</errorWord>
      <group>L1_Format</group>
      <groupName>格式问题</groupName>
      <ability>L2_HalfPunc</ability>
      <abilityName>全半角检查</abilityName>
      <candidateList>
        <item>）</item>
      </candidateList>
      <explain>文本全半角错误。</explain>
      <paraID> 96CDE78</paraID>
      <start>28</start>
      <end>29</end>
      <status>modified</status>
      <modifiedWord>）</modifiedWord>
      <trackRevisions>false</trackRevisions>
    </reviewItem>
    <reviewItem>
      <errorID>f673b026-2769-4c1d-9f13-995efd28e45d</errorID>
      <errorWord>(</errorWord>
      <group>L1_Format</group>
      <groupName>格式问题</groupName>
      <ability>L2_HalfPunc</ability>
      <abilityName>全半角检查</abilityName>
      <candidateList>
        <item>（</item>
      </candidateList>
      <explain>文本全半角错误。</explain>
      <paraID> 96CDE78</paraID>
      <start>66</start>
      <end>67</end>
      <status>modified</status>
      <modifiedWord>（</modifiedWord>
      <trackRevisions>false</trackRevisions>
    </reviewItem>
    <reviewItem>
      <errorID>1bdef3fc-fa11-4f55-8c80-39e4d40b5b14</errorID>
      <errorWord>)</errorWord>
      <group>L1_Format</group>
      <groupName>格式问题</groupName>
      <ability>L2_HalfPunc</ability>
      <abilityName>全半角检查</abilityName>
      <candidateList>
        <item>）</item>
      </candidateList>
      <explain>文本全半角错误。</explain>
      <paraID> 96CDE78</paraID>
      <start>81</start>
      <end>82</end>
      <status>modified</status>
      <modifiedWord>）</modifiedWord>
      <trackRevisions>false</trackRevisions>
    </reviewItem>
    <reviewItem>
      <errorID>78a5207d-0189-4bf1-bcdf-2dd648d9d934</errorID>
      <errorWord>(</errorWord>
      <group>L1_Format</group>
      <groupName>格式问题</groupName>
      <ability>L2_HalfPunc</ability>
      <abilityName>全半角检查</abilityName>
      <candidateList>
        <item>（</item>
      </candidateList>
      <explain>文本全半角错误。</explain>
      <paraID> 96CDE78</paraID>
      <start>87</start>
      <end>88</end>
      <status>modified</status>
      <modifiedWord>（</modifiedWord>
      <trackRevisions>false</trackRevisions>
    </reviewItem>
    <reviewItem>
      <errorID>ef573f9e-b2ff-4199-903b-e40ad0ebdb94</errorID>
      <errorWord>-</errorWord>
      <group>L1_Format</group>
      <groupName>格式问题</groupName>
      <ability>L2_HalfPunc</ability>
      <abilityName>全半角检查</abilityName>
      <candidateList>
        <item>－</item>
      </candidateList>
      <explain>文本全半角错误。</explain>
      <paraID>3F7E3772</paraID>
      <start>6</start>
      <end>7</end>
      <status>modified</status>
      <modifiedWord>－</modifiedWord>
      <trackRevisions>false</trackRevisions>
    </reviewItem>
    <reviewItem>
      <errorID>1eef973e-3505-474e-b8ce-4a9db43167ef</errorID>
      <errorWord>-</errorWord>
      <group>L1_Format</group>
      <groupName>格式问题</groupName>
      <ability>L2_HalfPunc</ability>
      <abilityName>全半角检查</abilityName>
      <candidateList>
        <item>－</item>
      </candidateList>
      <explain>文本全半角错误。</explain>
      <paraID>3F7E3772</paraID>
      <start>26</start>
      <end>27</end>
      <status>modified</status>
      <modifiedWord>－</modifiedWord>
      <trackRevisions>false</trackRevisions>
    </reviewItem>
    <reviewItem>
      <errorID>280bc1b6-ad82-445f-be75-0edf3418a9cf</errorID>
      <errorWord>-</errorWord>
      <group>L1_Format</group>
      <groupName>格式问题</groupName>
      <ability>L2_HalfPunc</ability>
      <abilityName>全半角检查</abilityName>
      <candidateList>
        <item>－</item>
      </candidateList>
      <explain>文本全半角错误。</explain>
      <paraID>7B59E80C</paraID>
      <start>6</start>
      <end>7</end>
      <status>modified</status>
      <modifiedWord>－</modifiedWord>
      <trackRevisions>false</trackRevisions>
    </reviewItem>
    <reviewItem>
      <errorID>4584a9db-57ab-4e06-b7d3-6d42710d45ab</errorID>
      <errorWord>-</errorWord>
      <group>L1_Format</group>
      <groupName>格式问题</groupName>
      <ability>L2_HalfPunc</ability>
      <abilityName>全半角检查</abilityName>
      <candidateList>
        <item>－</item>
      </candidateList>
      <explain>文本全半角错误。</explain>
      <paraID>7B59E80C</paraID>
      <start>26</start>
      <end>27</end>
      <status>modified</status>
      <modifiedWord>－</modifiedWord>
      <trackRevisions>false</trackRevisions>
    </reviewItem>
    <reviewItem>
      <errorID>5128d3f1-ef62-4a13-a8b4-bff6180ba20f</errorID>
      <errorWord>-</errorWord>
      <group>L1_Knowledge</group>
      <groupName>知识性问题</groupName>
      <ability>L2_Knowledge</ability>
      <abilityName>其他知识</abilityName>
      <candidateList>
        <item>%～</item>
      </candidateList>
      <explain>百分号用法检查</explain>
      <paraID>7A566DC8</paraID>
      <start>57</start>
      <end>59</end>
      <status>modified</status>
      <modifiedWord>%～</modifiedWord>
      <trackRevisions>false</trackRevisions>
    </reviewItem>
    <reviewItem>
      <errorID>f38eaaf1-12cd-4d51-ae5d-bc9396b22099</errorID>
      <errorWord>[2016]154号</errorWord>
      <group>L1_Knowledge</group>
      <groupName>知识性问题</groupName>
      <ability>L2_Knowledge</ability>
      <abilityName>其他知识</abilityName>
      <candidateList>
        <item>〔2016〕154号</item>
      </candidateList>
      <explain>发文字号格式错误</explain>
      <paraID>7A566DC8</paraID>
      <start>93</start>
      <end>103</end>
      <status>modified</status>
      <modifiedWord>〔2016〕154号</modifiedWord>
      <trackRevisions>false</trackRevisions>
    </reviewItem>
    <reviewItem>
      <errorID>541b5287-baf2-4f4c-8aba-e010bbe8ef9c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32D65AEC</paraID>
      <start>55</start>
      <end>56</end>
      <status>modified</status>
      <modifiedWord>～</modifiedWord>
      <trackRevisions>false</trackRevisions>
    </reviewItem>
    <reviewItem>
      <errorID>bc94f248-a724-47e8-b2de-c80e05fbb362</errorID>
      <errorWord>：</errorWord>
      <group>L1_Format</group>
      <groupName>格式问题</groupName>
      <ability>L2_HalfPunc</ability>
      <abilityName>全半角检查</abilityName>
      <candidateList>
        <item>:</item>
      </candidateList>
      <explain>文本全半角错误。</explain>
      <paraID> 32AAC08</paraID>
      <start>26</start>
      <end>27</end>
      <status>modified</status>
      <modifiedWord>:</modifiedWord>
      <trackRevisions>false</trackRevisions>
    </reviewItem>
    <reviewItem>
      <errorID>dd4b5e31-9bda-4093-817a-22e015a59965</errorID>
      <errorWord>使用到</errorWord>
      <group>L1_Word</group>
      <groupName>字词问题</groupName>
      <ability>L2_Typo</ability>
      <abilityName>字词错误</abilityName>
      <candidateList>
        <item>使用</item>
      </candidateList>
      <explain>〈动〉使人员、器物、资金等为某种目的服务：～干部｜合理～资金。</explain>
      <paraID>5DC3EBA7</paraID>
      <start>17</start>
      <end>19</end>
      <status>modified</status>
      <modifiedWord>使用</modifiedWord>
      <trackRevisions>false</trackRevisions>
    </reviewItem>
    <reviewItem>
      <errorID>a6809c09-81b7-4ef6-96b2-f4d71506dac0</errorID>
      <errorWord>层</errorWord>
      <group>L1_Word</group>
      <groupName>字词问题</groupName>
      <ability>L2_Typo</ability>
      <abilityName>字词错误</abilityName>
      <candidateList>
        <item>层和</item>
      </candidateList>
      <explain/>
      <paraID>36A51B50</paraID>
      <start>106</start>
      <end>108</end>
      <status>modified</status>
      <modifiedWord>层和</modifiedWord>
      <trackRevisions>false</trackRevisions>
    </reviewItem>
    <reviewItem>
      <errorID>a78e87d5-ab59-490d-8865-88829e3bc4d8</errorID>
      <errorWord>氩弧焊机</errorWord>
      <group>L1_Knowledge</group>
      <groupName>知识性问题</groupName>
      <ability>L2_Term</ability>
      <abilityName>专业术语</abilityName>
      <candidateList>
        <item>埋弧焊机</item>
      </candidateList>
      <explain/>
      <paraID>4A8C9C31</paraID>
      <start>16</start>
      <end>20</end>
      <status>modified</status>
      <modifiedWord>埋弧焊机</modifiedWord>
      <trackRevisions>false</trackRevisions>
    </reviewItem>
    <reviewItem>
      <errorID>d075d8bb-67aa-4f91-8b98-27f9988614e6</errorID>
      <errorWord>：</errorWord>
      <group>L1_Format</group>
      <groupName>格式问题</groupName>
      <ability>L2_HalfPunc</ability>
      <abilityName>全半角检查</abilityName>
      <candidateList>
        <item>:</item>
      </candidateList>
      <explain>文本全半角错误。</explain>
      <paraID>7C937419</paraID>
      <start>87</start>
      <end>88</end>
      <status>modified</status>
      <modifiedWord>:</modifiedWord>
      <trackRevisions>false</trackRevisions>
    </reviewItem>
    <reviewItem>
      <errorID>03f29493-5af6-41e7-a78e-0b271b6c303e</errorID>
      <errorWord>：</errorWord>
      <group>L1_Format</group>
      <groupName>格式问题</groupName>
      <ability>L2_HalfPunc</ability>
      <abilityName>全半角检查</abilityName>
      <candidateList>
        <item>:</item>
      </candidateList>
      <explain>文本全半角错误。</explain>
      <paraID>5473D63F</paraID>
      <start>77</start>
      <end>78</end>
      <status>modified</status>
      <modifiedWord>:</modifiedWord>
      <trackRevisions>false</trackRevisions>
    </reviewItem>
    <reviewItem>
      <errorID>396aafe9-af2d-4084-a304-38a9e33da6f4</errorID>
      <errorWord>一半</errorWord>
      <group>L1_Word</group>
      <groupName>字词问题</groupName>
      <ability>L2_Typo</ability>
      <abilityName>字词错误</abilityName>
      <candidateList>
        <item>一般</item>
      </candidateList>
      <explain>❶〈形〉一样；同样：哥儿俩长得～高｜火车飞～地向前驰去。❷数量词。一种：别有～滋味。❸〈形〉普通；通常：～性｜～化｜～情况｜他一早出去，～要到天黑才回家｜～地说，吃这种药是很见效的。</explain>
      <paraID>3D607018</paraID>
      <start>17</start>
      <end>19</end>
      <status>modified</status>
      <modifiedWord>一般</modifiedWord>
      <trackRevisions>false</trackRevisions>
    </reviewItem>
    <reviewItem>
      <errorID>feee6ddf-7a9b-4e92-b3b9-5d8568db9747</errorID>
      <errorWord>洗枪</errorWord>
      <group>L1_Word</group>
      <groupName>字词问题</groupName>
      <ability>L2_Typo</ability>
      <abilityName>字词错误</abilityName>
      <candidateList>
        <item>喷枪</item>
      </candidateList>
      <explain/>
      <paraID>3D607018</paraID>
      <start>178</start>
      <end>180</end>
      <status>modified</status>
      <modifiedWord>喷枪</modifiedWord>
      <trackRevisions>false</trackRevisions>
    </reviewItem>
    <reviewItem>
      <errorID>f046ed33-af8c-425e-a4d7-6ab156da0f09</errorID>
      <errorWord>性能检验</errorWord>
      <group>L1_Knowledge</group>
      <groupName>知识性问题</groupName>
      <ability>L2_Term</ability>
      <abilityName>专业术语</abilityName>
      <candidateList>
        <item>性能试验</item>
      </candidateList>
      <explain/>
      <paraID>5877F169</paraID>
      <start>97</start>
      <end>101</end>
      <status>modified</status>
      <modifiedWord>性能试验</modifiedWord>
      <trackRevisions>false</trackRevisions>
    </reviewItem>
    <reviewItem>
      <errorID>5e224d5b-6432-428e-9823-a36ba2af0103</errorID>
      <errorWord>程</errorWord>
      <group>L1_Word</group>
      <groupName>字词问题</groupName>
      <ability>L2_Typo</ability>
      <abilityName>字词错误</abilityName>
      <candidateList>
        <item>程中</item>
      </candidateList>
      <explain/>
      <paraID>169355DC</paraID>
      <start>38</start>
      <end>40</end>
      <status>modified</status>
      <modifiedWord>程中</modifiedWord>
      <trackRevisions>false</trackRevisions>
    </reviewItem>
    <reviewItem>
      <errorID>317ac3a9-9f04-4417-a316-742774680d85</errorID>
      <errorWord>达</errorWord>
      <group>L1_Word</group>
      <groupName>字词问题</groupName>
      <ability>L2_Typo</ability>
      <abilityName>字词错误</abilityName>
      <candidateList>
        <item>达到</item>
      </candidateList>
      <explain>〈动〉到（多指抽象事物或程度）：达得到｜达不到｜目的没有～｜～国际水平。</explain>
      <paraID>402E2CCE</paraID>
      <start>16</start>
      <end>18</end>
      <status>modified</status>
      <modifiedWord>达到</modifiedWord>
      <trackRevisions>false</trackRevisions>
    </reviewItem>
    <reviewItem>
      <errorID>de13a3ef-5ad0-477a-ab59-c9b9d9ae56b7</errorID>
      <errorWord>达</errorWord>
      <group>L1_Word</group>
      <groupName>字词问题</groupName>
      <ability>L2_Typo</ability>
      <abilityName>字词错误</abilityName>
      <candidateList>
        <item>达到</item>
      </candidateList>
      <explain>〈动〉到（多指抽象事物或程度）：达得到｜达不到｜目的没有～｜～国际水平。</explain>
      <paraID> E3E80E7</paraID>
      <start>11</start>
      <end>13</end>
      <status>modified</status>
      <modifiedWord>达到</modifiedWord>
      <trackRevisions>false</trackRevisions>
    </reviewItem>
    <reviewItem>
      <errorID>970b85c7-5510-4b5a-9b3e-c3f7ea95f0f0</errorID>
      <errorWord>(</errorWord>
      <group>L1_Format</group>
      <groupName>格式问题</groupName>
      <ability>L2_HalfPunc</ability>
      <abilityName>全半角检查</abilityName>
      <candidateList>
        <item>（</item>
      </candidateList>
      <explain>文本全半角错误。</explain>
      <paraID>10B92720</paraID>
      <start>82</start>
      <end>83</end>
      <status>modified</status>
      <modifiedWord>（</modifiedWord>
      <trackRevisions>false</trackRevisions>
    </reviewItem>
    <reviewItem>
      <errorID>8ccfa1b8-4fa6-4a76-bc92-d05229ebbd56</errorID>
      <errorWord>)</errorWord>
      <group>L1_Format</group>
      <groupName>格式问题</groupName>
      <ability>L2_HalfPunc</ability>
      <abilityName>全半角检查</abilityName>
      <candidateList>
        <item>）</item>
      </candidateList>
      <explain>文本全半角错误。</explain>
      <paraID>10B92720</paraID>
      <start>95</start>
      <end>96</end>
      <status>modified</status>
      <modifiedWord>）</modifiedWord>
      <trackRevisions>false</trackRevisions>
    </reviewItem>
    <reviewItem>
      <errorID>3e9a77b7-1c01-45c3-add2-68e39230a8be</errorID>
      <errorWord>(</errorWord>
      <group>L1_Format</group>
      <groupName>格式问题</groupName>
      <ability>L2_HalfPunc</ability>
      <abilityName>全半角检查</abilityName>
      <candidateList>
        <item>（</item>
      </candidateList>
      <explain>文本全半角错误。</explain>
      <paraID>10B92720</paraID>
      <start>118</start>
      <end>119</end>
      <status>modified</status>
      <modifiedWord>（</modifiedWord>
      <trackRevisions>false</trackRevisions>
    </reviewItem>
    <reviewItem>
      <errorID>806dee70-156a-4db8-8427-2bf6733f0e8c</errorID>
      <errorWord>)</errorWord>
      <group>L1_Format</group>
      <groupName>格式问题</groupName>
      <ability>L2_HalfPunc</ability>
      <abilityName>全半角检查</abilityName>
      <candidateList>
        <item>）</item>
      </candidateList>
      <explain>文本全半角错误。</explain>
      <paraID>10B92720</paraID>
      <start>129</start>
      <end>130</end>
      <status>modified</status>
      <modifiedWord>）</modifiedWord>
      <trackRevisions>false</trackRevisions>
    </reviewItem>
    <reviewItem>
      <errorID>9578b9d2-7aa9-4c8d-b63f-6ba7e89a009f</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10B92720</paraID>
      <start>151</start>
      <end>153</end>
      <status>modified</status>
      <modifiedWord>5）</modifiedWord>
      <trackRevisions>false</trackRevisions>
    </reviewItem>
    <reviewItem>
      <errorID>b76366a5-f1e2-4d2d-8e19-1c383e23b211</errorID>
      <errorWord>(</errorWord>
      <group>L1_Format</group>
      <groupName>格式问题</groupName>
      <ability>L2_HalfPunc</ability>
      <abilityName>全半角检查</abilityName>
      <candidateList>
        <item>（</item>
      </candidateList>
      <explain>文本全半角错误。</explain>
      <paraID>3CDF51D1</paraID>
      <start>6</start>
      <end>7</end>
      <status>modified</status>
      <modifiedWord>（</modifiedWord>
      <trackRevisions>false</trackRevisions>
    </reviewItem>
    <reviewItem>
      <errorID>e87ef291-4447-4eb1-b198-4fbef9e5172e</errorID>
      <errorWord>)</errorWord>
      <group>L1_Format</group>
      <groupName>格式问题</groupName>
      <ability>L2_HalfPunc</ability>
      <abilityName>全半角检查</abilityName>
      <candidateList>
        <item>）</item>
      </candidateList>
      <explain>文本全半角错误。</explain>
      <paraID>3CDF51D1</paraID>
      <start>11</start>
      <end>12</end>
      <status>modified</status>
      <modifiedWord>）</modifiedWord>
      <trackRevisions>false</trackRevisions>
    </reviewItem>
    <reviewItem>
      <errorID>591a88ee-a85f-4f5a-a04c-607f54467b45</errorID>
      <errorWord>(</errorWord>
      <group>L1_Format</group>
      <groupName>格式问题</groupName>
      <ability>L2_HalfPunc</ability>
      <abilityName>全半角检查</abilityName>
      <candidateList>
        <item>（</item>
      </candidateList>
      <explain>文本全半角错误。</explain>
      <paraID>3CDF51D1</paraID>
      <start>16</start>
      <end>17</end>
      <status>modified</status>
      <modifiedWord>（</modifiedWord>
      <trackRevisions>false</trackRevisions>
    </reviewItem>
    <reviewItem>
      <errorID>191ba30d-4697-440a-bc4e-d78b51cdd79d</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3CDF51D1</paraID>
      <start>21</start>
      <end>23</end>
      <status>modified</status>
      <modifiedWord>5)</modifiedWord>
      <trackRevisions>false</trackRevisions>
    </reviewItem>
    <reviewItem>
      <errorID>18237684-141a-4985-9a29-183df738ffca</errorID>
      <errorWord>(</errorWord>
      <group>L1_Format</group>
      <groupName>格式问题</groupName>
      <ability>L2_HalfPunc</ability>
      <abilityName>全半角检查</abilityName>
      <candidateList>
        <item>（</item>
      </candidateList>
      <explain>文本全半角错误。</explain>
      <paraID>3CDF51D1</paraID>
      <start>27</start>
      <end>28</end>
      <status>modified</status>
      <modifiedWord>（</modifiedWord>
      <trackRevisions>false</trackRevisions>
    </reviewItem>
    <reviewItem>
      <errorID>b438deed-5773-46cf-b132-f31a41a60a1d</errorID>
      <errorWord>)</errorWord>
      <group>L1_Format</group>
      <groupName>格式问题</groupName>
      <ability>L2_HalfPunc</ability>
      <abilityName>全半角检查</abilityName>
      <candidateList>
        <item>）</item>
      </candidateList>
      <explain>文本全半角错误。</explain>
      <paraID>3CDF51D1</paraID>
      <start>31</start>
      <end>32</end>
      <status>modified</status>
      <modifiedWord>）</modifiedWord>
      <trackRevisions>false</trackRevisions>
    </reviewItem>
    <reviewItem>
      <errorID>1f373a6d-55ba-4f11-86f9-be064069912f</errorID>
      <errorWord>(</errorWord>
      <group>L1_Format</group>
      <groupName>格式问题</groupName>
      <ability>L2_HalfPunc</ability>
      <abilityName>全半角检查</abilityName>
      <candidateList>
        <item>（</item>
      </candidateList>
      <explain>文本全半角错误。</explain>
      <paraID>3CDF51D1</paraID>
      <start>37</start>
      <end>38</end>
      <status>modified</status>
      <modifiedWord>（</modifiedWord>
      <trackRevisions>false</trackRevisions>
    </reviewItem>
    <reviewItem>
      <errorID>719aa2f1-1744-4d18-946f-d93cace08901</errorID>
      <errorWord>)</errorWord>
      <group>L1_Format</group>
      <groupName>格式问题</groupName>
      <ability>L2_HalfPunc</ability>
      <abilityName>全半角检查</abilityName>
      <candidateList>
        <item>）</item>
      </candidateList>
      <explain>文本全半角错误。</explain>
      <paraID>3CDF51D1</paraID>
      <start>41</start>
      <end>42</end>
      <status>modified</status>
      <modifiedWord>）</modifiedWord>
      <trackRevisions>false</trackRevisions>
    </reviewItem>
    <reviewItem>
      <errorID>e349b325-e030-4737-81d4-dbe9fffb612b</errorID>
      <errorWord>(</errorWord>
      <group>L1_Format</group>
      <groupName>格式问题</groupName>
      <ability>L2_HalfPunc</ability>
      <abilityName>全半角检查</abilityName>
      <candidateList>
        <item>（</item>
      </candidateList>
      <explain>文本全半角错误。</explain>
      <paraID>3CDF51D1</paraID>
      <start>47</start>
      <end>48</end>
      <status>modified</status>
      <modifiedWord>（</modifiedWord>
      <trackRevisions>false</trackRevisions>
    </reviewItem>
    <reviewItem>
      <errorID>fe388676-880a-472f-8f9b-b89c7b8d5f1a</errorID>
      <errorWord>)</errorWord>
      <group>L1_Format</group>
      <groupName>格式问题</groupName>
      <ability>L2_HalfPunc</ability>
      <abilityName>全半角检查</abilityName>
      <candidateList>
        <item>）</item>
      </candidateList>
      <explain>文本全半角错误。</explain>
      <paraID>3CDF51D1</paraID>
      <start>50</start>
      <end>51</end>
      <status>modified</status>
      <modifiedWord>）</modifiedWord>
      <trackRevisions>false</trackRevisions>
    </reviewItem>
    <reviewItem>
      <errorID>a762ba9b-8013-45be-90d8-2407a6c0489b</errorID>
      <errorWord>(</errorWord>
      <group>L1_Format</group>
      <groupName>格式问题</groupName>
      <ability>L2_HalfPunc</ability>
      <abilityName>全半角检查</abilityName>
      <candidateList>
        <item>（</item>
      </candidateList>
      <explain>文本全半角错误。</explain>
      <paraID>3CDF51D1</paraID>
      <start>54</start>
      <end>55</end>
      <status>modified</status>
      <modifiedWord>（</modifiedWord>
      <trackRevisions>false</trackRevisions>
    </reviewItem>
    <reviewItem>
      <errorID>fd5c959a-81c6-4f27-9816-a75a268f1cff</errorID>
      <errorWord>)</errorWord>
      <group>L1_Format</group>
      <groupName>格式问题</groupName>
      <ability>L2_HalfPunc</ability>
      <abilityName>全半角检查</abilityName>
      <candidateList>
        <item>）</item>
      </candidateList>
      <explain>文本全半角错误。</explain>
      <paraID>3CDF51D1</paraID>
      <start>57</start>
      <end>58</end>
      <status>modified</status>
      <modifiedWord>）</modifiedWord>
      <trackRevisions>false</trackRevisions>
    </reviewItem>
    <reviewItem>
      <errorID>a5dbc841-c662-4c70-bb7e-d5bf60ef76e5</errorID>
      <errorWord>(</errorWord>
      <group>L1_Format</group>
      <groupName>格式问题</groupName>
      <ability>L2_HalfPunc</ability>
      <abilityName>全半角检查</abilityName>
      <candidateList>
        <item>（</item>
      </candidateList>
      <explain>文本全半角错误。</explain>
      <paraID>7780A23D</paraID>
      <start>154</start>
      <end>155</end>
      <status>modified</status>
      <modifiedWord>（</modifiedWord>
      <trackRevisions>false</trackRevisions>
    </reviewItem>
    <reviewItem>
      <errorID>840b16f5-6c8a-4657-a1e5-ada8cb314f0b</errorID>
      <errorWord>)</errorWord>
      <group>L1_Format</group>
      <groupName>格式问题</groupName>
      <ability>L2_HalfPunc</ability>
      <abilityName>全半角检查</abilityName>
      <candidateList>
        <item>）</item>
      </candidateList>
      <explain>文本全半角错误。</explain>
      <paraID>7780A23D</paraID>
      <start>158</start>
      <end>159</end>
      <status>modified</status>
      <modifiedWord>）</modifiedWord>
      <trackRevisions>false</trackRevisions>
    </reviewItem>
    <reviewItem>
      <errorID>120965b0-994f-47b1-b1ce-d82b930c24fb</errorID>
      <errorWord>放控</errorWord>
      <group>L1_Word</group>
      <groupName>字词问题</groupName>
      <ability>L2_Typo</ability>
      <abilityName>字词错误</abilityName>
      <candidateList>
        <item>防控</item>
      </candidateList>
      <explain/>
      <paraID> 4F9E6E1</paraID>
      <start>0</start>
      <end>2</end>
      <status>modified</status>
      <modifiedWord>防控</modifiedWord>
      <trackRevisions>false</trackRevisions>
    </reviewItem>
    <reviewItem>
      <errorID>753b299c-01b8-4d4d-ad2a-bb9ae7ee0512</errorID>
      <errorWord>达</errorWord>
      <group>L1_Word</group>
      <groupName>字词问题</groupName>
      <ability>L2_Typo</ability>
      <abilityName>字词错误</abilityName>
      <candidateList>
        <item>达到</item>
      </candidateList>
      <explain>〈动〉到（多指抽象事物或程度）：达得到｜达不到｜目的没有～｜～国际水平。</explain>
      <paraID>708B89FD</paraID>
      <start>82</start>
      <end>84</end>
      <status>modified</status>
      <modifiedWord>达到</modifiedWord>
      <trackRevisions>false</trackRevisions>
    </reviewItem>
    <reviewItem>
      <errorID>08012388-7f2c-463f-80d8-71ff97276599</errorID>
      <errorWord>（</errorWord>
      <group>L1_Format</group>
      <groupName>格式问题</groupName>
      <ability>L2_HalfPunc</ability>
      <abilityName>全半角检查</abilityName>
      <candidateList>
        <item>(</item>
      </candidateList>
      <explain>文本全半角错误。</explain>
      <paraID>18986E5B</paraID>
      <start>0</start>
      <end>1</end>
      <status>modified</status>
      <modifiedWord>(</modifiedWord>
      <trackRevisions>false</trackRevisions>
    </reviewItem>
    <reviewItem>
      <errorID>302b4e2f-2322-44f9-91bd-b0ea81474b36</errorID>
      <errorWord>）</errorWord>
      <group>L1_Format</group>
      <groupName>格式问题</groupName>
      <ability>L2_HalfPunc</ability>
      <abilityName>全半角检查</abilityName>
      <candidateList>
        <item>)</item>
      </candidateList>
      <explain>文本全半角错误。</explain>
      <paraID>18986E5B</paraID>
      <start>2</start>
      <end>3</end>
      <status>modified</status>
      <modifiedWord>)</modifiedWord>
      <trackRevisions>false</trackRevisions>
    </reviewItem>
    <reviewItem>
      <errorID>2c76fe60-95b4-4aa9-9bba-65739ccac3c3</errorID>
      <errorWord>（</errorWord>
      <group>L1_Format</group>
      <groupName>格式问题</groupName>
      <ability>L2_HalfPunc</ability>
      <abilityName>全半角检查</abilityName>
      <candidateList>
        <item>(</item>
      </candidateList>
      <explain>文本全半角错误。</explain>
      <paraID>553FA41B</paraID>
      <start>0</start>
      <end>1</end>
      <status>modified</status>
      <modifiedWord>(</modifiedWord>
      <trackRevisions>false</trackRevisions>
    </reviewItem>
    <reviewItem>
      <errorID>35fa4b11-a500-42a6-b54a-f66569a3bb1e</errorID>
      <errorWord>）</errorWord>
      <group>L1_Format</group>
      <groupName>格式问题</groupName>
      <ability>L2_HalfPunc</ability>
      <abilityName>全半角检查</abilityName>
      <candidateList>
        <item>)</item>
      </candidateList>
      <explain>文本全半角错误。</explain>
      <paraID>553FA41B</paraID>
      <start>2</start>
      <end>3</end>
      <status>modified</status>
      <modifiedWord>)</modifiedWord>
      <trackRevisions>false</trackRevisions>
    </reviewItem>
    <reviewItem>
      <errorID>682d02d0-0111-4366-bc87-eb2820058a2e</errorID>
      <errorWord>地将</errorWord>
      <group>L1_Word</group>
      <groupName>字词问题</groupName>
      <ability>L2_Typo</ability>
      <abilityName>字词错误</abilityName>
      <candidateList>
        <item>地</item>
      </candidateList>
      <explain>置于动词前，用于形容动作的状态。</explain>
      <paraID>6115F37D</paraID>
      <start>46</start>
      <end>47</end>
      <status>modified</status>
      <modifiedWord>地</modifiedWord>
      <trackRevisions>false</trackRevisions>
    </reviewItem>
    <reviewItem>
      <errorID>2583341e-6e34-41b8-bdc0-2b91e3d5e20e</errorID>
      <errorWord>就这</errorWord>
      <group>L1_Official</group>
      <groupName>公文问题</groupName>
      <ability>L2_Official</ability>
      <abilityName>公文问题</abilityName>
      <candidateList/>
      <explain>公文中禁止出现该词语</explain>
      <paraID>6115F37D</paraID>
      <start>112</start>
      <end>114</end>
      <status>unmodified</status>
      <modifiedWord/>
      <trackRevisions>false</trackRevisions>
    </reviewItem>
    <reviewItem>
      <errorID>5c69222b-6826-4170-939e-1159b219471e</errorID>
      <errorWord>搅拌砂浆</errorWord>
      <group>L1_Knowledge</group>
      <groupName>知识性问题</groupName>
      <ability>L2_Term</ability>
      <abilityName>专业术语</abilityName>
      <candidateList>
        <item>预拌砂浆</item>
      </candidateList>
      <explain/>
      <paraID>5AC4569C</paraID>
      <start>180</start>
      <end>184</end>
      <status>modified</status>
      <modifiedWord>预拌砂浆</modifiedWord>
      <trackRevisions>false</trackRevisions>
    </reviewItem>
    <reviewItem>
      <errorID>4a5bed23-2820-4323-b100-41f3805e8909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A02211F</paraID>
      <start>4</start>
      <end>5</end>
      <status>modified</status>
      <modifiedWord>地</modifiedWord>
      <trackRevisions>false</trackRevisions>
    </reviewItem>
    <reviewItem>
      <errorID>0d1d5a89-b350-47bb-9a6f-6d2aaf762ccb</errorID>
      <errorWord>期</errorWord>
      <group>L1_Word</group>
      <groupName>字词问题</groupName>
      <ability>L2_Typo</ability>
      <abilityName>字词错误</abilityName>
      <candidateList>
        <item>期间</item>
      </candidateList>
      <explain>〈名〉某个时期里面：农忙～｜春节～｜抗战～。</explain>
      <paraID> A02211F</paraID>
      <start>9</start>
      <end>11</end>
      <status>modified</status>
      <modifiedWord>期间</modifiedWord>
      <trackRevisions>false</trackRevisions>
    </reviewItem>
    <reviewItem>
      <errorID>dabdfc91-2f89-478e-8bb6-ea5680c8b363</errorID>
      <errorWord>时期</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❿〈副〉叠用，跟“时而…时而…”相同；有时候：～断～续｜～快～慢。注意“时…时…”后面通常用单音词，“时而…时而…”没有限制。⑪名一种语法范畴，表示动词所指动作在什么时候发生。很多语言的动词分现在时、过去时和将来时，有些语言分得更细。⑫（Shí）〈名〉姓。</explain>
      <paraID>1C704914</paraID>
      <start>42</start>
      <end>43</end>
      <status>modified</status>
      <modifiedWord>时</modifiedWord>
      <trackRevisions>false</trackRevisions>
    </reviewItem>
    <reviewItem>
      <errorID>d0f06748-e354-40df-b881-866cfd8910d7</errorID>
      <errorWord>滥砍滥伐</errorWord>
      <group>L1_Word</group>
      <groupName>字词问题</groupName>
      <ability>L2_Typo</ability>
      <abilityName>字词错误</abilityName>
      <candidateList>
        <item>乱砍滥伐</item>
      </candidateList>
      <explain/>
      <paraID>346310A2</paraID>
      <start>19</start>
      <end>23</end>
      <status>modified</status>
      <modifiedWord>乱砍滥伐</modifiedWord>
      <trackRevisions>false</trackRevisions>
    </reviewItem>
    <reviewItem>
      <errorID>9718b297-fba7-4657-b466-7bbe1b2ac0f6</errorID>
      <errorWord>-</errorWord>
      <group>L1_Knowledge</group>
      <groupName>知识性问题</groupName>
      <ability>L2_Knowledge</ability>
      <abilityName>其他知识</abilityName>
      <candidateList>
        <item>%～</item>
      </candidateList>
      <explain>百分号用法检查</explain>
      <paraID>3B182A07</paraID>
      <start>71</start>
      <end>73</end>
      <status>modified</status>
      <modifiedWord>%～</modifiedWord>
      <trackRevisions>false</trackRevisions>
    </reviewItem>
    <reviewItem>
      <errorID>e9016367-81a2-4993-8681-1b0c8bf0896a</errorID>
      <errorWord>-</errorWord>
      <group>L1_Knowledge</group>
      <groupName>知识性问题</groupName>
      <ability>L2_Knowledge</ability>
      <abilityName>其他知识</abilityName>
      <candidateList>
        <item>%～</item>
      </candidateList>
      <explain>百分号用法检查</explain>
      <paraID>3B182A07</paraID>
      <start>85</start>
      <end>87</end>
      <status>modified</status>
      <modifiedWord>%～</modifiedWord>
      <trackRevisions>false</trackRevisions>
    </reviewItem>
    <reviewItem>
      <errorID>cacdad4e-22b7-484e-a0d4-f3fbe0e15a48</errorID>
      <errorWord>-</errorWord>
      <group>L1_Knowledge</group>
      <groupName>知识性问题</groupName>
      <ability>L2_Knowledge</ability>
      <abilityName>其他知识</abilityName>
      <candidateList>
        <item>%～</item>
      </candidateList>
      <explain>百分号用法检查</explain>
      <paraID>3B182A07</paraID>
      <start>97</start>
      <end>99</end>
      <status>modified</status>
      <modifiedWord>%～</modifiedWord>
      <trackRevisions>false</trackRevisions>
    </reviewItem>
    <reviewItem>
      <errorID>3484d350-87ae-4b7c-b63b-03fa7bb388d5</errorID>
      <errorWord>-</errorWord>
      <group>L1_Knowledge</group>
      <groupName>知识性问题</groupName>
      <ability>L2_Knowledge</ability>
      <abilityName>其他知识</abilityName>
      <candidateList>
        <item>%～</item>
      </candidateList>
      <explain>百分号用法检查</explain>
      <paraID>3B182A07</paraID>
      <start>111</start>
      <end>113</end>
      <status>modified</status>
      <modifiedWord>%～</modifiedWord>
      <trackRevisions>false</trackRevisions>
    </reviewItem>
    <reviewItem>
      <errorID>96021160-f960-45dc-809c-fdefad410cf5</errorID>
      <errorWord>-</errorWord>
      <group>L1_Knowledge</group>
      <groupName>知识性问题</groupName>
      <ability>L2_Knowledge</ability>
      <abilityName>其他知识</abilityName>
      <candidateList>
        <item>%～</item>
      </candidateList>
      <explain>百分号用法检查</explain>
      <paraID>3B182A07</paraID>
      <start>121</start>
      <end>123</end>
      <status>modified</status>
      <modifiedWord>%～</modifiedWord>
      <trackRevisions>false</trackRevisions>
    </reviewItem>
    <reviewItem>
      <errorID>9cc4fe59-730a-4741-b465-0b2de659a96a</errorID>
      <errorWord>-</errorWord>
      <group>L1_Knowledge</group>
      <groupName>知识性问题</groupName>
      <ability>L2_Knowledge</ability>
      <abilityName>其他知识</abilityName>
      <candidateList>
        <item>%～</item>
      </candidateList>
      <explain>百分号用法检查</explain>
      <paraID>3B182A07</paraID>
      <start>129</start>
      <end>131</end>
      <status>modified</status>
      <modifiedWord>%～</modifiedWord>
      <trackRevisions>false</trackRevisions>
    </reviewItem>
    <reviewItem>
      <errorID>6ef9df56-9e2d-4cbd-8eb6-3db579c09e19</errorID>
      <errorWord>-</errorWord>
      <group>L1_Knowledge</group>
      <groupName>知识性问题</groupName>
      <ability>L2_Knowledge</ability>
      <abilityName>其他知识</abilityName>
      <candidateList>
        <item>%～</item>
      </candidateList>
      <explain>百分号用法检查</explain>
      <paraID>3B182A07</paraID>
      <start>175</start>
      <end>177</end>
      <status>modified</status>
      <modifiedWord>%～</modifiedWord>
      <trackRevisions>false</trackRevisions>
    </reviewItem>
    <reviewItem>
      <errorID>bf364df4-8d9a-4357-9ec7-6b4925798357</errorID>
      <errorWord>[2016]154号</errorWord>
      <group>L1_Knowledge</group>
      <groupName>知识性问题</groupName>
      <ability>L2_Knowledge</ability>
      <abilityName>其他知识</abilityName>
      <candidateList>
        <item>〔2016〕154号</item>
      </candidateList>
      <explain>发文字号格式错误</explain>
      <paraID>3B182A07</paraID>
      <start>211</start>
      <end>221</end>
      <status>modified</status>
      <modifiedWord>〔2016〕154号</modifiedWord>
      <trackRevisions>false</trackRevisions>
    </reviewItem>
    <reviewItem>
      <errorID>bfd18848-752a-4d5e-b1c2-287b397e55b6</errorID>
      <errorWord>废气污染物</errorWord>
      <group>L1_Knowledge</group>
      <groupName>知识性问题</groupName>
      <ability>L2_Term</ability>
      <abilityName>专业术语</abilityName>
      <candidateList>
        <item>空气污染物</item>
      </candidateList>
      <explain/>
      <paraID>355449E2</paraID>
      <start>8</start>
      <end>13</end>
      <status>modified</status>
      <modifiedWord>空气污染物</modifiedWord>
      <trackRevisions>false</trackRevisions>
    </reviewItem>
    <reviewItem>
      <errorID>b8607603-78b1-4d4c-ba83-8f0d92119049</errorID>
      <errorWord>（</errorWord>
      <group>L1_Format</group>
      <groupName>格式问题</groupName>
      <ability>L2_HalfPunc</ability>
      <abilityName>全半角检查</abilityName>
      <candidateList>
        <item>(</item>
      </candidateList>
      <explain>文本全半角错误。</explain>
      <paraID>52DC331B</paraID>
      <start>0</start>
      <end>1</end>
      <status>modified</status>
      <modifiedWord>(</modifiedWord>
      <trackRevisions>false</trackRevisions>
    </reviewItem>
    <reviewItem>
      <errorID>abb9e30f-73b7-477b-b04f-2e6a52040fbb</errorID>
      <errorWord>）</errorWord>
      <group>L1_Format</group>
      <groupName>格式问题</groupName>
      <ability>L2_HalfPunc</ability>
      <abilityName>全半角检查</abilityName>
      <candidateList>
        <item>)</item>
      </candidateList>
      <explain>文本全半角错误。</explain>
      <paraID>52DC331B</paraID>
      <start>2</start>
      <end>3</end>
      <status>modified</status>
      <modifiedWord>)</modifiedWord>
      <trackRevisions>false</trackRevisions>
    </reviewItem>
    <reviewItem>
      <errorID>357cc962-0311-4410-8344-8f79e2a92672</errorID>
      <errorWord>（</errorWord>
      <group>L1_Format</group>
      <groupName>格式问题</groupName>
      <ability>L2_HalfPunc</ability>
      <abilityName>全半角检查</abilityName>
      <candidateList>
        <item>(</item>
      </candidateList>
      <explain>文本全半角错误。</explain>
      <paraID>3DBAC36A</paraID>
      <start>0</start>
      <end>1</end>
      <status>modified</status>
      <modifiedWord>(</modifiedWord>
      <trackRevisions>false</trackRevisions>
    </reviewItem>
    <reviewItem>
      <errorID>b9295951-20a7-4678-b37b-f639669f95bf</errorID>
      <errorWord>）</errorWord>
      <group>L1_Format</group>
      <groupName>格式问题</groupName>
      <ability>L2_HalfPunc</ability>
      <abilityName>全半角检查</abilityName>
      <candidateList>
        <item>)</item>
      </candidateList>
      <explain>文本全半角错误。</explain>
      <paraID>3DBAC36A</paraID>
      <start>2</start>
      <end>3</end>
      <status>modified</status>
      <modifiedWord>)</modifiedWord>
      <trackRevisions>false</trackRevisions>
    </reviewItem>
    <reviewItem>
      <errorID>b4da21a2-2186-43ff-8829-e8fec0bc8b4e</errorID>
      <errorWord>（</errorWord>
      <group>L1_Format</group>
      <groupName>格式问题</groupName>
      <ability>L2_HalfPunc</ability>
      <abilityName>全半角检查</abilityName>
      <candidateList>
        <item>(</item>
      </candidateList>
      <explain>文本全半角错误。</explain>
      <paraID>783C6685</paraID>
      <start>0</start>
      <end>1</end>
      <status>modified</status>
      <modifiedWord>(</modifiedWord>
      <trackRevisions>false</trackRevisions>
    </reviewItem>
    <reviewItem>
      <errorID>81365cfe-b077-4f8f-ad01-25fc5f8d98c8</errorID>
      <errorWord>）</errorWord>
      <group>L1_Format</group>
      <groupName>格式问题</groupName>
      <ability>L2_HalfPunc</ability>
      <abilityName>全半角检查</abilityName>
      <candidateList>
        <item>)</item>
      </candidateList>
      <explain>文本全半角错误。</explain>
      <paraID>783C6685</paraID>
      <start>2</start>
      <end>3</end>
      <status>modified</status>
      <modifiedWord>)</modifiedWord>
      <trackRevisions>false</trackRevisions>
    </reviewItem>
    <reviewItem>
      <errorID>fef30e20-c386-4eab-b184-b251a309cd52</errorID>
      <errorWord>（</errorWord>
      <group>L1_Format</group>
      <groupName>格式问题</groupName>
      <ability>L2_HalfPunc</ability>
      <abilityName>全半角检查</abilityName>
      <candidateList>
        <item>(</item>
      </candidateList>
      <explain>文本全半角错误。</explain>
      <paraID> 5011F0B</paraID>
      <start>0</start>
      <end>1</end>
      <status>modified</status>
      <modifiedWord>(</modifiedWord>
      <trackRevisions>false</trackRevisions>
    </reviewItem>
    <reviewItem>
      <errorID>75bedf1b-2fd9-4ad6-9952-d958af990bfa</errorID>
      <errorWord>）</errorWord>
      <group>L1_Format</group>
      <groupName>格式问题</groupName>
      <ability>L2_HalfPunc</ability>
      <abilityName>全半角检查</abilityName>
      <candidateList>
        <item>)</item>
      </candidateList>
      <explain>文本全半角错误。</explain>
      <paraID> 5011F0B</paraID>
      <start>2</start>
      <end>3</end>
      <status>modified</status>
      <modifiedWord>)</modifiedWord>
      <trackRevisions>false</trackRevisions>
    </reviewItem>
    <reviewItem>
      <errorID>efc61c23-c5a6-46cc-ab79-bfde21c6bc90</errorID>
      <errorWord>(</errorWord>
      <group>L1_Format</group>
      <groupName>格式问题</groupName>
      <ability>L2_HalfPunc</ability>
      <abilityName>全半角检查</abilityName>
      <candidateList>
        <item>（</item>
      </candidateList>
      <explain>文本全半角错误。</explain>
      <paraID>119EA875</paraID>
      <start>7</start>
      <end>8</end>
      <status>modified</status>
      <modifiedWord>（</modifiedWord>
      <trackRevisions>false</trackRevisions>
    </reviewItem>
    <reviewItem>
      <errorID>66545b5c-d0ff-4db0-aa84-688e4929dbfd</errorID>
      <errorWord>)</errorWord>
      <group>L1_Format</group>
      <groupName>格式问题</groupName>
      <ability>L2_HalfPunc</ability>
      <abilityName>全半角检查</abilityName>
      <candidateList>
        <item>）</item>
      </candidateList>
      <explain>文本全半角错误。</explain>
      <paraID>119EA875</paraID>
      <start>12</start>
      <end>13</end>
      <status>modified</status>
      <modifiedWord>）</modifiedWord>
      <trackRevisions>false</trackRevisions>
    </reviewItem>
    <reviewItem>
      <errorID>0e9aa2d5-c280-4b0f-addf-827ddda68abb</errorID>
      <errorWord>《上海市工业企业挥发性有机物排放量通用计算方法》（试行）</errorWord>
      <group>L1_Knowledge</group>
      <groupName>知识性问题</groupName>
      <ability>L2_Knowledge</ability>
      <abilityName>其他知识</abilityName>
      <candidateList>
        <item>《上海市工业企业挥发性有机物排放量通用计算方法（试行）》</item>
      </candidateList>
      <explain>疑似政策文件、法律法规名称等书写不规范，请注意检查。</explain>
      <paraID>4E837D01</paraID>
      <start>2</start>
      <end>30</end>
      <status>modified</status>
      <modifiedWord>《上海市工业企业挥发性有机物排放量通用计算方法（试行）》</modifiedWord>
      <trackRevisions>false</trackRevisions>
    </reviewItem>
    <reviewItem>
      <errorID>9f925b24-8d48-4afd-aaba-2ec85705508a</errorID>
      <errorWord>(</errorWord>
      <group>L1_Format</group>
      <groupName>格式问题</groupName>
      <ability>L2_HalfPunc</ability>
      <abilityName>全半角检查</abilityName>
      <candidateList>
        <item>（</item>
      </candidateList>
      <explain>文本全半角错误。</explain>
      <paraID>1B3D4712</paraID>
      <start>49</start>
      <end>50</end>
      <status>modified</status>
      <modifiedWord>（</modifiedWord>
      <trackRevisions>false</trackRevisions>
    </reviewItem>
    <reviewItem>
      <errorID>f1860396-5060-49af-bfed-a64802cc4863</errorID>
      <errorWord>)</errorWord>
      <group>L1_Format</group>
      <groupName>格式问题</groupName>
      <ability>L2_HalfPunc</ability>
      <abilityName>全半角检查</abilityName>
      <candidateList>
        <item>）</item>
      </candidateList>
      <explain>文本全半角错误。</explain>
      <paraID>1B3D4712</paraID>
      <start>64</start>
      <end>65</end>
      <status>modified</status>
      <modifiedWord>）</modifiedWord>
      <trackRevisions>false</trackRevisions>
    </reviewItem>
    <reviewItem>
      <errorID>60d06ba1-d7c0-413e-ba3d-294cef21c87c</errorID>
      <errorWord>(</errorWord>
      <group>L1_Format</group>
      <groupName>格式问题</groupName>
      <ability>L2_HalfPunc</ability>
      <abilityName>全半角检查</abilityName>
      <candidateList>
        <item>（</item>
      </candidateList>
      <explain>文本全半角错误。</explain>
      <paraID>41474663</paraID>
      <start>27</start>
      <end>28</end>
      <status>modified</status>
      <modifiedWord>（</modifiedWord>
      <trackRevisions>false</trackRevisions>
    </reviewItem>
    <reviewItem>
      <errorID>7e66094d-45cb-47d8-9795-8f9b6c8101f7</errorID>
      <errorWord>)</errorWord>
      <group>L1_Format</group>
      <groupName>格式问题</groupName>
      <ability>L2_HalfPunc</ability>
      <abilityName>全半角检查</abilityName>
      <candidateList>
        <item>）</item>
      </candidateList>
      <explain>文本全半角错误。</explain>
      <paraID>41474663</paraID>
      <start>42</start>
      <end>43</end>
      <status>modified</status>
      <modifiedWord>）</modifiedWord>
      <trackRevisions>false</trackRevisions>
    </reviewItem>
    <reviewItem>
      <errorID>03282323-7657-4b45-b583-8813b8a09515</errorID>
      <errorWord>、</errorWord>
      <group>L1_Punc</group>
      <groupName>标点问题</groupName>
      <ability>L2_Punc</ability>
      <abilityName>标点符号检查</abilityName>
      <candidateList>
        <item>.</item>
      </candidateList>
      <explain/>
      <paraID>11C05596</paraID>
      <start>1</start>
      <end>2</end>
      <status>modified</status>
      <modifiedWord>.</modifiedWord>
      <trackRevisions>false</trackRevisions>
    </reviewItem>
    <reviewItem>
      <errorID>1f334764-0a8d-45eb-b281-7193ce811be5</errorID>
      <errorWord>(</errorWord>
      <group>L1_Format</group>
      <groupName>格式问题</groupName>
      <ability>L2_HalfPunc</ability>
      <abilityName>全半角检查</abilityName>
      <candidateList>
        <item>（</item>
      </candidateList>
      <explain>文本全半角错误。</explain>
      <paraID>6CBD55BB</paraID>
      <start>15</start>
      <end>16</end>
      <status>modified</status>
      <modifiedWord>（</modifiedWord>
      <trackRevisions>false</trackRevisions>
    </reviewItem>
    <reviewItem>
      <errorID>a08d76ca-95c9-4364-a3a8-72d91aeabca4</errorID>
      <errorWord>)</errorWord>
      <group>L1_Format</group>
      <groupName>格式问题</groupName>
      <ability>L2_HalfPunc</ability>
      <abilityName>全半角检查</abilityName>
      <candidateList>
        <item>）</item>
      </candidateList>
      <explain>文本全半角错误。</explain>
      <paraID>6CBD55BB</paraID>
      <start>19</start>
      <end>20</end>
      <status>modified</status>
      <modifiedWord>）</modifiedWord>
      <trackRevisions>false</trackRevisions>
    </reviewItem>
    <reviewItem>
      <errorID>15198522-491a-44f6-ae73-aa6d8a5b91e2</errorID>
      <errorWord>＜</errorWord>
      <group>L1_Format</group>
      <groupName>格式问题</groupName>
      <ability>L2_HalfPunc</ability>
      <abilityName>全半角检查</abilityName>
      <candidateList>
        <item>&lt;</item>
      </candidateList>
      <explain>文本全半角错误。</explain>
      <paraID>35054652</paraID>
      <start>4</start>
      <end>5</end>
      <status>modified</status>
      <modifiedWord>&lt;</modifiedWord>
      <trackRevisions>false</trackRevisions>
    </reviewItem>
    <reviewItem>
      <errorID>cf78db98-7606-42ac-9901-807b04387f64</errorID>
      <errorWord>＞</errorWord>
      <group>L1_Format</group>
      <groupName>格式问题</groupName>
      <ability>L2_HalfPunc</ability>
      <abilityName>全半角检查</abilityName>
      <candidateList>
        <item>&gt;</item>
      </candidateList>
      <explain>文本全半角错误。</explain>
      <paraID> E1A0228</paraID>
      <start>1</start>
      <end>2</end>
      <status>modified</status>
      <modifiedWord>&gt;</modifiedWord>
      <trackRevisions>false</trackRevisions>
    </reviewItem>
    <reviewItem>
      <errorID>144a51d6-7572-40f9-98bf-0438d4bf7326</errorID>
      <errorWord>&gt;</errorWord>
      <group>L1_Punc</group>
      <groupName>标点问题</groupName>
      <ability>L2_Punc</ability>
      <abilityName>标点符号检查</abilityName>
      <candidateList/>
      <explain/>
      <paraID>6D30D267</paraID>
      <start>0</start>
      <end>1</end>
      <status>unmodified</status>
      <modifiedWord/>
      <trackRevisions>false</trackRevisions>
    </reviewItem>
    <reviewItem>
      <errorID>9021d96a-951f-41cc-9559-714dcdc5f6f5</errorID>
      <errorWord>&gt;</errorWord>
      <group>L1_Punc</group>
      <groupName>标点问题</groupName>
      <ability>L2_Punc</ability>
      <abilityName>标点符号检查</abilityName>
      <candidateList/>
      <explain/>
      <paraID>1F9FAC5C</paraID>
      <start>0</start>
      <end>1</end>
      <status>unmodified</status>
      <modifiedWord/>
      <trackRevisions>false</trackRevisions>
    </reviewItem>
    <reviewItem>
      <errorID>78ccc7c8-48f2-458b-8985-6f6dbb71aa36</errorID>
      <errorWord>&gt;</errorWord>
      <group>L1_Punc</group>
      <groupName>标点问题</groupName>
      <ability>L2_Punc</ability>
      <abilityName>标点符号检查</abilityName>
      <candidateList/>
      <explain/>
      <paraID>70C6802C</paraID>
      <start>0</start>
      <end>1</end>
      <status>unmodified</status>
      <modifiedWord/>
      <trackRevisions>false</trackRevisions>
    </reviewItem>
    <reviewItem>
      <errorID>ab4de95f-8472-41de-90a3-4b9a056bf95d</errorID>
      <errorWord>&gt;</errorWord>
      <group>L1_Punc</group>
      <groupName>标点问题</groupName>
      <ability>L2_Punc</ability>
      <abilityName>标点符号检查</abilityName>
      <candidateList/>
      <explain/>
      <paraID>4F93ADD5</paraID>
      <start>0</start>
      <end>1</end>
      <status>unmodified</status>
      <modifiedWord/>
      <trackRevisions>false</trackRevisions>
    </reviewItem>
    <reviewItem>
      <errorID>58d39b3d-94d6-4707-be89-e725cb52e7dd</errorID>
      <errorWord>（</errorWord>
      <group>L1_Format</group>
      <groupName>格式问题</groupName>
      <ability>L2_HalfPunc</ability>
      <abilityName>全半角检查</abilityName>
      <candidateList>
        <item>(</item>
      </candidateList>
      <explain>文本全半角错误。</explain>
      <paraID>6E9D643B</paraID>
      <start>0</start>
      <end>1</end>
      <status>modified</status>
      <modifiedWord>(</modifiedWord>
      <trackRevisions>false</trackRevisions>
    </reviewItem>
    <reviewItem>
      <errorID>c6c53716-28ec-4c0f-85d3-224d118eaea7</errorID>
      <errorWord>）</errorWord>
      <group>L1_Format</group>
      <groupName>格式问题</groupName>
      <ability>L2_HalfPunc</ability>
      <abilityName>全半角检查</abilityName>
      <candidateList>
        <item>)</item>
      </candidateList>
      <explain>文本全半角错误。</explain>
      <paraID>6E9D643B</paraID>
      <start>3</start>
      <end>4</end>
      <status>modified</status>
      <modifiedWord>)</modifiedWord>
      <trackRevisions>false</trackRevisions>
    </reviewItem>
    <reviewItem>
      <errorID>a14ca1d8-733a-483f-82a7-147d4868e641</errorID>
      <errorWord>（</errorWord>
      <group>L1_Format</group>
      <groupName>格式问题</groupName>
      <ability>L2_HalfPunc</ability>
      <abilityName>全半角检查</abilityName>
      <candidateList>
        <item>(</item>
      </candidateList>
      <explain>文本全半角错误。</explain>
      <paraID>2ABEEC51</paraID>
      <start>0</start>
      <end>1</end>
      <status>modified</status>
      <modifiedWord>(</modifiedWord>
      <trackRevisions>false</trackRevisions>
    </reviewItem>
    <reviewItem>
      <errorID>4f85993f-a621-4336-b035-7ae432ead1fb</errorID>
      <errorWord>）</errorWord>
      <group>L1_Format</group>
      <groupName>格式问题</groupName>
      <ability>L2_HalfPunc</ability>
      <abilityName>全半角检查</abilityName>
      <candidateList>
        <item>)</item>
      </candidateList>
      <explain>文本全半角错误。</explain>
      <paraID>2ABEEC51</paraID>
      <start>7</start>
      <end>8</end>
      <status>modified</status>
      <modifiedWord>)</modifiedWord>
      <trackRevisions>false</trackRevisions>
    </reviewItem>
    <reviewItem>
      <errorID>7a96a575-b219-491f-981f-f61076768bae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792F289D</paraID>
      <start>63</start>
      <end>64</end>
      <status>modified</status>
      <modifiedWord>～</modifiedWord>
      <trackRevisions>false</trackRevisions>
    </reviewItem>
    <reviewItem>
      <errorID>9d14a363-5a3e-4ed2-90bb-bbc6386c1e8b</errorID>
      <errorWord>以</errorWord>
      <group>L1_Word</group>
      <groupName>字词问题</groupName>
      <ability>L2_Typo</ability>
      <abilityName>字词错误</abilityName>
      <candidateList>
        <item>以按</item>
      </candidateList>
      <explain/>
      <paraID> E598CE3</paraID>
      <start>18</start>
      <end>20</end>
      <status>modified</status>
      <modifiedWord>以按</modifiedWord>
      <trackRevisions>false</trackRevisions>
    </reviewItem>
    <reviewItem>
      <errorID>5601d6ad-a04c-4e3e-9d02-cacca11bccbf</errorID>
      <errorWord>达</errorWord>
      <group>L1_Word</group>
      <groupName>字词问题</groupName>
      <ability>L2_Typo</ability>
      <abilityName>字词错误</abilityName>
      <candidateList>
        <item>达到</item>
      </candidateList>
      <explain>〈动〉到（多指抽象事物或程度）：达得到｜达不到｜目的没有～｜～国际水平。</explain>
      <paraID>5F8AAA7E</paraID>
      <start>28</start>
      <end>30</end>
      <status>modified</status>
      <modifiedWord>达到</modifiedWord>
      <trackRevisions>false</trackRevisions>
    </reviewItem>
    <reviewItem>
      <errorID>819fac11-6a50-49f2-b8dd-a9a522150b9f</errorID>
      <errorWord>达</errorWord>
      <group>L1_Word</group>
      <groupName>字词问题</groupName>
      <ability>L2_Typo</ability>
      <abilityName>字词错误</abilityName>
      <candidateList>
        <item>达到</item>
      </candidateList>
      <explain>〈动〉到（多指抽象事物或程度）：达得到｜达不到｜目的没有～｜～国际水平。</explain>
      <paraID>246B6C52</paraID>
      <start>123</start>
      <end>125</end>
      <status>modified</status>
      <modifiedWord>达到</modifiedWord>
      <trackRevisions>false</trackRevisions>
    </reviewItem>
    <reviewItem>
      <errorID>aff75f6c-8a1c-436f-8c2d-ff5c99fc799c</errorID>
      <errorWord>)</errorWord>
      <group>L1_Format</group>
      <groupName>格式问题</groupName>
      <ability>L2_HalfPunc</ability>
      <abilityName>全半角检查</abilityName>
      <candidateList>
        <item>）</item>
      </candidateList>
      <explain>文本全半角错误。</explain>
      <paraID>3B96F30B</paraID>
      <start>86</start>
      <end>87</end>
      <status>modified</status>
      <modifiedWord>）</modifiedWord>
      <trackRevisions>false</trackRevisions>
    </reviewItem>
    <reviewItem>
      <errorID>c5ff7d21-be66-4450-a67a-e88dce99ab9d</errorID>
      <errorWord>JB</errorWord>
      <group>L1_Sensitive</group>
      <groupName>敏感问题</groupName>
      <ability>L2_Abuse</ability>
      <abilityName>侮辱言辞</abilityName>
      <candidateList/>
      <explain>【侮辱言辞】句中涉及侮辱性的敏感内容，请注意甄别。</explain>
      <paraID>4233F206</paraID>
      <start>0</start>
      <end>2</end>
      <status>ignored</status>
      <modifiedWord/>
      <trackRevisions>false</trackRevisions>
    </reviewItem>
    <reviewItem>
      <errorID>833e2f52-da4c-4144-92d5-0ca3bb996f95</errorID>
      <errorWord>源源</errorWord>
      <group>L1_Word</group>
      <groupName>字词问题</groupName>
      <ability>L2_Typo</ability>
      <abilityName>字词错误</abilityName>
      <candidateList>
        <item>源</item>
      </candidateList>
      <explain/>
      <paraID> 5FDA17D</paraID>
      <start>1</start>
      <end>2</end>
      <status>modified</status>
      <modifiedWord>源</modifiedWord>
      <trackRevisions>false</trackRevisions>
    </reviewItem>
    <reviewItem>
      <errorID>b1ad618e-7841-46a7-ba0d-a0d2ca914486</errorID>
      <errorWord>KW</errorWord>
      <group>L1_Word</group>
      <groupName>字词问题</groupName>
      <ability>L2_Typo</ability>
      <abilityName>字词错误</abilityName>
      <candidateList>
        <item>kW</item>
      </candidateList>
      <explain/>
      <paraID>72065AF7</paraID>
      <start>2</start>
      <end>4</end>
      <status>modified</status>
      <modifiedWord>kW</modifiedWord>
      <trackRevisions>false</trackRevisions>
    </reviewItem>
    <reviewItem>
      <errorID>67763eff-942b-4b68-beb7-6f46c3edb6cc</errorID>
      <errorWord>KW</errorWord>
      <group>L1_Word</group>
      <groupName>字词问题</groupName>
      <ability>L2_Typo</ability>
      <abilityName>字词错误</abilityName>
      <candidateList>
        <item>kW</item>
      </candidateList>
      <explain/>
      <paraID>75ED8995</paraID>
      <start>2</start>
      <end>4</end>
      <status>modified</status>
      <modifiedWord>kW</modifiedWord>
      <trackRevisions>false</trackRevisions>
    </reviewItem>
    <reviewItem>
      <errorID>953132c6-092d-4353-99f2-2f9cacc9522a</errorID>
      <errorWord>KW</errorWord>
      <group>L1_Word</group>
      <groupName>字词问题</groupName>
      <ability>L2_Typo</ability>
      <abilityName>字词错误</abilityName>
      <candidateList>
        <item>kW</item>
      </candidateList>
      <explain/>
      <paraID>1A5DDBA3</paraID>
      <start>2</start>
      <end>4</end>
      <status>modified</status>
      <modifiedWord>kW</modifiedWord>
      <trackRevisions>false</trackRevisions>
    </reviewItem>
    <reviewItem>
      <errorID>e15bb8ee-d0d6-4446-9198-147242ea1cee</errorID>
      <errorWord>)</errorWord>
      <group>L1_Format</group>
      <groupName>格式问题</groupName>
      <ability>L2_HalfPunc</ability>
      <abilityName>全半角检查</abilityName>
      <candidateList>
        <item>）</item>
      </candidateList>
      <explain>文本全半角错误。</explain>
      <paraID>2E8BD9AB</paraID>
      <start>20</start>
      <end>21</end>
      <status>modified</status>
      <modifiedWord>）</modifiedWord>
      <trackRevisions>false</trackRevisions>
    </reviewItem>
    <reviewItem>
      <errorID>bd15b684-cb96-4fd8-8161-035ce27afdc7</errorID>
      <errorWord>、等</errorWord>
      <group>L1_Punc</group>
      <groupName>标点问题</groupName>
      <ability>L2_Punc</ability>
      <abilityName>标点符号检查</abilityName>
      <candidateList>
        <item>等</item>
      </candidateList>
      <explain>“及”“和”“等”连词前不宜使用顿号，建议删除（或使用逗号）。</explain>
      <paraID>2E8BD9AB</paraID>
      <start>37</start>
      <end>38</end>
      <status>modified</status>
      <modifiedWord>等</modifiedWord>
      <trackRevisions>false</trackRevisions>
    </reviewItem>
    <reviewItem>
      <errorID>3467570a-1a83-4a1d-8b45-17a86fe543ef</errorID>
      <errorWord>)</errorWord>
      <group>L1_Format</group>
      <groupName>格式问题</groupName>
      <ability>L2_HalfPunc</ability>
      <abilityName>全半角检查</abilityName>
      <candidateList>
        <item>）</item>
      </candidateList>
      <explain>文本全半角错误。</explain>
      <paraID>7C7FF311</paraID>
      <start>32</start>
      <end>33</end>
      <status>modified</status>
      <modifiedWord>）</modifiedWord>
      <trackRevisions>false</trackRevisions>
    </reviewItem>
    <reviewItem>
      <errorID>7c3841d1-2572-465a-8c8a-3916294077c4</errorID>
      <errorWord>是先</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❹表示存在，主语通常是表处所的语词，“是”后面表示存在的事物：村子前面～一片水田｜他跑得满身～汗。❺“是”前后用相同的名词或动词，连用两个这样的格式，表示所说的几桩事物互不相干，不能混淆：去年～去年，今年～今年，你当年年一个样哪！｜说～说，做～做，有意见也不能耽误干活儿。❻在上半句里“是”前后用相同的名词、形容词或动词，表示让步，含有“虽然”的意思：诗～好诗，就是长了点｜东西旧～旧，可是还能用｜我去～去，可是不在那儿吃饭。❼用在句首，加重语气：～谁告诉你的？｜～国防战士，日日夜夜保卫着祖国，咱们才能过幸福的日子。❽用在名词前面，含有“凡是”的意思：～有利于群众的事情他都肯干。❾用在名词前面，含有“适合”的意思：他想的很～路｜这场雨下的～时候｜东西放的都挺～地方。❿用在选择问句、是非问句或反问句里：你～吃米饭～吃面？｜他不～走了吗？｜你～累了不～？○11（必须重读）表示坚决肯定，含有“的确、实在”的意思：我打听清楚了，他那天～没去｜这本书～好，你可以看看。</explain>
      <paraID>63AB39D8</paraID>
      <start>39</start>
      <end>40</end>
      <status>modified</status>
      <modifiedWord>是</modifiedWord>
      <trackRevisions>false</trackRevisions>
    </reviewItem>
    <reviewItem>
      <errorID>9e116605-11ed-4740-9864-93dbac848071</errorID>
      <errorWord>)</errorWord>
      <group>L1_Format</group>
      <groupName>格式问题</groupName>
      <ability>L2_HalfPunc</ability>
      <abilityName>全半角检查</abilityName>
      <candidateList>
        <item>）</item>
      </candidateList>
      <explain>文本全半角错误。</explain>
      <paraID>7C0E885D</paraID>
      <start>107</start>
      <end>108</end>
      <status>modified</status>
      <modifiedWord>）</modifiedWord>
      <trackRevisions>false</trackRevisions>
    </reviewItem>
    <reviewItem>
      <errorID>e932ec89-0f4d-486e-9309-6954fc712bbd</errorID>
      <errorWord>程</errorWord>
      <group>L1_Word</group>
      <groupName>字词问题</groupName>
      <ability>L2_Typo</ability>
      <abilityName>字词错误</abilityName>
      <candidateList>
        <item>程中</item>
      </candidateList>
      <explain/>
      <paraID>6A711084</paraID>
      <start>10</start>
      <end>12</end>
      <status>modified</status>
      <modifiedWord>程中</modifiedWord>
      <trackRevisions>false</trackRevisions>
    </reviewItem>
    <reviewItem>
      <errorID>2c7fe16e-f0f1-4bc1-b4b6-fe0aeb8a6e5f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6A711084</paraID>
      <start>76</start>
      <end>78</end>
      <status>modified</status>
      <modifiedWord>》《</modifiedWord>
      <trackRevisions>false</trackRevisions>
    </reviewItem>
    <reviewItem>
      <errorID>d7ca4564-8cdb-48aa-bf9f-ca4942e73376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3AFEDE14</paraID>
      <start>69</start>
      <end>71</end>
      <status>modified</status>
      <modifiedWord>》《</modifiedWord>
      <trackRevisions>false</trackRevisions>
    </reviewItem>
    <reviewItem>
      <errorID>852e7644-4927-4166-93f9-f3fe8863b5ca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319D9F73</paraID>
      <start>69</start>
      <end>71</end>
      <status>modified</status>
      <modifiedWord>》《</modifiedWord>
      <trackRevisions>false</trackRevisions>
    </reviewItem>
    <reviewItem>
      <errorID>e88f7219-d207-4401-b6c0-418e5e0dbfde</errorID>
      <errorWord>：</errorWord>
      <group>L1_Format</group>
      <groupName>格式问题</groupName>
      <ability>L2_HalfPunc</ability>
      <abilityName>全半角检查</abilityName>
      <candidateList>
        <item>:</item>
      </candidateList>
      <explain>文本全半角错误。</explain>
      <paraID> B252F2D</paraID>
      <start>189</start>
      <end>190</end>
      <status>modified</status>
      <modifiedWord>:</modifiedWord>
      <trackRevisions>false</trackRevisions>
    </reviewItem>
    <reviewItem>
      <errorID>37fff643-d1ed-4f81-bc36-355111733ef0</errorID>
      <errorWord>,</errorWord>
      <group>L1_Format</group>
      <groupName>格式问题</groupName>
      <ability>L2_HalfPunc</ability>
      <abilityName>全半角检查</abilityName>
      <candidateList>
        <item>，</item>
      </candidateList>
      <explain>文本全半角错误。</explain>
      <paraID> B252F2D</paraID>
      <start>338</start>
      <end>339</end>
      <status>modified</status>
      <modifiedWord>，</modifiedWord>
      <trackRevisions>false</trackRevisions>
    </reviewItem>
    <reviewItem>
      <errorID>e1919c2d-7291-46d5-8224-22aef9a2d2b2</errorID>
      <errorWord>其它</errorWord>
      <group>L1_Word</group>
      <groupName>字词问题</groupName>
      <ability>L2_Alias</ability>
      <abilityName>也作/曾用词</abilityName>
      <candidateList>
        <item>其他</item>
      </candidateList>
      <explain>词汇[其它]为不规范表述或旧称，其规范书面表述为[其他]。</explain>
      <paraID>4C07B88C</paraID>
      <start>194</start>
      <end>196</end>
      <status>modified</status>
      <modifiedWord>其他</modifiedWord>
      <trackRevisions>false</trackRevisions>
    </reviewItem>
    <reviewItem>
      <errorID>6f0d9d7a-4f19-451b-89b8-bf3e3387dbc5</errorID>
      <errorWord>程</errorWord>
      <group>L1_Word</group>
      <groupName>字词问题</groupName>
      <ability>L2_Typo</ability>
      <abilityName>字词错误</abilityName>
      <candidateList>
        <item>程中</item>
      </candidateList>
      <explain/>
      <paraID>69878E93</paraID>
      <start>5</start>
      <end>7</end>
      <status>modified</status>
      <modifiedWord>程中</modifiedWord>
      <trackRevisions>false</trackRevisions>
    </reviewItem>
    <reviewItem>
      <errorID>9ee2d95e-a8e2-4874-906f-d420f4cb5b6c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69878E93</paraID>
      <start>33</start>
      <end>34</end>
      <status>modified</status>
      <modifiedWord>～</modifiedWord>
      <trackRevisions>false</trackRevisions>
    </reviewItem>
    <reviewItem>
      <errorID>7174ef44-9380-483a-873b-6d7594418153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43806930</paraID>
      <start>33</start>
      <end>34</end>
      <status>modified</status>
      <modifiedWord>～</modifiedWord>
      <trackRevisions>false</trackRevisions>
    </reviewItem>
    <reviewItem>
      <errorID>4b2087d3-0386-44be-ad8a-743c6f55bfa1</errorID>
      <errorWord>其它</errorWord>
      <group>L1_Word</group>
      <groupName>字词问题</groupName>
      <ability>L2_Alias</ability>
      <abilityName>也作/曾用词</abilityName>
      <candidateList>
        <item>其他</item>
      </candidateList>
      <explain>词汇[其它]为不规范表述或旧称，其规范书面表述为[其他]。</explain>
      <paraID>2E06EDBF</paraID>
      <start>140</start>
      <end>142</end>
      <status>modified</status>
      <modifiedWord>其他</modifiedWord>
      <trackRevisions>false</trackRevisions>
    </reviewItem>
    <reviewItem>
      <errorID>982cd905-e9e0-4766-9861-a1d12ce3d2d3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4E27BACE</paraID>
      <start>21</start>
      <end>23</end>
      <status>modified</status>
      <modifiedWord>》《</modifiedWord>
      <trackRevisions>false</trackRevisions>
    </reviewItem>
    <reviewItem>
      <errorID>e1db7013-bbb5-467e-837c-26dafdb53b3c</errorID>
      <errorWord>(</errorWord>
      <group>L1_Format</group>
      <groupName>格式问题</groupName>
      <ability>L2_HalfPunc</ability>
      <abilityName>全半角检查</abilityName>
      <candidateList>
        <item>（</item>
      </candidateList>
      <explain>文本全半角错误。</explain>
      <paraID> 89B2F41</paraID>
      <start>12</start>
      <end>13</end>
      <status>modified</status>
      <modifiedWord>（</modifiedWord>
      <trackRevisions>false</trackRevisions>
    </reviewItem>
    <reviewItem>
      <errorID>ea81eda4-97d0-4ab0-a58a-64d3ff472506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2DE9834C</paraID>
      <start>16</start>
      <end>18</end>
      <status>modified</status>
      <modifiedWord>》《</modifiedWord>
      <trackRevisions>false</trackRevisions>
    </reviewItem>
    <reviewItem>
      <errorID>5ff8b89a-9771-49ec-ae94-23750fefe7f1</errorID>
      <errorWord>，</errorWord>
      <group>L1_Format</group>
      <groupName>格式问题</groupName>
      <ability>L2_HalfPunc</ability>
      <abilityName>全半角检查</abilityName>
      <candidateList>
        <item>, </item>
      </candidateList>
      <explain>文本全半角错误。</explain>
      <paraID>670A9EF9</paraID>
      <start>1</start>
      <end>3</end>
      <status>modified</status>
      <modifiedWord>, </modifiedWord>
      <trackRevisions>false</trackRevisions>
    </reviewItem>
    <reviewItem>
      <errorID>4af0c80e-60c0-4d42-b386-deea7a80394e</errorID>
      <errorWord>，</errorWord>
      <group>L1_Format</group>
      <groupName>格式问题</groupName>
      <ability>L2_HalfPunc</ability>
      <abilityName>全半角检查</abilityName>
      <candidateList>
        <item>, </item>
      </candidateList>
      <explain>文本全半角错误。</explain>
      <paraID>7CC3B5E8</paraID>
      <start>1</start>
      <end>3</end>
      <status>modified</status>
      <modifiedWord>, </modifiedWord>
      <trackRevisions>false</trackRevisions>
    </reviewItem>
    <reviewItem>
      <errorID>e58c2a94-ec97-442f-9368-75f8d04e02b4</errorID>
      <errorWord>，</errorWord>
      <group>L1_Format</group>
      <groupName>格式问题</groupName>
      <ability>L2_HalfPunc</ability>
      <abilityName>全半角检查</abilityName>
      <candidateList>
        <item>, </item>
      </candidateList>
      <explain>文本全半角错误。</explain>
      <paraID>46A43DEB</paraID>
      <start>1</start>
      <end>3</end>
      <status>modified</status>
      <modifiedWord>, </modifiedWord>
      <trackRevisions>false</trackRevisions>
    </reviewItem>
    <reviewItem>
      <errorID>ae6663e1-b208-4595-9b39-62659a75709d</errorID>
      <errorWord>其它可能</errorWord>
      <group>L1_Word</group>
      <groupName>字词问题</groupName>
      <ability>L2_Alias</ability>
      <abilityName>也作/曾用词</abilityName>
      <candidateList>
        <item>其他可能</item>
      </candidateList>
      <explain>词汇[其它可能]为不规范表述或旧称，其规范书面表述为[其他可能]。</explain>
      <paraID>1C3451D8</paraID>
      <start>77</start>
      <end>81</end>
      <status>modified</status>
      <modifiedWord>其他可能</modifiedWord>
      <trackRevisions>false</trackRevisions>
    </reviewItem>
    <reviewItem>
      <errorID>0afaab90-0329-44d7-8407-f00983f89845</errorID>
      <errorWord>撒落</errorWord>
      <group>L1_Word</group>
      <groupName>字词问题</groupName>
      <ability>L2_Typo</ability>
      <abilityName>字词错误</abilityName>
      <candidateList>
        <item>散落</item>
      </candidateList>
      <explain>存在发音相近字词的误用。</explain>
      <paraID>1C3451D8</paraID>
      <start>155</start>
      <end>157</end>
      <status>modified</status>
      <modifiedWord>散落</modifiedWord>
      <trackRevisions>false</trackRevisions>
    </reviewItem>
    <reviewItem>
      <errorID>c8392d58-1fa4-428e-a27d-c909be22889c</errorID>
      <errorWord>程</errorWord>
      <group>L1_Word</group>
      <groupName>字词问题</groupName>
      <ability>L2_Typo</ability>
      <abilityName>字词错误</abilityName>
      <candidateList>
        <item>程中</item>
      </candidateList>
      <explain/>
      <paraID>1C3451D8</paraID>
      <start>207</start>
      <end>209</end>
      <status>modified</status>
      <modifiedWord>程中</modifiedWord>
      <trackRevisions>false</trackRevisions>
    </reviewItem>
    <reviewItem>
      <errorID>7ef4646e-0245-4eb6-a601-c787484932be</errorID>
      <errorWord>它物品</errorWord>
      <group>L1_Word</group>
      <groupName>字词问题</groupName>
      <ability>L2_Typo</ability>
      <abilityName>字词错误</abilityName>
      <candidateList>
        <item>他物品</item>
      </candidateList>
      <explain/>
      <paraID> 1D3672C</paraID>
      <start>23</start>
      <end>26</end>
      <status>modified</status>
      <modifiedWord>他物品</modifiedWord>
      <trackRevisions>false</trackRevisions>
    </reviewItem>
    <reviewItem>
      <errorID>e182e064-eaca-4d6c-9c9c-72a320b3ab5d</errorID>
      <errorWord>它</errorWord>
      <group>L1_Word</group>
      <groupName>字词问题</groupName>
      <ability>L2_Typo</ability>
      <abilityName>字词错误</abilityName>
      <candidateList>
        <item>他</item>
      </candidateList>
      <explain>存在发音相同字词的误用。</explain>
      <paraID> 1D3672C</paraID>
      <start>28</start>
      <end>29</end>
      <status>modified</status>
      <modifiedWord>他</modifiedWord>
      <trackRevisions>false</trackRevisions>
    </reviewItem>
    <reviewItem>
      <errorID>e4d2ec3a-7650-4f86-84b1-f1cbd1729320</errorID>
      <errorWord>-</errorWord>
      <group>L1_Format</group>
      <groupName>格式问题</groupName>
      <ability>L2_HalfPunc</ability>
      <abilityName>全半角检查</abilityName>
      <candidateList>
        <item>－</item>
      </candidateList>
      <explain>文本全半角错误。</explain>
      <paraID>149C797A</paraID>
      <start>13</start>
      <end>14</end>
      <status>modified</status>
      <modifiedWord>－</modifiedWord>
      <trackRevisions>false</trackRevisions>
    </reviewItem>
    <reviewItem>
      <errorID>90fed57c-a8b3-4042-90f3-2b5eda59c6df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7EDEC1DF</paraID>
      <start>32</start>
      <end>33</end>
      <status>modified</status>
      <modifiedWord>～</modifiedWord>
      <trackRevisions>false</trackRevisions>
    </reviewItem>
    <reviewItem>
      <errorID>00a001f1-1ef1-4612-bddf-17bccc1b42db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7EDEC1DF</paraID>
      <start>74</start>
      <end>75</end>
      <status>modified</status>
      <modifiedWord>～</modifiedWord>
      <trackRevisions>false</trackRevisions>
    </reviewItem>
    <reviewItem>
      <errorID>efe76f6f-92a2-4269-926d-1cd127ae77c6</errorID>
      <errorWord>(</errorWord>
      <group>L1_Format</group>
      <groupName>格式问题</groupName>
      <ability>L2_HalfPunc</ability>
      <abilityName>全半角检查</abilityName>
      <candidateList>
        <item>（</item>
      </candidateList>
      <explain>文本全半角错误。</explain>
      <paraID>2DA5C26E</paraID>
      <start>0</start>
      <end>1</end>
      <status>modified</status>
      <modifiedWord>（</modifiedWord>
      <trackRevisions>false</trackRevisions>
    </reviewItem>
    <reviewItem>
      <errorID>c54b5278-0677-4942-a5c3-6b6150619dfe</errorID>
      <errorWord>)</errorWord>
      <group>L1_Format</group>
      <groupName>格式问题</groupName>
      <ability>L2_HalfPunc</ability>
      <abilityName>全半角检查</abilityName>
      <candidateList>
        <item>）</item>
      </candidateList>
      <explain>文本全半角错误。</explain>
      <paraID>2DA5C26E</paraID>
      <start>3</start>
      <end>4</end>
      <status>modified</status>
      <modifiedWord>）</modifiedWord>
      <trackRevisions>false</trackRevisions>
    </reviewItem>
    <reviewItem>
      <errorID>81d6b97c-42c3-4547-9189-6488004ca353</errorID>
      <errorWord>拟</errorWord>
      <group>L1_Word</group>
      <groupName>字词问题</groupName>
      <ability>L2_Typo</ability>
      <abilityName>字词错误</abilityName>
      <candidateList>
        <item>经</item>
      </candidateList>
      <explain/>
      <paraID>6DE20D1C</paraID>
      <start>40</start>
      <end>41</end>
      <status>modified</status>
      <modifiedWord>经</modifiedWord>
      <trackRevisions>false</trackRevisions>
    </reviewItem>
    <reviewItem>
      <errorID>ec5c0ea6-9c3f-462e-9664-069a1879a603</errorID>
      <errorWord>标示</errorWord>
      <group>L1_Word</group>
      <groupName>字词问题</groupName>
      <ability>L2_Typo</ability>
      <abilityName>字词错误</abilityName>
      <candidateList>
        <item>标识</item>
      </candidateList>
      <explain/>
      <paraID>24AA3297</paraID>
      <start>97</start>
      <end>99</end>
      <status>modified</status>
      <modifiedWord>标识</modifiedWord>
      <trackRevisions>false</trackRevisions>
    </reviewItem>
    <reviewItem>
      <errorID>a2581bfc-104c-4ebd-bc17-7626203f846a</errorID>
      <errorWord>[2019]149号</errorWord>
      <group>L1_Knowledge</group>
      <groupName>知识性问题</groupName>
      <ability>L2_Knowledge</ability>
      <abilityName>其他知识</abilityName>
      <candidateList>
        <item>〔2019〕149号</item>
      </candidateList>
      <explain>发文字号格式错误</explain>
      <paraID>1AF5BAF6</paraID>
      <start>47</start>
      <end>57</end>
      <status>modified</status>
      <modifiedWord>〔2019〕149号</modifiedWord>
      <trackRevisions>false</trackRevisions>
    </reviewItem>
    <reviewItem>
      <errorID>3e159fe6-b853-4f0b-81fa-9a8a56114507</errorID>
      <errorWord>-</errorWord>
      <group>L1_Format</group>
      <groupName>格式问题</groupName>
      <ability>L2_HalfPunc</ability>
      <abilityName>全半角检查</abilityName>
      <candidateList>
        <item>－</item>
      </candidateList>
      <explain>文本全半角错误。</explain>
      <paraID>1AF5BAF6</paraID>
      <start>72</start>
      <end>73</end>
      <status>modified</status>
      <modifiedWord>－</modifiedWord>
      <trackRevisions>false</trackRevisions>
    </reviewItem>
    <reviewItem>
      <errorID>af5df988-0afc-4fb8-8318-91bbb844983f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32E0EF1A</paraID>
      <start>22</start>
      <end>23</end>
      <status>modified</status>
      <modifiedWord>～</modifiedWord>
      <trackRevisions>false</trackRevisions>
    </reviewItem>
    <reviewItem>
      <errorID>c091db9e-232a-4c05-af9c-e142fc675ab1</errorID>
      <errorWord>(</errorWord>
      <group>L1_Format</group>
      <groupName>格式问题</groupName>
      <ability>L2_HalfPunc</ability>
      <abilityName>全半角检查</abilityName>
      <candidateList>
        <item>（</item>
      </candidateList>
      <explain>文本全半角错误。</explain>
      <paraID> B63A56F</paraID>
      <start>26</start>
      <end>27</end>
      <status>modified</status>
      <modifiedWord>（</modifiedWord>
      <trackRevisions>false</trackRevisions>
    </reviewItem>
    <reviewItem>
      <errorID>5d1e1b54-2ec7-4ae3-8be2-c857589479d1</errorID>
      <errorWord>)</errorWord>
      <group>L1_Format</group>
      <groupName>格式问题</groupName>
      <ability>L2_HalfPunc</ability>
      <abilityName>全半角检查</abilityName>
      <candidateList>
        <item>）</item>
      </candidateList>
      <explain>文本全半角错误。</explain>
      <paraID> B63A56F</paraID>
      <start>38</start>
      <end>39</end>
      <status>modified</status>
      <modifiedWord>）</modifiedWord>
      <trackRevisions>false</trackRevisions>
    </reviewItem>
    <reviewItem>
      <errorID>42e81d69-2924-4444-9ee2-33cdfb1e0652</errorID>
      <errorWord>（/</errorWord>
      <group>L1_Punc</group>
      <groupName>标点问题</groupName>
      <ability>L2_Punc</ability>
      <abilityName>标点符号检查</abilityName>
      <candidateList>
        <item>（</item>
      </candidateList>
      <explain/>
      <paraID>2F981C66</paraID>
      <start>0</start>
      <end>1</end>
      <status>modified</status>
      <modifiedWord>（</modifiedWord>
      <trackRevisions>false</trackRevisions>
    </reviewItem>
    <reviewItem>
      <errorID>aead4189-41ac-4462-9341-c628af67395a</errorID>
      <errorWord>消防沙</errorWord>
      <group>L1_Word</group>
      <groupName>字词问题</groupName>
      <ability>L2_Typo</ability>
      <abilityName>字词错误</abilityName>
      <candidateList>
        <item>消防砂</item>
      </candidateList>
      <explain/>
      <paraID> 449B0AD</paraID>
      <start>22</start>
      <end>25</end>
      <status>modified</status>
      <modifiedWord>消防砂</modifiedWord>
      <trackRevisions>false</trackRevisions>
    </reviewItem>
    <reviewItem>
      <errorID>1181e9f5-1875-46c6-a2e9-a5bbb17dc5d8</errorID>
      <errorWord>:</errorWord>
      <group>L1_Format</group>
      <groupName>格式问题</groupName>
      <ability>L2_HalfPunc</ability>
      <abilityName>全半角检查</abilityName>
      <candidateList>
        <item>：</item>
      </candidateList>
      <explain>文本全半角错误。</explain>
      <paraID> D10AB9C</paraID>
      <start>111</start>
      <end>112</end>
      <status>modified</status>
      <modifiedWord>：</modifiedWord>
      <trackRevisions>false</trackRevisions>
    </reviewItem>
    <reviewItem>
      <errorID>d0ea55fe-7472-46ec-adea-988cd8c24f46</errorID>
      <errorWord>告</errorWord>
      <group>L1_Word</group>
      <groupName>字词问题</groupName>
      <ability>L2_Typo</ability>
      <abilityName>字词错误</abilityName>
      <candidateList>
        <item>告中</item>
      </candidateList>
      <explain/>
      <paraID> 3CB2DD7</paraID>
      <start>84</start>
      <end>86</end>
      <status>modified</status>
      <modifiedWord>告中</modifiedWord>
      <trackRevisions>false</trackRevisions>
    </reviewItem>
    <reviewItem>
      <errorID>ec4ff7fb-117c-42ba-a5d4-2c7c2fd24f27</errorID>
      <errorWord>设</errorWord>
      <group>L1_Word</group>
      <groupName>字词问题</groupName>
      <ability>L2_Typo</ability>
      <abilityName>字词错误</abilityName>
      <candidateList>
        <item>设置</item>
      </candidateList>
      <explain>〈动〉❶设立：这座剧院是为儿童～的。❷安放；安装：～障碍。</explain>
      <paraID>3AD968FC</paraID>
      <start>33</start>
      <end>35</end>
      <status>modified</status>
      <modifiedWord>设置</modifiedWord>
      <trackRevisions>false</trackRevisions>
    </reviewItem>
    <reviewItem>
      <errorID>fd68202c-f523-4b1b-8644-8f23902462fe</errorID>
      <errorWord>设</errorWord>
      <group>L1_Word</group>
      <groupName>字词问题</groupName>
      <ability>L2_Typo</ability>
      <abilityName>字词错误</abilityName>
      <candidateList>
        <item>设置</item>
      </candidateList>
      <explain>〈动〉❶设立：这座剧院是为儿童～的。❷安放；安装：～障碍。</explain>
      <paraID>7CED1788</paraID>
      <start>11</start>
      <end>13</end>
      <status>modified</status>
      <modifiedWord>设置</modifiedWord>
      <trackRevisions>false</trackRevisions>
    </reviewItem>
    <reviewItem>
      <errorID>24905232-16fd-4ff6-9f47-7373c8841b35</errorID>
      <errorWord>建</errorWord>
      <group>L1_Word</group>
      <groupName>字词问题</groupName>
      <ability>L2_Typo</ability>
      <abilityName>字词错误</abilityName>
      <candidateList>
        <item>建设</item>
      </candidateList>
      <explain>〈动〉创立新事业；增加新设施：经济～｜～家园｜～现代化强国◇组织～｜思想～。</explain>
      <paraID>74ADB8F9</paraID>
      <start>58</start>
      <end>60</end>
      <status>modified</status>
      <modifiedWord>建设</modifiedWord>
      <trackRevisions>false</trackRevisions>
    </reviewItem>
    <reviewItem>
      <errorID>1497694f-ab01-485a-977e-f9770409f69f</errorID>
      <errorWord>(</errorWord>
      <group>L1_Format</group>
      <groupName>格式问题</groupName>
      <ability>L2_HalfPunc</ability>
      <abilityName>全半角检查</abilityName>
      <candidateList>
        <item>（</item>
      </candidateList>
      <explain>文本全半角错误。</explain>
      <paraID>287E214E</paraID>
      <start>3</start>
      <end>4</end>
      <status>modified</status>
      <modifiedWord>（</modifiedWord>
      <trackRevisions>false</trackRevisions>
    </reviewItem>
    <reviewItem>
      <errorID>18fce281-9199-483d-a4b3-66ee9fc03584</errorID>
      <errorWord>)</errorWord>
      <group>L1_Format</group>
      <groupName>格式问题</groupName>
      <ability>L2_HalfPunc</ability>
      <abilityName>全半角检查</abilityName>
      <candidateList>
        <item>）</item>
      </candidateList>
      <explain>文本全半角错误。</explain>
      <paraID>3F12E5E5</paraID>
      <start>2</start>
      <end>3</end>
      <status>modified</status>
      <modifiedWord>）</modifiedWord>
      <trackRevisions>false</trackRevisions>
    </reviewItem>
    <reviewItem>
      <errorID>2de393d0-bae5-49c4-b458-37b1de98c7fc</errorID>
      <errorWord>)</errorWord>
      <group>L1_Format</group>
      <groupName>格式问题</groupName>
      <ability>L2_HalfPunc</ability>
      <abilityName>全半角检查</abilityName>
      <candidateList>
        <item>）</item>
      </candidateList>
      <explain>文本全半角错误。</explain>
      <paraID>5A55D047</paraID>
      <start>36</start>
      <end>37</end>
      <status>modified</status>
      <modifiedWord>）</modifiedWord>
      <trackRevisions>false</trackRevisions>
    </reviewItem>
    <reviewItem>
      <errorID>5de5a41d-675c-4f2a-98d1-128ca4a996c8</errorID>
      <errorWord>)</errorWord>
      <group>L1_Format</group>
      <groupName>格式问题</groupName>
      <ability>L2_HalfPunc</ability>
      <abilityName>全半角检查</abilityName>
      <candidateList>
        <item>）</item>
      </candidateList>
      <explain>文本全半角错误。</explain>
      <paraID>63470E55</paraID>
      <start>24</start>
      <end>25</end>
      <status>modified</status>
      <modifiedWord>）</modifiedWord>
      <trackRevisions>false</trackRevisions>
    </reviewItem>
    <reviewItem>
      <errorID>7596363a-da40-4af7-9319-1882114a70e8</errorID>
      <errorWord>（</errorWord>
      <group>L1_Format</group>
      <groupName>格式问题</groupName>
      <ability>L2_HalfPunc</ability>
      <abilityName>全半角检查</abilityName>
      <candidateList>
        <item>(</item>
      </candidateList>
      <explain>文本全半角错误。</explain>
      <paraID>78906490</paraID>
      <start>2</start>
      <end>3</end>
      <status>modified</status>
      <modifiedWord>(</modifiedWord>
      <trackRevisions>false</trackRevisions>
    </reviewItem>
    <reviewItem>
      <errorID>ffee6abe-8fb2-4245-ac23-46ebc10fe27d</errorID>
      <errorWord>）</errorWord>
      <group>L1_Format</group>
      <groupName>格式问题</groupName>
      <ability>L2_HalfPunc</ability>
      <abilityName>全半角检查</abilityName>
      <candidateList>
        <item>)</item>
      </candidateList>
      <explain>文本全半角错误。</explain>
      <paraID>78906490</paraID>
      <start>4</start>
      <end>5</end>
      <status>modified</status>
      <modifiedWord>)</modifiedWord>
      <trackRevisions>false</trackRevisions>
    </reviewItem>
    <reviewItem>
      <errorID>1e9960fc-fb5f-432f-902a-bd481e953d32</errorID>
      <errorWord>消防沙</errorWord>
      <group>L1_Word</group>
      <groupName>字词问题</groupName>
      <ability>L2_Typo</ability>
      <abilityName>字词错误</abilityName>
      <candidateList>
        <item>消防砂</item>
      </candidateList>
      <explain/>
      <paraID>2916F743</paraID>
      <start>22</start>
      <end>25</end>
      <status>modified</status>
      <modifiedWord>消防砂</modifiedWord>
      <trackRevisions>false</trackRevisions>
    </reviewItem>
    <reviewItem>
      <errorID>768eccb2-440f-4faa-8740-ad5bd6696c97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331A2DC0</paraID>
      <start>0</start>
      <end>2</end>
      <status>modified</status>
      <modifiedWord>1.</modifiedWord>
      <trackRevisions>false</trackRevisions>
    </reviewItem>
    <reviewItem>
      <errorID>9429a2e0-b5c3-402f-b234-a1531852d1fe</errorID>
      <errorWord>污染处理</errorWord>
      <group>L1_Knowledge</group>
      <groupName>知识性问题</groupName>
      <ability>L2_Term</ability>
      <abilityName>专业术语</abilityName>
      <candidateList>
        <item>污水处理</item>
      </candidateList>
      <explain/>
      <paraID>4B878A5B</paraID>
      <start>34</start>
      <end>38</end>
      <status>modified</status>
      <modifiedWord>污水处理</modifiedWord>
      <trackRevisions>false</trackRevisions>
    </reviewItem>
    <reviewItem>
      <errorID>262f6d1d-4c12-41e4-8321-2159523d60d7</errorID>
      <errorWord>定</errorWord>
      <group>L1_Word</group>
      <groupName>字词问题</groupName>
      <ability>L2_Typo</ability>
      <abilityName>字词错误</abilityName>
      <candidateList>
        <item>行</item>
      </candidateList>
      <explain/>
      <paraID>6DA75B55</paraID>
      <start>22</start>
      <end>23</end>
      <status>modified</status>
      <modifiedWord>行</modifiedWord>
      <trackRevisions>false</trackRevisions>
    </reviewItem>
    <reviewItem>
      <errorID>0e3c1a13-0726-4180-a257-374dce77c23c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6DA75B55</paraID>
      <start>25</start>
      <end>27</end>
      <status>modified</status>
      <modifiedWord>》《</modifiedWord>
      <trackRevisions>false</trackRevisions>
    </reviewItem>
    <reviewItem>
      <errorID>e74088b1-da42-40a7-b1cf-b5bfabcf3db4</errorID>
      <errorWord>(</errorWord>
      <group>L1_Format</group>
      <groupName>格式问题</groupName>
      <ability>L2_HalfPunc</ability>
      <abilityName>全半角检查</abilityName>
      <candidateList>
        <item>（</item>
      </candidateList>
      <explain>文本全半角错误。</explain>
      <paraID>4312CD0F</paraID>
      <start>43</start>
      <end>44</end>
      <status>modified</status>
      <modifiedWord>（</modifiedWord>
      <trackRevisions>false</trackRevisions>
    </reviewItem>
    <reviewItem>
      <errorID>bf4333a6-c2e9-4379-8368-3f101a73d4e0</errorID>
      <errorWord>)</errorWord>
      <group>L1_Format</group>
      <groupName>格式问题</groupName>
      <ability>L2_HalfPunc</ability>
      <abilityName>全半角检查</abilityName>
      <candidateList>
        <item>）</item>
      </candidateList>
      <explain>文本全半角错误。</explain>
      <paraID>4312CD0F</paraID>
      <start>45</start>
      <end>46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e350ea-52ef-44d8-95ba-42129b11d60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110</Pages>
  <Words>65198</Words>
  <Characters>76119</Characters>
  <Lines>599</Lines>
  <Paragraphs>168</Paragraphs>
  <TotalTime>16</TotalTime>
  <ScaleCrop>false</ScaleCrop>
  <LinksUpToDate>false</LinksUpToDate>
  <CharactersWithSpaces>76444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2024-04-26T05:59:00Z</dcterms:created>
  <dc:creator>新诚润科</dc:creator>
  <cp:lastModifiedBy>a moon</cp:lastModifiedBy>
  <cp:lastPrinted>2025-11-13T08:57:00Z</cp:lastPrinted>
  <dcterms:modified xsi:type="dcterms:W3CDTF">2025-11-14T08:23:02Z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630389BE479C4CBA8E151D855BCA77C4_13</vt:lpwstr>
  </property>
  <property fmtid="{D5CDD505-2E9C-101B-9397-08002B2CF9AE}" pid="4" name="KSOTemplateDocerSaveRecord">
    <vt:lpwstr>eyJoZGlkIjoiNzUzZDE2YzA3NDM3Nzg1MDY1NmNiNWFjNjBmZDhiOWMiLCJ1c2VySWQiOiIyNjEyMzM3ODAifQ==</vt:lpwstr>
  </property>
</Properties>
</file>